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950" w:rsidRDefault="00D02950" w:rsidP="00EC103C">
      <w:pPr>
        <w:pStyle w:val="Default"/>
        <w:jc w:val="center"/>
        <w:rPr>
          <w:b/>
          <w:bCs/>
          <w:sz w:val="28"/>
          <w:szCs w:val="28"/>
        </w:rPr>
      </w:pPr>
    </w:p>
    <w:p w:rsidR="00D02950" w:rsidRDefault="00D02950" w:rsidP="00EC103C">
      <w:pPr>
        <w:pStyle w:val="Default"/>
        <w:jc w:val="center"/>
        <w:rPr>
          <w:b/>
          <w:bCs/>
          <w:sz w:val="28"/>
          <w:szCs w:val="28"/>
        </w:rPr>
      </w:pPr>
    </w:p>
    <w:p w:rsidR="00D02950" w:rsidRDefault="00D02950" w:rsidP="00EC103C">
      <w:pPr>
        <w:pStyle w:val="Default"/>
        <w:jc w:val="center"/>
        <w:rPr>
          <w:b/>
          <w:bCs/>
          <w:sz w:val="28"/>
          <w:szCs w:val="28"/>
        </w:rPr>
      </w:pPr>
    </w:p>
    <w:p w:rsidR="00D02950" w:rsidRDefault="00D02950" w:rsidP="00EC103C">
      <w:pPr>
        <w:pStyle w:val="Default"/>
        <w:jc w:val="center"/>
        <w:rPr>
          <w:b/>
          <w:bCs/>
          <w:sz w:val="28"/>
          <w:szCs w:val="28"/>
        </w:rPr>
      </w:pPr>
    </w:p>
    <w:p w:rsidR="00D02950" w:rsidRDefault="00D02950" w:rsidP="00EC103C">
      <w:pPr>
        <w:pStyle w:val="Default"/>
        <w:jc w:val="center"/>
        <w:rPr>
          <w:b/>
          <w:bCs/>
          <w:sz w:val="28"/>
          <w:szCs w:val="28"/>
        </w:rPr>
      </w:pPr>
    </w:p>
    <w:p w:rsidR="00EC103C" w:rsidRPr="00976543" w:rsidRDefault="00EC103C" w:rsidP="00EC103C">
      <w:pPr>
        <w:pStyle w:val="Default"/>
        <w:jc w:val="center"/>
        <w:rPr>
          <w:b/>
          <w:bCs/>
          <w:sz w:val="28"/>
          <w:szCs w:val="28"/>
        </w:rPr>
      </w:pPr>
      <w:r>
        <w:rPr>
          <w:b/>
          <w:bCs/>
          <w:sz w:val="28"/>
          <w:szCs w:val="28"/>
        </w:rPr>
        <w:t>UN</w:t>
      </w:r>
      <w:r w:rsidRPr="00976543">
        <w:rPr>
          <w:b/>
          <w:bCs/>
          <w:sz w:val="28"/>
          <w:szCs w:val="28"/>
        </w:rPr>
        <w:t>IVERSITY OF WAIKATO</w:t>
      </w:r>
    </w:p>
    <w:p w:rsidR="00EC103C" w:rsidRPr="00976543" w:rsidRDefault="00EC103C" w:rsidP="00EC103C">
      <w:pPr>
        <w:pStyle w:val="Default"/>
        <w:jc w:val="both"/>
        <w:rPr>
          <w:color w:val="auto"/>
        </w:rPr>
      </w:pPr>
      <w:r w:rsidRPr="00976543">
        <w:rPr>
          <w:b/>
          <w:bCs/>
          <w:sz w:val="28"/>
          <w:szCs w:val="28"/>
        </w:rPr>
        <w:br/>
      </w:r>
    </w:p>
    <w:p w:rsidR="00EC103C" w:rsidRPr="00976543" w:rsidRDefault="00EC103C" w:rsidP="00EC103C">
      <w:pPr>
        <w:pStyle w:val="CM1"/>
        <w:spacing w:line="240" w:lineRule="auto"/>
        <w:jc w:val="center"/>
        <w:rPr>
          <w:b/>
          <w:bCs/>
          <w:sz w:val="28"/>
          <w:szCs w:val="28"/>
        </w:rPr>
      </w:pPr>
      <w:r w:rsidRPr="00976543">
        <w:rPr>
          <w:b/>
          <w:bCs/>
          <w:sz w:val="28"/>
          <w:szCs w:val="28"/>
        </w:rPr>
        <w:t xml:space="preserve">Hamilton </w:t>
      </w:r>
    </w:p>
    <w:p w:rsidR="00EC103C" w:rsidRPr="00976543" w:rsidRDefault="00EC103C" w:rsidP="00EC103C">
      <w:pPr>
        <w:pStyle w:val="CM1"/>
        <w:spacing w:line="240" w:lineRule="auto"/>
        <w:jc w:val="center"/>
        <w:rPr>
          <w:b/>
          <w:bCs/>
          <w:sz w:val="28"/>
          <w:szCs w:val="28"/>
        </w:rPr>
      </w:pPr>
      <w:r w:rsidRPr="00976543">
        <w:rPr>
          <w:b/>
          <w:bCs/>
          <w:sz w:val="28"/>
          <w:szCs w:val="28"/>
        </w:rPr>
        <w:t xml:space="preserve">New Zealand </w:t>
      </w:r>
    </w:p>
    <w:p w:rsidR="00EC103C" w:rsidRPr="00976543" w:rsidRDefault="00EC103C" w:rsidP="00EC103C">
      <w:pPr>
        <w:pStyle w:val="Default"/>
      </w:pPr>
    </w:p>
    <w:p w:rsidR="00EC103C" w:rsidRPr="00976543" w:rsidRDefault="00EC103C" w:rsidP="00EC103C">
      <w:pPr>
        <w:pStyle w:val="Default"/>
      </w:pPr>
    </w:p>
    <w:p w:rsidR="00EC103C" w:rsidRDefault="00EC103C" w:rsidP="00EC103C">
      <w:pPr>
        <w:pStyle w:val="Title"/>
        <w:pBdr>
          <w:top w:val="thinThickSmallGap" w:sz="24" w:space="1" w:color="auto"/>
          <w:left w:val="thinThickSmallGap" w:sz="24" w:space="4" w:color="auto"/>
          <w:bottom w:val="thinThickSmallGap" w:sz="24" w:space="1" w:color="auto"/>
          <w:right w:val="thinThickSmallGap" w:sz="24" w:space="4" w:color="auto"/>
        </w:pBdr>
        <w:rPr>
          <w:rFonts w:ascii="Times New Roman" w:hAnsi="Times New Roman"/>
          <w:sz w:val="28"/>
          <w:szCs w:val="28"/>
        </w:rPr>
      </w:pPr>
    </w:p>
    <w:p w:rsidR="00EC103C" w:rsidRDefault="00EC103C" w:rsidP="00EC103C">
      <w:pPr>
        <w:pStyle w:val="Title"/>
        <w:pBdr>
          <w:top w:val="thinThickSmallGap" w:sz="24" w:space="1" w:color="auto"/>
          <w:left w:val="thinThickSmallGap" w:sz="24" w:space="4" w:color="auto"/>
          <w:bottom w:val="thinThickSmallGap" w:sz="24" w:space="1" w:color="auto"/>
          <w:right w:val="thinThickSmallGap" w:sz="24" w:space="4" w:color="auto"/>
        </w:pBdr>
        <w:spacing w:line="360" w:lineRule="auto"/>
        <w:rPr>
          <w:rFonts w:ascii="Times New Roman" w:hAnsi="Times New Roman"/>
          <w:sz w:val="28"/>
          <w:szCs w:val="28"/>
        </w:rPr>
      </w:pPr>
      <w:r>
        <w:rPr>
          <w:rFonts w:ascii="Times New Roman" w:hAnsi="Times New Roman"/>
          <w:sz w:val="28"/>
          <w:szCs w:val="28"/>
        </w:rPr>
        <w:t xml:space="preserve">The Economic Consequences of ‘Brain Drain’ </w:t>
      </w:r>
    </w:p>
    <w:p w:rsidR="00EC103C" w:rsidRDefault="00EC103C" w:rsidP="00EC103C">
      <w:pPr>
        <w:pStyle w:val="Title"/>
        <w:pBdr>
          <w:top w:val="thinThickSmallGap" w:sz="24" w:space="1" w:color="auto"/>
          <w:left w:val="thinThickSmallGap" w:sz="24" w:space="4" w:color="auto"/>
          <w:bottom w:val="thinThickSmallGap" w:sz="24" w:space="1" w:color="auto"/>
          <w:right w:val="thinThickSmallGap" w:sz="24" w:space="4" w:color="auto"/>
        </w:pBdr>
        <w:spacing w:line="360" w:lineRule="auto"/>
        <w:rPr>
          <w:rFonts w:ascii="Times New Roman" w:hAnsi="Times New Roman"/>
          <w:sz w:val="28"/>
          <w:szCs w:val="28"/>
        </w:rPr>
      </w:pPr>
      <w:r>
        <w:rPr>
          <w:rFonts w:ascii="Times New Roman" w:hAnsi="Times New Roman"/>
          <w:sz w:val="28"/>
          <w:szCs w:val="28"/>
        </w:rPr>
        <w:t>of the Best and Brightest:</w:t>
      </w:r>
    </w:p>
    <w:p w:rsidR="00EC103C" w:rsidRDefault="00EC103C" w:rsidP="00EC103C">
      <w:pPr>
        <w:pStyle w:val="Title"/>
        <w:pBdr>
          <w:top w:val="thinThickSmallGap" w:sz="24" w:space="1" w:color="auto"/>
          <w:left w:val="thinThickSmallGap" w:sz="24" w:space="4" w:color="auto"/>
          <w:bottom w:val="thinThickSmallGap" w:sz="24" w:space="1" w:color="auto"/>
          <w:right w:val="thinThickSmallGap" w:sz="24" w:space="4" w:color="auto"/>
        </w:pBdr>
        <w:spacing w:line="360" w:lineRule="auto"/>
        <w:rPr>
          <w:rFonts w:ascii="Times New Roman" w:hAnsi="Times New Roman"/>
          <w:sz w:val="28"/>
          <w:szCs w:val="28"/>
        </w:rPr>
      </w:pPr>
      <w:r>
        <w:rPr>
          <w:rFonts w:ascii="Times New Roman" w:hAnsi="Times New Roman"/>
          <w:sz w:val="28"/>
          <w:szCs w:val="28"/>
        </w:rPr>
        <w:t>Microeconomic Evidence from Five Countries</w:t>
      </w:r>
    </w:p>
    <w:p w:rsidR="00EC103C" w:rsidRPr="00EC103C" w:rsidRDefault="00EC103C" w:rsidP="00EC103C">
      <w:pPr>
        <w:pStyle w:val="Title"/>
        <w:pBdr>
          <w:top w:val="thinThickSmallGap" w:sz="24" w:space="1" w:color="auto"/>
          <w:left w:val="thinThickSmallGap" w:sz="24" w:space="4" w:color="auto"/>
          <w:bottom w:val="thinThickSmallGap" w:sz="24" w:space="1" w:color="auto"/>
          <w:right w:val="thinThickSmallGap" w:sz="24" w:space="4" w:color="auto"/>
        </w:pBdr>
        <w:rPr>
          <w:rFonts w:ascii="Times New Roman" w:hAnsi="Times New Roman"/>
          <w:b w:val="0"/>
          <w:sz w:val="28"/>
          <w:szCs w:val="28"/>
        </w:rPr>
      </w:pPr>
      <w:r w:rsidRPr="00EC103C">
        <w:rPr>
          <w:rFonts w:ascii="Times New Roman" w:hAnsi="Times New Roman"/>
          <w:b w:val="0"/>
          <w:sz w:val="28"/>
          <w:szCs w:val="28"/>
        </w:rPr>
        <w:t>John Gibson and David Mckenzie</w:t>
      </w:r>
    </w:p>
    <w:p w:rsidR="00EC103C" w:rsidRPr="00976543" w:rsidRDefault="00EC103C" w:rsidP="00EC103C">
      <w:pPr>
        <w:pStyle w:val="Title"/>
        <w:pBdr>
          <w:top w:val="thinThickSmallGap" w:sz="24" w:space="1" w:color="auto"/>
          <w:left w:val="thinThickSmallGap" w:sz="24" w:space="4" w:color="auto"/>
          <w:bottom w:val="thinThickSmallGap" w:sz="24" w:space="1" w:color="auto"/>
          <w:right w:val="thinThickSmallGap" w:sz="24" w:space="4" w:color="auto"/>
        </w:pBdr>
        <w:rPr>
          <w:rFonts w:ascii="Times New Roman" w:hAnsi="Times New Roman"/>
          <w:sz w:val="28"/>
          <w:szCs w:val="28"/>
        </w:rPr>
      </w:pPr>
    </w:p>
    <w:p w:rsidR="00EC103C" w:rsidRPr="00976543" w:rsidRDefault="00EC103C" w:rsidP="00EC103C">
      <w:pPr>
        <w:pStyle w:val="Default"/>
      </w:pPr>
    </w:p>
    <w:p w:rsidR="00EC103C" w:rsidRPr="00976543" w:rsidRDefault="00EC103C" w:rsidP="00EC103C">
      <w:pPr>
        <w:pStyle w:val="CM20"/>
        <w:spacing w:after="0"/>
        <w:jc w:val="center"/>
        <w:rPr>
          <w:i/>
          <w:iCs/>
        </w:rPr>
      </w:pPr>
    </w:p>
    <w:p w:rsidR="00EC103C" w:rsidRPr="00976543" w:rsidRDefault="00EC103C" w:rsidP="00EC103C">
      <w:pPr>
        <w:pStyle w:val="Default"/>
      </w:pPr>
    </w:p>
    <w:p w:rsidR="00EC103C" w:rsidRPr="00976543" w:rsidRDefault="00EC103C" w:rsidP="00EC103C">
      <w:pPr>
        <w:pStyle w:val="CM21"/>
        <w:spacing w:after="0"/>
        <w:jc w:val="center"/>
        <w:rPr>
          <w:sz w:val="28"/>
          <w:szCs w:val="28"/>
        </w:rPr>
      </w:pPr>
      <w:r w:rsidRPr="00976543">
        <w:rPr>
          <w:b/>
          <w:bCs/>
          <w:sz w:val="28"/>
          <w:szCs w:val="28"/>
        </w:rPr>
        <w:t xml:space="preserve">Department of Economics </w:t>
      </w:r>
    </w:p>
    <w:p w:rsidR="00EC103C" w:rsidRPr="00976543" w:rsidRDefault="00EC103C" w:rsidP="00EC103C">
      <w:pPr>
        <w:pStyle w:val="Default"/>
        <w:rPr>
          <w:color w:val="auto"/>
        </w:rPr>
      </w:pPr>
    </w:p>
    <w:p w:rsidR="00EC103C" w:rsidRPr="00976543" w:rsidRDefault="00EC103C" w:rsidP="00EC103C">
      <w:pPr>
        <w:pStyle w:val="CM22"/>
        <w:spacing w:after="0"/>
        <w:jc w:val="center"/>
        <w:rPr>
          <w:b/>
          <w:bCs/>
          <w:sz w:val="28"/>
          <w:szCs w:val="28"/>
        </w:rPr>
      </w:pPr>
      <w:r w:rsidRPr="00976543">
        <w:rPr>
          <w:b/>
          <w:bCs/>
          <w:sz w:val="28"/>
          <w:szCs w:val="28"/>
        </w:rPr>
        <w:t>Working Paper in Economics 10/</w:t>
      </w:r>
      <w:r>
        <w:rPr>
          <w:b/>
          <w:bCs/>
          <w:sz w:val="28"/>
          <w:szCs w:val="28"/>
        </w:rPr>
        <w:t>05</w:t>
      </w:r>
    </w:p>
    <w:p w:rsidR="00EC103C" w:rsidRPr="00976543" w:rsidRDefault="00EC103C" w:rsidP="00EC103C">
      <w:pPr>
        <w:pStyle w:val="CM22"/>
        <w:spacing w:after="0"/>
        <w:jc w:val="center"/>
        <w:rPr>
          <w:sz w:val="28"/>
          <w:szCs w:val="28"/>
        </w:rPr>
      </w:pPr>
      <w:r w:rsidRPr="00976543">
        <w:rPr>
          <w:b/>
          <w:bCs/>
          <w:sz w:val="28"/>
          <w:szCs w:val="28"/>
        </w:rPr>
        <w:t xml:space="preserve"> </w:t>
      </w:r>
    </w:p>
    <w:p w:rsidR="00EC103C" w:rsidRPr="00976543" w:rsidRDefault="00EC103C" w:rsidP="00EC103C">
      <w:pPr>
        <w:pStyle w:val="CM3"/>
        <w:jc w:val="center"/>
        <w:rPr>
          <w:sz w:val="28"/>
          <w:szCs w:val="28"/>
        </w:rPr>
      </w:pPr>
      <w:r>
        <w:rPr>
          <w:sz w:val="28"/>
          <w:szCs w:val="28"/>
        </w:rPr>
        <w:t>August 2010</w:t>
      </w:r>
    </w:p>
    <w:p w:rsidR="00EC103C" w:rsidRDefault="00EC103C" w:rsidP="00EC103C">
      <w:pPr>
        <w:pStyle w:val="CM4"/>
        <w:spacing w:line="240" w:lineRule="auto"/>
        <w:jc w:val="center"/>
        <w:rPr>
          <w:b/>
          <w:bCs/>
          <w:sz w:val="22"/>
          <w:szCs w:val="22"/>
        </w:rPr>
      </w:pPr>
    </w:p>
    <w:p w:rsidR="00EC103C" w:rsidRDefault="00EC103C" w:rsidP="00EC103C">
      <w:pPr>
        <w:pStyle w:val="Default"/>
      </w:pPr>
    </w:p>
    <w:p w:rsidR="00EC103C" w:rsidRDefault="00EC103C" w:rsidP="00EC103C">
      <w:pPr>
        <w:pStyle w:val="Default"/>
      </w:pPr>
    </w:p>
    <w:p w:rsidR="00EC103C" w:rsidRPr="007E6B57" w:rsidRDefault="00EC103C" w:rsidP="00EC103C">
      <w:pPr>
        <w:pStyle w:val="Default"/>
      </w:pPr>
    </w:p>
    <w:p w:rsidR="00EC103C" w:rsidRDefault="00EC103C" w:rsidP="00EC103C">
      <w:pPr>
        <w:pStyle w:val="CM4"/>
        <w:spacing w:line="240" w:lineRule="auto"/>
        <w:jc w:val="center"/>
        <w:rPr>
          <w:b/>
          <w:bCs/>
          <w:sz w:val="22"/>
          <w:szCs w:val="22"/>
        </w:rPr>
      </w:pPr>
    </w:p>
    <w:tbl>
      <w:tblPr>
        <w:tblW w:w="0" w:type="auto"/>
        <w:tblLook w:val="04A0"/>
      </w:tblPr>
      <w:tblGrid>
        <w:gridCol w:w="4621"/>
        <w:gridCol w:w="4621"/>
      </w:tblGrid>
      <w:tr w:rsidR="00EC103C" w:rsidTr="003345AB">
        <w:tc>
          <w:tcPr>
            <w:tcW w:w="4621" w:type="dxa"/>
          </w:tcPr>
          <w:p w:rsidR="00EC103C" w:rsidRPr="00F11504" w:rsidRDefault="00EC103C" w:rsidP="003345AB">
            <w:pPr>
              <w:pStyle w:val="CM4"/>
              <w:spacing w:line="240" w:lineRule="auto"/>
              <w:jc w:val="center"/>
              <w:rPr>
                <w:b/>
                <w:bCs/>
                <w:i/>
                <w:sz w:val="22"/>
                <w:szCs w:val="22"/>
              </w:rPr>
            </w:pPr>
            <w:r w:rsidRPr="00F11504">
              <w:rPr>
                <w:b/>
                <w:bCs/>
                <w:i/>
                <w:sz w:val="22"/>
                <w:szCs w:val="22"/>
              </w:rPr>
              <w:t>Corresponding Author</w:t>
            </w:r>
          </w:p>
          <w:p w:rsidR="00EC103C" w:rsidRPr="00F11504" w:rsidRDefault="00EC103C" w:rsidP="003345AB">
            <w:pPr>
              <w:pStyle w:val="CM4"/>
              <w:spacing w:line="240" w:lineRule="auto"/>
              <w:jc w:val="center"/>
              <w:rPr>
                <w:b/>
                <w:bCs/>
                <w:sz w:val="8"/>
                <w:szCs w:val="8"/>
              </w:rPr>
            </w:pPr>
          </w:p>
          <w:p w:rsidR="00EC103C" w:rsidRDefault="00EC103C" w:rsidP="003345AB">
            <w:pPr>
              <w:pStyle w:val="CM4"/>
              <w:spacing w:line="240" w:lineRule="auto"/>
              <w:jc w:val="center"/>
              <w:rPr>
                <w:b/>
                <w:bCs/>
              </w:rPr>
            </w:pPr>
            <w:r>
              <w:rPr>
                <w:b/>
                <w:bCs/>
              </w:rPr>
              <w:t>David McKenzie</w:t>
            </w:r>
          </w:p>
          <w:p w:rsidR="00D406A3" w:rsidRPr="00D406A3" w:rsidRDefault="00D406A3" w:rsidP="00D406A3">
            <w:pPr>
              <w:pStyle w:val="Default"/>
              <w:rPr>
                <w:sz w:val="12"/>
                <w:szCs w:val="12"/>
              </w:rPr>
            </w:pPr>
          </w:p>
          <w:p w:rsidR="00D406A3" w:rsidRPr="00D406A3" w:rsidRDefault="00D406A3" w:rsidP="00D406A3">
            <w:pPr>
              <w:pStyle w:val="Default"/>
              <w:jc w:val="center"/>
            </w:pPr>
            <w:r>
              <w:t>World Bank</w:t>
            </w:r>
          </w:p>
          <w:p w:rsidR="00EC103C" w:rsidRPr="00F11504" w:rsidRDefault="00EC103C" w:rsidP="003345AB">
            <w:pPr>
              <w:pStyle w:val="CM23"/>
              <w:spacing w:after="0"/>
              <w:jc w:val="center"/>
              <w:rPr>
                <w:sz w:val="12"/>
                <w:szCs w:val="12"/>
              </w:rPr>
            </w:pPr>
          </w:p>
          <w:p w:rsidR="00EC103C" w:rsidRPr="00976543" w:rsidRDefault="00EC103C" w:rsidP="003345AB">
            <w:pPr>
              <w:pStyle w:val="Default"/>
            </w:pPr>
          </w:p>
          <w:p w:rsidR="00EC103C" w:rsidRPr="00F11504" w:rsidRDefault="00EC103C" w:rsidP="003345AB">
            <w:pPr>
              <w:pStyle w:val="CM3"/>
              <w:jc w:val="center"/>
              <w:rPr>
                <w:b/>
                <w:bCs/>
                <w:sz w:val="12"/>
                <w:szCs w:val="12"/>
              </w:rPr>
            </w:pPr>
          </w:p>
          <w:p w:rsidR="00EC103C" w:rsidRDefault="00EC103C" w:rsidP="00EC103C">
            <w:pPr>
              <w:pStyle w:val="Default"/>
              <w:jc w:val="center"/>
            </w:pPr>
            <w:r w:rsidRPr="00833CB9">
              <w:t>Email dmckenzie@worldbank.org</w:t>
            </w:r>
          </w:p>
        </w:tc>
        <w:tc>
          <w:tcPr>
            <w:tcW w:w="4621" w:type="dxa"/>
          </w:tcPr>
          <w:p w:rsidR="00EC103C" w:rsidRPr="00F11504" w:rsidRDefault="00EC103C" w:rsidP="003345AB">
            <w:pPr>
              <w:pStyle w:val="Default"/>
              <w:jc w:val="center"/>
              <w:rPr>
                <w:b/>
              </w:rPr>
            </w:pPr>
          </w:p>
          <w:p w:rsidR="00EC103C" w:rsidRPr="00F11504" w:rsidRDefault="00EC103C" w:rsidP="003345AB">
            <w:pPr>
              <w:pStyle w:val="CM4"/>
              <w:spacing w:line="240" w:lineRule="auto"/>
              <w:jc w:val="center"/>
              <w:rPr>
                <w:b/>
                <w:bCs/>
                <w:sz w:val="8"/>
                <w:szCs w:val="8"/>
              </w:rPr>
            </w:pPr>
          </w:p>
          <w:p w:rsidR="00EC103C" w:rsidRPr="00976543" w:rsidRDefault="00EC103C" w:rsidP="003345AB">
            <w:pPr>
              <w:pStyle w:val="CM4"/>
              <w:spacing w:line="240" w:lineRule="auto"/>
              <w:jc w:val="center"/>
            </w:pPr>
            <w:r>
              <w:rPr>
                <w:b/>
                <w:bCs/>
              </w:rPr>
              <w:t>John Gibson</w:t>
            </w:r>
          </w:p>
          <w:p w:rsidR="00EC103C" w:rsidRPr="00F11504" w:rsidRDefault="00EC103C" w:rsidP="003345AB">
            <w:pPr>
              <w:pStyle w:val="CM23"/>
              <w:spacing w:after="0"/>
              <w:jc w:val="center"/>
              <w:rPr>
                <w:sz w:val="12"/>
                <w:szCs w:val="12"/>
              </w:rPr>
            </w:pPr>
          </w:p>
          <w:p w:rsidR="00EC103C" w:rsidRPr="00976543" w:rsidRDefault="00EC103C" w:rsidP="003345AB">
            <w:pPr>
              <w:pStyle w:val="CM23"/>
              <w:spacing w:after="0"/>
              <w:jc w:val="center"/>
            </w:pPr>
            <w:r>
              <w:t>Economics Department</w:t>
            </w:r>
          </w:p>
          <w:p w:rsidR="00EC103C" w:rsidRDefault="00EC103C" w:rsidP="003345AB">
            <w:pPr>
              <w:pStyle w:val="CM23"/>
              <w:spacing w:after="0"/>
              <w:jc w:val="center"/>
            </w:pPr>
            <w:r w:rsidRPr="00976543">
              <w:t>University of Waikato</w:t>
            </w:r>
          </w:p>
          <w:p w:rsidR="00EC103C" w:rsidRDefault="00EC103C" w:rsidP="00EC103C">
            <w:pPr>
              <w:pStyle w:val="CM23"/>
              <w:spacing w:after="0"/>
              <w:jc w:val="center"/>
            </w:pPr>
            <w:r w:rsidRPr="00976543">
              <w:t>Private Bag 3105</w:t>
            </w:r>
          </w:p>
          <w:p w:rsidR="00EC103C" w:rsidRPr="00976543" w:rsidRDefault="00EC103C" w:rsidP="00EC103C">
            <w:pPr>
              <w:pStyle w:val="CM23"/>
              <w:spacing w:after="0"/>
              <w:jc w:val="center"/>
            </w:pPr>
            <w:r w:rsidRPr="00976543">
              <w:t xml:space="preserve">Hamilton, New Zealand </w:t>
            </w:r>
          </w:p>
          <w:p w:rsidR="00EC103C" w:rsidRPr="00976543" w:rsidRDefault="00EC103C" w:rsidP="003345AB">
            <w:pPr>
              <w:pStyle w:val="Default"/>
            </w:pPr>
          </w:p>
          <w:p w:rsidR="00EC103C" w:rsidRPr="00976543" w:rsidRDefault="00EC103C" w:rsidP="00EC103C">
            <w:pPr>
              <w:pStyle w:val="Default"/>
              <w:jc w:val="center"/>
            </w:pPr>
            <w:r w:rsidRPr="00976543">
              <w:t>Tel: +64 (7) 838 4045</w:t>
            </w:r>
          </w:p>
          <w:p w:rsidR="00EC103C" w:rsidRPr="00F11504" w:rsidRDefault="00EC103C" w:rsidP="003345AB">
            <w:pPr>
              <w:pStyle w:val="CM3"/>
              <w:jc w:val="center"/>
              <w:rPr>
                <w:bCs/>
                <w:sz w:val="12"/>
                <w:szCs w:val="12"/>
              </w:rPr>
            </w:pPr>
          </w:p>
          <w:p w:rsidR="00EC103C" w:rsidRPr="00F11504" w:rsidRDefault="00EC103C" w:rsidP="00EC103C">
            <w:pPr>
              <w:pStyle w:val="CM3"/>
              <w:jc w:val="center"/>
              <w:rPr>
                <w:bCs/>
              </w:rPr>
            </w:pPr>
            <w:r>
              <w:rPr>
                <w:bCs/>
              </w:rPr>
              <w:t>Email: jkgibson</w:t>
            </w:r>
            <w:r w:rsidRPr="00F11504">
              <w:rPr>
                <w:bCs/>
              </w:rPr>
              <w:t>@waikato.ac.nz</w:t>
            </w:r>
          </w:p>
          <w:p w:rsidR="00EC103C" w:rsidRPr="00F11504" w:rsidRDefault="00EC103C" w:rsidP="003345AB">
            <w:pPr>
              <w:pStyle w:val="Default"/>
              <w:jc w:val="center"/>
              <w:rPr>
                <w:b/>
              </w:rPr>
            </w:pPr>
          </w:p>
        </w:tc>
      </w:tr>
    </w:tbl>
    <w:p w:rsidR="00EC103C" w:rsidRDefault="00EC103C" w:rsidP="00EC103C">
      <w:pPr>
        <w:pStyle w:val="Default"/>
      </w:pPr>
    </w:p>
    <w:p w:rsidR="00EC103C" w:rsidRDefault="00EC103C" w:rsidP="00EC103C">
      <w:pPr>
        <w:pStyle w:val="Default"/>
      </w:pPr>
    </w:p>
    <w:p w:rsidR="00EC103C" w:rsidRPr="00976543" w:rsidRDefault="00EC103C" w:rsidP="00EC103C">
      <w:pPr>
        <w:pStyle w:val="CM3"/>
        <w:jc w:val="center"/>
        <w:rPr>
          <w:b/>
          <w:bCs/>
        </w:rPr>
      </w:pPr>
      <w:r w:rsidRPr="00976543">
        <w:rPr>
          <w:b/>
          <w:bCs/>
        </w:rPr>
        <w:lastRenderedPageBreak/>
        <w:t>Abstract</w:t>
      </w:r>
    </w:p>
    <w:p w:rsidR="00EC103C" w:rsidRPr="00976543" w:rsidRDefault="00EC103C" w:rsidP="00EC103C">
      <w:pPr>
        <w:pStyle w:val="Default"/>
      </w:pPr>
    </w:p>
    <w:p w:rsidR="00EC103C" w:rsidRDefault="00EC103C" w:rsidP="00EC103C">
      <w:pPr>
        <w:tabs>
          <w:tab w:val="left" w:pos="426"/>
        </w:tabs>
        <w:spacing w:after="0"/>
        <w:jc w:val="both"/>
        <w:rPr>
          <w:rFonts w:ascii="Times New Roman" w:hAnsi="Times New Roman" w:cs="Times New Roman"/>
          <w:sz w:val="24"/>
          <w:szCs w:val="24"/>
        </w:rPr>
      </w:pPr>
      <w:r w:rsidRPr="002B1D90">
        <w:rPr>
          <w:rFonts w:ascii="Times New Roman" w:hAnsi="Times New Roman" w:cs="Times New Roman"/>
          <w:sz w:val="24"/>
          <w:szCs w:val="24"/>
        </w:rPr>
        <w:t xml:space="preserve">Brain drain has long been </w:t>
      </w:r>
      <w:r>
        <w:rPr>
          <w:rFonts w:ascii="Times New Roman" w:hAnsi="Times New Roman" w:cs="Times New Roman"/>
          <w:sz w:val="24"/>
          <w:szCs w:val="24"/>
        </w:rPr>
        <w:t>a</w:t>
      </w:r>
      <w:r w:rsidRPr="002B1D90">
        <w:rPr>
          <w:rFonts w:ascii="Times New Roman" w:hAnsi="Times New Roman" w:cs="Times New Roman"/>
          <w:sz w:val="24"/>
          <w:szCs w:val="24"/>
        </w:rPr>
        <w:t xml:space="preserve"> common concern</w:t>
      </w:r>
      <w:r>
        <w:rPr>
          <w:rFonts w:ascii="Times New Roman" w:hAnsi="Times New Roman" w:cs="Times New Roman"/>
          <w:sz w:val="24"/>
          <w:szCs w:val="24"/>
        </w:rPr>
        <w:t xml:space="preserve"> for</w:t>
      </w:r>
      <w:r w:rsidRPr="002B1D90">
        <w:rPr>
          <w:rFonts w:ascii="Times New Roman" w:hAnsi="Times New Roman" w:cs="Times New Roman"/>
          <w:sz w:val="24"/>
          <w:szCs w:val="24"/>
        </w:rPr>
        <w:t xml:space="preserve"> </w:t>
      </w:r>
      <w:r>
        <w:rPr>
          <w:rFonts w:ascii="Times New Roman" w:hAnsi="Times New Roman" w:cs="Times New Roman"/>
          <w:sz w:val="24"/>
          <w:szCs w:val="24"/>
        </w:rPr>
        <w:t>migrant-sending</w:t>
      </w:r>
      <w:r w:rsidRPr="002B1D90">
        <w:rPr>
          <w:rFonts w:ascii="Times New Roman" w:hAnsi="Times New Roman" w:cs="Times New Roman"/>
          <w:sz w:val="24"/>
          <w:szCs w:val="24"/>
        </w:rPr>
        <w:t xml:space="preserve"> countries, particularly for small countries where high-skilled emigration rates are highest. However, while economic theory suggests a number of possible benefits, in addition to costs, from skilled emigration, the evidence base on many of these is very limited</w:t>
      </w:r>
      <w:r>
        <w:rPr>
          <w:rFonts w:ascii="Times New Roman" w:hAnsi="Times New Roman" w:cs="Times New Roman"/>
          <w:sz w:val="24"/>
          <w:szCs w:val="24"/>
        </w:rPr>
        <w:t xml:space="preserve">. Moreover, the lessons from case studies of benefits to China and India from skilled emigration may not be relevant to </w:t>
      </w:r>
      <w:r w:rsidRPr="002B1D90">
        <w:rPr>
          <w:rFonts w:ascii="Times New Roman" w:hAnsi="Times New Roman" w:cs="Times New Roman"/>
          <w:sz w:val="24"/>
          <w:szCs w:val="24"/>
        </w:rPr>
        <w:t xml:space="preserve">much smaller countries. This paper presents </w:t>
      </w:r>
      <w:r>
        <w:rPr>
          <w:rFonts w:ascii="Times New Roman" w:hAnsi="Times New Roman" w:cs="Times New Roman"/>
          <w:sz w:val="24"/>
          <w:szCs w:val="24"/>
        </w:rPr>
        <w:t xml:space="preserve">the results of innovative surveys which tracked academic high-achievers from five countries to wherever they moved in the world in order to directly </w:t>
      </w:r>
      <w:r w:rsidRPr="002B1D90">
        <w:rPr>
          <w:rFonts w:ascii="Times New Roman" w:hAnsi="Times New Roman" w:cs="Times New Roman"/>
          <w:sz w:val="24"/>
          <w:szCs w:val="24"/>
        </w:rPr>
        <w:t>measur</w:t>
      </w:r>
      <w:r>
        <w:rPr>
          <w:rFonts w:ascii="Times New Roman" w:hAnsi="Times New Roman" w:cs="Times New Roman"/>
          <w:sz w:val="24"/>
          <w:szCs w:val="24"/>
        </w:rPr>
        <w:t>e</w:t>
      </w:r>
      <w:r w:rsidRPr="002B1D90">
        <w:rPr>
          <w:rFonts w:ascii="Times New Roman" w:hAnsi="Times New Roman" w:cs="Times New Roman"/>
          <w:sz w:val="24"/>
          <w:szCs w:val="24"/>
        </w:rPr>
        <w:t xml:space="preserve"> at the micro level </w:t>
      </w:r>
      <w:r>
        <w:rPr>
          <w:rFonts w:ascii="Times New Roman" w:hAnsi="Times New Roman" w:cs="Times New Roman"/>
          <w:sz w:val="24"/>
          <w:szCs w:val="24"/>
        </w:rPr>
        <w:t xml:space="preserve">the channels through which </w:t>
      </w:r>
      <w:r w:rsidRPr="002B1D90">
        <w:rPr>
          <w:rFonts w:ascii="Times New Roman" w:hAnsi="Times New Roman" w:cs="Times New Roman"/>
          <w:sz w:val="24"/>
          <w:szCs w:val="24"/>
        </w:rPr>
        <w:t>high-skilled emigration affects the sending country</w:t>
      </w:r>
      <w:r>
        <w:rPr>
          <w:rFonts w:ascii="Times New Roman" w:hAnsi="Times New Roman" w:cs="Times New Roman"/>
          <w:sz w:val="24"/>
          <w:szCs w:val="24"/>
        </w:rPr>
        <w:t>.</w:t>
      </w:r>
      <w:r w:rsidRPr="002B1D90">
        <w:rPr>
          <w:rFonts w:ascii="Times New Roman" w:hAnsi="Times New Roman" w:cs="Times New Roman"/>
          <w:sz w:val="24"/>
          <w:szCs w:val="24"/>
        </w:rPr>
        <w:t xml:space="preserve"> </w:t>
      </w:r>
      <w:r>
        <w:rPr>
          <w:rFonts w:ascii="Times New Roman" w:hAnsi="Times New Roman" w:cs="Times New Roman"/>
          <w:sz w:val="24"/>
          <w:szCs w:val="24"/>
        </w:rPr>
        <w:t xml:space="preserve">The results show that there are very high levels of emigration and of return migration among the very highly skilled; the income gains to the best and brightest from migrating are very large, and an order of magnitude or more greater than any other effect; there are large benefits from migration in terms of postgraduate education; most high-skilled migrants from poorer countries send remittances; but that involvement in trade and foreign direct investment is a rare occurrence. There is considerable knowledge flow from both current and return migrants about job and study opportunities abroad, but little net knowledge sharing from current migrants to home country governments or businesses. Finally, the fiscal costs vary considerably across countries, and depend on the extent to which governments rely on progressive income taxation. </w:t>
      </w:r>
    </w:p>
    <w:p w:rsidR="00EC103C" w:rsidRDefault="00EC103C" w:rsidP="00EC103C">
      <w:pPr>
        <w:pStyle w:val="Default"/>
      </w:pPr>
    </w:p>
    <w:p w:rsidR="00EC103C" w:rsidRPr="00976543" w:rsidRDefault="00EC103C" w:rsidP="00EC103C">
      <w:pPr>
        <w:pStyle w:val="Default"/>
      </w:pPr>
    </w:p>
    <w:p w:rsidR="00EC103C" w:rsidRPr="005F2CA6" w:rsidRDefault="00EC103C" w:rsidP="00EC103C">
      <w:pPr>
        <w:pStyle w:val="CM6"/>
        <w:spacing w:line="240" w:lineRule="auto"/>
        <w:jc w:val="center"/>
        <w:rPr>
          <w:b/>
          <w:bCs/>
        </w:rPr>
      </w:pPr>
      <w:r w:rsidRPr="005F2CA6">
        <w:rPr>
          <w:b/>
          <w:bCs/>
        </w:rPr>
        <w:t xml:space="preserve">Keywords </w:t>
      </w:r>
    </w:p>
    <w:p w:rsidR="00EC103C" w:rsidRPr="005F2CA6" w:rsidRDefault="00EC103C" w:rsidP="00EC103C">
      <w:pPr>
        <w:pStyle w:val="Default"/>
      </w:pPr>
    </w:p>
    <w:p w:rsidR="00EC103C" w:rsidRDefault="00EC103C" w:rsidP="00EC103C">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brain drain</w:t>
      </w:r>
    </w:p>
    <w:p w:rsidR="00EC103C" w:rsidRDefault="00EC103C" w:rsidP="00EC103C">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brain gain</w:t>
      </w:r>
    </w:p>
    <w:p w:rsidR="00EC103C" w:rsidRDefault="00EC103C" w:rsidP="00EC103C">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highly skilled migration</w:t>
      </w:r>
    </w:p>
    <w:p w:rsidR="00EC103C" w:rsidRPr="00976543" w:rsidRDefault="00EC103C" w:rsidP="00EC103C">
      <w:pPr>
        <w:pStyle w:val="CM7"/>
        <w:spacing w:line="240" w:lineRule="auto"/>
        <w:jc w:val="center"/>
        <w:rPr>
          <w:b/>
          <w:bCs/>
        </w:rPr>
      </w:pPr>
    </w:p>
    <w:p w:rsidR="00EC103C" w:rsidRPr="00976543" w:rsidRDefault="00EC103C" w:rsidP="00EC103C">
      <w:pPr>
        <w:pStyle w:val="CM7"/>
        <w:spacing w:line="240" w:lineRule="auto"/>
        <w:jc w:val="center"/>
        <w:rPr>
          <w:b/>
          <w:bCs/>
        </w:rPr>
      </w:pPr>
    </w:p>
    <w:p w:rsidR="00EC103C" w:rsidRDefault="00EC103C" w:rsidP="00EC103C">
      <w:pPr>
        <w:pStyle w:val="CM7"/>
        <w:spacing w:line="240" w:lineRule="auto"/>
        <w:jc w:val="center"/>
        <w:rPr>
          <w:b/>
          <w:bCs/>
        </w:rPr>
      </w:pPr>
      <w:r w:rsidRPr="00976543">
        <w:rPr>
          <w:b/>
          <w:bCs/>
        </w:rPr>
        <w:t>JEL Classification</w:t>
      </w:r>
    </w:p>
    <w:p w:rsidR="00EC103C" w:rsidRPr="00BE05B7" w:rsidRDefault="00EC103C" w:rsidP="00EC103C">
      <w:pPr>
        <w:pStyle w:val="Default"/>
        <w:rPr>
          <w:sz w:val="12"/>
          <w:szCs w:val="12"/>
        </w:rPr>
      </w:pPr>
    </w:p>
    <w:p w:rsidR="00EC103C" w:rsidRDefault="00EC103C" w:rsidP="00EC103C">
      <w:pPr>
        <w:pStyle w:val="PlainText"/>
        <w:tabs>
          <w:tab w:val="left" w:pos="426"/>
        </w:tabs>
        <w:spacing w:line="276" w:lineRule="auto"/>
        <w:jc w:val="center"/>
        <w:rPr>
          <w:rFonts w:ascii="Times New Roman" w:hAnsi="Times New Roman"/>
        </w:rPr>
      </w:pPr>
      <w:r w:rsidRPr="00976543">
        <w:rPr>
          <w:b/>
          <w:bCs/>
        </w:rPr>
        <w:t xml:space="preserve"> </w:t>
      </w:r>
      <w:r>
        <w:rPr>
          <w:rFonts w:ascii="Times New Roman" w:hAnsi="Times New Roman"/>
          <w:sz w:val="24"/>
          <w:szCs w:val="24"/>
        </w:rPr>
        <w:t>O15, F22, J61</w:t>
      </w:r>
    </w:p>
    <w:p w:rsidR="00EC103C" w:rsidRPr="00BE05B7" w:rsidRDefault="00EC103C" w:rsidP="00EC103C">
      <w:pPr>
        <w:pStyle w:val="CM7"/>
        <w:spacing w:line="240" w:lineRule="auto"/>
        <w:jc w:val="center"/>
      </w:pPr>
    </w:p>
    <w:p w:rsidR="00EC103C" w:rsidRDefault="00EC103C" w:rsidP="00EC103C">
      <w:pPr>
        <w:pStyle w:val="Default"/>
      </w:pPr>
    </w:p>
    <w:p w:rsidR="00EC103C" w:rsidRDefault="00EC103C" w:rsidP="00EC103C">
      <w:pPr>
        <w:pStyle w:val="NormalWeb"/>
        <w:keepNext/>
        <w:tabs>
          <w:tab w:val="left" w:pos="426"/>
        </w:tabs>
        <w:spacing w:before="0" w:beforeAutospacing="0" w:after="200" w:afterAutospacing="0" w:line="276" w:lineRule="auto"/>
        <w:jc w:val="center"/>
        <w:rPr>
          <w:b/>
          <w:sz w:val="22"/>
          <w:szCs w:val="22"/>
        </w:rPr>
      </w:pPr>
      <w:r w:rsidRPr="002E0CF4">
        <w:rPr>
          <w:b/>
          <w:sz w:val="22"/>
          <w:szCs w:val="22"/>
        </w:rPr>
        <w:t>Acknowledgements</w:t>
      </w:r>
    </w:p>
    <w:p w:rsidR="00C32667" w:rsidRPr="00C32667" w:rsidRDefault="00C32667" w:rsidP="00C32667">
      <w:pPr>
        <w:pStyle w:val="FootnoteText"/>
        <w:jc w:val="both"/>
        <w:rPr>
          <w:rFonts w:ascii="Times New Roman" w:hAnsi="Times New Roman" w:cs="Times New Roman"/>
          <w:sz w:val="22"/>
          <w:szCs w:val="22"/>
        </w:rPr>
      </w:pPr>
      <w:r w:rsidRPr="00C32667">
        <w:rPr>
          <w:rFonts w:ascii="Times New Roman" w:hAnsi="Times New Roman" w:cs="Times New Roman"/>
          <w:sz w:val="22"/>
          <w:szCs w:val="22"/>
        </w:rPr>
        <w:t xml:space="preserve">We thank the World Bank’s Research Support Budget, the Knowledge for Change Trust fund, the Center for Global Development, and the Migration and Remittances for Development in Africa Multi-Donor Trust Fund (TF070761) for research funding for this project; Geua Boe-Gibson, ‘Alisi Katoanga, Caroline Kouassiaman, Innovations for Poverty Action, the Micronesian Seminar, the New Zealand Ministry of Education, the New Zealand Mathematical and Chemistry Olympiad Committees, Tanorama and various alumni groups for helping put together the sample frames and contacting the individuals in our survey; Xpatulator.com for providing the cost-of-living adjustment factors; Chris Hector, Melanie Morten and Cristina Tealdi for research assistance, and seminar audiences at  CGD, the </w:t>
      </w:r>
      <w:r w:rsidRPr="00C32667">
        <w:rPr>
          <w:rFonts w:ascii="Times New Roman" w:eastAsia="Calibri" w:hAnsi="Times New Roman" w:cs="Times New Roman"/>
          <w:sz w:val="22"/>
          <w:szCs w:val="22"/>
        </w:rPr>
        <w:t>Chianti Migration Conference</w:t>
      </w:r>
      <w:r w:rsidRPr="00C32667">
        <w:rPr>
          <w:rFonts w:ascii="Times New Roman" w:hAnsi="Times New Roman" w:cs="Times New Roman"/>
          <w:sz w:val="22"/>
          <w:szCs w:val="22"/>
        </w:rPr>
        <w:t>, CReAM, UCLA and the University of Otago for helpful comments. All views are of course those of the authors alone, and do not necessarily represent those of their employers or of the collaborating organizations.</w:t>
      </w:r>
    </w:p>
    <w:p w:rsidR="00EC103C" w:rsidRDefault="00EC103C">
      <w:pPr>
        <w:rPr>
          <w:rFonts w:ascii="Times New Roman" w:eastAsia="SimSun" w:hAnsi="Times New Roman" w:cs="Times New Roman"/>
          <w:b/>
          <w:lang w:val="en-GB" w:eastAsia="en-GB"/>
        </w:rPr>
      </w:pPr>
      <w:r>
        <w:rPr>
          <w:b/>
        </w:rPr>
        <w:br w:type="page"/>
      </w:r>
    </w:p>
    <w:p w:rsidR="00572879" w:rsidRPr="00AE0B24" w:rsidRDefault="00572879" w:rsidP="00FD139B">
      <w:pPr>
        <w:pStyle w:val="ListParagraph"/>
        <w:numPr>
          <w:ilvl w:val="0"/>
          <w:numId w:val="4"/>
        </w:numPr>
        <w:tabs>
          <w:tab w:val="left" w:pos="426"/>
        </w:tabs>
        <w:spacing w:after="0"/>
        <w:ind w:left="284" w:hanging="284"/>
        <w:rPr>
          <w:rFonts w:ascii="Times New Roman" w:hAnsi="Times New Roman" w:cs="Times New Roman"/>
          <w:b/>
          <w:sz w:val="24"/>
          <w:szCs w:val="24"/>
        </w:rPr>
      </w:pPr>
      <w:r w:rsidRPr="00AE0B24">
        <w:rPr>
          <w:rFonts w:ascii="Times New Roman" w:hAnsi="Times New Roman" w:cs="Times New Roman"/>
          <w:b/>
          <w:sz w:val="24"/>
          <w:szCs w:val="24"/>
        </w:rPr>
        <w:lastRenderedPageBreak/>
        <w:t>Introduction</w:t>
      </w:r>
    </w:p>
    <w:p w:rsidR="00BF616F" w:rsidRPr="00BF616F" w:rsidRDefault="00BF616F" w:rsidP="00FD139B">
      <w:pPr>
        <w:tabs>
          <w:tab w:val="left" w:pos="426"/>
        </w:tabs>
        <w:spacing w:after="0"/>
        <w:contextualSpacing/>
        <w:jc w:val="both"/>
        <w:rPr>
          <w:rFonts w:ascii="Times New Roman" w:hAnsi="Times New Roman" w:cs="Times New Roman"/>
          <w:sz w:val="12"/>
          <w:szCs w:val="12"/>
        </w:rPr>
      </w:pPr>
    </w:p>
    <w:p w:rsidR="00AC553C" w:rsidRDefault="00AC553C" w:rsidP="00FD139B">
      <w:pPr>
        <w:tabs>
          <w:tab w:val="left" w:pos="426"/>
        </w:tabs>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Two narratives drive discussions of the development impact of high-skilled migration. The first is the idea of </w:t>
      </w:r>
      <w:r w:rsidR="00C210E6">
        <w:rPr>
          <w:rFonts w:ascii="Times New Roman" w:hAnsi="Times New Roman" w:cs="Times New Roman"/>
          <w:sz w:val="24"/>
          <w:szCs w:val="24"/>
        </w:rPr>
        <w:t xml:space="preserve">a </w:t>
      </w:r>
      <w:r>
        <w:rPr>
          <w:rFonts w:ascii="Times New Roman" w:hAnsi="Times New Roman" w:cs="Times New Roman"/>
          <w:sz w:val="24"/>
          <w:szCs w:val="24"/>
        </w:rPr>
        <w:t xml:space="preserve">brain drain, whereby the departure of doctors, teachers, engineers, scientists, and other highly skilled workers decimates the human capital </w:t>
      </w:r>
      <w:r w:rsidR="002B3A30">
        <w:rPr>
          <w:rFonts w:ascii="Times New Roman" w:hAnsi="Times New Roman" w:cs="Times New Roman"/>
          <w:sz w:val="24"/>
          <w:szCs w:val="24"/>
        </w:rPr>
        <w:t xml:space="preserve">and fiscal revenues </w:t>
      </w:r>
      <w:r>
        <w:rPr>
          <w:rFonts w:ascii="Times New Roman" w:hAnsi="Times New Roman" w:cs="Times New Roman"/>
          <w:sz w:val="24"/>
          <w:szCs w:val="24"/>
        </w:rPr>
        <w:t>of sending countries</w:t>
      </w:r>
      <w:r w:rsidR="00C210E6">
        <w:rPr>
          <w:rFonts w:ascii="Times New Roman" w:hAnsi="Times New Roman" w:cs="Times New Roman"/>
          <w:sz w:val="24"/>
          <w:szCs w:val="24"/>
        </w:rPr>
        <w:t xml:space="preserve"> (Bhagwati and Hamada, 1974). Such fears lead to calls for policies to restrict the flow of highly skilled workers, such as demands that developed countries stop recruiting doctors from developing nations, and efforts by developing nations to restrict the ease of their highly skilled individuals migrating.</w:t>
      </w:r>
      <w:r w:rsidR="00C210E6">
        <w:rPr>
          <w:rStyle w:val="FootnoteReference"/>
          <w:rFonts w:ascii="Times New Roman" w:hAnsi="Times New Roman" w:cs="Times New Roman"/>
          <w:sz w:val="24"/>
          <w:szCs w:val="24"/>
        </w:rPr>
        <w:footnoteReference w:id="1"/>
      </w:r>
      <w:r w:rsidR="00C210E6">
        <w:rPr>
          <w:rFonts w:ascii="Times New Roman" w:hAnsi="Times New Roman" w:cs="Times New Roman"/>
          <w:sz w:val="24"/>
          <w:szCs w:val="24"/>
        </w:rPr>
        <w:t xml:space="preserve"> </w:t>
      </w:r>
      <w:r w:rsidR="00D51336">
        <w:rPr>
          <w:rFonts w:ascii="Times New Roman" w:hAnsi="Times New Roman" w:cs="Times New Roman"/>
          <w:sz w:val="24"/>
          <w:szCs w:val="24"/>
        </w:rPr>
        <w:t>C</w:t>
      </w:r>
      <w:r w:rsidR="00C210E6">
        <w:rPr>
          <w:rFonts w:ascii="Times New Roman" w:hAnsi="Times New Roman" w:cs="Times New Roman"/>
          <w:sz w:val="24"/>
          <w:szCs w:val="24"/>
        </w:rPr>
        <w:t>ontrasting with this is the view of a highly educated diaspora as a potent force for developing the local economy through remittances, trade, foreign direct investment</w:t>
      </w:r>
      <w:r w:rsidR="00CE7612">
        <w:rPr>
          <w:rFonts w:ascii="Times New Roman" w:hAnsi="Times New Roman" w:cs="Times New Roman"/>
          <w:sz w:val="24"/>
          <w:szCs w:val="24"/>
        </w:rPr>
        <w:t xml:space="preserve"> (FDI)</w:t>
      </w:r>
      <w:r w:rsidR="00C210E6">
        <w:rPr>
          <w:rFonts w:ascii="Times New Roman" w:hAnsi="Times New Roman" w:cs="Times New Roman"/>
          <w:sz w:val="24"/>
          <w:szCs w:val="24"/>
        </w:rPr>
        <w:t xml:space="preserve">, </w:t>
      </w:r>
      <w:r w:rsidR="002933F2">
        <w:rPr>
          <w:rFonts w:ascii="Times New Roman" w:hAnsi="Times New Roman" w:cs="Times New Roman"/>
          <w:sz w:val="24"/>
          <w:szCs w:val="24"/>
        </w:rPr>
        <w:t xml:space="preserve">and knowledge transfers, </w:t>
      </w:r>
      <w:r w:rsidR="00C210E6">
        <w:rPr>
          <w:rFonts w:ascii="Times New Roman" w:hAnsi="Times New Roman" w:cs="Times New Roman"/>
          <w:sz w:val="24"/>
          <w:szCs w:val="24"/>
        </w:rPr>
        <w:t>with the experience of India and China in setting up technology firms as a result of diaspora working in Sil</w:t>
      </w:r>
      <w:r w:rsidR="00FA5626">
        <w:rPr>
          <w:rFonts w:ascii="Times New Roman" w:hAnsi="Times New Roman" w:cs="Times New Roman"/>
          <w:sz w:val="24"/>
          <w:szCs w:val="24"/>
        </w:rPr>
        <w:t>icon Valley a prominent example</w:t>
      </w:r>
      <w:r w:rsidR="002B2A5D">
        <w:rPr>
          <w:rFonts w:ascii="Times New Roman" w:hAnsi="Times New Roman" w:cs="Times New Roman"/>
          <w:sz w:val="24"/>
          <w:szCs w:val="24"/>
        </w:rPr>
        <w:t xml:space="preserve"> (Saxeenian, 2002).</w:t>
      </w:r>
      <w:r w:rsidR="00C210E6">
        <w:rPr>
          <w:rFonts w:ascii="Times New Roman" w:hAnsi="Times New Roman" w:cs="Times New Roman"/>
          <w:sz w:val="24"/>
          <w:szCs w:val="24"/>
        </w:rPr>
        <w:t xml:space="preserve"> Economists have also emphasized that the possibility of migrating may spur human capital </w:t>
      </w:r>
      <w:r w:rsidR="001F2E69">
        <w:rPr>
          <w:rFonts w:ascii="Times New Roman" w:hAnsi="Times New Roman" w:cs="Times New Roman"/>
          <w:sz w:val="24"/>
          <w:szCs w:val="24"/>
        </w:rPr>
        <w:t>accumulation, potentially leading to a net increase in the education levels of those in the home country.</w:t>
      </w:r>
      <w:r w:rsidR="001F2E69">
        <w:rPr>
          <w:rStyle w:val="FootnoteReference"/>
          <w:rFonts w:ascii="Times New Roman" w:hAnsi="Times New Roman" w:cs="Times New Roman"/>
          <w:sz w:val="24"/>
          <w:szCs w:val="24"/>
        </w:rPr>
        <w:footnoteReference w:id="2"/>
      </w:r>
    </w:p>
    <w:p w:rsidR="00BF616F" w:rsidRDefault="00BF616F" w:rsidP="00FD139B">
      <w:pPr>
        <w:tabs>
          <w:tab w:val="left" w:pos="426"/>
        </w:tabs>
        <w:spacing w:after="0"/>
        <w:ind w:firstLine="360"/>
        <w:contextualSpacing/>
        <w:jc w:val="both"/>
        <w:rPr>
          <w:rFonts w:ascii="Times New Roman" w:hAnsi="Times New Roman" w:cs="Times New Roman"/>
          <w:sz w:val="24"/>
          <w:szCs w:val="24"/>
        </w:rPr>
      </w:pPr>
    </w:p>
    <w:p w:rsidR="004F0E61" w:rsidRDefault="004F0E61" w:rsidP="00FD139B">
      <w:pPr>
        <w:tabs>
          <w:tab w:val="left" w:pos="426"/>
        </w:tabs>
        <w:spacing w:after="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However, what is sorely lacking in such discussions is empirical evidence as to what the experience has been in practice for countries facing high rates of high-skilled emigration. </w:t>
      </w:r>
      <w:r w:rsidR="002B2A5D">
        <w:rPr>
          <w:rFonts w:ascii="Times New Roman" w:hAnsi="Times New Roman" w:cs="Times New Roman"/>
          <w:sz w:val="24"/>
          <w:szCs w:val="24"/>
        </w:rPr>
        <w:t xml:space="preserve">Recent large-scale data efforts have provided a much-improved evidence base with which to talk about the scale of high-skilled emigration (e.g. Docquier and Marfouk, 2004; Beine et al. 2007), </w:t>
      </w:r>
      <w:r w:rsidR="008A7B9E">
        <w:rPr>
          <w:rFonts w:ascii="Times New Roman" w:hAnsi="Times New Roman" w:cs="Times New Roman"/>
          <w:sz w:val="24"/>
          <w:szCs w:val="24"/>
        </w:rPr>
        <w:t xml:space="preserve">and in Gibson and McKenzie (2010) we have used data from </w:t>
      </w:r>
      <w:r w:rsidR="00D51336">
        <w:rPr>
          <w:rFonts w:ascii="Times New Roman" w:hAnsi="Times New Roman" w:cs="Times New Roman"/>
          <w:sz w:val="24"/>
          <w:szCs w:val="24"/>
        </w:rPr>
        <w:t xml:space="preserve">three island countries </w:t>
      </w:r>
      <w:r w:rsidR="008A7B9E">
        <w:rPr>
          <w:rFonts w:ascii="Times New Roman" w:hAnsi="Times New Roman" w:cs="Times New Roman"/>
          <w:sz w:val="24"/>
          <w:szCs w:val="24"/>
        </w:rPr>
        <w:t xml:space="preserve">to investigate the determinants of migration and return migration decisions </w:t>
      </w:r>
      <w:r w:rsidR="009937A5">
        <w:rPr>
          <w:rFonts w:ascii="Times New Roman" w:hAnsi="Times New Roman" w:cs="Times New Roman"/>
          <w:sz w:val="24"/>
          <w:szCs w:val="24"/>
        </w:rPr>
        <w:t>by</w:t>
      </w:r>
      <w:r w:rsidR="008A7B9E">
        <w:rPr>
          <w:rFonts w:ascii="Times New Roman" w:hAnsi="Times New Roman" w:cs="Times New Roman"/>
          <w:sz w:val="24"/>
          <w:szCs w:val="24"/>
        </w:rPr>
        <w:t xml:space="preserve"> the highly skilled. Yet</w:t>
      </w:r>
      <w:r w:rsidR="007814B3">
        <w:rPr>
          <w:rFonts w:ascii="Times New Roman" w:hAnsi="Times New Roman" w:cs="Times New Roman"/>
          <w:sz w:val="24"/>
          <w:szCs w:val="24"/>
        </w:rPr>
        <w:t xml:space="preserve"> </w:t>
      </w:r>
      <w:r w:rsidR="002B2A5D">
        <w:rPr>
          <w:rFonts w:ascii="Times New Roman" w:hAnsi="Times New Roman" w:cs="Times New Roman"/>
          <w:sz w:val="24"/>
          <w:szCs w:val="24"/>
        </w:rPr>
        <w:t xml:space="preserve">quantitative evidence as to the extent to which the many theoretical channels operate in practice </w:t>
      </w:r>
      <w:r w:rsidR="008A7B9E">
        <w:rPr>
          <w:rFonts w:ascii="Times New Roman" w:hAnsi="Times New Roman" w:cs="Times New Roman"/>
          <w:sz w:val="24"/>
          <w:szCs w:val="24"/>
        </w:rPr>
        <w:t xml:space="preserve">in determining the consequences of high-skilled emigration </w:t>
      </w:r>
      <w:r w:rsidR="002B2A5D">
        <w:rPr>
          <w:rFonts w:ascii="Times New Roman" w:hAnsi="Times New Roman" w:cs="Times New Roman"/>
          <w:sz w:val="24"/>
          <w:szCs w:val="24"/>
        </w:rPr>
        <w:t xml:space="preserve">is almost non-existent. </w:t>
      </w:r>
      <w:r w:rsidR="002933F2">
        <w:rPr>
          <w:rFonts w:ascii="Times New Roman" w:hAnsi="Times New Roman" w:cs="Times New Roman"/>
          <w:sz w:val="24"/>
          <w:szCs w:val="24"/>
        </w:rPr>
        <w:t xml:space="preserve">In particular, it is unclear whether it is </w:t>
      </w:r>
      <w:r w:rsidR="00CE7612">
        <w:rPr>
          <w:rFonts w:ascii="Times New Roman" w:hAnsi="Times New Roman" w:cs="Times New Roman"/>
          <w:sz w:val="24"/>
          <w:szCs w:val="24"/>
        </w:rPr>
        <w:t>common for highly-skilled emigrants from high migration countries to actually be engaging in knowledge transfers, trade, and FDI, or whether the experience of Chinese and Indian IT companies is so famous because it is the exception, not the rule. We also do not have empirical evidence as to what the size of the fiscal effect is, and how the magnitudes of these different channels compare to the size of the gains experienced by the migrants themselves.</w:t>
      </w:r>
      <w:r w:rsidR="00D51336">
        <w:rPr>
          <w:rStyle w:val="FootnoteReference"/>
          <w:rFonts w:ascii="Times New Roman" w:hAnsi="Times New Roman" w:cs="Times New Roman"/>
          <w:sz w:val="24"/>
          <w:szCs w:val="24"/>
        </w:rPr>
        <w:footnoteReference w:id="3"/>
      </w:r>
      <w:r w:rsidR="00CE7612">
        <w:rPr>
          <w:rFonts w:ascii="Times New Roman" w:hAnsi="Times New Roman" w:cs="Times New Roman"/>
          <w:sz w:val="24"/>
          <w:szCs w:val="24"/>
        </w:rPr>
        <w:t xml:space="preserve"> The purpose of this paper is to provide the first systematic empirical evidence on these issues.</w:t>
      </w:r>
    </w:p>
    <w:p w:rsidR="00CE7612" w:rsidRDefault="00BA5718" w:rsidP="00FD139B">
      <w:pPr>
        <w:tabs>
          <w:tab w:val="left" w:pos="426"/>
        </w:tabs>
        <w:spacing w:after="0"/>
        <w:ind w:firstLine="36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To do this we chose five countries which represent a range of the types of countries experiencing very high rates of high-skilled emigration. Tonga, and the Federated States of Micronesia (hereafter Micronesia), are small island states, which Beine et al. (2008) show to have the highest </w:t>
      </w:r>
      <w:r w:rsidR="00BF616F">
        <w:rPr>
          <w:rFonts w:ascii="Times New Roman" w:hAnsi="Times New Roman" w:cs="Times New Roman"/>
          <w:sz w:val="24"/>
          <w:szCs w:val="24"/>
        </w:rPr>
        <w:t>‘</w:t>
      </w:r>
      <w:r>
        <w:rPr>
          <w:rFonts w:ascii="Times New Roman" w:hAnsi="Times New Roman" w:cs="Times New Roman"/>
          <w:sz w:val="24"/>
          <w:szCs w:val="24"/>
        </w:rPr>
        <w:t>brain drain</w:t>
      </w:r>
      <w:r w:rsidR="00BF616F">
        <w:rPr>
          <w:rFonts w:ascii="Times New Roman" w:hAnsi="Times New Roman" w:cs="Times New Roman"/>
          <w:sz w:val="24"/>
          <w:szCs w:val="24"/>
        </w:rPr>
        <w:t>’</w:t>
      </w:r>
      <w:r>
        <w:rPr>
          <w:rFonts w:ascii="Times New Roman" w:hAnsi="Times New Roman" w:cs="Times New Roman"/>
          <w:sz w:val="24"/>
          <w:szCs w:val="24"/>
        </w:rPr>
        <w:t xml:space="preserve"> rates in the world.</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Papua New Guinea is a larger developing country in the Pacific with much lower overall levels of migration, but also a high brain drain rate. Ghana was chosen as one of the best-known examples of a sub-Saharan African country grappling with high brain drain, and New Zealand as the OECD country with the highest brain drain rate.</w:t>
      </w:r>
      <w:r w:rsidR="009B79C8">
        <w:rPr>
          <w:rFonts w:ascii="Times New Roman" w:hAnsi="Times New Roman" w:cs="Times New Roman"/>
          <w:sz w:val="24"/>
          <w:szCs w:val="24"/>
        </w:rPr>
        <w:t xml:space="preserve"> If we care about brain drain, it is precisely the experiences of countries like these, which have the highest rates, which should be informative, rather than the experiences of India and China, for which fewer than 5 percent of the tertiary educated population are living abroad.</w:t>
      </w:r>
    </w:p>
    <w:p w:rsidR="00BF616F" w:rsidRDefault="00BF616F" w:rsidP="00FD139B">
      <w:pPr>
        <w:tabs>
          <w:tab w:val="left" w:pos="426"/>
        </w:tabs>
        <w:spacing w:after="0"/>
        <w:ind w:firstLine="360"/>
        <w:contextualSpacing/>
        <w:jc w:val="both"/>
        <w:rPr>
          <w:rFonts w:ascii="Times New Roman" w:hAnsi="Times New Roman" w:cs="Times New Roman"/>
          <w:sz w:val="24"/>
          <w:szCs w:val="24"/>
        </w:rPr>
      </w:pPr>
    </w:p>
    <w:p w:rsidR="00B03F5A" w:rsidRDefault="009B79C8" w:rsidP="00FD139B">
      <w:pPr>
        <w:tabs>
          <w:tab w:val="left" w:pos="426"/>
        </w:tabs>
        <w:spacing w:after="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In each of these countries we pursue an innovative survey methodology, which consists of </w:t>
      </w:r>
      <w:r w:rsidR="00DD783B">
        <w:rPr>
          <w:rFonts w:ascii="Times New Roman" w:hAnsi="Times New Roman" w:cs="Times New Roman"/>
          <w:sz w:val="24"/>
          <w:szCs w:val="24"/>
        </w:rPr>
        <w:t>identifying a well-defined target sample frame of interest – individuals who were the top academic performers in the country at the time of their high school graduation – and then tracking down these individuals wherever they currently live in the world and</w:t>
      </w:r>
      <w:r w:rsidR="007D0DEF">
        <w:rPr>
          <w:rFonts w:ascii="Times New Roman" w:hAnsi="Times New Roman" w:cs="Times New Roman"/>
          <w:sz w:val="24"/>
          <w:szCs w:val="24"/>
        </w:rPr>
        <w:t xml:space="preserve"> surveying</w:t>
      </w:r>
      <w:r w:rsidR="00DD783B">
        <w:rPr>
          <w:rFonts w:ascii="Times New Roman" w:hAnsi="Times New Roman" w:cs="Times New Roman"/>
          <w:sz w:val="24"/>
          <w:szCs w:val="24"/>
        </w:rPr>
        <w:t xml:space="preserve"> them. </w:t>
      </w:r>
      <w:r w:rsidR="007D0DEF">
        <w:rPr>
          <w:rFonts w:ascii="Times New Roman" w:hAnsi="Times New Roman" w:cs="Times New Roman"/>
          <w:sz w:val="24"/>
          <w:szCs w:val="24"/>
        </w:rPr>
        <w:t xml:space="preserve">Altogether this involved collecting data on individuals living in 45 different countries, and asking them detailed questions about their migration and educational histories, and the channels through which they interact with their home countries while abroad. </w:t>
      </w:r>
      <w:r w:rsidR="003A4B80">
        <w:rPr>
          <w:rFonts w:ascii="Times New Roman" w:hAnsi="Times New Roman" w:cs="Times New Roman"/>
          <w:sz w:val="24"/>
          <w:szCs w:val="24"/>
        </w:rPr>
        <w:t xml:space="preserve">We then form counterfactuals for what these individuals would be doing at home through also surveying academically similar non-migrants and </w:t>
      </w:r>
      <w:r w:rsidR="009937A5">
        <w:rPr>
          <w:rFonts w:ascii="Times New Roman" w:hAnsi="Times New Roman" w:cs="Times New Roman"/>
          <w:sz w:val="24"/>
          <w:szCs w:val="24"/>
        </w:rPr>
        <w:t xml:space="preserve">return migrants, and </w:t>
      </w:r>
      <w:r w:rsidR="003A4B80">
        <w:rPr>
          <w:rFonts w:ascii="Times New Roman" w:hAnsi="Times New Roman" w:cs="Times New Roman"/>
          <w:sz w:val="24"/>
          <w:szCs w:val="24"/>
        </w:rPr>
        <w:t xml:space="preserve">through direct elicitation. </w:t>
      </w:r>
    </w:p>
    <w:p w:rsidR="00BF616F" w:rsidRDefault="00BF616F" w:rsidP="00FD139B">
      <w:pPr>
        <w:tabs>
          <w:tab w:val="left" w:pos="426"/>
        </w:tabs>
        <w:spacing w:after="0"/>
        <w:ind w:firstLine="360"/>
        <w:contextualSpacing/>
        <w:jc w:val="both"/>
        <w:rPr>
          <w:rFonts w:ascii="Times New Roman" w:hAnsi="Times New Roman" w:cs="Times New Roman"/>
          <w:sz w:val="24"/>
          <w:szCs w:val="24"/>
        </w:rPr>
      </w:pPr>
    </w:p>
    <w:p w:rsidR="009B79C8" w:rsidRDefault="00B03F5A" w:rsidP="00FD139B">
      <w:pPr>
        <w:tabs>
          <w:tab w:val="left" w:pos="426"/>
        </w:tabs>
        <w:spacing w:after="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Through this approach we are able to measure and quantify a number of the key economic effects of high-skilled emigration. We estimate that </w:t>
      </w:r>
      <w:r w:rsidR="00A23447">
        <w:rPr>
          <w:rFonts w:ascii="Times New Roman" w:hAnsi="Times New Roman" w:cs="Times New Roman"/>
          <w:sz w:val="24"/>
          <w:szCs w:val="24"/>
        </w:rPr>
        <w:t>the best and the brightest stand to gain $</w:t>
      </w:r>
      <w:r w:rsidR="00C85DEB">
        <w:rPr>
          <w:rFonts w:ascii="Times New Roman" w:hAnsi="Times New Roman" w:cs="Times New Roman"/>
          <w:sz w:val="24"/>
          <w:szCs w:val="24"/>
        </w:rPr>
        <w:t>40,000-75,000</w:t>
      </w:r>
      <w:r w:rsidR="001D1B4E">
        <w:rPr>
          <w:rStyle w:val="FootnoteReference"/>
          <w:rFonts w:ascii="Times New Roman" w:hAnsi="Times New Roman" w:cs="Times New Roman"/>
          <w:sz w:val="24"/>
          <w:szCs w:val="24"/>
        </w:rPr>
        <w:footnoteReference w:id="5"/>
      </w:r>
      <w:r w:rsidR="00C85DEB">
        <w:rPr>
          <w:rFonts w:ascii="Times New Roman" w:hAnsi="Times New Roman" w:cs="Times New Roman"/>
          <w:sz w:val="24"/>
          <w:szCs w:val="24"/>
        </w:rPr>
        <w:t xml:space="preserve"> per year from emigrating from these five countries. This gain to the migrants swamps by an order of magnitude any of the other measured impacts: annual remittances of $2,000-7,000, trade and foreign direct investment effects which are infrequent and at most of similar </w:t>
      </w:r>
      <w:r w:rsidR="00551B41">
        <w:rPr>
          <w:rFonts w:ascii="Times New Roman" w:hAnsi="Times New Roman" w:cs="Times New Roman"/>
          <w:sz w:val="24"/>
          <w:szCs w:val="24"/>
        </w:rPr>
        <w:t>gross value</w:t>
      </w:r>
      <w:r w:rsidR="00C85DEB">
        <w:rPr>
          <w:rFonts w:ascii="Times New Roman" w:hAnsi="Times New Roman" w:cs="Times New Roman"/>
          <w:sz w:val="24"/>
          <w:szCs w:val="24"/>
        </w:rPr>
        <w:t xml:space="preserve"> to remittances, and </w:t>
      </w:r>
      <w:r w:rsidR="00551B41">
        <w:rPr>
          <w:rFonts w:ascii="Times New Roman" w:hAnsi="Times New Roman" w:cs="Times New Roman"/>
          <w:sz w:val="24"/>
          <w:szCs w:val="24"/>
        </w:rPr>
        <w:t xml:space="preserve">annual </w:t>
      </w:r>
      <w:r w:rsidR="00C85DEB">
        <w:rPr>
          <w:rFonts w:ascii="Times New Roman" w:hAnsi="Times New Roman" w:cs="Times New Roman"/>
          <w:sz w:val="24"/>
          <w:szCs w:val="24"/>
        </w:rPr>
        <w:t>fiscal impacts which are at most $1</w:t>
      </w:r>
      <w:r w:rsidR="0063740C">
        <w:rPr>
          <w:rFonts w:ascii="Times New Roman" w:hAnsi="Times New Roman" w:cs="Times New Roman"/>
          <w:sz w:val="24"/>
          <w:szCs w:val="24"/>
        </w:rPr>
        <w:t>,</w:t>
      </w:r>
      <w:r w:rsidR="00C85DEB">
        <w:rPr>
          <w:rFonts w:ascii="Times New Roman" w:hAnsi="Times New Roman" w:cs="Times New Roman"/>
          <w:sz w:val="24"/>
          <w:szCs w:val="24"/>
        </w:rPr>
        <w:t>000 for Tonga and Micronesia, $6</w:t>
      </w:r>
      <w:r w:rsidR="0063740C">
        <w:rPr>
          <w:rFonts w:ascii="Times New Roman" w:hAnsi="Times New Roman" w:cs="Times New Roman"/>
          <w:sz w:val="24"/>
          <w:szCs w:val="24"/>
        </w:rPr>
        <w:t>,</w:t>
      </w:r>
      <w:r w:rsidR="00C85DEB">
        <w:rPr>
          <w:rFonts w:ascii="Times New Roman" w:hAnsi="Times New Roman" w:cs="Times New Roman"/>
          <w:sz w:val="24"/>
          <w:szCs w:val="24"/>
        </w:rPr>
        <w:t>000 for Ghana, $</w:t>
      </w:r>
      <w:r w:rsidR="0063740C">
        <w:rPr>
          <w:rFonts w:ascii="Times New Roman" w:hAnsi="Times New Roman" w:cs="Times New Roman"/>
          <w:sz w:val="24"/>
          <w:szCs w:val="24"/>
        </w:rPr>
        <w:t>10,</w:t>
      </w:r>
      <w:r w:rsidR="00C85DEB">
        <w:rPr>
          <w:rFonts w:ascii="Times New Roman" w:hAnsi="Times New Roman" w:cs="Times New Roman"/>
          <w:sz w:val="24"/>
          <w:szCs w:val="24"/>
        </w:rPr>
        <w:t xml:space="preserve">000 for New Zealand and $17,000 for Papua New Guinea. </w:t>
      </w:r>
      <w:r w:rsidR="00AB4EBC">
        <w:rPr>
          <w:rFonts w:ascii="Times New Roman" w:hAnsi="Times New Roman" w:cs="Times New Roman"/>
          <w:sz w:val="24"/>
          <w:szCs w:val="24"/>
        </w:rPr>
        <w:t xml:space="preserve">We also find migration to lead to large increases in human capital of the migrants; little evidence of net knowledge transfers to home governments or business, but significant provision of knowledge about study and work opportunities abroad by highly skilled emigrants. </w:t>
      </w:r>
      <w:r w:rsidR="00A27734">
        <w:rPr>
          <w:rFonts w:ascii="Times New Roman" w:hAnsi="Times New Roman" w:cs="Times New Roman"/>
          <w:sz w:val="24"/>
          <w:szCs w:val="24"/>
        </w:rPr>
        <w:t>Our assessment of the likely size of possible negative externalities from the absence of these individuals suggest</w:t>
      </w:r>
      <w:r w:rsidR="00FA5626">
        <w:rPr>
          <w:rFonts w:ascii="Times New Roman" w:hAnsi="Times New Roman" w:cs="Times New Roman"/>
          <w:sz w:val="24"/>
          <w:szCs w:val="24"/>
        </w:rPr>
        <w:t>s</w:t>
      </w:r>
      <w:r w:rsidR="00A27734">
        <w:rPr>
          <w:rFonts w:ascii="Times New Roman" w:hAnsi="Times New Roman" w:cs="Times New Roman"/>
          <w:sz w:val="24"/>
          <w:szCs w:val="24"/>
        </w:rPr>
        <w:t xml:space="preserve"> that such externalities are small relative to the magnitude of the benefits from emigration.</w:t>
      </w:r>
    </w:p>
    <w:p w:rsidR="00BF616F" w:rsidRDefault="00BF616F" w:rsidP="00FD139B">
      <w:pPr>
        <w:tabs>
          <w:tab w:val="left" w:pos="426"/>
        </w:tabs>
        <w:spacing w:after="0"/>
        <w:ind w:firstLine="360"/>
        <w:contextualSpacing/>
        <w:jc w:val="both"/>
        <w:rPr>
          <w:rFonts w:ascii="Times New Roman" w:hAnsi="Times New Roman" w:cs="Times New Roman"/>
          <w:sz w:val="24"/>
          <w:szCs w:val="24"/>
        </w:rPr>
      </w:pPr>
    </w:p>
    <w:p w:rsidR="008A7B9E" w:rsidRDefault="00C56EC8" w:rsidP="00FD139B">
      <w:pPr>
        <w:tabs>
          <w:tab w:val="left" w:pos="426"/>
        </w:tabs>
        <w:spacing w:after="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The remainder of the paper is structured as follows: Section 2 discusses our unique survey and the incidence of high-skilled emigration seen among the best and brightest, Section 3 estimates the impact of migration on the incomes and human capital of the highly-skilled, and </w:t>
      </w:r>
      <w:r>
        <w:rPr>
          <w:rFonts w:ascii="Times New Roman" w:hAnsi="Times New Roman" w:cs="Times New Roman"/>
          <w:sz w:val="24"/>
          <w:szCs w:val="24"/>
        </w:rPr>
        <w:lastRenderedPageBreak/>
        <w:t>Section 4 attempts to measure the value of impacts on trade, foreign direct investment, and fiscal balance, as well as to provide evidence on the extent of various knowledge transfers. Section 5 concludes.</w:t>
      </w:r>
    </w:p>
    <w:p w:rsidR="00BF616F" w:rsidRPr="006E2ECA" w:rsidRDefault="00BF616F" w:rsidP="00FD139B">
      <w:pPr>
        <w:tabs>
          <w:tab w:val="left" w:pos="426"/>
        </w:tabs>
        <w:spacing w:after="0"/>
        <w:ind w:firstLine="360"/>
        <w:contextualSpacing/>
        <w:jc w:val="both"/>
        <w:rPr>
          <w:rFonts w:ascii="Times New Roman" w:hAnsi="Times New Roman" w:cs="Times New Roman"/>
          <w:sz w:val="24"/>
          <w:szCs w:val="24"/>
        </w:rPr>
      </w:pPr>
    </w:p>
    <w:p w:rsidR="00572879" w:rsidRDefault="00572879" w:rsidP="00FD139B">
      <w:pPr>
        <w:pStyle w:val="ListParagraph"/>
        <w:numPr>
          <w:ilvl w:val="0"/>
          <w:numId w:val="4"/>
        </w:numPr>
        <w:tabs>
          <w:tab w:val="left" w:pos="426"/>
        </w:tabs>
        <w:spacing w:after="0"/>
        <w:ind w:left="0" w:firstLine="0"/>
        <w:jc w:val="both"/>
        <w:rPr>
          <w:rFonts w:ascii="Times New Roman" w:hAnsi="Times New Roman" w:cs="Times New Roman"/>
          <w:b/>
          <w:sz w:val="24"/>
          <w:szCs w:val="24"/>
        </w:rPr>
      </w:pPr>
      <w:r w:rsidRPr="00AE0B24">
        <w:rPr>
          <w:rFonts w:ascii="Times New Roman" w:hAnsi="Times New Roman" w:cs="Times New Roman"/>
          <w:b/>
          <w:sz w:val="24"/>
          <w:szCs w:val="24"/>
        </w:rPr>
        <w:t>Surveying the Best and Brightest</w:t>
      </w:r>
    </w:p>
    <w:p w:rsidR="00BF616F" w:rsidRPr="00BF616F" w:rsidRDefault="00BF616F" w:rsidP="00FD139B">
      <w:pPr>
        <w:pStyle w:val="ListParagraph"/>
        <w:tabs>
          <w:tab w:val="left" w:pos="426"/>
        </w:tabs>
        <w:spacing w:after="0"/>
        <w:ind w:left="0"/>
        <w:jc w:val="both"/>
        <w:rPr>
          <w:rFonts w:ascii="Times New Roman" w:hAnsi="Times New Roman" w:cs="Times New Roman"/>
          <w:b/>
          <w:sz w:val="12"/>
          <w:szCs w:val="12"/>
        </w:rPr>
      </w:pPr>
    </w:p>
    <w:p w:rsidR="009962A0" w:rsidRDefault="00D931CF" w:rsidP="00FD139B">
      <w:pPr>
        <w:tabs>
          <w:tab w:val="left" w:pos="426"/>
        </w:tabs>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The small existing microeconomic empirical literature on the brain drain has </w:t>
      </w:r>
      <w:r w:rsidR="00FD0F14">
        <w:rPr>
          <w:rFonts w:ascii="Times New Roman" w:hAnsi="Times New Roman" w:cs="Times New Roman"/>
          <w:sz w:val="24"/>
          <w:szCs w:val="24"/>
        </w:rPr>
        <w:t>generally focused</w:t>
      </w:r>
      <w:r>
        <w:rPr>
          <w:rFonts w:ascii="Times New Roman" w:hAnsi="Times New Roman" w:cs="Times New Roman"/>
          <w:sz w:val="24"/>
          <w:szCs w:val="24"/>
        </w:rPr>
        <w:t xml:space="preserve"> on individuals from a selected profession. For example, Hunter et al. (2009) consider Nobel </w:t>
      </w:r>
      <w:r w:rsidR="00E476F9">
        <w:rPr>
          <w:rFonts w:ascii="Times New Roman" w:hAnsi="Times New Roman" w:cs="Times New Roman"/>
          <w:sz w:val="24"/>
          <w:szCs w:val="24"/>
        </w:rPr>
        <w:t>Prize</w:t>
      </w:r>
      <w:r>
        <w:rPr>
          <w:rFonts w:ascii="Times New Roman" w:hAnsi="Times New Roman" w:cs="Times New Roman"/>
          <w:sz w:val="24"/>
          <w:szCs w:val="24"/>
        </w:rPr>
        <w:t xml:space="preserve"> winners and highly-cited scientists</w:t>
      </w:r>
      <w:r w:rsidR="00E25EE1">
        <w:rPr>
          <w:rFonts w:ascii="Times New Roman" w:hAnsi="Times New Roman" w:cs="Times New Roman"/>
          <w:sz w:val="24"/>
          <w:szCs w:val="24"/>
        </w:rPr>
        <w:t xml:space="preserve">, Ben-David (2007) Israeli economists, Clemens and Pettersson (2008) African health professionals, </w:t>
      </w:r>
      <w:r w:rsidR="00A44B5F">
        <w:rPr>
          <w:rFonts w:ascii="Times New Roman" w:hAnsi="Times New Roman" w:cs="Times New Roman"/>
          <w:sz w:val="24"/>
          <w:szCs w:val="24"/>
        </w:rPr>
        <w:t xml:space="preserve">Commander et al. (2004) doctors in the United Kingdom, </w:t>
      </w:r>
      <w:r w:rsidR="00A475C6">
        <w:rPr>
          <w:rFonts w:ascii="Times New Roman" w:hAnsi="Times New Roman" w:cs="Times New Roman"/>
          <w:sz w:val="24"/>
          <w:szCs w:val="24"/>
        </w:rPr>
        <w:t xml:space="preserve">and Constant and D’Agosto (2008) </w:t>
      </w:r>
      <w:r w:rsidR="00E25EE1">
        <w:rPr>
          <w:rFonts w:ascii="Times New Roman" w:hAnsi="Times New Roman" w:cs="Times New Roman"/>
          <w:sz w:val="24"/>
          <w:szCs w:val="24"/>
        </w:rPr>
        <w:t>Italian researchers and scientists abroad</w:t>
      </w:r>
      <w:r w:rsidR="00A475C6">
        <w:rPr>
          <w:rFonts w:ascii="Times New Roman" w:hAnsi="Times New Roman" w:cs="Times New Roman"/>
          <w:sz w:val="24"/>
          <w:szCs w:val="24"/>
        </w:rPr>
        <w:t xml:space="preserve">. </w:t>
      </w:r>
      <w:r w:rsidR="00E476F9">
        <w:rPr>
          <w:rFonts w:ascii="Times New Roman" w:hAnsi="Times New Roman" w:cs="Times New Roman"/>
          <w:sz w:val="24"/>
          <w:szCs w:val="24"/>
        </w:rPr>
        <w:t xml:space="preserve">However, </w:t>
      </w:r>
      <w:r w:rsidR="00822D2E">
        <w:rPr>
          <w:rFonts w:ascii="Times New Roman" w:hAnsi="Times New Roman" w:cs="Times New Roman"/>
          <w:sz w:val="24"/>
          <w:szCs w:val="24"/>
        </w:rPr>
        <w:t xml:space="preserve">in addition to these studies lacking detailed micro-data on the interactions migrants have with their home countries, </w:t>
      </w:r>
      <w:r w:rsidR="00E476F9">
        <w:rPr>
          <w:rFonts w:ascii="Times New Roman" w:hAnsi="Times New Roman" w:cs="Times New Roman"/>
          <w:sz w:val="24"/>
          <w:szCs w:val="24"/>
        </w:rPr>
        <w:t xml:space="preserve">there are several concerns with such occupation-specific studies when it comes to looking at the consequences of high-skilled migration. First, the initial decision to become a physician, scientist, economist, or other such occupation may be closely tied to the desire to migrate – with skill-selective criteria for immigration to many countries, high talent individuals who wish to emigrate may select the occupations that offer the best prospects for doing so, while similar individuals who do not wish to emigrate may choose other occupations. Second, training for the occupation may itself only occur through migration. This is particularly the case in small countries, which do not have Ph.D. programs or medical schools. Finally, whether or not individuals remain in an occupation may depend on whether they emigrate or not </w:t>
      </w:r>
      <w:r w:rsidR="00BF616F">
        <w:rPr>
          <w:rFonts w:ascii="Times New Roman" w:hAnsi="Times New Roman" w:cs="Times New Roman"/>
          <w:sz w:val="24"/>
          <w:szCs w:val="24"/>
        </w:rPr>
        <w:t>-</w:t>
      </w:r>
      <w:r w:rsidR="00E476F9">
        <w:rPr>
          <w:rFonts w:ascii="Times New Roman" w:hAnsi="Times New Roman" w:cs="Times New Roman"/>
          <w:sz w:val="24"/>
          <w:szCs w:val="24"/>
        </w:rPr>
        <w:t xml:space="preserve"> </w:t>
      </w:r>
      <w:r w:rsidR="000F5D33">
        <w:rPr>
          <w:rFonts w:ascii="Times New Roman" w:hAnsi="Times New Roman" w:cs="Times New Roman"/>
          <w:sz w:val="24"/>
          <w:szCs w:val="24"/>
        </w:rPr>
        <w:t xml:space="preserve">low-paid professionals who do not emigrate may move to more remunerative private sector jobs while </w:t>
      </w:r>
      <w:r w:rsidR="00433765">
        <w:rPr>
          <w:rFonts w:ascii="Times New Roman" w:hAnsi="Times New Roman" w:cs="Times New Roman"/>
          <w:sz w:val="24"/>
          <w:szCs w:val="24"/>
        </w:rPr>
        <w:t>emigrants may have trouble getting certified to work in their home country professions. For all these reasons it seems unlikely that the right counterfactual for a high-skilled individual abroad is someone in the same occupation in the home country.</w:t>
      </w:r>
    </w:p>
    <w:p w:rsidR="00BF616F" w:rsidRDefault="00BF616F" w:rsidP="00FD139B">
      <w:pPr>
        <w:tabs>
          <w:tab w:val="left" w:pos="426"/>
        </w:tabs>
        <w:spacing w:after="0"/>
        <w:contextualSpacing/>
        <w:jc w:val="both"/>
        <w:rPr>
          <w:rFonts w:ascii="Times New Roman" w:hAnsi="Times New Roman" w:cs="Times New Roman"/>
          <w:sz w:val="24"/>
          <w:szCs w:val="24"/>
        </w:rPr>
      </w:pPr>
    </w:p>
    <w:p w:rsidR="00F24FA0" w:rsidRDefault="00BF616F" w:rsidP="00FD139B">
      <w:pPr>
        <w:tabs>
          <w:tab w:val="left" w:pos="426"/>
        </w:tabs>
        <w:spacing w:after="0"/>
        <w:contextualSpacing/>
        <w:jc w:val="both"/>
        <w:rPr>
          <w:rFonts w:ascii="Times New Roman" w:hAnsi="Times New Roman" w:cs="Times New Roman"/>
          <w:b/>
          <w:sz w:val="24"/>
          <w:szCs w:val="24"/>
        </w:rPr>
      </w:pPr>
      <w:r>
        <w:rPr>
          <w:rFonts w:ascii="Times New Roman" w:hAnsi="Times New Roman" w:cs="Times New Roman"/>
          <w:b/>
          <w:sz w:val="24"/>
          <w:szCs w:val="24"/>
        </w:rPr>
        <w:t>2.1 Our M</w:t>
      </w:r>
      <w:r w:rsidR="00F24FA0">
        <w:rPr>
          <w:rFonts w:ascii="Times New Roman" w:hAnsi="Times New Roman" w:cs="Times New Roman"/>
          <w:b/>
          <w:sz w:val="24"/>
          <w:szCs w:val="24"/>
        </w:rPr>
        <w:t>ethodology</w:t>
      </w:r>
    </w:p>
    <w:p w:rsidR="00BF616F" w:rsidRPr="00BF616F" w:rsidRDefault="00BF616F" w:rsidP="00FD139B">
      <w:pPr>
        <w:tabs>
          <w:tab w:val="left" w:pos="426"/>
        </w:tabs>
        <w:spacing w:after="0"/>
        <w:contextualSpacing/>
        <w:jc w:val="both"/>
        <w:rPr>
          <w:rFonts w:ascii="Times New Roman" w:hAnsi="Times New Roman" w:cs="Times New Roman"/>
          <w:b/>
          <w:sz w:val="12"/>
          <w:szCs w:val="12"/>
        </w:rPr>
      </w:pPr>
    </w:p>
    <w:p w:rsidR="00240ED5" w:rsidRDefault="00240ED5" w:rsidP="00FD139B">
      <w:pPr>
        <w:tabs>
          <w:tab w:val="left" w:pos="426"/>
        </w:tabs>
        <w:spacing w:after="0"/>
        <w:contextualSpacing/>
        <w:jc w:val="both"/>
        <w:rPr>
          <w:rFonts w:ascii="Times New Roman" w:eastAsia="Times New Roman" w:hAnsi="Times New Roman" w:cs="Times New Roman"/>
          <w:sz w:val="24"/>
          <w:szCs w:val="24"/>
          <w:lang w:eastAsia="en-NZ"/>
        </w:rPr>
      </w:pPr>
      <w:r>
        <w:rPr>
          <w:rFonts w:ascii="Times New Roman" w:hAnsi="Times New Roman" w:cs="Times New Roman"/>
          <w:sz w:val="24"/>
          <w:szCs w:val="24"/>
        </w:rPr>
        <w:t xml:space="preserve">Instead, the methodology we propose is to define a target sample of interest that can be identified </w:t>
      </w:r>
      <w:r>
        <w:rPr>
          <w:rFonts w:ascii="Times New Roman" w:hAnsi="Times New Roman" w:cs="Times New Roman"/>
          <w:i/>
          <w:sz w:val="24"/>
          <w:szCs w:val="24"/>
        </w:rPr>
        <w:t>before</w:t>
      </w:r>
      <w:r>
        <w:rPr>
          <w:rFonts w:ascii="Times New Roman" w:hAnsi="Times New Roman" w:cs="Times New Roman"/>
          <w:sz w:val="24"/>
          <w:szCs w:val="24"/>
        </w:rPr>
        <w:t xml:space="preserve"> migration has occurred, and then to survey these individuals regardless of their subsequent emigration and occupational choices. In our case, we specify the target sample of interest as individuals who were the </w:t>
      </w:r>
      <w:r w:rsidR="00BF616F">
        <w:rPr>
          <w:rFonts w:ascii="Times New Roman" w:hAnsi="Times New Roman" w:cs="Times New Roman"/>
          <w:sz w:val="24"/>
          <w:szCs w:val="24"/>
        </w:rPr>
        <w:t>‘</w:t>
      </w:r>
      <w:r>
        <w:rPr>
          <w:rFonts w:ascii="Times New Roman" w:hAnsi="Times New Roman" w:cs="Times New Roman"/>
          <w:sz w:val="24"/>
          <w:szCs w:val="24"/>
        </w:rPr>
        <w:t>best and brightest</w:t>
      </w:r>
      <w:r w:rsidR="00BF616F">
        <w:rPr>
          <w:rFonts w:ascii="Times New Roman" w:hAnsi="Times New Roman" w:cs="Times New Roman"/>
          <w:sz w:val="24"/>
          <w:szCs w:val="24"/>
        </w:rPr>
        <w:t>’</w:t>
      </w:r>
      <w:r>
        <w:rPr>
          <w:rFonts w:ascii="Times New Roman" w:hAnsi="Times New Roman" w:cs="Times New Roman"/>
          <w:sz w:val="24"/>
          <w:szCs w:val="24"/>
        </w:rPr>
        <w:t xml:space="preserve"> in terms of their academic performance at the end of </w:t>
      </w:r>
      <w:r w:rsidR="004B5793">
        <w:rPr>
          <w:rFonts w:ascii="Times New Roman" w:hAnsi="Times New Roman" w:cs="Times New Roman"/>
          <w:sz w:val="24"/>
          <w:szCs w:val="24"/>
        </w:rPr>
        <w:t>high</w:t>
      </w:r>
      <w:r>
        <w:rPr>
          <w:rFonts w:ascii="Times New Roman" w:hAnsi="Times New Roman" w:cs="Times New Roman"/>
          <w:sz w:val="24"/>
          <w:szCs w:val="24"/>
        </w:rPr>
        <w:t xml:space="preserve"> school in their home countries. This can be objectively measured in terms of top performance in national examinations, or in terms of being </w:t>
      </w:r>
      <w:r w:rsidR="004B5793">
        <w:rPr>
          <w:rFonts w:ascii="Times New Roman" w:hAnsi="Times New Roman" w:cs="Times New Roman"/>
          <w:sz w:val="24"/>
          <w:szCs w:val="24"/>
        </w:rPr>
        <w:t xml:space="preserve">named as one of the top academic performers in the school such as a valedictorian or Dux, salutatorian or </w:t>
      </w:r>
      <w:r w:rsidR="004B5793" w:rsidRPr="00BF616F">
        <w:rPr>
          <w:rFonts w:ascii="Times New Roman" w:hAnsi="Times New Roman" w:cs="Times New Roman"/>
          <w:i/>
          <w:sz w:val="24"/>
          <w:szCs w:val="24"/>
        </w:rPr>
        <w:t>proxime accesit</w:t>
      </w:r>
      <w:r w:rsidR="004B5793">
        <w:rPr>
          <w:rFonts w:ascii="Times New Roman" w:hAnsi="Times New Roman" w:cs="Times New Roman"/>
          <w:sz w:val="24"/>
          <w:szCs w:val="24"/>
        </w:rPr>
        <w:t xml:space="preserve">. Moreover, it can be measured ex post, </w:t>
      </w:r>
      <w:r w:rsidR="00D51336">
        <w:rPr>
          <w:rFonts w:ascii="Times New Roman" w:hAnsi="Times New Roman" w:cs="Times New Roman"/>
          <w:sz w:val="24"/>
          <w:szCs w:val="24"/>
        </w:rPr>
        <w:t xml:space="preserve">with the </w:t>
      </w:r>
      <w:r w:rsidR="004B5793">
        <w:rPr>
          <w:rFonts w:ascii="Times New Roman" w:hAnsi="Times New Roman" w:cs="Times New Roman"/>
          <w:sz w:val="24"/>
          <w:szCs w:val="24"/>
        </w:rPr>
        <w:t>target sample the</w:t>
      </w:r>
      <w:r w:rsidR="00D51336">
        <w:rPr>
          <w:rFonts w:ascii="Times New Roman" w:hAnsi="Times New Roman" w:cs="Times New Roman"/>
          <w:sz w:val="24"/>
          <w:szCs w:val="24"/>
        </w:rPr>
        <w:t>n set as</w:t>
      </w:r>
      <w:r w:rsidR="004B5793">
        <w:rPr>
          <w:rFonts w:ascii="Times New Roman" w:hAnsi="Times New Roman" w:cs="Times New Roman"/>
          <w:sz w:val="24"/>
          <w:szCs w:val="24"/>
        </w:rPr>
        <w:t xml:space="preserve"> individuals who were top of their high school classes </w:t>
      </w:r>
      <w:r w:rsidR="00D51336">
        <w:rPr>
          <w:rFonts w:ascii="Times New Roman" w:hAnsi="Times New Roman" w:cs="Times New Roman"/>
          <w:sz w:val="24"/>
          <w:szCs w:val="24"/>
        </w:rPr>
        <w:t xml:space="preserve">in earlier years who are </w:t>
      </w:r>
      <w:r w:rsidR="00AE0E0A">
        <w:rPr>
          <w:rFonts w:ascii="Times New Roman" w:hAnsi="Times New Roman" w:cs="Times New Roman"/>
          <w:sz w:val="24"/>
          <w:szCs w:val="24"/>
        </w:rPr>
        <w:t>survey</w:t>
      </w:r>
      <w:r w:rsidR="00D51336">
        <w:rPr>
          <w:rFonts w:ascii="Times New Roman" w:hAnsi="Times New Roman" w:cs="Times New Roman"/>
          <w:sz w:val="24"/>
          <w:szCs w:val="24"/>
        </w:rPr>
        <w:t>ed</w:t>
      </w:r>
      <w:r w:rsidR="00AE0E0A">
        <w:rPr>
          <w:rFonts w:ascii="Times New Roman" w:hAnsi="Times New Roman" w:cs="Times New Roman"/>
          <w:sz w:val="24"/>
          <w:szCs w:val="24"/>
        </w:rPr>
        <w:t xml:space="preserve"> </w:t>
      </w:r>
      <w:r w:rsidR="00D51336">
        <w:rPr>
          <w:rFonts w:ascii="Times New Roman" w:hAnsi="Times New Roman" w:cs="Times New Roman"/>
          <w:sz w:val="24"/>
          <w:szCs w:val="24"/>
        </w:rPr>
        <w:t>in the present</w:t>
      </w:r>
      <w:r w:rsidR="004B5793">
        <w:rPr>
          <w:rFonts w:ascii="Times New Roman" w:hAnsi="Times New Roman" w:cs="Times New Roman"/>
          <w:sz w:val="24"/>
          <w:szCs w:val="24"/>
        </w:rPr>
        <w:t xml:space="preserve">. </w:t>
      </w:r>
      <w:r w:rsidR="00B21885">
        <w:rPr>
          <w:rFonts w:ascii="Times New Roman" w:hAnsi="Times New Roman" w:cs="Times New Roman"/>
          <w:sz w:val="24"/>
          <w:szCs w:val="24"/>
        </w:rPr>
        <w:t xml:space="preserve">In our application below, </w:t>
      </w:r>
      <w:r w:rsidR="00822D2E">
        <w:rPr>
          <w:rFonts w:ascii="Times New Roman" w:hAnsi="Times New Roman" w:cs="Times New Roman"/>
          <w:sz w:val="24"/>
          <w:szCs w:val="24"/>
        </w:rPr>
        <w:t xml:space="preserve">we </w:t>
      </w:r>
      <w:r w:rsidR="00B21885" w:rsidRPr="00963AFC">
        <w:rPr>
          <w:rFonts w:ascii="Times New Roman" w:eastAsia="Times New Roman" w:hAnsi="Times New Roman" w:cs="Times New Roman"/>
          <w:sz w:val="24"/>
          <w:szCs w:val="24"/>
          <w:lang w:eastAsia="en-NZ"/>
        </w:rPr>
        <w:t>focus on students graduating high school between 1976 and 2004</w:t>
      </w:r>
      <w:r w:rsidR="00B21885">
        <w:rPr>
          <w:rFonts w:ascii="Times New Roman" w:eastAsia="Times New Roman" w:hAnsi="Times New Roman" w:cs="Times New Roman"/>
          <w:sz w:val="24"/>
          <w:szCs w:val="24"/>
          <w:lang w:eastAsia="en-NZ"/>
        </w:rPr>
        <w:t xml:space="preserve">, which gives a compromise between the better records on </w:t>
      </w:r>
      <w:r w:rsidR="00B21885" w:rsidRPr="00963AFC">
        <w:rPr>
          <w:rFonts w:ascii="Times New Roman" w:eastAsia="Times New Roman" w:hAnsi="Times New Roman" w:cs="Times New Roman"/>
          <w:sz w:val="24"/>
          <w:szCs w:val="24"/>
          <w:lang w:eastAsia="en-NZ"/>
        </w:rPr>
        <w:t>more recent students</w:t>
      </w:r>
      <w:r w:rsidR="00B21885">
        <w:rPr>
          <w:rFonts w:ascii="Times New Roman" w:eastAsia="Times New Roman" w:hAnsi="Times New Roman" w:cs="Times New Roman"/>
          <w:sz w:val="24"/>
          <w:szCs w:val="24"/>
          <w:lang w:eastAsia="en-NZ"/>
        </w:rPr>
        <w:t xml:space="preserve"> and the longer work histories for earlier students.</w:t>
      </w:r>
    </w:p>
    <w:p w:rsidR="00BF616F" w:rsidRDefault="00BF616F" w:rsidP="00FD139B">
      <w:pPr>
        <w:tabs>
          <w:tab w:val="left" w:pos="426"/>
        </w:tabs>
        <w:spacing w:after="0"/>
        <w:contextualSpacing/>
        <w:jc w:val="both"/>
        <w:rPr>
          <w:rFonts w:ascii="Times New Roman" w:hAnsi="Times New Roman" w:cs="Times New Roman"/>
          <w:sz w:val="24"/>
          <w:szCs w:val="24"/>
        </w:rPr>
      </w:pPr>
    </w:p>
    <w:p w:rsidR="004B5793" w:rsidRDefault="00F107C6" w:rsidP="00FD139B">
      <w:pPr>
        <w:tabs>
          <w:tab w:val="left" w:pos="426"/>
        </w:tabs>
        <w:spacing w:after="0"/>
        <w:ind w:firstLine="360"/>
        <w:contextualSpacing/>
        <w:jc w:val="both"/>
        <w:rPr>
          <w:rFonts w:ascii="Times New Roman" w:hAnsi="Times New Roman" w:cs="Times New Roman"/>
          <w:sz w:val="24"/>
          <w:szCs w:val="24"/>
        </w:rPr>
      </w:pPr>
      <w:r>
        <w:rPr>
          <w:rFonts w:ascii="Times New Roman" w:hAnsi="Times New Roman" w:cs="Times New Roman"/>
          <w:sz w:val="24"/>
          <w:szCs w:val="24"/>
        </w:rPr>
        <w:t>We are not claiming that this is by any means the only population of interest for looking at the consequences of brain drain</w:t>
      </w:r>
      <w:r w:rsidR="00D51336">
        <w:rPr>
          <w:rFonts w:ascii="Times New Roman" w:hAnsi="Times New Roman" w:cs="Times New Roman"/>
          <w:sz w:val="24"/>
          <w:szCs w:val="24"/>
        </w:rPr>
        <w:t>.</w:t>
      </w:r>
      <w:r>
        <w:rPr>
          <w:rFonts w:ascii="Times New Roman" w:hAnsi="Times New Roman" w:cs="Times New Roman"/>
          <w:sz w:val="24"/>
          <w:szCs w:val="24"/>
        </w:rPr>
        <w:t xml:space="preserve"> </w:t>
      </w:r>
      <w:r w:rsidR="00D51336">
        <w:rPr>
          <w:rFonts w:ascii="Times New Roman" w:hAnsi="Times New Roman" w:cs="Times New Roman"/>
          <w:sz w:val="24"/>
          <w:szCs w:val="24"/>
        </w:rPr>
        <w:t xml:space="preserve">But </w:t>
      </w:r>
      <w:r>
        <w:rPr>
          <w:rFonts w:ascii="Times New Roman" w:hAnsi="Times New Roman" w:cs="Times New Roman"/>
          <w:sz w:val="24"/>
          <w:szCs w:val="24"/>
        </w:rPr>
        <w:t xml:space="preserve">it is one important subgroup of interest </w:t>
      </w:r>
      <w:r w:rsidR="00D51336">
        <w:rPr>
          <w:rFonts w:ascii="Times New Roman" w:hAnsi="Times New Roman" w:cs="Times New Roman"/>
          <w:sz w:val="24"/>
          <w:szCs w:val="24"/>
        </w:rPr>
        <w:t xml:space="preserve">- </w:t>
      </w:r>
      <w:r>
        <w:rPr>
          <w:rFonts w:ascii="Times New Roman" w:hAnsi="Times New Roman" w:cs="Times New Roman"/>
          <w:sz w:val="24"/>
          <w:szCs w:val="24"/>
        </w:rPr>
        <w:t xml:space="preserve">the academic high achievers. </w:t>
      </w:r>
      <w:r w:rsidR="00201CEC">
        <w:rPr>
          <w:rFonts w:ascii="Times New Roman" w:hAnsi="Times New Roman" w:cs="Times New Roman"/>
          <w:sz w:val="24"/>
          <w:szCs w:val="24"/>
        </w:rPr>
        <w:t xml:space="preserve">These individuals go onto work in many of the occupations that countries </w:t>
      </w:r>
      <w:r w:rsidR="00201CEC">
        <w:rPr>
          <w:rFonts w:ascii="Times New Roman" w:hAnsi="Times New Roman" w:cs="Times New Roman"/>
          <w:sz w:val="24"/>
          <w:szCs w:val="24"/>
        </w:rPr>
        <w:lastRenderedPageBreak/>
        <w:t xml:space="preserve">worry about in terms of brain drain: our sample contains individuals who have become doctors, engineers, computer scientists, academics, scientists, and business leaders. </w:t>
      </w:r>
      <w:r w:rsidR="00D51336">
        <w:rPr>
          <w:rFonts w:ascii="Times New Roman" w:hAnsi="Times New Roman" w:cs="Times New Roman"/>
          <w:sz w:val="24"/>
          <w:szCs w:val="24"/>
        </w:rPr>
        <w:t>These academic high achievers also go on to occupy a high earnings rank (for example, our average sample member is at the 93</w:t>
      </w:r>
      <w:r w:rsidR="009858D8" w:rsidRPr="009858D8">
        <w:rPr>
          <w:rFonts w:ascii="Times New Roman" w:hAnsi="Times New Roman" w:cs="Times New Roman"/>
          <w:sz w:val="24"/>
          <w:szCs w:val="24"/>
          <w:vertAlign w:val="superscript"/>
        </w:rPr>
        <w:t>rd</w:t>
      </w:r>
      <w:r w:rsidR="00D51336">
        <w:rPr>
          <w:rFonts w:ascii="Times New Roman" w:hAnsi="Times New Roman" w:cs="Times New Roman"/>
          <w:sz w:val="24"/>
          <w:szCs w:val="24"/>
        </w:rPr>
        <w:t xml:space="preserve"> percentile of the New Zealand earnings distribution)</w:t>
      </w:r>
      <w:r w:rsidR="00CC676C">
        <w:rPr>
          <w:rFonts w:ascii="Times New Roman" w:hAnsi="Times New Roman" w:cs="Times New Roman"/>
          <w:sz w:val="24"/>
          <w:szCs w:val="24"/>
        </w:rPr>
        <w:t>, highlighting</w:t>
      </w:r>
      <w:r w:rsidR="00D51336">
        <w:rPr>
          <w:rFonts w:ascii="Times New Roman" w:hAnsi="Times New Roman" w:cs="Times New Roman"/>
          <w:sz w:val="24"/>
          <w:szCs w:val="24"/>
        </w:rPr>
        <w:t xml:space="preserve"> the fiscal consequences of their mobility for countries with progressive income taxation. </w:t>
      </w:r>
      <w:r>
        <w:rPr>
          <w:rFonts w:ascii="Times New Roman" w:hAnsi="Times New Roman" w:cs="Times New Roman"/>
          <w:sz w:val="24"/>
          <w:szCs w:val="24"/>
        </w:rPr>
        <w:t xml:space="preserve">Moreover, it is </w:t>
      </w:r>
      <w:r w:rsidR="00201CEC">
        <w:rPr>
          <w:rFonts w:ascii="Times New Roman" w:hAnsi="Times New Roman" w:cs="Times New Roman"/>
          <w:sz w:val="24"/>
          <w:szCs w:val="24"/>
        </w:rPr>
        <w:t>a subgroup</w:t>
      </w:r>
      <w:r>
        <w:rPr>
          <w:rFonts w:ascii="Times New Roman" w:hAnsi="Times New Roman" w:cs="Times New Roman"/>
          <w:sz w:val="24"/>
          <w:szCs w:val="24"/>
        </w:rPr>
        <w:t xml:space="preserve"> whose composition is likely to be much less affected by desire to emigrate than studies focusing on a specific occupation</w:t>
      </w:r>
      <w:r w:rsidR="00201CEC">
        <w:rPr>
          <w:rFonts w:ascii="Times New Roman" w:hAnsi="Times New Roman" w:cs="Times New Roman"/>
          <w:sz w:val="24"/>
          <w:szCs w:val="24"/>
        </w:rPr>
        <w:t xml:space="preserve">. </w:t>
      </w:r>
    </w:p>
    <w:p w:rsidR="00BF616F" w:rsidRDefault="00BF616F" w:rsidP="00FD139B">
      <w:pPr>
        <w:tabs>
          <w:tab w:val="left" w:pos="426"/>
        </w:tabs>
        <w:spacing w:after="0"/>
        <w:ind w:firstLine="360"/>
        <w:contextualSpacing/>
        <w:jc w:val="both"/>
        <w:rPr>
          <w:rFonts w:ascii="Times New Roman" w:hAnsi="Times New Roman" w:cs="Times New Roman"/>
          <w:sz w:val="24"/>
          <w:szCs w:val="24"/>
        </w:rPr>
      </w:pPr>
    </w:p>
    <w:p w:rsidR="00B03F5A" w:rsidRDefault="00A23447" w:rsidP="00FD139B">
      <w:pPr>
        <w:tabs>
          <w:tab w:val="left" w:pos="426"/>
        </w:tabs>
        <w:spacing w:after="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Our focus on the best and brightest is also justified </w:t>
      </w:r>
      <w:r w:rsidR="00D504FB">
        <w:rPr>
          <w:rFonts w:ascii="Times New Roman" w:hAnsi="Times New Roman" w:cs="Times New Roman"/>
          <w:sz w:val="24"/>
          <w:szCs w:val="24"/>
        </w:rPr>
        <w:t xml:space="preserve">by the stress in </w:t>
      </w:r>
      <w:r>
        <w:rPr>
          <w:rFonts w:ascii="Times New Roman" w:hAnsi="Times New Roman" w:cs="Times New Roman"/>
          <w:sz w:val="24"/>
          <w:szCs w:val="24"/>
        </w:rPr>
        <w:t>the</w:t>
      </w:r>
      <w:r w:rsidR="00B03F5A" w:rsidRPr="00B03F5A">
        <w:rPr>
          <w:rFonts w:ascii="Times New Roman" w:hAnsi="Times New Roman" w:cs="Times New Roman"/>
          <w:sz w:val="24"/>
          <w:szCs w:val="24"/>
        </w:rPr>
        <w:t xml:space="preserve"> literature that it is likely to be the migration of the most skilled and tale</w:t>
      </w:r>
      <w:r w:rsidR="00FA5626">
        <w:rPr>
          <w:rFonts w:ascii="Times New Roman" w:hAnsi="Times New Roman" w:cs="Times New Roman"/>
          <w:sz w:val="24"/>
          <w:szCs w:val="24"/>
        </w:rPr>
        <w:t>nted individuals for which any</w:t>
      </w:r>
      <w:r w:rsidR="00B03F5A" w:rsidRPr="00B03F5A">
        <w:rPr>
          <w:rFonts w:ascii="Times New Roman" w:hAnsi="Times New Roman" w:cs="Times New Roman"/>
          <w:sz w:val="24"/>
          <w:szCs w:val="24"/>
        </w:rPr>
        <w:t xml:space="preserve"> negative effects are greatest. Kapur and McHale (2005, p. 97) write that </w:t>
      </w:r>
      <w:r w:rsidR="00BF616F">
        <w:rPr>
          <w:rFonts w:ascii="Times New Roman" w:hAnsi="Times New Roman" w:cs="Times New Roman"/>
          <w:sz w:val="24"/>
          <w:szCs w:val="24"/>
        </w:rPr>
        <w:t>‘</w:t>
      </w:r>
      <w:r w:rsidR="00B03F5A" w:rsidRPr="00B03F5A">
        <w:rPr>
          <w:rFonts w:ascii="Times New Roman" w:hAnsi="Times New Roman" w:cs="Times New Roman"/>
          <w:sz w:val="24"/>
          <w:szCs w:val="24"/>
        </w:rPr>
        <w:t>clearly people of exceptional talent have a highly nonlinear impact.</w:t>
      </w:r>
      <w:r w:rsidR="00BF616F">
        <w:rPr>
          <w:rFonts w:ascii="Times New Roman" w:hAnsi="Times New Roman" w:cs="Times New Roman"/>
          <w:sz w:val="24"/>
          <w:szCs w:val="24"/>
        </w:rPr>
        <w:t>’</w:t>
      </w:r>
      <w:r w:rsidR="00B03F5A" w:rsidRPr="00B03F5A">
        <w:rPr>
          <w:rFonts w:ascii="Times New Roman" w:hAnsi="Times New Roman" w:cs="Times New Roman"/>
          <w:sz w:val="24"/>
          <w:szCs w:val="24"/>
        </w:rPr>
        <w:t xml:space="preserve">. However, little empirical evidence is available on the migration of the </w:t>
      </w:r>
      <w:r w:rsidR="00BF616F">
        <w:rPr>
          <w:rFonts w:ascii="Times New Roman" w:hAnsi="Times New Roman" w:cs="Times New Roman"/>
          <w:sz w:val="24"/>
          <w:szCs w:val="24"/>
        </w:rPr>
        <w:t>‘</w:t>
      </w:r>
      <w:r w:rsidR="00B03F5A" w:rsidRPr="00B03F5A">
        <w:rPr>
          <w:rFonts w:ascii="Times New Roman" w:hAnsi="Times New Roman" w:cs="Times New Roman"/>
          <w:sz w:val="24"/>
          <w:szCs w:val="24"/>
        </w:rPr>
        <w:t>best and brightest</w:t>
      </w:r>
      <w:r w:rsidR="00BF616F">
        <w:rPr>
          <w:rFonts w:ascii="Times New Roman" w:hAnsi="Times New Roman" w:cs="Times New Roman"/>
          <w:sz w:val="24"/>
          <w:szCs w:val="24"/>
        </w:rPr>
        <w:t>’</w:t>
      </w:r>
      <w:r w:rsidR="00B03F5A" w:rsidRPr="00B03F5A">
        <w:rPr>
          <w:rFonts w:ascii="Times New Roman" w:hAnsi="Times New Roman" w:cs="Times New Roman"/>
          <w:sz w:val="24"/>
          <w:szCs w:val="24"/>
        </w:rPr>
        <w:t>. The only study which exists is a simple descriptive exercise which examines the emigration rates of graduate students of IIT Mumbai, one of India’s most prestigious tertiary institutions, in the 1970s, finding 31 percent settled abroad, compared to an estimated migration rate of 7.3 percent for engineers in the country as a whole (Sukhatme, 1994).</w:t>
      </w:r>
    </w:p>
    <w:p w:rsidR="00BF616F" w:rsidRPr="00240ED5" w:rsidRDefault="00BF616F" w:rsidP="00FD139B">
      <w:pPr>
        <w:tabs>
          <w:tab w:val="left" w:pos="426"/>
        </w:tabs>
        <w:spacing w:after="0"/>
        <w:ind w:firstLine="360"/>
        <w:contextualSpacing/>
        <w:jc w:val="both"/>
        <w:rPr>
          <w:rFonts w:ascii="Times New Roman" w:hAnsi="Times New Roman" w:cs="Times New Roman"/>
          <w:sz w:val="24"/>
          <w:szCs w:val="24"/>
        </w:rPr>
      </w:pPr>
    </w:p>
    <w:p w:rsidR="00433765" w:rsidRDefault="00BF616F" w:rsidP="00FD139B">
      <w:pPr>
        <w:tabs>
          <w:tab w:val="left" w:pos="426"/>
        </w:tabs>
        <w:spacing w:after="0"/>
        <w:contextualSpacing/>
        <w:jc w:val="both"/>
        <w:rPr>
          <w:rFonts w:ascii="Times New Roman" w:hAnsi="Times New Roman" w:cs="Times New Roman"/>
          <w:b/>
          <w:sz w:val="24"/>
          <w:szCs w:val="24"/>
        </w:rPr>
      </w:pPr>
      <w:r>
        <w:rPr>
          <w:rFonts w:ascii="Times New Roman" w:hAnsi="Times New Roman" w:cs="Times New Roman"/>
          <w:b/>
          <w:sz w:val="24"/>
          <w:szCs w:val="24"/>
        </w:rPr>
        <w:t>2.2 Country C</w:t>
      </w:r>
      <w:r w:rsidR="00F24FA0">
        <w:rPr>
          <w:rFonts w:ascii="Times New Roman" w:hAnsi="Times New Roman" w:cs="Times New Roman"/>
          <w:b/>
          <w:sz w:val="24"/>
          <w:szCs w:val="24"/>
        </w:rPr>
        <w:t>hoice</w:t>
      </w:r>
    </w:p>
    <w:p w:rsidR="00BF616F" w:rsidRPr="00BF616F" w:rsidRDefault="00BF616F" w:rsidP="00FD139B">
      <w:pPr>
        <w:tabs>
          <w:tab w:val="left" w:pos="426"/>
        </w:tabs>
        <w:spacing w:after="0"/>
        <w:contextualSpacing/>
        <w:jc w:val="both"/>
        <w:rPr>
          <w:rFonts w:ascii="Times New Roman" w:hAnsi="Times New Roman" w:cs="Times New Roman"/>
          <w:b/>
          <w:sz w:val="12"/>
          <w:szCs w:val="12"/>
        </w:rPr>
      </w:pPr>
    </w:p>
    <w:p w:rsidR="00AF40F3" w:rsidRDefault="00F6242C" w:rsidP="00FD139B">
      <w:pPr>
        <w:tabs>
          <w:tab w:val="left" w:pos="426"/>
        </w:tabs>
        <w:spacing w:after="0"/>
        <w:contextualSpacing/>
        <w:jc w:val="both"/>
        <w:rPr>
          <w:rFonts w:ascii="Times New Roman" w:hAnsi="Times New Roman" w:cs="Times New Roman"/>
          <w:sz w:val="24"/>
          <w:szCs w:val="24"/>
        </w:rPr>
      </w:pPr>
      <w:r>
        <w:rPr>
          <w:rFonts w:ascii="Times New Roman" w:hAnsi="Times New Roman" w:cs="Times New Roman"/>
          <w:sz w:val="24"/>
          <w:szCs w:val="24"/>
        </w:rPr>
        <w:t>Brain drain rates, as measured by the share of tertiary-educated individuals born in a given country who are living abroad, are highest in small states and a few sub-Saharan African countries (Beine et al. 2007, 2008), and it is in such places that concerns about the possible negative consequences of brain drain are most common. We therefore chose to focus our survey efforts in such countries. We began by choosing three developing countries in the Pacific</w:t>
      </w:r>
      <w:r w:rsidR="00AF40F3">
        <w:rPr>
          <w:rFonts w:ascii="Times New Roman" w:hAnsi="Times New Roman" w:cs="Times New Roman"/>
          <w:sz w:val="24"/>
          <w:szCs w:val="24"/>
        </w:rPr>
        <w:t xml:space="preserve"> – the Federated States of Micronesia, Papua New Guinea and Tonga</w:t>
      </w:r>
      <w:r>
        <w:rPr>
          <w:rFonts w:ascii="Times New Roman" w:hAnsi="Times New Roman" w:cs="Times New Roman"/>
          <w:sz w:val="24"/>
          <w:szCs w:val="24"/>
        </w:rPr>
        <w:t>, since the Pacific Islands are the region with the highest brain drain rate in the world (Docquier and Marfouk, 2005).</w:t>
      </w:r>
      <w:r w:rsidR="00D27AF6">
        <w:rPr>
          <w:rFonts w:ascii="Times New Roman" w:hAnsi="Times New Roman" w:cs="Times New Roman"/>
          <w:sz w:val="24"/>
          <w:szCs w:val="24"/>
        </w:rPr>
        <w:t xml:space="preserve"> We then also chose Ghana, which has one of the highest brain drain rates in sub-Saharan Africa and </w:t>
      </w:r>
      <w:r w:rsidR="00AF40F3">
        <w:rPr>
          <w:rFonts w:ascii="Times New Roman" w:hAnsi="Times New Roman" w:cs="Times New Roman"/>
          <w:sz w:val="24"/>
          <w:szCs w:val="24"/>
        </w:rPr>
        <w:t xml:space="preserve">which </w:t>
      </w:r>
      <w:r w:rsidR="00D27AF6">
        <w:rPr>
          <w:rFonts w:ascii="Times New Roman" w:hAnsi="Times New Roman" w:cs="Times New Roman"/>
          <w:sz w:val="24"/>
          <w:szCs w:val="24"/>
        </w:rPr>
        <w:t xml:space="preserve">has been </w:t>
      </w:r>
      <w:r w:rsidR="00AF40F3">
        <w:rPr>
          <w:rFonts w:ascii="Times New Roman" w:hAnsi="Times New Roman" w:cs="Times New Roman"/>
          <w:sz w:val="24"/>
          <w:szCs w:val="24"/>
        </w:rPr>
        <w:t xml:space="preserve">one of the countries most involved in discussions about medical brain drain. Finally, we chose New Zealand, which is the OECD country </w:t>
      </w:r>
      <w:r w:rsidR="00AF40F3" w:rsidRPr="00F26704">
        <w:rPr>
          <w:rFonts w:ascii="Times New Roman" w:hAnsi="Times New Roman" w:cs="Times New Roman"/>
          <w:sz w:val="24"/>
          <w:szCs w:val="24"/>
        </w:rPr>
        <w:t>with the highest tertiary brain drain rate. The population, G</w:t>
      </w:r>
      <w:r w:rsidR="00700A73" w:rsidRPr="00F26704">
        <w:rPr>
          <w:rFonts w:ascii="Times New Roman" w:hAnsi="Times New Roman" w:cs="Times New Roman"/>
          <w:sz w:val="24"/>
          <w:szCs w:val="24"/>
        </w:rPr>
        <w:t>NI</w:t>
      </w:r>
      <w:r w:rsidR="00AF40F3" w:rsidRPr="00F26704">
        <w:rPr>
          <w:rFonts w:ascii="Times New Roman" w:hAnsi="Times New Roman" w:cs="Times New Roman"/>
          <w:sz w:val="24"/>
          <w:szCs w:val="24"/>
        </w:rPr>
        <w:t xml:space="preserve"> per capita in </w:t>
      </w:r>
      <w:r w:rsidR="00700A73" w:rsidRPr="00F26704">
        <w:rPr>
          <w:rFonts w:ascii="Times New Roman" w:hAnsi="Times New Roman" w:cs="Times New Roman"/>
          <w:sz w:val="24"/>
          <w:szCs w:val="24"/>
        </w:rPr>
        <w:t>current US dollars</w:t>
      </w:r>
      <w:r w:rsidR="00AF40F3" w:rsidRPr="00F26704">
        <w:rPr>
          <w:rStyle w:val="FootnoteReference"/>
          <w:rFonts w:ascii="Times New Roman" w:hAnsi="Times New Roman" w:cs="Times New Roman"/>
          <w:sz w:val="24"/>
          <w:szCs w:val="24"/>
        </w:rPr>
        <w:footnoteReference w:id="6"/>
      </w:r>
      <w:r w:rsidR="00AF40F3" w:rsidRPr="00F26704">
        <w:rPr>
          <w:rFonts w:ascii="Times New Roman" w:hAnsi="Times New Roman" w:cs="Times New Roman"/>
          <w:sz w:val="24"/>
          <w:szCs w:val="24"/>
        </w:rPr>
        <w:t>, and brain drain rate in the year 2000 for those who entered the destination country after age 18 (Beine et al, 2007) are:</w:t>
      </w:r>
    </w:p>
    <w:p w:rsidR="00BF616F" w:rsidRPr="00F26704" w:rsidRDefault="00BF616F" w:rsidP="00FD139B">
      <w:pPr>
        <w:tabs>
          <w:tab w:val="left" w:pos="426"/>
        </w:tabs>
        <w:spacing w:after="0"/>
        <w:contextualSpacing/>
        <w:jc w:val="both"/>
        <w:rPr>
          <w:rFonts w:ascii="Times New Roman" w:hAnsi="Times New Roman" w:cs="Times New Roman"/>
          <w:sz w:val="24"/>
          <w:szCs w:val="24"/>
        </w:rPr>
      </w:pPr>
    </w:p>
    <w:p w:rsidR="00AF40F3" w:rsidRPr="00BF616F" w:rsidRDefault="00AF40F3" w:rsidP="00FD139B">
      <w:pPr>
        <w:pStyle w:val="ListParagraph"/>
        <w:numPr>
          <w:ilvl w:val="0"/>
          <w:numId w:val="3"/>
        </w:numPr>
        <w:tabs>
          <w:tab w:val="left" w:pos="284"/>
          <w:tab w:val="left" w:pos="426"/>
        </w:tabs>
        <w:spacing w:after="0"/>
        <w:ind w:left="284" w:hanging="284"/>
        <w:jc w:val="both"/>
        <w:rPr>
          <w:rFonts w:ascii="Times New Roman" w:hAnsi="Times New Roman" w:cs="Times New Roman"/>
          <w:sz w:val="24"/>
          <w:szCs w:val="24"/>
        </w:rPr>
      </w:pPr>
      <w:r w:rsidRPr="00BF616F">
        <w:rPr>
          <w:rFonts w:ascii="Times New Roman" w:hAnsi="Times New Roman" w:cs="Times New Roman"/>
          <w:sz w:val="24"/>
          <w:szCs w:val="24"/>
        </w:rPr>
        <w:t>Ghana: 23.</w:t>
      </w:r>
      <w:r w:rsidR="00700A73" w:rsidRPr="00BF616F">
        <w:rPr>
          <w:rFonts w:ascii="Times New Roman" w:hAnsi="Times New Roman" w:cs="Times New Roman"/>
          <w:sz w:val="24"/>
          <w:szCs w:val="24"/>
        </w:rPr>
        <w:t>4</w:t>
      </w:r>
      <w:r w:rsidRPr="00BF616F">
        <w:rPr>
          <w:rFonts w:ascii="Times New Roman" w:hAnsi="Times New Roman" w:cs="Times New Roman"/>
          <w:sz w:val="24"/>
          <w:szCs w:val="24"/>
        </w:rPr>
        <w:t xml:space="preserve"> million population, $</w:t>
      </w:r>
      <w:r w:rsidR="00700A73" w:rsidRPr="00BF616F">
        <w:rPr>
          <w:rFonts w:ascii="Times New Roman" w:hAnsi="Times New Roman" w:cs="Times New Roman"/>
          <w:sz w:val="24"/>
          <w:szCs w:val="24"/>
        </w:rPr>
        <w:t>US670</w:t>
      </w:r>
      <w:r w:rsidRPr="00BF616F">
        <w:rPr>
          <w:rFonts w:ascii="Times New Roman" w:hAnsi="Times New Roman" w:cs="Times New Roman"/>
          <w:sz w:val="24"/>
          <w:szCs w:val="24"/>
        </w:rPr>
        <w:t xml:space="preserve"> </w:t>
      </w:r>
      <w:r w:rsidR="00F26704" w:rsidRPr="00BF616F">
        <w:rPr>
          <w:rFonts w:ascii="Times New Roman" w:hAnsi="Times New Roman" w:cs="Times New Roman"/>
          <w:sz w:val="24"/>
          <w:szCs w:val="24"/>
        </w:rPr>
        <w:t xml:space="preserve">GNI </w:t>
      </w:r>
      <w:r w:rsidRPr="00BF616F">
        <w:rPr>
          <w:rFonts w:ascii="Times New Roman" w:hAnsi="Times New Roman" w:cs="Times New Roman"/>
          <w:sz w:val="24"/>
          <w:szCs w:val="24"/>
        </w:rPr>
        <w:t>per capita, 44.9% brain drain rate</w:t>
      </w:r>
    </w:p>
    <w:p w:rsidR="00AF40F3" w:rsidRPr="00BF616F" w:rsidRDefault="00AF40F3" w:rsidP="00FD139B">
      <w:pPr>
        <w:pStyle w:val="ListParagraph"/>
        <w:numPr>
          <w:ilvl w:val="0"/>
          <w:numId w:val="3"/>
        </w:numPr>
        <w:tabs>
          <w:tab w:val="left" w:pos="284"/>
          <w:tab w:val="left" w:pos="426"/>
        </w:tabs>
        <w:spacing w:after="0"/>
        <w:ind w:left="284" w:hanging="284"/>
        <w:jc w:val="both"/>
        <w:rPr>
          <w:rFonts w:ascii="Times New Roman" w:hAnsi="Times New Roman" w:cs="Times New Roman"/>
          <w:sz w:val="24"/>
          <w:szCs w:val="24"/>
        </w:rPr>
      </w:pPr>
      <w:r w:rsidRPr="00BF616F">
        <w:rPr>
          <w:rFonts w:ascii="Times New Roman" w:hAnsi="Times New Roman" w:cs="Times New Roman"/>
          <w:sz w:val="24"/>
          <w:szCs w:val="24"/>
        </w:rPr>
        <w:t>Federated States of Micronesia: 107,000 population, $</w:t>
      </w:r>
      <w:r w:rsidR="00700A73" w:rsidRPr="00BF616F">
        <w:rPr>
          <w:rFonts w:ascii="Times New Roman" w:hAnsi="Times New Roman" w:cs="Times New Roman"/>
          <w:sz w:val="24"/>
          <w:szCs w:val="24"/>
        </w:rPr>
        <w:t>US</w:t>
      </w:r>
      <w:r w:rsidRPr="00BF616F">
        <w:rPr>
          <w:rFonts w:ascii="Times New Roman" w:hAnsi="Times New Roman" w:cs="Times New Roman"/>
          <w:sz w:val="24"/>
          <w:szCs w:val="24"/>
        </w:rPr>
        <w:t>2,</w:t>
      </w:r>
      <w:r w:rsidR="00700A73" w:rsidRPr="00BF616F">
        <w:rPr>
          <w:rFonts w:ascii="Times New Roman" w:hAnsi="Times New Roman" w:cs="Times New Roman"/>
          <w:sz w:val="24"/>
          <w:szCs w:val="24"/>
        </w:rPr>
        <w:t>340</w:t>
      </w:r>
      <w:r w:rsidRPr="00BF616F">
        <w:rPr>
          <w:rFonts w:ascii="Times New Roman" w:hAnsi="Times New Roman" w:cs="Times New Roman"/>
          <w:sz w:val="24"/>
          <w:szCs w:val="24"/>
        </w:rPr>
        <w:t xml:space="preserve"> </w:t>
      </w:r>
      <w:r w:rsidR="00F26704" w:rsidRPr="00BF616F">
        <w:rPr>
          <w:rFonts w:ascii="Times New Roman" w:hAnsi="Times New Roman" w:cs="Times New Roman"/>
          <w:sz w:val="24"/>
          <w:szCs w:val="24"/>
        </w:rPr>
        <w:t xml:space="preserve">GNI </w:t>
      </w:r>
      <w:r w:rsidRPr="00BF616F">
        <w:rPr>
          <w:rFonts w:ascii="Times New Roman" w:hAnsi="Times New Roman" w:cs="Times New Roman"/>
          <w:sz w:val="24"/>
          <w:szCs w:val="24"/>
        </w:rPr>
        <w:t>per capita, 36.9% brain drain rate.</w:t>
      </w:r>
    </w:p>
    <w:p w:rsidR="00700A73" w:rsidRPr="00BF616F" w:rsidRDefault="00700A73" w:rsidP="00FD139B">
      <w:pPr>
        <w:pStyle w:val="ListParagraph"/>
        <w:numPr>
          <w:ilvl w:val="0"/>
          <w:numId w:val="3"/>
        </w:numPr>
        <w:tabs>
          <w:tab w:val="left" w:pos="284"/>
          <w:tab w:val="left" w:pos="426"/>
        </w:tabs>
        <w:spacing w:after="0"/>
        <w:ind w:left="284" w:hanging="284"/>
        <w:jc w:val="both"/>
        <w:rPr>
          <w:rFonts w:ascii="Times New Roman" w:hAnsi="Times New Roman" w:cs="Times New Roman"/>
          <w:sz w:val="24"/>
          <w:szCs w:val="24"/>
        </w:rPr>
      </w:pPr>
      <w:r w:rsidRPr="00BF616F">
        <w:rPr>
          <w:rFonts w:ascii="Times New Roman" w:hAnsi="Times New Roman" w:cs="Times New Roman"/>
          <w:sz w:val="24"/>
          <w:szCs w:val="24"/>
        </w:rPr>
        <w:t xml:space="preserve">New Zealand: 4.3 million population, US$27,940 </w:t>
      </w:r>
      <w:r w:rsidR="00F26704" w:rsidRPr="00BF616F">
        <w:rPr>
          <w:rFonts w:ascii="Times New Roman" w:hAnsi="Times New Roman" w:cs="Times New Roman"/>
          <w:sz w:val="24"/>
          <w:szCs w:val="24"/>
        </w:rPr>
        <w:t xml:space="preserve">GNI </w:t>
      </w:r>
      <w:r w:rsidRPr="00BF616F">
        <w:rPr>
          <w:rFonts w:ascii="Times New Roman" w:hAnsi="Times New Roman" w:cs="Times New Roman"/>
          <w:sz w:val="24"/>
          <w:szCs w:val="24"/>
        </w:rPr>
        <w:t>per capita, 15.8% brain drain rate.</w:t>
      </w:r>
    </w:p>
    <w:p w:rsidR="00700A73" w:rsidRPr="00BF616F" w:rsidRDefault="00700A73" w:rsidP="00FD139B">
      <w:pPr>
        <w:pStyle w:val="ListParagraph"/>
        <w:numPr>
          <w:ilvl w:val="0"/>
          <w:numId w:val="3"/>
        </w:numPr>
        <w:tabs>
          <w:tab w:val="left" w:pos="284"/>
          <w:tab w:val="left" w:pos="426"/>
        </w:tabs>
        <w:spacing w:after="0"/>
        <w:ind w:left="284" w:hanging="284"/>
        <w:jc w:val="both"/>
        <w:rPr>
          <w:rFonts w:ascii="Times New Roman" w:hAnsi="Times New Roman" w:cs="Times New Roman"/>
          <w:sz w:val="24"/>
          <w:szCs w:val="24"/>
        </w:rPr>
      </w:pPr>
      <w:r w:rsidRPr="00BF616F">
        <w:rPr>
          <w:rFonts w:ascii="Times New Roman" w:hAnsi="Times New Roman" w:cs="Times New Roman"/>
          <w:sz w:val="24"/>
          <w:szCs w:val="24"/>
        </w:rPr>
        <w:t xml:space="preserve">Papua New Guinea: 6.4 million population, $US1,010 </w:t>
      </w:r>
      <w:r w:rsidR="00F26704" w:rsidRPr="00BF616F">
        <w:rPr>
          <w:rFonts w:ascii="Times New Roman" w:hAnsi="Times New Roman" w:cs="Times New Roman"/>
          <w:sz w:val="24"/>
          <w:szCs w:val="24"/>
        </w:rPr>
        <w:t xml:space="preserve">GNI </w:t>
      </w:r>
      <w:r w:rsidRPr="00BF616F">
        <w:rPr>
          <w:rFonts w:ascii="Times New Roman" w:hAnsi="Times New Roman" w:cs="Times New Roman"/>
          <w:sz w:val="24"/>
          <w:szCs w:val="24"/>
        </w:rPr>
        <w:t>per capita, 19.8% brain drain rate</w:t>
      </w:r>
    </w:p>
    <w:p w:rsidR="00B01E56" w:rsidRDefault="00700A73" w:rsidP="00FD139B">
      <w:pPr>
        <w:pStyle w:val="ListParagraph"/>
        <w:numPr>
          <w:ilvl w:val="0"/>
          <w:numId w:val="3"/>
        </w:numPr>
        <w:tabs>
          <w:tab w:val="left" w:pos="284"/>
          <w:tab w:val="left" w:pos="426"/>
        </w:tabs>
        <w:spacing w:after="0"/>
        <w:ind w:left="284" w:hanging="284"/>
        <w:jc w:val="both"/>
        <w:rPr>
          <w:rFonts w:ascii="Times New Roman" w:hAnsi="Times New Roman" w:cs="Times New Roman"/>
          <w:sz w:val="24"/>
          <w:szCs w:val="24"/>
        </w:rPr>
      </w:pPr>
      <w:r w:rsidRPr="00BF616F">
        <w:rPr>
          <w:rFonts w:ascii="Times New Roman" w:hAnsi="Times New Roman" w:cs="Times New Roman"/>
          <w:sz w:val="24"/>
          <w:szCs w:val="24"/>
        </w:rPr>
        <w:t xml:space="preserve">Tonga: 110,000 population, $US2,560 </w:t>
      </w:r>
      <w:r w:rsidR="00F26704" w:rsidRPr="00BF616F">
        <w:rPr>
          <w:rFonts w:ascii="Times New Roman" w:hAnsi="Times New Roman" w:cs="Times New Roman"/>
          <w:sz w:val="24"/>
          <w:szCs w:val="24"/>
        </w:rPr>
        <w:t xml:space="preserve">GNI </w:t>
      </w:r>
      <w:r w:rsidRPr="00BF616F">
        <w:rPr>
          <w:rFonts w:ascii="Times New Roman" w:hAnsi="Times New Roman" w:cs="Times New Roman"/>
          <w:sz w:val="24"/>
          <w:szCs w:val="24"/>
        </w:rPr>
        <w:t>per capita, 65.1% brain drain rate.</w:t>
      </w:r>
    </w:p>
    <w:p w:rsidR="006E2ECA" w:rsidRPr="00B01E56" w:rsidRDefault="00B01E56" w:rsidP="00FD139B">
      <w:pPr>
        <w:pStyle w:val="ListParagraph"/>
        <w:tabs>
          <w:tab w:val="left" w:pos="426"/>
        </w:tabs>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700A73" w:rsidRPr="00B01E56">
        <w:rPr>
          <w:rFonts w:ascii="Times New Roman" w:hAnsi="Times New Roman" w:cs="Times New Roman"/>
          <w:sz w:val="24"/>
          <w:szCs w:val="24"/>
        </w:rPr>
        <w:t>These countries offer an interesting range of population sizes, levels of development, and also opportunities for migration. Micronesia and New Zealand both have free mobility to an important migrant destination</w:t>
      </w:r>
      <w:r w:rsidR="0039633D" w:rsidRPr="00B01E56">
        <w:rPr>
          <w:rFonts w:ascii="Times New Roman" w:hAnsi="Times New Roman" w:cs="Times New Roman"/>
          <w:sz w:val="24"/>
          <w:szCs w:val="24"/>
        </w:rPr>
        <w:t xml:space="preserve"> - </w:t>
      </w:r>
      <w:r w:rsidR="00700A73" w:rsidRPr="00B01E56">
        <w:rPr>
          <w:rFonts w:ascii="Times New Roman" w:hAnsi="Times New Roman" w:cs="Times New Roman"/>
          <w:sz w:val="24"/>
          <w:szCs w:val="24"/>
        </w:rPr>
        <w:t>Micronesia to the United States and New Zealand to Australia</w:t>
      </w:r>
      <w:r w:rsidR="0039633D" w:rsidRPr="00B01E56">
        <w:rPr>
          <w:rFonts w:ascii="Times New Roman" w:hAnsi="Times New Roman" w:cs="Times New Roman"/>
          <w:sz w:val="24"/>
          <w:szCs w:val="24"/>
        </w:rPr>
        <w:t xml:space="preserve"> </w:t>
      </w:r>
      <w:r w:rsidR="00BF616F" w:rsidRPr="00B01E56">
        <w:rPr>
          <w:rFonts w:ascii="Times New Roman" w:hAnsi="Times New Roman" w:cs="Times New Roman"/>
          <w:sz w:val="24"/>
          <w:szCs w:val="24"/>
        </w:rPr>
        <w:t>-</w:t>
      </w:r>
      <w:r w:rsidR="0039633D" w:rsidRPr="00B01E56">
        <w:rPr>
          <w:rFonts w:ascii="Times New Roman" w:hAnsi="Times New Roman" w:cs="Times New Roman"/>
          <w:sz w:val="24"/>
          <w:szCs w:val="24"/>
        </w:rPr>
        <w:t xml:space="preserve"> whereas </w:t>
      </w:r>
      <w:r w:rsidR="00822D2E" w:rsidRPr="00B01E56">
        <w:rPr>
          <w:rFonts w:ascii="Times New Roman" w:hAnsi="Times New Roman" w:cs="Times New Roman"/>
          <w:sz w:val="24"/>
          <w:szCs w:val="24"/>
        </w:rPr>
        <w:t xml:space="preserve">in </w:t>
      </w:r>
      <w:r w:rsidR="0039633D" w:rsidRPr="00B01E56">
        <w:rPr>
          <w:rFonts w:ascii="Times New Roman" w:hAnsi="Times New Roman" w:cs="Times New Roman"/>
          <w:sz w:val="24"/>
          <w:szCs w:val="24"/>
        </w:rPr>
        <w:t xml:space="preserve">the other countries </w:t>
      </w:r>
      <w:r w:rsidR="00822D2E" w:rsidRPr="00B01E56">
        <w:rPr>
          <w:rFonts w:ascii="Times New Roman" w:hAnsi="Times New Roman" w:cs="Times New Roman"/>
          <w:sz w:val="24"/>
          <w:szCs w:val="24"/>
        </w:rPr>
        <w:t xml:space="preserve">individuals can only migrate through satisfying the requisites of particular immigration categories. </w:t>
      </w:r>
    </w:p>
    <w:p w:rsidR="00BF616F" w:rsidRPr="00700A73" w:rsidRDefault="00BF616F" w:rsidP="00FD139B">
      <w:pPr>
        <w:tabs>
          <w:tab w:val="left" w:pos="426"/>
        </w:tabs>
        <w:spacing w:after="0"/>
        <w:ind w:firstLine="720"/>
        <w:contextualSpacing/>
        <w:jc w:val="both"/>
        <w:rPr>
          <w:rFonts w:ascii="Times New Roman" w:hAnsi="Times New Roman" w:cs="Times New Roman"/>
          <w:sz w:val="24"/>
          <w:szCs w:val="24"/>
        </w:rPr>
      </w:pPr>
    </w:p>
    <w:p w:rsidR="00700A73" w:rsidRDefault="0027174A" w:rsidP="00FD139B">
      <w:pPr>
        <w:tabs>
          <w:tab w:val="left" w:pos="426"/>
        </w:tabs>
        <w:spacing w:after="0"/>
        <w:contextualSpacing/>
        <w:jc w:val="both"/>
        <w:rPr>
          <w:rFonts w:ascii="Times New Roman" w:hAnsi="Times New Roman" w:cs="Times New Roman"/>
          <w:b/>
          <w:sz w:val="24"/>
          <w:szCs w:val="24"/>
        </w:rPr>
      </w:pPr>
      <w:r>
        <w:rPr>
          <w:rFonts w:ascii="Times New Roman" w:hAnsi="Times New Roman" w:cs="Times New Roman"/>
          <w:b/>
          <w:sz w:val="24"/>
          <w:szCs w:val="24"/>
        </w:rPr>
        <w:t xml:space="preserve">2.3 </w:t>
      </w:r>
      <w:r w:rsidR="00BF616F">
        <w:rPr>
          <w:rFonts w:ascii="Times New Roman" w:hAnsi="Times New Roman" w:cs="Times New Roman"/>
          <w:b/>
          <w:sz w:val="24"/>
          <w:szCs w:val="24"/>
        </w:rPr>
        <w:t xml:space="preserve"> </w:t>
      </w:r>
      <w:r>
        <w:rPr>
          <w:rFonts w:ascii="Times New Roman" w:hAnsi="Times New Roman" w:cs="Times New Roman"/>
          <w:b/>
          <w:sz w:val="24"/>
          <w:szCs w:val="24"/>
        </w:rPr>
        <w:t xml:space="preserve">The </w:t>
      </w:r>
      <w:r w:rsidR="00BF616F">
        <w:rPr>
          <w:rFonts w:ascii="Times New Roman" w:hAnsi="Times New Roman" w:cs="Times New Roman"/>
          <w:b/>
          <w:sz w:val="24"/>
          <w:szCs w:val="24"/>
        </w:rPr>
        <w:t>S</w:t>
      </w:r>
      <w:r>
        <w:rPr>
          <w:rFonts w:ascii="Times New Roman" w:hAnsi="Times New Roman" w:cs="Times New Roman"/>
          <w:b/>
          <w:sz w:val="24"/>
          <w:szCs w:val="24"/>
        </w:rPr>
        <w:t xml:space="preserve">ample </w:t>
      </w:r>
      <w:r w:rsidR="00BF616F">
        <w:rPr>
          <w:rFonts w:ascii="Times New Roman" w:hAnsi="Times New Roman" w:cs="Times New Roman"/>
          <w:b/>
          <w:sz w:val="24"/>
          <w:szCs w:val="24"/>
        </w:rPr>
        <w:t>F</w:t>
      </w:r>
      <w:r>
        <w:rPr>
          <w:rFonts w:ascii="Times New Roman" w:hAnsi="Times New Roman" w:cs="Times New Roman"/>
          <w:b/>
          <w:sz w:val="24"/>
          <w:szCs w:val="24"/>
        </w:rPr>
        <w:t xml:space="preserve">rame and </w:t>
      </w:r>
      <w:r w:rsidR="00BF616F">
        <w:rPr>
          <w:rFonts w:ascii="Times New Roman" w:hAnsi="Times New Roman" w:cs="Times New Roman"/>
          <w:b/>
          <w:sz w:val="24"/>
          <w:szCs w:val="24"/>
        </w:rPr>
        <w:t>S</w:t>
      </w:r>
      <w:r>
        <w:rPr>
          <w:rFonts w:ascii="Times New Roman" w:hAnsi="Times New Roman" w:cs="Times New Roman"/>
          <w:b/>
          <w:sz w:val="24"/>
          <w:szCs w:val="24"/>
        </w:rPr>
        <w:t>urvey</w:t>
      </w:r>
    </w:p>
    <w:p w:rsidR="00BF616F" w:rsidRPr="00BF616F" w:rsidRDefault="00BF616F" w:rsidP="00FD139B">
      <w:pPr>
        <w:tabs>
          <w:tab w:val="left" w:pos="426"/>
        </w:tabs>
        <w:spacing w:after="0"/>
        <w:contextualSpacing/>
        <w:jc w:val="both"/>
        <w:rPr>
          <w:rFonts w:ascii="Times New Roman" w:hAnsi="Times New Roman" w:cs="Times New Roman"/>
          <w:b/>
          <w:sz w:val="12"/>
          <w:szCs w:val="12"/>
        </w:rPr>
      </w:pPr>
    </w:p>
    <w:p w:rsidR="004A5952" w:rsidRDefault="00AE0E0A" w:rsidP="00FD139B">
      <w:pPr>
        <w:tabs>
          <w:tab w:val="left" w:pos="426"/>
        </w:tabs>
        <w:spacing w:after="0"/>
        <w:contextualSpacing/>
        <w:jc w:val="both"/>
        <w:rPr>
          <w:rFonts w:ascii="Times New Roman" w:hAnsi="Times New Roman" w:cs="Times New Roman"/>
          <w:sz w:val="24"/>
          <w:szCs w:val="24"/>
        </w:rPr>
      </w:pPr>
      <w:r>
        <w:rPr>
          <w:rFonts w:ascii="Times New Roman" w:hAnsi="Times New Roman" w:cs="Times New Roman"/>
          <w:sz w:val="24"/>
          <w:szCs w:val="24"/>
        </w:rPr>
        <w:t>In each country we assembled a sample frame of the top academic achievers in the country, for individuals graduating high school between 1976 and 2004, using a mixture of government</w:t>
      </w:r>
      <w:r w:rsidR="005F3709">
        <w:rPr>
          <w:rFonts w:ascii="Times New Roman" w:hAnsi="Times New Roman" w:cs="Times New Roman"/>
          <w:sz w:val="24"/>
          <w:szCs w:val="24"/>
        </w:rPr>
        <w:t xml:space="preserve"> and</w:t>
      </w:r>
      <w:r>
        <w:rPr>
          <w:rFonts w:ascii="Times New Roman" w:hAnsi="Times New Roman" w:cs="Times New Roman"/>
          <w:sz w:val="24"/>
          <w:szCs w:val="24"/>
        </w:rPr>
        <w:t xml:space="preserve"> school records. </w:t>
      </w:r>
      <w:r w:rsidR="00621AEC">
        <w:rPr>
          <w:rFonts w:ascii="Times New Roman" w:hAnsi="Times New Roman" w:cs="Times New Roman"/>
          <w:sz w:val="24"/>
          <w:szCs w:val="24"/>
        </w:rPr>
        <w:t>A</w:t>
      </w:r>
      <w:r>
        <w:rPr>
          <w:rFonts w:ascii="Times New Roman" w:hAnsi="Times New Roman" w:cs="Times New Roman"/>
          <w:sz w:val="24"/>
          <w:szCs w:val="24"/>
        </w:rPr>
        <w:t xml:space="preserve">ppendix </w:t>
      </w:r>
      <w:r w:rsidR="00621AEC">
        <w:rPr>
          <w:rFonts w:ascii="Times New Roman" w:hAnsi="Times New Roman" w:cs="Times New Roman"/>
          <w:sz w:val="24"/>
          <w:szCs w:val="24"/>
        </w:rPr>
        <w:t xml:space="preserve">1 </w:t>
      </w:r>
      <w:r>
        <w:rPr>
          <w:rFonts w:ascii="Times New Roman" w:hAnsi="Times New Roman" w:cs="Times New Roman"/>
          <w:sz w:val="24"/>
          <w:szCs w:val="24"/>
        </w:rPr>
        <w:t>discusses the specifics of sample frame construction for each country</w:t>
      </w:r>
      <w:r w:rsidR="00DC25B0">
        <w:rPr>
          <w:rFonts w:ascii="Times New Roman" w:hAnsi="Times New Roman" w:cs="Times New Roman"/>
          <w:sz w:val="24"/>
          <w:szCs w:val="24"/>
        </w:rPr>
        <w:t xml:space="preserve">. </w:t>
      </w:r>
      <w:r w:rsidR="005F3709">
        <w:rPr>
          <w:rFonts w:ascii="Times New Roman" w:hAnsi="Times New Roman" w:cs="Times New Roman"/>
          <w:sz w:val="24"/>
          <w:szCs w:val="24"/>
        </w:rPr>
        <w:t>We then attempted to track down these individuals and survey them in their present country of residen</w:t>
      </w:r>
      <w:r w:rsidR="009937A5">
        <w:rPr>
          <w:rFonts w:ascii="Times New Roman" w:hAnsi="Times New Roman" w:cs="Times New Roman"/>
          <w:sz w:val="24"/>
          <w:szCs w:val="24"/>
        </w:rPr>
        <w:t>ce</w:t>
      </w:r>
      <w:r w:rsidR="005F3709">
        <w:rPr>
          <w:rFonts w:ascii="Times New Roman" w:hAnsi="Times New Roman" w:cs="Times New Roman"/>
          <w:sz w:val="24"/>
          <w:szCs w:val="24"/>
        </w:rPr>
        <w:t>. The tracking effort was extensive, and involved visits to the high schools</w:t>
      </w:r>
      <w:r w:rsidR="00530A57">
        <w:rPr>
          <w:rFonts w:ascii="Times New Roman" w:hAnsi="Times New Roman" w:cs="Times New Roman"/>
          <w:sz w:val="24"/>
          <w:szCs w:val="24"/>
        </w:rPr>
        <w:t xml:space="preserve"> and home communities, online search, the involvement of school alumni networks where they existed, phone book searches by surname, and asking located students for help in identifying others. </w:t>
      </w:r>
      <w:r w:rsidR="004A5952">
        <w:rPr>
          <w:rFonts w:ascii="Times New Roman" w:hAnsi="Times New Roman" w:cs="Times New Roman"/>
          <w:sz w:val="24"/>
          <w:szCs w:val="24"/>
        </w:rPr>
        <w:t xml:space="preserve">Individuals were then administered a survey with detailed questions on their migration and educational histories, their current occupation, and the channels through which they interact with their home countries when abroad. These surveys were carried out online, in-person in the five source countries, and, in some cases, by phone. </w:t>
      </w:r>
      <w:r w:rsidR="00B14BEB">
        <w:rPr>
          <w:rFonts w:ascii="Times New Roman" w:hAnsi="Times New Roman" w:cs="Times New Roman"/>
          <w:sz w:val="24"/>
          <w:szCs w:val="24"/>
        </w:rPr>
        <w:t>The survey efforts began with the Tongan sample in late 2007, and finished with the Ghanaian sample in late 2009.</w:t>
      </w:r>
    </w:p>
    <w:p w:rsidR="00BF616F" w:rsidRDefault="00BF616F" w:rsidP="00FD139B">
      <w:pPr>
        <w:tabs>
          <w:tab w:val="left" w:pos="426"/>
        </w:tabs>
        <w:spacing w:after="0"/>
        <w:contextualSpacing/>
        <w:jc w:val="both"/>
        <w:rPr>
          <w:rFonts w:ascii="Times New Roman" w:hAnsi="Times New Roman" w:cs="Times New Roman"/>
          <w:sz w:val="24"/>
          <w:szCs w:val="24"/>
        </w:rPr>
      </w:pPr>
    </w:p>
    <w:p w:rsidR="00592D17" w:rsidRDefault="00592D17" w:rsidP="00FD139B">
      <w:pPr>
        <w:tabs>
          <w:tab w:val="left" w:pos="426"/>
        </w:tabs>
        <w:spacing w:after="0"/>
        <w:ind w:firstLine="360"/>
        <w:contextualSpacing/>
        <w:jc w:val="both"/>
        <w:rPr>
          <w:rFonts w:ascii="Times New Roman" w:hAnsi="Times New Roman" w:cs="Times New Roman"/>
          <w:sz w:val="24"/>
          <w:szCs w:val="24"/>
        </w:rPr>
      </w:pPr>
      <w:r>
        <w:rPr>
          <w:rFonts w:ascii="Times New Roman" w:hAnsi="Times New Roman" w:cs="Times New Roman"/>
          <w:sz w:val="24"/>
          <w:szCs w:val="24"/>
        </w:rPr>
        <w:t>Table 1 summarizes the results of this surveying effort. Our total sample frame consisted of 4,131 individuals from the five countries, of which we were able to interview 1,240 (30%). The</w:t>
      </w:r>
      <w:r w:rsidR="00B14BEB">
        <w:rPr>
          <w:rFonts w:ascii="Times New Roman" w:hAnsi="Times New Roman" w:cs="Times New Roman"/>
          <w:sz w:val="24"/>
          <w:szCs w:val="24"/>
        </w:rPr>
        <w:t xml:space="preserve"> survey interviewed individuals who are </w:t>
      </w:r>
      <w:r>
        <w:rPr>
          <w:rFonts w:ascii="Times New Roman" w:hAnsi="Times New Roman" w:cs="Times New Roman"/>
          <w:sz w:val="24"/>
          <w:szCs w:val="24"/>
        </w:rPr>
        <w:t xml:space="preserve">now living in 45 different countries. The survey success rate varied across </w:t>
      </w:r>
      <w:r w:rsidR="00B14BEB">
        <w:rPr>
          <w:rFonts w:ascii="Times New Roman" w:hAnsi="Times New Roman" w:cs="Times New Roman"/>
          <w:sz w:val="24"/>
          <w:szCs w:val="24"/>
        </w:rPr>
        <w:t xml:space="preserve">source </w:t>
      </w:r>
      <w:r>
        <w:rPr>
          <w:rFonts w:ascii="Times New Roman" w:hAnsi="Times New Roman" w:cs="Times New Roman"/>
          <w:sz w:val="24"/>
          <w:szCs w:val="24"/>
        </w:rPr>
        <w:t>countries, ranging from 15 percent in Ghana to 73 percent in Tonga. This reflects both differences in our ability to track individuals from dif</w:t>
      </w:r>
      <w:r w:rsidR="00FA5626">
        <w:rPr>
          <w:rFonts w:ascii="Times New Roman" w:hAnsi="Times New Roman" w:cs="Times New Roman"/>
          <w:sz w:val="24"/>
          <w:szCs w:val="24"/>
        </w:rPr>
        <w:t xml:space="preserve">ferent countries, as well as </w:t>
      </w:r>
      <w:r>
        <w:rPr>
          <w:rFonts w:ascii="Times New Roman" w:hAnsi="Times New Roman" w:cs="Times New Roman"/>
          <w:sz w:val="24"/>
          <w:szCs w:val="24"/>
        </w:rPr>
        <w:t xml:space="preserve">differential survey response rates, with fears about identity theft making some high achievers reluctant to participate in an online survey. </w:t>
      </w:r>
      <w:r w:rsidR="00BE474B">
        <w:rPr>
          <w:rFonts w:ascii="Times New Roman" w:hAnsi="Times New Roman" w:cs="Times New Roman"/>
          <w:sz w:val="24"/>
          <w:szCs w:val="24"/>
        </w:rPr>
        <w:t>Even in cases where we could not survey the individual, we endeavored to identify their current location, either directly from them, or from friends and family. Current location is known for the majority of the sample frame from To</w:t>
      </w:r>
      <w:r w:rsidR="0036026E">
        <w:rPr>
          <w:rFonts w:ascii="Times New Roman" w:hAnsi="Times New Roman" w:cs="Times New Roman"/>
          <w:sz w:val="24"/>
          <w:szCs w:val="24"/>
        </w:rPr>
        <w:t>nga, Micronesia and New Zealand, and for 47 percent of the full sample.</w:t>
      </w:r>
    </w:p>
    <w:p w:rsidR="00BF616F" w:rsidRDefault="00BF616F" w:rsidP="00FD139B">
      <w:pPr>
        <w:tabs>
          <w:tab w:val="left" w:pos="426"/>
        </w:tabs>
        <w:spacing w:after="0"/>
        <w:ind w:firstLine="360"/>
        <w:contextualSpacing/>
        <w:jc w:val="both"/>
        <w:rPr>
          <w:rFonts w:ascii="Times New Roman" w:hAnsi="Times New Roman" w:cs="Times New Roman"/>
          <w:sz w:val="24"/>
          <w:szCs w:val="24"/>
        </w:rPr>
      </w:pPr>
    </w:p>
    <w:p w:rsidR="00F200B7" w:rsidRDefault="00F200B7" w:rsidP="00FD139B">
      <w:pPr>
        <w:tabs>
          <w:tab w:val="left" w:pos="426"/>
        </w:tabs>
        <w:spacing w:after="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We view these response rates as incredibly high, given the logistics of tracking individuals over multiple countries based only on a name </w:t>
      </w:r>
      <w:r w:rsidR="00D504FB">
        <w:rPr>
          <w:rFonts w:ascii="Times New Roman" w:hAnsi="Times New Roman" w:cs="Times New Roman"/>
          <w:sz w:val="24"/>
          <w:szCs w:val="24"/>
        </w:rPr>
        <w:t xml:space="preserve">(which may have changed for some females upon marriage) </w:t>
      </w:r>
      <w:r>
        <w:rPr>
          <w:rFonts w:ascii="Times New Roman" w:hAnsi="Times New Roman" w:cs="Times New Roman"/>
          <w:sz w:val="24"/>
          <w:szCs w:val="24"/>
        </w:rPr>
        <w:t xml:space="preserve">and the high school they attended. </w:t>
      </w:r>
      <w:r w:rsidR="00474C91">
        <w:rPr>
          <w:rFonts w:ascii="Times New Roman" w:hAnsi="Times New Roman" w:cs="Times New Roman"/>
          <w:sz w:val="24"/>
          <w:szCs w:val="24"/>
        </w:rPr>
        <w:t xml:space="preserve">This is particularly the case given the sample of interest are individuals with very high opportunity costs of time, who typically have lower survey response rates. </w:t>
      </w:r>
      <w:r>
        <w:rPr>
          <w:rFonts w:ascii="Times New Roman" w:hAnsi="Times New Roman" w:cs="Times New Roman"/>
          <w:sz w:val="24"/>
          <w:szCs w:val="24"/>
        </w:rPr>
        <w:t xml:space="preserve"> </w:t>
      </w:r>
      <w:r w:rsidR="00B14BEB">
        <w:rPr>
          <w:rFonts w:ascii="Times New Roman" w:hAnsi="Times New Roman" w:cs="Times New Roman"/>
          <w:sz w:val="24"/>
          <w:szCs w:val="24"/>
        </w:rPr>
        <w:t>Nevertheless, we are sensitive to the possibility of potential bias caused by incomplete tracking. In particular</w:t>
      </w:r>
      <w:r w:rsidR="0036026E">
        <w:rPr>
          <w:rFonts w:ascii="Times New Roman" w:hAnsi="Times New Roman" w:cs="Times New Roman"/>
          <w:sz w:val="24"/>
          <w:szCs w:val="24"/>
        </w:rPr>
        <w:t xml:space="preserve">, </w:t>
      </w:r>
      <w:r w:rsidR="00B14BEB">
        <w:rPr>
          <w:rFonts w:ascii="Times New Roman" w:hAnsi="Times New Roman" w:cs="Times New Roman"/>
          <w:sz w:val="24"/>
          <w:szCs w:val="24"/>
        </w:rPr>
        <w:t xml:space="preserve">we can examine how sensitive the measured migration rates are to survey non-response, using both the known characteristics (age and gender) of the individuals not surveyed, as well as through comparison of the individuals who it took more effort to locate to those located more easily. The results suggest </w:t>
      </w:r>
      <w:r w:rsidR="00B14BEB">
        <w:rPr>
          <w:rFonts w:ascii="Times New Roman" w:hAnsi="Times New Roman" w:cs="Times New Roman"/>
          <w:sz w:val="24"/>
          <w:szCs w:val="24"/>
        </w:rPr>
        <w:lastRenderedPageBreak/>
        <w:t>relatively little bias from non-response, at least with regard to migration status.</w:t>
      </w:r>
      <w:r w:rsidR="00B14BEB">
        <w:rPr>
          <w:rStyle w:val="FootnoteReference"/>
          <w:rFonts w:ascii="Times New Roman" w:hAnsi="Times New Roman" w:cs="Times New Roman"/>
          <w:sz w:val="24"/>
          <w:szCs w:val="24"/>
        </w:rPr>
        <w:footnoteReference w:id="7"/>
      </w:r>
      <w:r w:rsidR="00B93F1C">
        <w:rPr>
          <w:rFonts w:ascii="Times New Roman" w:hAnsi="Times New Roman" w:cs="Times New Roman"/>
          <w:sz w:val="24"/>
          <w:szCs w:val="24"/>
        </w:rPr>
        <w:t xml:space="preserve"> In terms of looking at the consequences of migration, we believe that if there is any bias, it will be towards not being able to locate the less successful individuals. </w:t>
      </w:r>
      <w:r w:rsidR="00815E43">
        <w:rPr>
          <w:rFonts w:ascii="Times New Roman" w:hAnsi="Times New Roman" w:cs="Times New Roman"/>
          <w:sz w:val="24"/>
          <w:szCs w:val="24"/>
        </w:rPr>
        <w:t>To the extent this is the case</w:t>
      </w:r>
      <w:r w:rsidR="00B93F1C">
        <w:rPr>
          <w:rFonts w:ascii="Times New Roman" w:hAnsi="Times New Roman" w:cs="Times New Roman"/>
          <w:sz w:val="24"/>
          <w:szCs w:val="24"/>
        </w:rPr>
        <w:t xml:space="preserve">, </w:t>
      </w:r>
      <w:r w:rsidR="00815E43">
        <w:rPr>
          <w:rFonts w:ascii="Times New Roman" w:hAnsi="Times New Roman" w:cs="Times New Roman"/>
          <w:sz w:val="24"/>
          <w:szCs w:val="24"/>
        </w:rPr>
        <w:t>it</w:t>
      </w:r>
      <w:r w:rsidR="00B93F1C">
        <w:rPr>
          <w:rFonts w:ascii="Times New Roman" w:hAnsi="Times New Roman" w:cs="Times New Roman"/>
          <w:sz w:val="24"/>
          <w:szCs w:val="24"/>
        </w:rPr>
        <w:t xml:space="preserve"> should mean we are obtaining upper bounds on the extent to which migrants are engaging in certain activities such as trade and investment.</w:t>
      </w:r>
      <w:r w:rsidR="00815E43">
        <w:rPr>
          <w:rFonts w:ascii="Times New Roman" w:hAnsi="Times New Roman" w:cs="Times New Roman"/>
          <w:sz w:val="24"/>
          <w:szCs w:val="24"/>
        </w:rPr>
        <w:t xml:space="preserve"> Section 4.7 discusses robustness to sample non-response in more detail.</w:t>
      </w:r>
    </w:p>
    <w:p w:rsidR="00BF616F" w:rsidRDefault="00BF616F" w:rsidP="00FD139B">
      <w:pPr>
        <w:tabs>
          <w:tab w:val="left" w:pos="426"/>
        </w:tabs>
        <w:spacing w:after="0"/>
        <w:ind w:firstLine="360"/>
        <w:contextualSpacing/>
        <w:jc w:val="both"/>
        <w:rPr>
          <w:rFonts w:ascii="Times New Roman" w:hAnsi="Times New Roman" w:cs="Times New Roman"/>
          <w:sz w:val="24"/>
          <w:szCs w:val="24"/>
        </w:rPr>
      </w:pPr>
    </w:p>
    <w:p w:rsidR="00F516CC" w:rsidRDefault="00F516CC" w:rsidP="00FD139B">
      <w:pPr>
        <w:tabs>
          <w:tab w:val="left" w:pos="426"/>
        </w:tabs>
        <w:spacing w:after="0"/>
        <w:contextualSpacing/>
        <w:jc w:val="both"/>
        <w:rPr>
          <w:rFonts w:ascii="Times New Roman" w:hAnsi="Times New Roman" w:cs="Times New Roman"/>
          <w:b/>
          <w:sz w:val="24"/>
          <w:szCs w:val="24"/>
        </w:rPr>
      </w:pPr>
      <w:r>
        <w:rPr>
          <w:rFonts w:ascii="Times New Roman" w:hAnsi="Times New Roman" w:cs="Times New Roman"/>
          <w:b/>
          <w:sz w:val="24"/>
          <w:szCs w:val="24"/>
        </w:rPr>
        <w:t xml:space="preserve">2.4 Migration </w:t>
      </w:r>
      <w:r w:rsidR="00BF616F">
        <w:rPr>
          <w:rFonts w:ascii="Times New Roman" w:hAnsi="Times New Roman" w:cs="Times New Roman"/>
          <w:b/>
          <w:sz w:val="24"/>
          <w:szCs w:val="24"/>
        </w:rPr>
        <w:t>R</w:t>
      </w:r>
      <w:r>
        <w:rPr>
          <w:rFonts w:ascii="Times New Roman" w:hAnsi="Times New Roman" w:cs="Times New Roman"/>
          <w:b/>
          <w:sz w:val="24"/>
          <w:szCs w:val="24"/>
        </w:rPr>
        <w:t>ates</w:t>
      </w:r>
    </w:p>
    <w:p w:rsidR="00BF616F" w:rsidRPr="00BF616F" w:rsidRDefault="00BF616F" w:rsidP="00FD139B">
      <w:pPr>
        <w:tabs>
          <w:tab w:val="left" w:pos="426"/>
        </w:tabs>
        <w:spacing w:after="0"/>
        <w:contextualSpacing/>
        <w:jc w:val="both"/>
        <w:rPr>
          <w:rFonts w:ascii="Times New Roman" w:hAnsi="Times New Roman" w:cs="Times New Roman"/>
          <w:b/>
          <w:sz w:val="12"/>
          <w:szCs w:val="12"/>
        </w:rPr>
      </w:pPr>
    </w:p>
    <w:p w:rsidR="00592D17" w:rsidRDefault="00F516CC" w:rsidP="00FD139B">
      <w:pPr>
        <w:tabs>
          <w:tab w:val="left" w:pos="426"/>
        </w:tabs>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Table 1 demonstrates that the incidence of migration is very high among this highly skilled population. In our sample, 65 percent of the best and brightest aged 22 and over have ever migrated overseas since graduating high school, and 36 percent are current migrants. </w:t>
      </w:r>
      <w:r w:rsidR="000E64BF">
        <w:rPr>
          <w:rFonts w:ascii="Times New Roman" w:hAnsi="Times New Roman" w:cs="Times New Roman"/>
          <w:sz w:val="24"/>
          <w:szCs w:val="24"/>
        </w:rPr>
        <w:t xml:space="preserve">Comparing these numbers also indicates a high rate of return migration. The highest rates of ever migrating are in Tonga and Micronesia, the two smallest countries. Both countries have very limited tertiary education options at home, and so migration is needed for education. The lowest current migration rate is seen in Papua New Guinea, whose citizens have rather limited options for migration. </w:t>
      </w:r>
      <w:r w:rsidR="00B40F8B">
        <w:rPr>
          <w:rFonts w:ascii="Times New Roman" w:hAnsi="Times New Roman" w:cs="Times New Roman"/>
          <w:sz w:val="24"/>
          <w:szCs w:val="24"/>
        </w:rPr>
        <w:t>E</w:t>
      </w:r>
      <w:r w:rsidR="000E64BF">
        <w:rPr>
          <w:rFonts w:ascii="Times New Roman" w:hAnsi="Times New Roman" w:cs="Times New Roman"/>
          <w:sz w:val="24"/>
          <w:szCs w:val="24"/>
        </w:rPr>
        <w:t>ducational scholarships which bond individuals to return are one additional factor limiting the extent to which individuals who go abroad to study can stay on and work afterwards in this case.</w:t>
      </w:r>
      <w:r w:rsidR="009D4E1C">
        <w:rPr>
          <w:rFonts w:ascii="Times New Roman" w:hAnsi="Times New Roman" w:cs="Times New Roman"/>
          <w:sz w:val="24"/>
          <w:szCs w:val="24"/>
        </w:rPr>
        <w:t xml:space="preserve"> Overall, the sample gives us a good sized sample of migrants with which to examine at the micro-level the consequences of high-skilled emigration, along with individuals of similar ability who are located in the home country and can be used in forming counterfactuals.</w:t>
      </w:r>
    </w:p>
    <w:p w:rsidR="00B01E56" w:rsidRPr="00F6242C" w:rsidRDefault="00B01E56" w:rsidP="00FD139B">
      <w:pPr>
        <w:tabs>
          <w:tab w:val="left" w:pos="426"/>
        </w:tabs>
        <w:spacing w:after="0"/>
        <w:contextualSpacing/>
        <w:jc w:val="both"/>
        <w:rPr>
          <w:rFonts w:ascii="Times New Roman" w:hAnsi="Times New Roman" w:cs="Times New Roman"/>
          <w:sz w:val="24"/>
          <w:szCs w:val="24"/>
        </w:rPr>
      </w:pPr>
    </w:p>
    <w:p w:rsidR="005803B4" w:rsidRDefault="00C171D2" w:rsidP="00FD139B">
      <w:pPr>
        <w:pStyle w:val="ListParagraph"/>
        <w:numPr>
          <w:ilvl w:val="0"/>
          <w:numId w:val="4"/>
        </w:numPr>
        <w:tabs>
          <w:tab w:val="left" w:pos="284"/>
          <w:tab w:val="left" w:pos="426"/>
        </w:tabs>
        <w:spacing w:after="0"/>
        <w:ind w:left="0" w:firstLine="0"/>
        <w:jc w:val="both"/>
        <w:rPr>
          <w:rFonts w:ascii="Times New Roman" w:hAnsi="Times New Roman" w:cs="Times New Roman"/>
          <w:b/>
          <w:sz w:val="24"/>
          <w:szCs w:val="24"/>
        </w:rPr>
      </w:pPr>
      <w:r w:rsidRPr="000533A0">
        <w:rPr>
          <w:rFonts w:ascii="Times New Roman" w:hAnsi="Times New Roman" w:cs="Times New Roman"/>
          <w:b/>
          <w:sz w:val="24"/>
          <w:szCs w:val="24"/>
        </w:rPr>
        <w:t xml:space="preserve">Impacts on the </w:t>
      </w:r>
      <w:r w:rsidR="00B01E56">
        <w:rPr>
          <w:rFonts w:ascii="Times New Roman" w:hAnsi="Times New Roman" w:cs="Times New Roman"/>
          <w:b/>
          <w:sz w:val="24"/>
          <w:szCs w:val="24"/>
        </w:rPr>
        <w:t>Migrants T</w:t>
      </w:r>
      <w:r w:rsidRPr="000533A0">
        <w:rPr>
          <w:rFonts w:ascii="Times New Roman" w:hAnsi="Times New Roman" w:cs="Times New Roman"/>
          <w:b/>
          <w:sz w:val="24"/>
          <w:szCs w:val="24"/>
        </w:rPr>
        <w:t>hemselves</w:t>
      </w:r>
    </w:p>
    <w:p w:rsidR="00B01E56" w:rsidRPr="00B01E56" w:rsidRDefault="00B01E56" w:rsidP="00FD139B">
      <w:pPr>
        <w:pStyle w:val="ListParagraph"/>
        <w:tabs>
          <w:tab w:val="left" w:pos="284"/>
          <w:tab w:val="left" w:pos="426"/>
        </w:tabs>
        <w:spacing w:after="0"/>
        <w:ind w:left="0"/>
        <w:jc w:val="both"/>
        <w:rPr>
          <w:rFonts w:ascii="Times New Roman" w:hAnsi="Times New Roman" w:cs="Times New Roman"/>
          <w:b/>
          <w:sz w:val="12"/>
          <w:szCs w:val="12"/>
        </w:rPr>
      </w:pPr>
    </w:p>
    <w:p w:rsidR="00E24605" w:rsidRDefault="005803B4" w:rsidP="00FD139B">
      <w:pPr>
        <w:tabs>
          <w:tab w:val="left" w:pos="284"/>
          <w:tab w:val="left" w:pos="426"/>
        </w:tabs>
        <w:spacing w:after="0"/>
        <w:contextualSpacing/>
        <w:jc w:val="both"/>
        <w:rPr>
          <w:rFonts w:ascii="Times New Roman" w:hAnsi="Times New Roman" w:cs="Times New Roman"/>
          <w:sz w:val="24"/>
          <w:szCs w:val="24"/>
        </w:rPr>
      </w:pPr>
      <w:r w:rsidRPr="005803B4">
        <w:rPr>
          <w:rFonts w:ascii="Times New Roman" w:hAnsi="Times New Roman" w:cs="Times New Roman"/>
          <w:sz w:val="24"/>
          <w:szCs w:val="24"/>
        </w:rPr>
        <w:t xml:space="preserve">In general, the largest gains from migration accrue to the migrants themselves. Yet </w:t>
      </w:r>
      <w:r>
        <w:rPr>
          <w:rFonts w:ascii="Times New Roman" w:hAnsi="Times New Roman" w:cs="Times New Roman"/>
          <w:sz w:val="24"/>
          <w:szCs w:val="24"/>
        </w:rPr>
        <w:t xml:space="preserve">measurement of these gains has been relatively neglected in the literature, with the labor literature focusing on the impact of immigration on natives and the development literature focusing on the impact of emigration on individuals remaining in the source country. </w:t>
      </w:r>
      <w:r w:rsidR="00297684">
        <w:rPr>
          <w:rFonts w:ascii="Times New Roman" w:hAnsi="Times New Roman" w:cs="Times New Roman"/>
          <w:sz w:val="24"/>
          <w:szCs w:val="24"/>
        </w:rPr>
        <w:t>However, ignoring the impact on the migrants themselves will lead to a very distorted view of the economic benefits and costs of migration for source countries, since the most major effect could be to make natives of these source countries considerably better off.</w:t>
      </w:r>
      <w:r w:rsidR="00170D70">
        <w:rPr>
          <w:rFonts w:ascii="Times New Roman" w:hAnsi="Times New Roman" w:cs="Times New Roman"/>
          <w:sz w:val="24"/>
          <w:szCs w:val="24"/>
        </w:rPr>
        <w:t xml:space="preserve"> We therefore begin with estimation of the gains in income and education that high-skilled individuals gain through migration.</w:t>
      </w:r>
    </w:p>
    <w:p w:rsidR="00B01E56" w:rsidRDefault="00B01E56" w:rsidP="00FD139B">
      <w:pPr>
        <w:tabs>
          <w:tab w:val="left" w:pos="426"/>
        </w:tabs>
        <w:spacing w:after="0"/>
        <w:ind w:firstLine="360"/>
        <w:contextualSpacing/>
        <w:jc w:val="both"/>
        <w:rPr>
          <w:rFonts w:ascii="Times New Roman" w:hAnsi="Times New Roman" w:cs="Times New Roman"/>
          <w:sz w:val="24"/>
          <w:szCs w:val="24"/>
        </w:rPr>
      </w:pPr>
    </w:p>
    <w:p w:rsidR="00170D70" w:rsidRDefault="00B01E56" w:rsidP="00FD139B">
      <w:pPr>
        <w:tabs>
          <w:tab w:val="left" w:pos="426"/>
        </w:tabs>
        <w:spacing w:after="0"/>
        <w:contextualSpacing/>
        <w:jc w:val="both"/>
        <w:rPr>
          <w:rFonts w:ascii="Times New Roman" w:hAnsi="Times New Roman" w:cs="Times New Roman"/>
          <w:b/>
          <w:sz w:val="24"/>
          <w:szCs w:val="24"/>
        </w:rPr>
      </w:pPr>
      <w:r>
        <w:rPr>
          <w:rFonts w:ascii="Times New Roman" w:hAnsi="Times New Roman" w:cs="Times New Roman"/>
          <w:b/>
          <w:sz w:val="24"/>
          <w:szCs w:val="24"/>
        </w:rPr>
        <w:t>3.1 The I</w:t>
      </w:r>
      <w:r w:rsidR="00170D70">
        <w:rPr>
          <w:rFonts w:ascii="Times New Roman" w:hAnsi="Times New Roman" w:cs="Times New Roman"/>
          <w:b/>
          <w:sz w:val="24"/>
          <w:szCs w:val="24"/>
        </w:rPr>
        <w:t xml:space="preserve">ncome </w:t>
      </w:r>
      <w:r>
        <w:rPr>
          <w:rFonts w:ascii="Times New Roman" w:hAnsi="Times New Roman" w:cs="Times New Roman"/>
          <w:b/>
          <w:sz w:val="24"/>
          <w:szCs w:val="24"/>
        </w:rPr>
        <w:t>G</w:t>
      </w:r>
      <w:r w:rsidR="00170D70">
        <w:rPr>
          <w:rFonts w:ascii="Times New Roman" w:hAnsi="Times New Roman" w:cs="Times New Roman"/>
          <w:b/>
          <w:sz w:val="24"/>
          <w:szCs w:val="24"/>
        </w:rPr>
        <w:t xml:space="preserve">ains from </w:t>
      </w:r>
      <w:r>
        <w:rPr>
          <w:rFonts w:ascii="Times New Roman" w:hAnsi="Times New Roman" w:cs="Times New Roman"/>
          <w:b/>
          <w:sz w:val="24"/>
          <w:szCs w:val="24"/>
        </w:rPr>
        <w:t>H</w:t>
      </w:r>
      <w:r w:rsidR="00170D70">
        <w:rPr>
          <w:rFonts w:ascii="Times New Roman" w:hAnsi="Times New Roman" w:cs="Times New Roman"/>
          <w:b/>
          <w:sz w:val="24"/>
          <w:szCs w:val="24"/>
        </w:rPr>
        <w:t>igh-</w:t>
      </w:r>
      <w:r w:rsidR="00A937E3">
        <w:rPr>
          <w:rFonts w:ascii="Times New Roman" w:hAnsi="Times New Roman" w:cs="Times New Roman"/>
          <w:b/>
          <w:sz w:val="24"/>
          <w:szCs w:val="24"/>
        </w:rPr>
        <w:t>s</w:t>
      </w:r>
      <w:r w:rsidR="00170D70">
        <w:rPr>
          <w:rFonts w:ascii="Times New Roman" w:hAnsi="Times New Roman" w:cs="Times New Roman"/>
          <w:b/>
          <w:sz w:val="24"/>
          <w:szCs w:val="24"/>
        </w:rPr>
        <w:t xml:space="preserve">killed </w:t>
      </w:r>
      <w:r>
        <w:rPr>
          <w:rFonts w:ascii="Times New Roman" w:hAnsi="Times New Roman" w:cs="Times New Roman"/>
          <w:b/>
          <w:sz w:val="24"/>
          <w:szCs w:val="24"/>
        </w:rPr>
        <w:t>E</w:t>
      </w:r>
      <w:r w:rsidR="00170D70">
        <w:rPr>
          <w:rFonts w:ascii="Times New Roman" w:hAnsi="Times New Roman" w:cs="Times New Roman"/>
          <w:b/>
          <w:sz w:val="24"/>
          <w:szCs w:val="24"/>
        </w:rPr>
        <w:t>migration</w:t>
      </w:r>
    </w:p>
    <w:p w:rsidR="00B01E56" w:rsidRPr="00B01E56" w:rsidRDefault="00B01E56" w:rsidP="00FD139B">
      <w:pPr>
        <w:tabs>
          <w:tab w:val="left" w:pos="426"/>
        </w:tabs>
        <w:spacing w:after="0"/>
        <w:contextualSpacing/>
        <w:jc w:val="both"/>
        <w:rPr>
          <w:rFonts w:ascii="Times New Roman" w:hAnsi="Times New Roman" w:cs="Times New Roman"/>
          <w:b/>
          <w:sz w:val="12"/>
          <w:szCs w:val="12"/>
        </w:rPr>
      </w:pPr>
    </w:p>
    <w:p w:rsidR="005803B4" w:rsidRDefault="00037E2A" w:rsidP="00FD139B">
      <w:pPr>
        <w:tabs>
          <w:tab w:val="left" w:pos="426"/>
        </w:tabs>
        <w:spacing w:after="0"/>
        <w:contextualSpacing/>
        <w:jc w:val="both"/>
        <w:rPr>
          <w:rFonts w:ascii="Times New Roman" w:hAnsi="Times New Roman" w:cs="Times New Roman"/>
          <w:sz w:val="24"/>
          <w:szCs w:val="24"/>
        </w:rPr>
      </w:pPr>
      <w:r>
        <w:rPr>
          <w:rFonts w:ascii="Times New Roman" w:hAnsi="Times New Roman" w:cs="Times New Roman"/>
          <w:sz w:val="24"/>
          <w:szCs w:val="24"/>
        </w:rPr>
        <w:t>Panel A of Table 2 presents the mean, standard deviation, and median annual gross income earned by individuals who are currently non-students and employed abroad.</w:t>
      </w:r>
      <w:r w:rsidR="001265D4">
        <w:rPr>
          <w:rStyle w:val="FootnoteReference"/>
          <w:rFonts w:ascii="Times New Roman" w:hAnsi="Times New Roman" w:cs="Times New Roman"/>
          <w:sz w:val="24"/>
          <w:szCs w:val="24"/>
        </w:rPr>
        <w:footnoteReference w:id="8"/>
      </w:r>
      <w:r w:rsidR="00F20927">
        <w:rPr>
          <w:rFonts w:ascii="Times New Roman" w:hAnsi="Times New Roman" w:cs="Times New Roman"/>
          <w:sz w:val="24"/>
          <w:szCs w:val="24"/>
        </w:rPr>
        <w:t xml:space="preserve"> We convert all currencies to US dollars at the exchange rates prevailing at the time of the survey. The mean annual income earned by emigrants is $57,000 for Micronesians, $88,000 for Tongans, </w:t>
      </w:r>
      <w:r w:rsidR="00F20927">
        <w:rPr>
          <w:rFonts w:ascii="Times New Roman" w:hAnsi="Times New Roman" w:cs="Times New Roman"/>
          <w:sz w:val="24"/>
          <w:szCs w:val="24"/>
        </w:rPr>
        <w:lastRenderedPageBreak/>
        <w:t xml:space="preserve">$93,000 for Papua New Guineans, $102,000 for Ghanaians, and $116,000 for New Zealanders. </w:t>
      </w:r>
      <w:r w:rsidR="00754482">
        <w:rPr>
          <w:rFonts w:ascii="Times New Roman" w:hAnsi="Times New Roman" w:cs="Times New Roman"/>
          <w:sz w:val="24"/>
          <w:szCs w:val="24"/>
        </w:rPr>
        <w:t xml:space="preserve">These are many multiples of per capita income for the developing countries, and considerably higher than the incomes being earned in the home country by return migrants and </w:t>
      </w:r>
      <w:r w:rsidR="00EB1047">
        <w:rPr>
          <w:rFonts w:ascii="Times New Roman" w:hAnsi="Times New Roman" w:cs="Times New Roman"/>
          <w:sz w:val="24"/>
          <w:szCs w:val="24"/>
        </w:rPr>
        <w:t>non-</w:t>
      </w:r>
      <w:r w:rsidR="00754482">
        <w:rPr>
          <w:rFonts w:ascii="Times New Roman" w:hAnsi="Times New Roman" w:cs="Times New Roman"/>
          <w:sz w:val="24"/>
          <w:szCs w:val="24"/>
        </w:rPr>
        <w:t xml:space="preserve">migrants (Table 2, panel B). </w:t>
      </w:r>
      <w:r w:rsidR="00C016FC">
        <w:rPr>
          <w:rFonts w:ascii="Times New Roman" w:hAnsi="Times New Roman" w:cs="Times New Roman"/>
          <w:sz w:val="24"/>
          <w:szCs w:val="24"/>
        </w:rPr>
        <w:t>A simple estimate of the income gain from migration is then just obtained by comparing these two means (A – B mean in Table 2), and shows an annual income gain ranging from $US3</w:t>
      </w:r>
      <w:r w:rsidR="00A725CF">
        <w:rPr>
          <w:rFonts w:ascii="Times New Roman" w:hAnsi="Times New Roman" w:cs="Times New Roman"/>
          <w:sz w:val="24"/>
          <w:szCs w:val="24"/>
        </w:rPr>
        <w:t>5</w:t>
      </w:r>
      <w:r w:rsidR="00C016FC">
        <w:rPr>
          <w:rFonts w:ascii="Times New Roman" w:hAnsi="Times New Roman" w:cs="Times New Roman"/>
          <w:sz w:val="24"/>
          <w:szCs w:val="24"/>
        </w:rPr>
        <w:t xml:space="preserve">,000 for the </w:t>
      </w:r>
      <w:r w:rsidR="00A725CF">
        <w:rPr>
          <w:rFonts w:ascii="Times New Roman" w:hAnsi="Times New Roman" w:cs="Times New Roman"/>
          <w:sz w:val="24"/>
          <w:szCs w:val="24"/>
        </w:rPr>
        <w:t>Micronesians</w:t>
      </w:r>
      <w:r w:rsidR="00C016FC">
        <w:rPr>
          <w:rFonts w:ascii="Times New Roman" w:hAnsi="Times New Roman" w:cs="Times New Roman"/>
          <w:sz w:val="24"/>
          <w:szCs w:val="24"/>
        </w:rPr>
        <w:t xml:space="preserve"> to US$79,000 for the Ghanaians. </w:t>
      </w:r>
      <w:r w:rsidR="00CD6988">
        <w:rPr>
          <w:rFonts w:ascii="Times New Roman" w:hAnsi="Times New Roman" w:cs="Times New Roman"/>
          <w:sz w:val="24"/>
          <w:szCs w:val="24"/>
        </w:rPr>
        <w:t xml:space="preserve">At a discount rate of 5% per year, the gains from spending 30 years working abroad rather than at home would thus range from $532,000 to $US1.27 million.  </w:t>
      </w:r>
    </w:p>
    <w:p w:rsidR="00B01E56" w:rsidRDefault="00B01E56" w:rsidP="00FD139B">
      <w:pPr>
        <w:tabs>
          <w:tab w:val="left" w:pos="426"/>
        </w:tabs>
        <w:spacing w:after="0"/>
        <w:contextualSpacing/>
        <w:jc w:val="both"/>
        <w:rPr>
          <w:rFonts w:ascii="Times New Roman" w:hAnsi="Times New Roman" w:cs="Times New Roman"/>
          <w:sz w:val="24"/>
          <w:szCs w:val="24"/>
        </w:rPr>
      </w:pPr>
    </w:p>
    <w:p w:rsidR="00EB1047" w:rsidRDefault="00E869D7" w:rsidP="00FD139B">
      <w:pPr>
        <w:tabs>
          <w:tab w:val="left" w:pos="426"/>
          <w:tab w:val="right" w:pos="8931"/>
        </w:tabs>
        <w:spacing w:after="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Typically a simple comparison of migrants and </w:t>
      </w:r>
      <w:r w:rsidR="00EB1047">
        <w:rPr>
          <w:rFonts w:ascii="Times New Roman" w:hAnsi="Times New Roman" w:cs="Times New Roman"/>
          <w:sz w:val="24"/>
          <w:szCs w:val="24"/>
        </w:rPr>
        <w:t>those in the home country</w:t>
      </w:r>
      <w:r>
        <w:rPr>
          <w:rFonts w:ascii="Times New Roman" w:hAnsi="Times New Roman" w:cs="Times New Roman"/>
          <w:sz w:val="24"/>
          <w:szCs w:val="24"/>
        </w:rPr>
        <w:t xml:space="preserve"> would not be very informative about the gains to be had from migration because of concerns about selectivity. </w:t>
      </w:r>
      <w:r w:rsidR="00EB1047">
        <w:rPr>
          <w:rFonts w:ascii="Times New Roman" w:hAnsi="Times New Roman" w:cs="Times New Roman"/>
          <w:sz w:val="24"/>
          <w:szCs w:val="24"/>
        </w:rPr>
        <w:t xml:space="preserve">In our case, such concerns should be a lot less severe, since </w:t>
      </w:r>
      <w:r w:rsidR="009937A5">
        <w:rPr>
          <w:rFonts w:ascii="Times New Roman" w:hAnsi="Times New Roman" w:cs="Times New Roman"/>
          <w:sz w:val="24"/>
          <w:szCs w:val="24"/>
        </w:rPr>
        <w:t xml:space="preserve">we </w:t>
      </w:r>
      <w:r w:rsidR="00EB1047">
        <w:rPr>
          <w:rFonts w:ascii="Times New Roman" w:hAnsi="Times New Roman" w:cs="Times New Roman"/>
          <w:sz w:val="24"/>
          <w:szCs w:val="24"/>
        </w:rPr>
        <w:t>are looking at a group of individuals who are all very similar in terms of ability</w:t>
      </w:r>
      <w:r w:rsidR="00E24605">
        <w:rPr>
          <w:rFonts w:ascii="Times New Roman" w:hAnsi="Times New Roman" w:cs="Times New Roman"/>
          <w:sz w:val="24"/>
          <w:szCs w:val="24"/>
        </w:rPr>
        <w:t xml:space="preserve"> (implicitly we are already matching individuals in terms of performance in high school)</w:t>
      </w:r>
      <w:r w:rsidR="00EB1047">
        <w:rPr>
          <w:rFonts w:ascii="Times New Roman" w:hAnsi="Times New Roman" w:cs="Times New Roman"/>
          <w:sz w:val="24"/>
          <w:szCs w:val="24"/>
        </w:rPr>
        <w:t>. To a first-order the non-migrants and return migrants may therefore be a reasonable counterfactual for what the migrants would be earning were they in the home country. Nevertheless, we employ several approaches to examine how robust these estimates are. The first is to control for observable differences through a regression:</w:t>
      </w:r>
    </w:p>
    <w:p w:rsidR="00B01E56" w:rsidRDefault="00B01E56" w:rsidP="00FD139B">
      <w:pPr>
        <w:tabs>
          <w:tab w:val="left" w:pos="426"/>
        </w:tabs>
        <w:spacing w:after="0"/>
        <w:ind w:firstLine="360"/>
        <w:contextualSpacing/>
        <w:jc w:val="both"/>
        <w:rPr>
          <w:rFonts w:ascii="Times New Roman" w:hAnsi="Times New Roman" w:cs="Times New Roman"/>
          <w:sz w:val="24"/>
          <w:szCs w:val="24"/>
        </w:rPr>
      </w:pPr>
    </w:p>
    <w:p w:rsidR="00E869D7" w:rsidRDefault="002B5AB6" w:rsidP="00FD139B">
      <w:pPr>
        <w:tabs>
          <w:tab w:val="left" w:pos="426"/>
        </w:tabs>
        <w:spacing w:after="0"/>
        <w:ind w:left="360" w:firstLine="360"/>
        <w:contextualSpacing/>
        <w:jc w:val="both"/>
        <w:rPr>
          <w:rFonts w:ascii="Times New Roman" w:hAnsi="Times New Roman" w:cs="Times New Roman"/>
          <w:sz w:val="24"/>
          <w:szCs w:val="24"/>
        </w:rPr>
      </w:pPr>
      <m:oMath>
        <m:sSub>
          <m:sSubPr>
            <m:ctrlPr>
              <w:rPr>
                <w:rFonts w:ascii="Cambria Math" w:hAnsi="Cambria Math" w:cs="Times New Roman"/>
                <w:i/>
              </w:rPr>
            </m:ctrlPr>
          </m:sSubPr>
          <m:e>
            <m:r>
              <w:rPr>
                <w:rFonts w:ascii="Cambria Math" w:hAnsi="Cambria Math" w:cs="Times New Roman"/>
              </w:rPr>
              <m:t>INCOME</m:t>
            </m:r>
          </m:e>
          <m:sub>
            <m:r>
              <w:rPr>
                <w:rFonts w:ascii="Cambria Math" w:hAnsi="Cambria Math" w:cs="Times New Roman"/>
              </w:rPr>
              <m:t>i</m:t>
            </m:r>
          </m:sub>
        </m:sSub>
        <m:r>
          <w:rPr>
            <w:rFonts w:ascii="Cambria Math" w:hAnsi="Cambria Math" w:cs="Times New Roman"/>
          </w:rPr>
          <m:t>=α+β</m:t>
        </m:r>
        <m:sSub>
          <m:sSubPr>
            <m:ctrlPr>
              <w:rPr>
                <w:rFonts w:ascii="Cambria Math" w:hAnsi="Cambria Math" w:cs="Times New Roman"/>
                <w:i/>
              </w:rPr>
            </m:ctrlPr>
          </m:sSubPr>
          <m:e>
            <m:r>
              <w:rPr>
                <w:rFonts w:ascii="Cambria Math" w:hAnsi="Cambria Math" w:cs="Times New Roman"/>
              </w:rPr>
              <m:t>CURRENTMIGRANT</m:t>
            </m:r>
          </m:e>
          <m:sub>
            <m:r>
              <w:rPr>
                <w:rFonts w:ascii="Cambria Math" w:hAnsi="Cambria Math" w:cs="Times New Roman"/>
              </w:rPr>
              <m:t>i</m:t>
            </m:r>
          </m:sub>
        </m:sSub>
        <m:r>
          <w:rPr>
            <w:rFonts w:ascii="Cambria Math" w:hAnsi="Cambria Math" w:cs="Times New Roman"/>
          </w:rPr>
          <m:t>+γ'</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m:t>
            </m:r>
          </m:sub>
        </m:sSub>
      </m:oMath>
      <w:r w:rsidR="00EB1047">
        <w:rPr>
          <w:rFonts w:ascii="Times New Roman" w:hAnsi="Times New Roman" w:cs="Times New Roman"/>
          <w:sz w:val="24"/>
          <w:szCs w:val="24"/>
        </w:rPr>
        <w:t xml:space="preserve"> </w:t>
      </w:r>
      <w:r w:rsidR="00A725CF">
        <w:rPr>
          <w:rFonts w:ascii="Times New Roman" w:hAnsi="Times New Roman" w:cs="Times New Roman"/>
          <w:sz w:val="24"/>
          <w:szCs w:val="24"/>
        </w:rPr>
        <w:tab/>
      </w:r>
      <w:r w:rsidR="00A725CF">
        <w:rPr>
          <w:rFonts w:ascii="Times New Roman" w:hAnsi="Times New Roman" w:cs="Times New Roman"/>
          <w:sz w:val="24"/>
          <w:szCs w:val="24"/>
        </w:rPr>
        <w:tab/>
      </w:r>
      <w:r w:rsidR="00A725CF">
        <w:rPr>
          <w:rFonts w:ascii="Times New Roman" w:hAnsi="Times New Roman" w:cs="Times New Roman"/>
          <w:sz w:val="24"/>
          <w:szCs w:val="24"/>
        </w:rPr>
        <w:tab/>
      </w:r>
      <w:r w:rsidR="00A725CF">
        <w:rPr>
          <w:rFonts w:ascii="Times New Roman" w:hAnsi="Times New Roman" w:cs="Times New Roman"/>
          <w:sz w:val="24"/>
          <w:szCs w:val="24"/>
        </w:rPr>
        <w:tab/>
      </w:r>
      <w:r w:rsidR="00B01E56">
        <w:rPr>
          <w:rFonts w:ascii="Times New Roman" w:hAnsi="Times New Roman" w:cs="Times New Roman"/>
          <w:sz w:val="24"/>
          <w:szCs w:val="24"/>
        </w:rPr>
        <w:tab/>
      </w:r>
      <w:r w:rsidR="00DA6E7D" w:rsidRPr="00B01E56">
        <w:rPr>
          <w:rFonts w:ascii="Times New Roman" w:hAnsi="Times New Roman" w:cs="Times New Roman"/>
        </w:rPr>
        <w:t>(1)</w:t>
      </w:r>
    </w:p>
    <w:p w:rsidR="00B01E56" w:rsidRDefault="00B01E56" w:rsidP="00FD139B">
      <w:pPr>
        <w:tabs>
          <w:tab w:val="left" w:pos="426"/>
        </w:tabs>
        <w:spacing w:after="0"/>
        <w:ind w:left="360" w:firstLine="360"/>
        <w:contextualSpacing/>
        <w:jc w:val="both"/>
        <w:rPr>
          <w:rFonts w:ascii="Times New Roman" w:hAnsi="Times New Roman" w:cs="Times New Roman"/>
          <w:sz w:val="24"/>
          <w:szCs w:val="24"/>
        </w:rPr>
      </w:pPr>
    </w:p>
    <w:p w:rsidR="00383116" w:rsidRDefault="00A725CF" w:rsidP="00FD139B">
      <w:pPr>
        <w:tabs>
          <w:tab w:val="left" w:pos="426"/>
        </w:tabs>
        <w:spacing w:after="0"/>
        <w:ind w:firstLine="360"/>
        <w:contextualSpacing/>
        <w:jc w:val="both"/>
        <w:rPr>
          <w:rFonts w:ascii="Times New Roman" w:hAnsi="Times New Roman" w:cs="Times New Roman"/>
          <w:sz w:val="24"/>
          <w:szCs w:val="24"/>
        </w:rPr>
      </w:pPr>
      <w:r>
        <w:rPr>
          <w:rFonts w:ascii="Times New Roman" w:hAnsi="Times New Roman" w:cs="Times New Roman"/>
          <w:sz w:val="24"/>
          <w:szCs w:val="24"/>
        </w:rPr>
        <w:t>We control</w:t>
      </w:r>
      <w:r w:rsidR="00DA6E7D">
        <w:rPr>
          <w:rFonts w:ascii="Times New Roman" w:hAnsi="Times New Roman" w:cs="Times New Roman"/>
          <w:sz w:val="24"/>
          <w:szCs w:val="24"/>
        </w:rPr>
        <w:t xml:space="preserve"> for age</w:t>
      </w:r>
      <w:r>
        <w:rPr>
          <w:rFonts w:ascii="Times New Roman" w:hAnsi="Times New Roman" w:cs="Times New Roman"/>
          <w:sz w:val="24"/>
          <w:szCs w:val="24"/>
        </w:rPr>
        <w:t>,</w:t>
      </w:r>
      <w:r w:rsidR="00DA6E7D">
        <w:rPr>
          <w:rFonts w:ascii="Times New Roman" w:hAnsi="Times New Roman" w:cs="Times New Roman"/>
          <w:sz w:val="24"/>
          <w:szCs w:val="24"/>
        </w:rPr>
        <w:t xml:space="preserve"> sex, country of birth (since some of the top students </w:t>
      </w:r>
      <w:r w:rsidR="009A52F7">
        <w:rPr>
          <w:rFonts w:ascii="Times New Roman" w:hAnsi="Times New Roman" w:cs="Times New Roman"/>
          <w:sz w:val="24"/>
          <w:szCs w:val="24"/>
        </w:rPr>
        <w:t>were</w:t>
      </w:r>
      <w:r w:rsidR="00DA6E7D">
        <w:rPr>
          <w:rFonts w:ascii="Times New Roman" w:hAnsi="Times New Roman" w:cs="Times New Roman"/>
          <w:sz w:val="24"/>
          <w:szCs w:val="24"/>
        </w:rPr>
        <w:t xml:space="preserve"> themselves </w:t>
      </w:r>
      <w:r w:rsidR="009A52F7">
        <w:rPr>
          <w:rFonts w:ascii="Times New Roman" w:hAnsi="Times New Roman" w:cs="Times New Roman"/>
          <w:sz w:val="24"/>
          <w:szCs w:val="24"/>
        </w:rPr>
        <w:t>im</w:t>
      </w:r>
      <w:r w:rsidR="00DA6E7D">
        <w:rPr>
          <w:rFonts w:ascii="Times New Roman" w:hAnsi="Times New Roman" w:cs="Times New Roman"/>
          <w:sz w:val="24"/>
          <w:szCs w:val="24"/>
        </w:rPr>
        <w:t xml:space="preserve">migrants), mother’s and father’s education, and self-assessed family wealth at the end of high school (above average wealth, average wealth, or below average wealth). These variables control for family background characteristics which might plausibly </w:t>
      </w:r>
      <w:r w:rsidR="00D21579">
        <w:rPr>
          <w:rFonts w:ascii="Times New Roman" w:hAnsi="Times New Roman" w:cs="Times New Roman"/>
          <w:sz w:val="24"/>
          <w:szCs w:val="24"/>
        </w:rPr>
        <w:t xml:space="preserve">affect both income earned and migration choices. The results are shown as Regression </w:t>
      </w:r>
      <w:r>
        <w:rPr>
          <w:rFonts w:ascii="Times New Roman" w:hAnsi="Times New Roman" w:cs="Times New Roman"/>
          <w:sz w:val="24"/>
          <w:szCs w:val="24"/>
        </w:rPr>
        <w:t>1</w:t>
      </w:r>
      <w:r w:rsidR="00D21579">
        <w:rPr>
          <w:rFonts w:ascii="Times New Roman" w:hAnsi="Times New Roman" w:cs="Times New Roman"/>
          <w:sz w:val="24"/>
          <w:szCs w:val="24"/>
        </w:rPr>
        <w:t xml:space="preserve"> in Table 2. </w:t>
      </w:r>
      <w:r w:rsidR="00383116">
        <w:rPr>
          <w:rFonts w:ascii="Times New Roman" w:hAnsi="Times New Roman" w:cs="Times New Roman"/>
          <w:sz w:val="24"/>
          <w:szCs w:val="24"/>
        </w:rPr>
        <w:t>We also consider a second specification, which separates out the return migrants from the non-migrants:</w:t>
      </w:r>
    </w:p>
    <w:p w:rsidR="00B01E56" w:rsidRDefault="00B01E56" w:rsidP="00FD139B">
      <w:pPr>
        <w:tabs>
          <w:tab w:val="left" w:pos="426"/>
        </w:tabs>
        <w:spacing w:after="0"/>
        <w:ind w:firstLine="360"/>
        <w:contextualSpacing/>
        <w:jc w:val="both"/>
        <w:rPr>
          <w:rFonts w:ascii="Times New Roman" w:hAnsi="Times New Roman" w:cs="Times New Roman"/>
          <w:sz w:val="24"/>
          <w:szCs w:val="24"/>
        </w:rPr>
      </w:pPr>
    </w:p>
    <w:p w:rsidR="00383116" w:rsidRDefault="002B5AB6" w:rsidP="00FD139B">
      <w:pPr>
        <w:tabs>
          <w:tab w:val="left" w:pos="426"/>
          <w:tab w:val="right" w:pos="9027"/>
        </w:tabs>
        <w:spacing w:after="0"/>
        <w:ind w:left="360" w:firstLine="360"/>
        <w:contextualSpacing/>
        <w:jc w:val="both"/>
        <w:rPr>
          <w:rFonts w:ascii="Times New Roman" w:hAnsi="Times New Roman" w:cs="Times New Roman"/>
          <w:sz w:val="24"/>
          <w:szCs w:val="24"/>
        </w:rPr>
      </w:pPr>
      <m:oMath>
        <m:sSub>
          <m:sSubPr>
            <m:ctrlPr>
              <w:rPr>
                <w:rFonts w:ascii="Cambria Math" w:hAnsi="Cambria Math" w:cs="Times New Roman"/>
                <w:i/>
              </w:rPr>
            </m:ctrlPr>
          </m:sSubPr>
          <m:e>
            <m:r>
              <w:rPr>
                <w:rFonts w:ascii="Cambria Math" w:hAnsi="Cambria Math" w:cs="Times New Roman"/>
              </w:rPr>
              <m:t>INCOME</m:t>
            </m:r>
          </m:e>
          <m:sub>
            <m:r>
              <w:rPr>
                <w:rFonts w:ascii="Cambria Math" w:hAnsi="Cambria Math" w:cs="Times New Roman"/>
              </w:rPr>
              <m:t>i</m:t>
            </m:r>
          </m:sub>
        </m:sSub>
        <m:r>
          <w:rPr>
            <w:rFonts w:ascii="Cambria Math" w:hAnsi="Cambria Math" w:cs="Times New Roman"/>
          </w:rPr>
          <m:t>=α+β</m:t>
        </m:r>
        <m:sSub>
          <m:sSubPr>
            <m:ctrlPr>
              <w:rPr>
                <w:rFonts w:ascii="Cambria Math" w:hAnsi="Cambria Math" w:cs="Times New Roman"/>
                <w:i/>
              </w:rPr>
            </m:ctrlPr>
          </m:sSubPr>
          <m:e>
            <m:r>
              <w:rPr>
                <w:rFonts w:ascii="Cambria Math" w:hAnsi="Cambria Math" w:cs="Times New Roman"/>
              </w:rPr>
              <m:t>CURRENTMIGRANT</m:t>
            </m:r>
          </m:e>
          <m:sub>
            <m:r>
              <w:rPr>
                <w:rFonts w:ascii="Cambria Math" w:hAnsi="Cambria Math" w:cs="Times New Roman"/>
              </w:rPr>
              <m:t>i</m:t>
            </m:r>
          </m:sub>
        </m:sSub>
        <m:r>
          <w:rPr>
            <w:rFonts w:ascii="Cambria Math" w:hAnsi="Cambria Math" w:cs="Times New Roman"/>
          </w:rPr>
          <m:t>+δ</m:t>
        </m:r>
        <m:sSub>
          <m:sSubPr>
            <m:ctrlPr>
              <w:rPr>
                <w:rFonts w:ascii="Cambria Math" w:hAnsi="Cambria Math" w:cs="Times New Roman"/>
                <w:i/>
              </w:rPr>
            </m:ctrlPr>
          </m:sSubPr>
          <m:e>
            <m:r>
              <w:rPr>
                <w:rFonts w:ascii="Cambria Math" w:hAnsi="Cambria Math" w:cs="Times New Roman"/>
              </w:rPr>
              <m:t>RETURNMIGRANT</m:t>
            </m:r>
          </m:e>
          <m:sub>
            <m:r>
              <w:rPr>
                <w:rFonts w:ascii="Cambria Math" w:hAnsi="Cambria Math" w:cs="Times New Roman"/>
              </w:rPr>
              <m:t>i</m:t>
            </m:r>
          </m:sub>
        </m:sSub>
        <m:r>
          <w:rPr>
            <w:rFonts w:ascii="Cambria Math" w:hAnsi="Cambria Math" w:cs="Times New Roman"/>
          </w:rPr>
          <m:t>+γ'</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m:t>
            </m:r>
          </m:sub>
        </m:sSub>
      </m:oMath>
      <w:r w:rsidR="00383116">
        <w:rPr>
          <w:rFonts w:ascii="Times New Roman" w:hAnsi="Times New Roman" w:cs="Times New Roman"/>
          <w:sz w:val="24"/>
          <w:szCs w:val="24"/>
        </w:rPr>
        <w:t xml:space="preserve"> </w:t>
      </w:r>
      <w:r w:rsidR="00383116">
        <w:rPr>
          <w:rFonts w:ascii="Times New Roman" w:hAnsi="Times New Roman" w:cs="Times New Roman"/>
          <w:sz w:val="24"/>
          <w:szCs w:val="24"/>
        </w:rPr>
        <w:tab/>
      </w:r>
      <w:r w:rsidR="00383116" w:rsidRPr="00B01E56">
        <w:rPr>
          <w:rFonts w:ascii="Times New Roman" w:hAnsi="Times New Roman" w:cs="Times New Roman"/>
        </w:rPr>
        <w:t>(2)</w:t>
      </w:r>
    </w:p>
    <w:p w:rsidR="00B01E56" w:rsidRDefault="00B01E56" w:rsidP="00FD139B">
      <w:pPr>
        <w:tabs>
          <w:tab w:val="left" w:pos="426"/>
        </w:tabs>
        <w:spacing w:after="0"/>
        <w:ind w:firstLine="360"/>
        <w:contextualSpacing/>
        <w:jc w:val="both"/>
        <w:rPr>
          <w:rFonts w:ascii="Times New Roman" w:hAnsi="Times New Roman" w:cs="Times New Roman"/>
          <w:sz w:val="24"/>
          <w:szCs w:val="24"/>
        </w:rPr>
      </w:pPr>
    </w:p>
    <w:p w:rsidR="00DA6E7D" w:rsidRDefault="00383116" w:rsidP="00FD139B">
      <w:pPr>
        <w:tabs>
          <w:tab w:val="left" w:pos="426"/>
        </w:tabs>
        <w:spacing w:after="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This </w:t>
      </w:r>
      <w:r w:rsidR="00855278">
        <w:rPr>
          <w:rFonts w:ascii="Times New Roman" w:hAnsi="Times New Roman" w:cs="Times New Roman"/>
          <w:sz w:val="24"/>
          <w:szCs w:val="24"/>
        </w:rPr>
        <w:t>specification uses only non-migrants as the comparison group, rather than all individuals working in the home country. We discuss the coefficients on the return migrant dummy in a later section of the paper.</w:t>
      </w:r>
      <w:r w:rsidR="00DE5013">
        <w:rPr>
          <w:rFonts w:ascii="Times New Roman" w:hAnsi="Times New Roman" w:cs="Times New Roman"/>
          <w:sz w:val="24"/>
          <w:szCs w:val="24"/>
        </w:rPr>
        <w:t xml:space="preserve"> </w:t>
      </w:r>
      <w:r w:rsidR="00E64BEE">
        <w:rPr>
          <w:rFonts w:ascii="Times New Roman" w:hAnsi="Times New Roman" w:cs="Times New Roman"/>
          <w:sz w:val="24"/>
          <w:szCs w:val="24"/>
        </w:rPr>
        <w:t xml:space="preserve">Comparing the regression estimates to the simple comparison of means gives </w:t>
      </w:r>
      <w:r w:rsidR="00DE5013">
        <w:rPr>
          <w:rFonts w:ascii="Times New Roman" w:hAnsi="Times New Roman" w:cs="Times New Roman"/>
          <w:sz w:val="24"/>
          <w:szCs w:val="24"/>
        </w:rPr>
        <w:t xml:space="preserve">broadly </w:t>
      </w:r>
      <w:r w:rsidR="00E64BEE">
        <w:rPr>
          <w:rFonts w:ascii="Times New Roman" w:hAnsi="Times New Roman" w:cs="Times New Roman"/>
          <w:sz w:val="24"/>
          <w:szCs w:val="24"/>
        </w:rPr>
        <w:t>simila</w:t>
      </w:r>
      <w:r w:rsidR="00DE5013">
        <w:rPr>
          <w:rFonts w:ascii="Times New Roman" w:hAnsi="Times New Roman" w:cs="Times New Roman"/>
          <w:sz w:val="24"/>
          <w:szCs w:val="24"/>
        </w:rPr>
        <w:t xml:space="preserve">r estimates of the income gains, with the controls having most effect for Papua New Guinea and Tonga. </w:t>
      </w:r>
    </w:p>
    <w:p w:rsidR="00B01E56" w:rsidRDefault="00B01E56" w:rsidP="00FD139B">
      <w:pPr>
        <w:tabs>
          <w:tab w:val="left" w:pos="426"/>
        </w:tabs>
        <w:spacing w:after="0"/>
        <w:ind w:firstLine="360"/>
        <w:contextualSpacing/>
        <w:jc w:val="both"/>
        <w:rPr>
          <w:rFonts w:ascii="Times New Roman" w:hAnsi="Times New Roman" w:cs="Times New Roman"/>
          <w:sz w:val="24"/>
          <w:szCs w:val="24"/>
        </w:rPr>
      </w:pPr>
    </w:p>
    <w:p w:rsidR="00DE5013" w:rsidRDefault="004A0806" w:rsidP="00FD139B">
      <w:pPr>
        <w:tabs>
          <w:tab w:val="left" w:pos="426"/>
        </w:tabs>
        <w:spacing w:after="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A second approach is to ask the migrants directly what income they would expect to earn if they were instead working at home. </w:t>
      </w:r>
      <w:r w:rsidR="00F33224">
        <w:rPr>
          <w:rFonts w:ascii="Times New Roman" w:hAnsi="Times New Roman" w:cs="Times New Roman"/>
          <w:sz w:val="24"/>
          <w:szCs w:val="24"/>
        </w:rPr>
        <w:t xml:space="preserve">This approach has the advantage of setting the counterfactual as exactly what we would like: the identical individual working at home. </w:t>
      </w:r>
      <w:r w:rsidR="00FA5044">
        <w:rPr>
          <w:rFonts w:ascii="Times New Roman" w:hAnsi="Times New Roman" w:cs="Times New Roman"/>
          <w:sz w:val="24"/>
          <w:szCs w:val="24"/>
        </w:rPr>
        <w:t xml:space="preserve">These high-skilled individuals seem quite well informed about salary levels in their home countries, and we see, for example, someone who says they would be an academic in the home country reporting they would earn an income similar to those people we actually observe in our data as academics in the home country. </w:t>
      </w:r>
      <w:r w:rsidR="00F33224">
        <w:rPr>
          <w:rFonts w:ascii="Times New Roman" w:hAnsi="Times New Roman" w:cs="Times New Roman"/>
          <w:sz w:val="24"/>
          <w:szCs w:val="24"/>
        </w:rPr>
        <w:t xml:space="preserve">Panel C of Table 2 summarizes these </w:t>
      </w:r>
      <w:r w:rsidR="00F33224">
        <w:rPr>
          <w:rFonts w:ascii="Times New Roman" w:hAnsi="Times New Roman" w:cs="Times New Roman"/>
          <w:sz w:val="24"/>
          <w:szCs w:val="24"/>
        </w:rPr>
        <w:lastRenderedPageBreak/>
        <w:t xml:space="preserve">answers, while the difference (A - C) is the mean self-assessed income gain from migration. </w:t>
      </w:r>
      <w:r w:rsidR="00DE5013">
        <w:rPr>
          <w:rFonts w:ascii="Times New Roman" w:hAnsi="Times New Roman" w:cs="Times New Roman"/>
          <w:sz w:val="24"/>
          <w:szCs w:val="24"/>
        </w:rPr>
        <w:t xml:space="preserve">This difference is very similar to the regression estimates for four of the five countries. The exception is Tonga, where the regression estimates of $62,000-69,000 are a </w:t>
      </w:r>
      <w:r w:rsidR="002906D3">
        <w:rPr>
          <w:rFonts w:ascii="Times New Roman" w:hAnsi="Times New Roman" w:cs="Times New Roman"/>
          <w:sz w:val="24"/>
          <w:szCs w:val="24"/>
        </w:rPr>
        <w:t xml:space="preserve">little </w:t>
      </w:r>
      <w:r w:rsidR="00DE5013">
        <w:rPr>
          <w:rFonts w:ascii="Times New Roman" w:hAnsi="Times New Roman" w:cs="Times New Roman"/>
          <w:sz w:val="24"/>
          <w:szCs w:val="24"/>
        </w:rPr>
        <w:t xml:space="preserve">bit lower than the simple difference in means of $76,000-77,000. </w:t>
      </w:r>
      <w:r w:rsidR="002906D3">
        <w:rPr>
          <w:rFonts w:ascii="Times New Roman" w:hAnsi="Times New Roman" w:cs="Times New Roman"/>
          <w:sz w:val="24"/>
          <w:szCs w:val="24"/>
        </w:rPr>
        <w:t xml:space="preserve">Nevertheless, the simple difference in means </w:t>
      </w:r>
      <w:r w:rsidR="007814B3">
        <w:rPr>
          <w:rFonts w:ascii="Times New Roman" w:hAnsi="Times New Roman" w:cs="Times New Roman"/>
          <w:sz w:val="24"/>
          <w:szCs w:val="24"/>
        </w:rPr>
        <w:t>is</w:t>
      </w:r>
      <w:r w:rsidR="002906D3">
        <w:rPr>
          <w:rFonts w:ascii="Times New Roman" w:hAnsi="Times New Roman" w:cs="Times New Roman"/>
          <w:sz w:val="24"/>
          <w:szCs w:val="24"/>
        </w:rPr>
        <w:t xml:space="preserve"> still well within the confidence intervals for the regression estimates even in this case.</w:t>
      </w:r>
    </w:p>
    <w:p w:rsidR="00B01E56" w:rsidRDefault="00B01E56" w:rsidP="00FD139B">
      <w:pPr>
        <w:tabs>
          <w:tab w:val="left" w:pos="426"/>
        </w:tabs>
        <w:spacing w:after="0"/>
        <w:ind w:firstLine="360"/>
        <w:contextualSpacing/>
        <w:jc w:val="both"/>
        <w:rPr>
          <w:rFonts w:ascii="Times New Roman" w:hAnsi="Times New Roman" w:cs="Times New Roman"/>
          <w:sz w:val="24"/>
          <w:szCs w:val="24"/>
        </w:rPr>
      </w:pPr>
    </w:p>
    <w:p w:rsidR="00DF2493" w:rsidRDefault="007765A7" w:rsidP="00FD139B">
      <w:pPr>
        <w:tabs>
          <w:tab w:val="left" w:pos="426"/>
        </w:tabs>
        <w:spacing w:after="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Finally, we attempted to construct instrumental variables for migration. We examined three classes of </w:t>
      </w:r>
      <w:r w:rsidR="00BA4820">
        <w:rPr>
          <w:rFonts w:ascii="Times New Roman" w:hAnsi="Times New Roman" w:cs="Times New Roman"/>
          <w:sz w:val="24"/>
          <w:szCs w:val="24"/>
        </w:rPr>
        <w:t>potential instruments. The first was macroeconomic shocks and political events such as coups; the second was birth-order; and the third was shocks such as parental illness and extreme weather events that occurred when the individual was aged 18 to 22</w:t>
      </w:r>
      <w:r w:rsidR="00D504FB">
        <w:rPr>
          <w:rFonts w:ascii="Times New Roman" w:hAnsi="Times New Roman" w:cs="Times New Roman"/>
          <w:sz w:val="24"/>
          <w:szCs w:val="24"/>
        </w:rPr>
        <w:t xml:space="preserve"> (the prime age for migration in the sample)</w:t>
      </w:r>
      <w:r w:rsidR="00BA4820">
        <w:rPr>
          <w:rFonts w:ascii="Times New Roman" w:hAnsi="Times New Roman" w:cs="Times New Roman"/>
          <w:sz w:val="24"/>
          <w:szCs w:val="24"/>
        </w:rPr>
        <w:t xml:space="preserve">. The latter two categories of variables were only collected for Ghana and Micronesia. </w:t>
      </w:r>
      <w:r w:rsidR="00F064D7">
        <w:rPr>
          <w:rFonts w:ascii="Times New Roman" w:hAnsi="Times New Roman" w:cs="Times New Roman"/>
          <w:sz w:val="24"/>
          <w:szCs w:val="24"/>
        </w:rPr>
        <w:t>We found these types of variables had very low predictive power for predicting migra</w:t>
      </w:r>
      <w:r w:rsidR="00D504FB">
        <w:rPr>
          <w:rFonts w:ascii="Times New Roman" w:hAnsi="Times New Roman" w:cs="Times New Roman"/>
          <w:sz w:val="24"/>
          <w:szCs w:val="24"/>
        </w:rPr>
        <w:t>nt status</w:t>
      </w:r>
      <w:r w:rsidR="00F064D7">
        <w:rPr>
          <w:rFonts w:ascii="Times New Roman" w:hAnsi="Times New Roman" w:cs="Times New Roman"/>
          <w:sz w:val="24"/>
          <w:szCs w:val="24"/>
        </w:rPr>
        <w:t xml:space="preserve">, with the only </w:t>
      </w:r>
      <w:r w:rsidR="00E24605">
        <w:rPr>
          <w:rFonts w:ascii="Times New Roman" w:hAnsi="Times New Roman" w:cs="Times New Roman"/>
          <w:sz w:val="24"/>
          <w:szCs w:val="24"/>
        </w:rPr>
        <w:t xml:space="preserve">(weakly) </w:t>
      </w:r>
      <w:r w:rsidR="00F064D7">
        <w:rPr>
          <w:rFonts w:ascii="Times New Roman" w:hAnsi="Times New Roman" w:cs="Times New Roman"/>
          <w:sz w:val="24"/>
          <w:szCs w:val="24"/>
        </w:rPr>
        <w:t>significant first-stage being in Micronesia, where individuals who experienced a typhoon in their home region when aged 18 to 22 were more likely to have migrated (F-statistic of 3.63). The two-stage least squares estimate using this as an instrument gave a similar income gain to that obtained using the other two approaches.</w:t>
      </w:r>
    </w:p>
    <w:p w:rsidR="00B01E56" w:rsidRDefault="00B01E56" w:rsidP="00FD139B">
      <w:pPr>
        <w:tabs>
          <w:tab w:val="left" w:pos="426"/>
        </w:tabs>
        <w:spacing w:after="0"/>
        <w:ind w:firstLine="360"/>
        <w:contextualSpacing/>
        <w:jc w:val="both"/>
        <w:rPr>
          <w:rFonts w:ascii="Times New Roman" w:hAnsi="Times New Roman" w:cs="Times New Roman"/>
          <w:sz w:val="24"/>
          <w:szCs w:val="24"/>
        </w:rPr>
      </w:pPr>
    </w:p>
    <w:p w:rsidR="002F16DE" w:rsidRDefault="002F16DE" w:rsidP="00FD139B">
      <w:pPr>
        <w:tabs>
          <w:tab w:val="left" w:pos="426"/>
        </w:tabs>
        <w:spacing w:after="0"/>
        <w:ind w:firstLine="360"/>
        <w:contextualSpacing/>
        <w:jc w:val="both"/>
        <w:rPr>
          <w:rFonts w:ascii="Times New Roman" w:hAnsi="Times New Roman" w:cs="Times New Roman"/>
          <w:sz w:val="24"/>
          <w:szCs w:val="24"/>
        </w:rPr>
      </w:pPr>
      <w:r>
        <w:rPr>
          <w:rFonts w:ascii="Times New Roman" w:hAnsi="Times New Roman" w:cs="Times New Roman"/>
          <w:sz w:val="24"/>
          <w:szCs w:val="24"/>
        </w:rPr>
        <w:t>The estimates in Table 2 give the</w:t>
      </w:r>
      <w:r w:rsidR="0080494C">
        <w:rPr>
          <w:rFonts w:ascii="Times New Roman" w:hAnsi="Times New Roman" w:cs="Times New Roman"/>
          <w:sz w:val="24"/>
          <w:szCs w:val="24"/>
        </w:rPr>
        <w:t xml:space="preserve"> gross</w:t>
      </w:r>
      <w:r>
        <w:rPr>
          <w:rFonts w:ascii="Times New Roman" w:hAnsi="Times New Roman" w:cs="Times New Roman"/>
          <w:sz w:val="24"/>
          <w:szCs w:val="24"/>
        </w:rPr>
        <w:t xml:space="preserve"> income gain from migration at market exchange rates. </w:t>
      </w:r>
      <w:r w:rsidR="0080494C">
        <w:rPr>
          <w:rFonts w:ascii="Times New Roman" w:hAnsi="Times New Roman" w:cs="Times New Roman"/>
          <w:sz w:val="24"/>
          <w:szCs w:val="24"/>
        </w:rPr>
        <w:t xml:space="preserve">In Table 3 we examine how these gains change once we allow for cost of living differences and for net, rather than gross, income. </w:t>
      </w:r>
      <w:r w:rsidR="002A1F42">
        <w:rPr>
          <w:rFonts w:ascii="Times New Roman" w:hAnsi="Times New Roman" w:cs="Times New Roman"/>
          <w:sz w:val="24"/>
          <w:szCs w:val="24"/>
        </w:rPr>
        <w:t xml:space="preserve">The first column repeats the estimate of the gross income gain in U.S. dollars at the market exchange rate, based on regression estimate 2 in Table 2. </w:t>
      </w:r>
      <w:r w:rsidR="006E753D">
        <w:rPr>
          <w:rFonts w:ascii="Times New Roman" w:hAnsi="Times New Roman" w:cs="Times New Roman"/>
          <w:sz w:val="24"/>
          <w:szCs w:val="24"/>
        </w:rPr>
        <w:t xml:space="preserve">We do not believe that the </w:t>
      </w:r>
      <w:r w:rsidR="009937A5">
        <w:rPr>
          <w:rFonts w:ascii="Times New Roman" w:hAnsi="Times New Roman" w:cs="Times New Roman"/>
          <w:sz w:val="24"/>
          <w:szCs w:val="24"/>
        </w:rPr>
        <w:t>I</w:t>
      </w:r>
      <w:r w:rsidR="006E753D">
        <w:rPr>
          <w:rFonts w:ascii="Times New Roman" w:hAnsi="Times New Roman" w:cs="Times New Roman"/>
          <w:sz w:val="24"/>
          <w:szCs w:val="24"/>
        </w:rPr>
        <w:t xml:space="preserve">nternational </w:t>
      </w:r>
      <w:r w:rsidR="009937A5">
        <w:rPr>
          <w:rFonts w:ascii="Times New Roman" w:hAnsi="Times New Roman" w:cs="Times New Roman"/>
          <w:sz w:val="24"/>
          <w:szCs w:val="24"/>
        </w:rPr>
        <w:t>C</w:t>
      </w:r>
      <w:r w:rsidR="006E753D">
        <w:rPr>
          <w:rFonts w:ascii="Times New Roman" w:hAnsi="Times New Roman" w:cs="Times New Roman"/>
          <w:sz w:val="24"/>
          <w:szCs w:val="24"/>
        </w:rPr>
        <w:t xml:space="preserve">omparison </w:t>
      </w:r>
      <w:r w:rsidR="009937A5">
        <w:rPr>
          <w:rFonts w:ascii="Times New Roman" w:hAnsi="Times New Roman" w:cs="Times New Roman"/>
          <w:sz w:val="24"/>
          <w:szCs w:val="24"/>
        </w:rPr>
        <w:t xml:space="preserve">Program (ICP) </w:t>
      </w:r>
      <w:r w:rsidR="006E753D">
        <w:rPr>
          <w:rFonts w:ascii="Times New Roman" w:hAnsi="Times New Roman" w:cs="Times New Roman"/>
          <w:sz w:val="24"/>
          <w:szCs w:val="24"/>
        </w:rPr>
        <w:t xml:space="preserve">PPP rates are the appropriate adjustment for cost-of-living differences among the countries in our study. </w:t>
      </w:r>
      <w:r w:rsidR="00E96D35">
        <w:rPr>
          <w:rFonts w:ascii="Times New Roman" w:hAnsi="Times New Roman" w:cs="Times New Roman"/>
          <w:sz w:val="24"/>
          <w:szCs w:val="24"/>
        </w:rPr>
        <w:t xml:space="preserve">First, </w:t>
      </w:r>
      <w:r w:rsidR="00101E2A">
        <w:rPr>
          <w:rFonts w:ascii="Times New Roman" w:hAnsi="Times New Roman" w:cs="Times New Roman"/>
          <w:sz w:val="24"/>
          <w:szCs w:val="24"/>
        </w:rPr>
        <w:t xml:space="preserve">Papua New Guinea, Tonga and Micronesia were not covered by the </w:t>
      </w:r>
      <w:r w:rsidR="009937A5">
        <w:rPr>
          <w:rFonts w:ascii="Times New Roman" w:hAnsi="Times New Roman" w:cs="Times New Roman"/>
          <w:sz w:val="24"/>
          <w:szCs w:val="24"/>
        </w:rPr>
        <w:t>ICP</w:t>
      </w:r>
      <w:r w:rsidR="00101E2A">
        <w:rPr>
          <w:rFonts w:ascii="Times New Roman" w:hAnsi="Times New Roman" w:cs="Times New Roman"/>
          <w:sz w:val="24"/>
          <w:szCs w:val="24"/>
        </w:rPr>
        <w:t xml:space="preserve">, and the model used to impute PPP rates for countries not directly surveyed takes no account of </w:t>
      </w:r>
      <w:r w:rsidR="0017684D">
        <w:rPr>
          <w:rFonts w:ascii="Times New Roman" w:hAnsi="Times New Roman" w:cs="Times New Roman"/>
          <w:sz w:val="24"/>
          <w:szCs w:val="24"/>
        </w:rPr>
        <w:t>population size, remoteness, or ruggedness of terrain, all of which serve to increase prices.</w:t>
      </w:r>
      <w:r w:rsidR="000B7FC8">
        <w:rPr>
          <w:rStyle w:val="FootnoteReference"/>
          <w:rFonts w:ascii="Times New Roman" w:hAnsi="Times New Roman" w:cs="Times New Roman"/>
          <w:sz w:val="24"/>
          <w:szCs w:val="24"/>
        </w:rPr>
        <w:footnoteReference w:id="9"/>
      </w:r>
      <w:r w:rsidR="0017684D">
        <w:rPr>
          <w:rFonts w:ascii="Times New Roman" w:hAnsi="Times New Roman" w:cs="Times New Roman"/>
          <w:sz w:val="24"/>
          <w:szCs w:val="24"/>
        </w:rPr>
        <w:t xml:space="preserve"> </w:t>
      </w:r>
      <w:r w:rsidR="00E96D35">
        <w:rPr>
          <w:rFonts w:ascii="Times New Roman" w:hAnsi="Times New Roman" w:cs="Times New Roman"/>
          <w:sz w:val="24"/>
          <w:szCs w:val="24"/>
        </w:rPr>
        <w:t xml:space="preserve">Second, the goods and services demanded by these high-earning individuals are likely to differ substantially from the basket of goods used for calculating PPP. </w:t>
      </w:r>
      <w:r w:rsidR="00C76474">
        <w:rPr>
          <w:rFonts w:ascii="Times New Roman" w:hAnsi="Times New Roman" w:cs="Times New Roman"/>
          <w:sz w:val="24"/>
          <w:szCs w:val="24"/>
        </w:rPr>
        <w:t>For these reasons we consider an alternative cost-of-living adjustment.</w:t>
      </w:r>
    </w:p>
    <w:p w:rsidR="00B01E56" w:rsidRDefault="00B01E56" w:rsidP="00FD139B">
      <w:pPr>
        <w:tabs>
          <w:tab w:val="left" w:pos="426"/>
        </w:tabs>
        <w:spacing w:after="0"/>
        <w:ind w:firstLine="360"/>
        <w:contextualSpacing/>
        <w:jc w:val="both"/>
        <w:rPr>
          <w:rFonts w:ascii="Times New Roman" w:hAnsi="Times New Roman" w:cs="Times New Roman"/>
          <w:sz w:val="24"/>
          <w:szCs w:val="24"/>
        </w:rPr>
      </w:pPr>
    </w:p>
    <w:p w:rsidR="00820205" w:rsidRDefault="00C76474" w:rsidP="00FD139B">
      <w:pPr>
        <w:tabs>
          <w:tab w:val="left" w:pos="426"/>
        </w:tabs>
        <w:spacing w:after="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The cost-of-living adjustment we use comes from </w:t>
      </w:r>
      <w:r w:rsidR="002A247D">
        <w:rPr>
          <w:rFonts w:ascii="Times New Roman" w:hAnsi="Times New Roman" w:cs="Times New Roman"/>
          <w:sz w:val="24"/>
          <w:szCs w:val="24"/>
        </w:rPr>
        <w:t xml:space="preserve">custom tables kindly provided by Xpatulator.com, </w:t>
      </w:r>
      <w:r w:rsidR="007814B3">
        <w:rPr>
          <w:rFonts w:ascii="Times New Roman" w:hAnsi="Times New Roman" w:cs="Times New Roman"/>
          <w:sz w:val="24"/>
          <w:szCs w:val="24"/>
        </w:rPr>
        <w:t>a commercial service that</w:t>
      </w:r>
      <w:r w:rsidR="003C0E19">
        <w:rPr>
          <w:rFonts w:ascii="Times New Roman" w:hAnsi="Times New Roman" w:cs="Times New Roman"/>
          <w:sz w:val="24"/>
          <w:szCs w:val="24"/>
        </w:rPr>
        <w:t xml:space="preserve"> collects cost of living in 276 global locations, which it uses to assist companies in determining expatriate pay levels and international salary levels in different countries. </w:t>
      </w:r>
      <w:r w:rsidR="00AD50DE">
        <w:rPr>
          <w:rFonts w:ascii="Times New Roman" w:hAnsi="Times New Roman" w:cs="Times New Roman"/>
          <w:sz w:val="24"/>
          <w:szCs w:val="24"/>
        </w:rPr>
        <w:t>The overall cost-of-living comparison is based on a comprehensive set of consumption items</w:t>
      </w:r>
      <w:r w:rsidR="00DF5285">
        <w:rPr>
          <w:rFonts w:ascii="Times New Roman" w:hAnsi="Times New Roman" w:cs="Times New Roman"/>
          <w:sz w:val="24"/>
          <w:szCs w:val="24"/>
        </w:rPr>
        <w:t xml:space="preserve">. Relative to Washington D.C., the cost of living is estimated to be 38.1% cheaper in Tonga, 10.6% cheaper in New Zealand, 4.8% cheaper in Ghana, 14.6% more expensive in Micronesia, and 27.7% more expensive in Papua New Guinea. </w:t>
      </w:r>
      <w:r w:rsidR="0043240D">
        <w:rPr>
          <w:rFonts w:ascii="Times New Roman" w:hAnsi="Times New Roman" w:cs="Times New Roman"/>
          <w:sz w:val="24"/>
          <w:szCs w:val="24"/>
        </w:rPr>
        <w:t>The higher cost in Papua New Guinea and Micronesia reflects much more expensive communications, recreation, clothing, alcohol and tobacco, and transport costs in these countries.</w:t>
      </w:r>
      <w:r w:rsidR="002527E4">
        <w:rPr>
          <w:rFonts w:ascii="Times New Roman" w:hAnsi="Times New Roman" w:cs="Times New Roman"/>
          <w:sz w:val="24"/>
          <w:szCs w:val="24"/>
        </w:rPr>
        <w:t xml:space="preserve"> </w:t>
      </w:r>
    </w:p>
    <w:p w:rsidR="00C76474" w:rsidRDefault="002527E4" w:rsidP="00FD139B">
      <w:pPr>
        <w:tabs>
          <w:tab w:val="left" w:pos="426"/>
        </w:tabs>
        <w:spacing w:after="0"/>
        <w:ind w:firstLine="36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The second column of Table 3 shows the gross gain using this adjustment. </w:t>
      </w:r>
      <w:r w:rsidR="00820205">
        <w:rPr>
          <w:rFonts w:ascii="Times New Roman" w:hAnsi="Times New Roman" w:cs="Times New Roman"/>
          <w:sz w:val="24"/>
          <w:szCs w:val="24"/>
        </w:rPr>
        <w:t xml:space="preserve">The biggest change is seen for New Zealanders, whose adjusted gain is $25,329 compared to $46,155 without cost-of-living adjustments. This reflects the fact that New Zealand is relatively cheaper to live in than the United States, while Australia and the United Kingdom, the other two main destinations for this group, are more expensive. </w:t>
      </w:r>
      <w:r w:rsidR="00B00FCA">
        <w:rPr>
          <w:rFonts w:ascii="Times New Roman" w:hAnsi="Times New Roman" w:cs="Times New Roman"/>
          <w:sz w:val="24"/>
          <w:szCs w:val="24"/>
        </w:rPr>
        <w:t xml:space="preserve">The adjustments are smaller for the four developing countries, and in some cases high costs-of-living at home are offset by higher costs-of-living in the main destination countries. </w:t>
      </w:r>
    </w:p>
    <w:p w:rsidR="00B01E56" w:rsidRDefault="00B01E56" w:rsidP="00FD139B">
      <w:pPr>
        <w:tabs>
          <w:tab w:val="left" w:pos="426"/>
        </w:tabs>
        <w:spacing w:after="0"/>
        <w:ind w:firstLine="360"/>
        <w:contextualSpacing/>
        <w:jc w:val="both"/>
        <w:rPr>
          <w:rFonts w:ascii="Times New Roman" w:hAnsi="Times New Roman" w:cs="Times New Roman"/>
          <w:sz w:val="24"/>
          <w:szCs w:val="24"/>
        </w:rPr>
      </w:pPr>
    </w:p>
    <w:p w:rsidR="00E318AF" w:rsidRDefault="00E318AF" w:rsidP="00FD139B">
      <w:pPr>
        <w:tabs>
          <w:tab w:val="left" w:pos="426"/>
        </w:tabs>
        <w:spacing w:after="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These calculations make no adjustment for the relative quality of living conditions in different locations. Xpatulator also provides a second comparison, which incorporates both cost-of-living differences and the hardship experienced by lower quality living conditions in different locations. </w:t>
      </w:r>
      <w:r w:rsidR="00C237AC">
        <w:rPr>
          <w:rFonts w:ascii="Times New Roman" w:hAnsi="Times New Roman" w:cs="Times New Roman"/>
          <w:sz w:val="24"/>
          <w:szCs w:val="24"/>
        </w:rPr>
        <w:t xml:space="preserve">We asked them to calculate the amount in local currency that would give the same quality of living as someone living on $US60,000 in Washington D.C. </w:t>
      </w:r>
      <w:r w:rsidR="001D6D5E">
        <w:rPr>
          <w:rFonts w:ascii="Times New Roman" w:hAnsi="Times New Roman" w:cs="Times New Roman"/>
          <w:sz w:val="24"/>
          <w:szCs w:val="24"/>
        </w:rPr>
        <w:t>and use this to obtain a second measure of the gross gain. Column 3 gives these estimates, which are similar to those using only the cost-of-living adjustment.</w:t>
      </w:r>
    </w:p>
    <w:p w:rsidR="00B01E56" w:rsidRDefault="00B01E56" w:rsidP="00FD139B">
      <w:pPr>
        <w:tabs>
          <w:tab w:val="left" w:pos="426"/>
        </w:tabs>
        <w:spacing w:after="0"/>
        <w:ind w:firstLine="360"/>
        <w:contextualSpacing/>
        <w:jc w:val="both"/>
        <w:rPr>
          <w:rFonts w:ascii="Times New Roman" w:hAnsi="Times New Roman" w:cs="Times New Roman"/>
          <w:sz w:val="24"/>
          <w:szCs w:val="24"/>
        </w:rPr>
      </w:pPr>
    </w:p>
    <w:p w:rsidR="005803B4" w:rsidRDefault="00F37FE6" w:rsidP="00FD139B">
      <w:pPr>
        <w:tabs>
          <w:tab w:val="left" w:pos="426"/>
        </w:tabs>
        <w:spacing w:after="0"/>
        <w:ind w:firstLine="360"/>
        <w:contextualSpacing/>
        <w:jc w:val="both"/>
        <w:rPr>
          <w:rFonts w:ascii="Times New Roman" w:hAnsi="Times New Roman" w:cs="Times New Roman"/>
          <w:sz w:val="24"/>
          <w:szCs w:val="24"/>
        </w:rPr>
      </w:pPr>
      <w:r>
        <w:rPr>
          <w:rFonts w:ascii="Times New Roman" w:hAnsi="Times New Roman" w:cs="Times New Roman"/>
          <w:sz w:val="24"/>
          <w:szCs w:val="24"/>
        </w:rPr>
        <w:t>Grogger and Hanson (</w:t>
      </w:r>
      <w:r w:rsidR="00C35522">
        <w:rPr>
          <w:rFonts w:ascii="Times New Roman" w:hAnsi="Times New Roman" w:cs="Times New Roman"/>
          <w:sz w:val="24"/>
          <w:szCs w:val="24"/>
        </w:rPr>
        <w:t>2010</w:t>
      </w:r>
      <w:r>
        <w:rPr>
          <w:rFonts w:ascii="Times New Roman" w:hAnsi="Times New Roman" w:cs="Times New Roman"/>
          <w:sz w:val="24"/>
          <w:szCs w:val="24"/>
        </w:rPr>
        <w:t xml:space="preserve">) find that post-tax earnings are a stronger correlate of migration than pre-tax earnings. </w:t>
      </w:r>
      <w:r w:rsidR="001E6106">
        <w:rPr>
          <w:rFonts w:ascii="Times New Roman" w:hAnsi="Times New Roman" w:cs="Times New Roman"/>
          <w:sz w:val="24"/>
          <w:szCs w:val="24"/>
        </w:rPr>
        <w:t xml:space="preserve">It is therefore instructive to also examine the size of the net income gains, despite the fact that we are unable to measure the government benefits that might accrue to migrants in different locations from paying different tax rates. </w:t>
      </w:r>
      <w:r w:rsidR="00840E5E">
        <w:rPr>
          <w:rFonts w:ascii="Times New Roman" w:hAnsi="Times New Roman" w:cs="Times New Roman"/>
          <w:sz w:val="24"/>
          <w:szCs w:val="24"/>
        </w:rPr>
        <w:t xml:space="preserve">Column 4 provides the net income increase at market exchange rates, and Column 5 adjusted for cost-of-living. </w:t>
      </w:r>
      <w:r w:rsidR="009C34BE">
        <w:rPr>
          <w:rFonts w:ascii="Times New Roman" w:hAnsi="Times New Roman" w:cs="Times New Roman"/>
          <w:sz w:val="24"/>
          <w:szCs w:val="24"/>
        </w:rPr>
        <w:t xml:space="preserve">The net income gains are less than the gross gains in absolute terms, but are still considerable. Even after adjusting for cost-of-living differences and taxes, we still estimate the annual gain in income to be $30,000-$45,000 for the four developing countries, and $21,000 for the New Zealanders. There is thus a </w:t>
      </w:r>
      <w:r w:rsidR="00DF2493">
        <w:rPr>
          <w:rFonts w:ascii="Times New Roman" w:hAnsi="Times New Roman" w:cs="Times New Roman"/>
          <w:sz w:val="24"/>
          <w:szCs w:val="24"/>
        </w:rPr>
        <w:t xml:space="preserve">large economic benefit to the high-skilled individuals from migrating, and </w:t>
      </w:r>
      <w:r w:rsidR="009C34BE">
        <w:rPr>
          <w:rFonts w:ascii="Times New Roman" w:hAnsi="Times New Roman" w:cs="Times New Roman"/>
          <w:sz w:val="24"/>
          <w:szCs w:val="24"/>
        </w:rPr>
        <w:t xml:space="preserve">the magnitude of this </w:t>
      </w:r>
      <w:r w:rsidR="00DF2493">
        <w:rPr>
          <w:rFonts w:ascii="Times New Roman" w:hAnsi="Times New Roman" w:cs="Times New Roman"/>
          <w:sz w:val="24"/>
          <w:szCs w:val="24"/>
        </w:rPr>
        <w:t>will provide a point of reference for the impacts through other channels seen in the remainder of the paper.</w:t>
      </w:r>
    </w:p>
    <w:p w:rsidR="00B01E56" w:rsidRDefault="00B01E56" w:rsidP="00FD139B">
      <w:pPr>
        <w:tabs>
          <w:tab w:val="left" w:pos="426"/>
        </w:tabs>
        <w:spacing w:after="0"/>
        <w:ind w:firstLine="360"/>
        <w:contextualSpacing/>
        <w:jc w:val="both"/>
        <w:rPr>
          <w:rFonts w:ascii="Times New Roman" w:hAnsi="Times New Roman" w:cs="Times New Roman"/>
          <w:sz w:val="24"/>
          <w:szCs w:val="24"/>
        </w:rPr>
      </w:pPr>
    </w:p>
    <w:p w:rsidR="00FB44C7" w:rsidRDefault="00E76583" w:rsidP="00FD139B">
      <w:pPr>
        <w:tabs>
          <w:tab w:val="left" w:pos="426"/>
        </w:tabs>
        <w:spacing w:after="0"/>
        <w:contextualSpacing/>
        <w:jc w:val="both"/>
        <w:rPr>
          <w:rFonts w:ascii="Times New Roman" w:hAnsi="Times New Roman" w:cs="Times New Roman"/>
          <w:b/>
          <w:sz w:val="24"/>
          <w:szCs w:val="24"/>
        </w:rPr>
      </w:pPr>
      <w:r w:rsidRPr="00FB44C7">
        <w:rPr>
          <w:rFonts w:ascii="Times New Roman" w:hAnsi="Times New Roman" w:cs="Times New Roman"/>
          <w:b/>
          <w:sz w:val="24"/>
          <w:szCs w:val="24"/>
        </w:rPr>
        <w:t xml:space="preserve">3.2 Human </w:t>
      </w:r>
      <w:r w:rsidR="00B01E56">
        <w:rPr>
          <w:rFonts w:ascii="Times New Roman" w:hAnsi="Times New Roman" w:cs="Times New Roman"/>
          <w:b/>
          <w:sz w:val="24"/>
          <w:szCs w:val="24"/>
        </w:rPr>
        <w:t>C</w:t>
      </w:r>
      <w:r w:rsidRPr="00FB44C7">
        <w:rPr>
          <w:rFonts w:ascii="Times New Roman" w:hAnsi="Times New Roman" w:cs="Times New Roman"/>
          <w:b/>
          <w:sz w:val="24"/>
          <w:szCs w:val="24"/>
        </w:rPr>
        <w:t xml:space="preserve">apital </w:t>
      </w:r>
      <w:r w:rsidR="00B01E56">
        <w:rPr>
          <w:rFonts w:ascii="Times New Roman" w:hAnsi="Times New Roman" w:cs="Times New Roman"/>
          <w:b/>
          <w:sz w:val="24"/>
          <w:szCs w:val="24"/>
        </w:rPr>
        <w:t>F</w:t>
      </w:r>
      <w:r w:rsidRPr="00FB44C7">
        <w:rPr>
          <w:rFonts w:ascii="Times New Roman" w:hAnsi="Times New Roman" w:cs="Times New Roman"/>
          <w:b/>
          <w:sz w:val="24"/>
          <w:szCs w:val="24"/>
        </w:rPr>
        <w:t>ormation</w:t>
      </w:r>
    </w:p>
    <w:p w:rsidR="00B01E56" w:rsidRPr="00B01E56" w:rsidRDefault="00B01E56" w:rsidP="00FD139B">
      <w:pPr>
        <w:tabs>
          <w:tab w:val="left" w:pos="426"/>
        </w:tabs>
        <w:spacing w:after="0"/>
        <w:contextualSpacing/>
        <w:jc w:val="both"/>
        <w:rPr>
          <w:rFonts w:ascii="Times New Roman" w:hAnsi="Times New Roman" w:cs="Times New Roman"/>
          <w:b/>
          <w:sz w:val="12"/>
          <w:szCs w:val="12"/>
        </w:rPr>
      </w:pPr>
    </w:p>
    <w:p w:rsidR="00FB44C7" w:rsidRDefault="00FB44C7" w:rsidP="00FD139B">
      <w:pPr>
        <w:tabs>
          <w:tab w:val="left" w:pos="426"/>
        </w:tabs>
        <w:spacing w:after="0"/>
        <w:contextualSpacing/>
        <w:jc w:val="both"/>
        <w:rPr>
          <w:rFonts w:ascii="Times New Roman" w:hAnsi="Times New Roman" w:cs="Times New Roman"/>
          <w:sz w:val="24"/>
          <w:szCs w:val="24"/>
        </w:rPr>
      </w:pPr>
      <w:r w:rsidRPr="00FB44C7">
        <w:rPr>
          <w:rFonts w:ascii="Times New Roman" w:hAnsi="Times New Roman" w:cs="Times New Roman"/>
          <w:sz w:val="24"/>
          <w:szCs w:val="24"/>
        </w:rPr>
        <w:t xml:space="preserve">In addition to the </w:t>
      </w:r>
      <w:r w:rsidR="002D19C8">
        <w:rPr>
          <w:rFonts w:ascii="Times New Roman" w:hAnsi="Times New Roman" w:cs="Times New Roman"/>
          <w:sz w:val="24"/>
          <w:szCs w:val="24"/>
        </w:rPr>
        <w:t>gain in income</w:t>
      </w:r>
      <w:r w:rsidRPr="00FB44C7">
        <w:rPr>
          <w:rFonts w:ascii="Times New Roman" w:hAnsi="Times New Roman" w:cs="Times New Roman"/>
          <w:sz w:val="24"/>
          <w:szCs w:val="24"/>
        </w:rPr>
        <w:t xml:space="preserve">, another important benefit of migration for the </w:t>
      </w:r>
      <w:r>
        <w:rPr>
          <w:rFonts w:ascii="Times New Roman" w:hAnsi="Times New Roman" w:cs="Times New Roman"/>
          <w:sz w:val="24"/>
          <w:szCs w:val="24"/>
        </w:rPr>
        <w:t xml:space="preserve">migrants is the additional education they can gain abroad. The income gains </w:t>
      </w:r>
      <w:r w:rsidR="00D504FB">
        <w:rPr>
          <w:rFonts w:ascii="Times New Roman" w:hAnsi="Times New Roman" w:cs="Times New Roman"/>
          <w:sz w:val="24"/>
          <w:szCs w:val="24"/>
        </w:rPr>
        <w:t xml:space="preserve">reported above </w:t>
      </w:r>
      <w:r>
        <w:rPr>
          <w:rFonts w:ascii="Times New Roman" w:hAnsi="Times New Roman" w:cs="Times New Roman"/>
          <w:sz w:val="24"/>
          <w:szCs w:val="24"/>
        </w:rPr>
        <w:t xml:space="preserve">already </w:t>
      </w:r>
      <w:r w:rsidR="00D504FB">
        <w:rPr>
          <w:rFonts w:ascii="Times New Roman" w:hAnsi="Times New Roman" w:cs="Times New Roman"/>
          <w:sz w:val="24"/>
          <w:szCs w:val="24"/>
        </w:rPr>
        <w:t xml:space="preserve">provide </w:t>
      </w:r>
      <w:r>
        <w:rPr>
          <w:rFonts w:ascii="Times New Roman" w:hAnsi="Times New Roman" w:cs="Times New Roman"/>
          <w:sz w:val="24"/>
          <w:szCs w:val="24"/>
        </w:rPr>
        <w:t xml:space="preserve">one measure of the economic benefit to the migrants </w:t>
      </w:r>
      <w:r w:rsidR="00D504FB">
        <w:rPr>
          <w:rFonts w:ascii="Times New Roman" w:hAnsi="Times New Roman" w:cs="Times New Roman"/>
          <w:sz w:val="24"/>
          <w:szCs w:val="24"/>
        </w:rPr>
        <w:t>from</w:t>
      </w:r>
      <w:r>
        <w:rPr>
          <w:rFonts w:ascii="Times New Roman" w:hAnsi="Times New Roman" w:cs="Times New Roman"/>
          <w:sz w:val="24"/>
          <w:szCs w:val="24"/>
        </w:rPr>
        <w:t xml:space="preserve"> this additional education, but it is also of interest to look directly at </w:t>
      </w:r>
      <w:r w:rsidR="00A35B94">
        <w:rPr>
          <w:rFonts w:ascii="Times New Roman" w:hAnsi="Times New Roman" w:cs="Times New Roman"/>
          <w:sz w:val="24"/>
          <w:szCs w:val="24"/>
        </w:rPr>
        <w:t xml:space="preserve">the extent to which education is accumulated through migration. Panel A </w:t>
      </w:r>
      <w:r w:rsidR="00523AB1">
        <w:rPr>
          <w:rFonts w:ascii="Times New Roman" w:hAnsi="Times New Roman" w:cs="Times New Roman"/>
          <w:sz w:val="24"/>
          <w:szCs w:val="24"/>
        </w:rPr>
        <w:t xml:space="preserve">of Table </w:t>
      </w:r>
      <w:r w:rsidR="00B502D4">
        <w:rPr>
          <w:rFonts w:ascii="Times New Roman" w:hAnsi="Times New Roman" w:cs="Times New Roman"/>
          <w:sz w:val="24"/>
          <w:szCs w:val="24"/>
        </w:rPr>
        <w:t>4</w:t>
      </w:r>
      <w:r w:rsidR="00523AB1">
        <w:rPr>
          <w:rFonts w:ascii="Times New Roman" w:hAnsi="Times New Roman" w:cs="Times New Roman"/>
          <w:sz w:val="24"/>
          <w:szCs w:val="24"/>
        </w:rPr>
        <w:t xml:space="preserve"> summarizes the educational levels of the migrants in our sample, focusing on individuals aged 22 and over, who might be expected to have finished their undergraduate studies. </w:t>
      </w:r>
      <w:r w:rsidR="00A14D11">
        <w:rPr>
          <w:rFonts w:ascii="Times New Roman" w:hAnsi="Times New Roman" w:cs="Times New Roman"/>
          <w:sz w:val="24"/>
          <w:szCs w:val="24"/>
        </w:rPr>
        <w:t xml:space="preserve">We see that almost all these individuals who were academic high achievers in high school have gone on to receive </w:t>
      </w:r>
      <w:r w:rsidR="002D19C8">
        <w:rPr>
          <w:rFonts w:ascii="Times New Roman" w:hAnsi="Times New Roman" w:cs="Times New Roman"/>
          <w:sz w:val="24"/>
          <w:szCs w:val="24"/>
        </w:rPr>
        <w:t>a bachelor degree</w:t>
      </w:r>
      <w:r w:rsidR="00A14D11">
        <w:rPr>
          <w:rFonts w:ascii="Times New Roman" w:hAnsi="Times New Roman" w:cs="Times New Roman"/>
          <w:sz w:val="24"/>
          <w:szCs w:val="24"/>
        </w:rPr>
        <w:t>, the exception being Micronesia, where 2-year associates degree were the highest educational qualification of many. In Tonga and Micronesia, 100 percent of the migrants had received their bachelor</w:t>
      </w:r>
      <w:r w:rsidR="002D19C8">
        <w:rPr>
          <w:rFonts w:ascii="Times New Roman" w:hAnsi="Times New Roman" w:cs="Times New Roman"/>
          <w:sz w:val="24"/>
          <w:szCs w:val="24"/>
        </w:rPr>
        <w:t>’</w:t>
      </w:r>
      <w:r w:rsidR="00A14D11">
        <w:rPr>
          <w:rFonts w:ascii="Times New Roman" w:hAnsi="Times New Roman" w:cs="Times New Roman"/>
          <w:sz w:val="24"/>
          <w:szCs w:val="24"/>
        </w:rPr>
        <w:t xml:space="preserve">s education abroad, reflecting the limited tertiary education options in these countries. It is also common for our sample to have </w:t>
      </w:r>
      <w:r w:rsidR="00D504FB">
        <w:rPr>
          <w:rFonts w:ascii="Times New Roman" w:hAnsi="Times New Roman" w:cs="Times New Roman"/>
          <w:sz w:val="24"/>
          <w:szCs w:val="24"/>
        </w:rPr>
        <w:t xml:space="preserve">continued </w:t>
      </w:r>
      <w:r w:rsidR="00A14D11">
        <w:rPr>
          <w:rFonts w:ascii="Times New Roman" w:hAnsi="Times New Roman" w:cs="Times New Roman"/>
          <w:sz w:val="24"/>
          <w:szCs w:val="24"/>
        </w:rPr>
        <w:t>onto more advanced degree</w:t>
      </w:r>
      <w:r w:rsidR="00D504FB">
        <w:rPr>
          <w:rFonts w:ascii="Times New Roman" w:hAnsi="Times New Roman" w:cs="Times New Roman"/>
          <w:sz w:val="24"/>
          <w:szCs w:val="24"/>
        </w:rPr>
        <w:t>s</w:t>
      </w:r>
      <w:r w:rsidR="00A14D11">
        <w:rPr>
          <w:rFonts w:ascii="Times New Roman" w:hAnsi="Times New Roman" w:cs="Times New Roman"/>
          <w:sz w:val="24"/>
          <w:szCs w:val="24"/>
        </w:rPr>
        <w:t xml:space="preserve"> </w:t>
      </w:r>
      <w:r w:rsidR="00A14D11">
        <w:rPr>
          <w:rFonts w:ascii="Times New Roman" w:hAnsi="Times New Roman" w:cs="Times New Roman"/>
          <w:sz w:val="24"/>
          <w:szCs w:val="24"/>
        </w:rPr>
        <w:lastRenderedPageBreak/>
        <w:t>such as a masters or Ph.D., medical doctorate, or law degree.</w:t>
      </w:r>
      <w:r w:rsidR="00A14D11">
        <w:rPr>
          <w:rStyle w:val="FootnoteReference"/>
          <w:rFonts w:ascii="Times New Roman" w:hAnsi="Times New Roman" w:cs="Times New Roman"/>
          <w:sz w:val="24"/>
          <w:szCs w:val="24"/>
        </w:rPr>
        <w:footnoteReference w:id="10"/>
      </w:r>
      <w:r w:rsidR="00E103ED">
        <w:rPr>
          <w:rFonts w:ascii="Times New Roman" w:hAnsi="Times New Roman" w:cs="Times New Roman"/>
          <w:sz w:val="24"/>
          <w:szCs w:val="24"/>
        </w:rPr>
        <w:t xml:space="preserve"> These advanced degrees are almost exclusively earned abroad: 100% of the </w:t>
      </w:r>
      <w:r w:rsidR="006014CF">
        <w:rPr>
          <w:rFonts w:ascii="Times New Roman" w:hAnsi="Times New Roman" w:cs="Times New Roman"/>
          <w:sz w:val="24"/>
          <w:szCs w:val="24"/>
        </w:rPr>
        <w:t>Tongan</w:t>
      </w:r>
      <w:r w:rsidR="00663FE8">
        <w:rPr>
          <w:rFonts w:ascii="Times New Roman" w:hAnsi="Times New Roman" w:cs="Times New Roman"/>
          <w:sz w:val="24"/>
          <w:szCs w:val="24"/>
        </w:rPr>
        <w:t>, Micronesian,</w:t>
      </w:r>
      <w:r w:rsidR="00E103ED">
        <w:rPr>
          <w:rFonts w:ascii="Times New Roman" w:hAnsi="Times New Roman" w:cs="Times New Roman"/>
          <w:sz w:val="24"/>
          <w:szCs w:val="24"/>
        </w:rPr>
        <w:t xml:space="preserve"> and Papua New Guinean migrants in our sample with advanced degrees earned them abroad, </w:t>
      </w:r>
      <w:r w:rsidR="001837B0">
        <w:rPr>
          <w:rFonts w:ascii="Times New Roman" w:hAnsi="Times New Roman" w:cs="Times New Roman"/>
          <w:sz w:val="24"/>
          <w:szCs w:val="24"/>
        </w:rPr>
        <w:t xml:space="preserve">as did </w:t>
      </w:r>
      <w:r w:rsidR="00E103ED">
        <w:rPr>
          <w:rFonts w:ascii="Times New Roman" w:hAnsi="Times New Roman" w:cs="Times New Roman"/>
          <w:sz w:val="24"/>
          <w:szCs w:val="24"/>
        </w:rPr>
        <w:t>86% of the Ghanaians</w:t>
      </w:r>
      <w:r w:rsidR="006014CF">
        <w:rPr>
          <w:rFonts w:ascii="Times New Roman" w:hAnsi="Times New Roman" w:cs="Times New Roman"/>
          <w:sz w:val="24"/>
          <w:szCs w:val="24"/>
        </w:rPr>
        <w:t xml:space="preserve"> </w:t>
      </w:r>
      <w:r w:rsidR="00E103ED">
        <w:rPr>
          <w:rFonts w:ascii="Times New Roman" w:hAnsi="Times New Roman" w:cs="Times New Roman"/>
          <w:sz w:val="24"/>
          <w:szCs w:val="24"/>
        </w:rPr>
        <w:t>and 75% of the New Zealanders. This is despite Ghana</w:t>
      </w:r>
      <w:r w:rsidR="00F26704">
        <w:rPr>
          <w:rFonts w:ascii="Times New Roman" w:hAnsi="Times New Roman" w:cs="Times New Roman"/>
          <w:sz w:val="24"/>
          <w:szCs w:val="24"/>
        </w:rPr>
        <w:t>, Papua New Guinea,</w:t>
      </w:r>
      <w:r w:rsidR="00E103ED">
        <w:rPr>
          <w:rFonts w:ascii="Times New Roman" w:hAnsi="Times New Roman" w:cs="Times New Roman"/>
          <w:sz w:val="24"/>
          <w:szCs w:val="24"/>
        </w:rPr>
        <w:t xml:space="preserve"> and New Zealand having domestic education systems which offer the possibility of these degrees.</w:t>
      </w:r>
      <w:r w:rsidR="006014CF">
        <w:rPr>
          <w:rStyle w:val="FootnoteReference"/>
          <w:rFonts w:ascii="Times New Roman" w:hAnsi="Times New Roman" w:cs="Times New Roman"/>
          <w:sz w:val="24"/>
          <w:szCs w:val="24"/>
        </w:rPr>
        <w:footnoteReference w:id="11"/>
      </w:r>
      <w:r w:rsidR="00E103ED">
        <w:rPr>
          <w:rFonts w:ascii="Times New Roman" w:hAnsi="Times New Roman" w:cs="Times New Roman"/>
          <w:sz w:val="24"/>
          <w:szCs w:val="24"/>
        </w:rPr>
        <w:t xml:space="preserve"> </w:t>
      </w:r>
    </w:p>
    <w:p w:rsidR="00B01E56" w:rsidRDefault="00B01E56" w:rsidP="00FD139B">
      <w:pPr>
        <w:tabs>
          <w:tab w:val="left" w:pos="426"/>
        </w:tabs>
        <w:spacing w:after="0"/>
        <w:contextualSpacing/>
        <w:jc w:val="both"/>
        <w:rPr>
          <w:rFonts w:ascii="Times New Roman" w:hAnsi="Times New Roman" w:cs="Times New Roman"/>
          <w:sz w:val="24"/>
          <w:szCs w:val="24"/>
        </w:rPr>
      </w:pPr>
    </w:p>
    <w:p w:rsidR="00446CFF" w:rsidRDefault="002C5F31" w:rsidP="00FD139B">
      <w:pPr>
        <w:tabs>
          <w:tab w:val="left" w:pos="426"/>
        </w:tabs>
        <w:spacing w:after="0"/>
        <w:ind w:firstLine="360"/>
        <w:contextualSpacing/>
        <w:jc w:val="both"/>
        <w:rPr>
          <w:rFonts w:ascii="Times New Roman" w:hAnsi="Times New Roman" w:cs="Times New Roman"/>
          <w:sz w:val="24"/>
          <w:szCs w:val="24"/>
        </w:rPr>
      </w:pPr>
      <w:r>
        <w:rPr>
          <w:rFonts w:ascii="Times New Roman" w:hAnsi="Times New Roman" w:cs="Times New Roman"/>
          <w:sz w:val="24"/>
          <w:szCs w:val="24"/>
        </w:rPr>
        <w:t>Panel B summarizes the corresponding educational achievements of the individuals currently resident in the five source countries.</w:t>
      </w:r>
      <w:r w:rsidR="007760C1">
        <w:rPr>
          <w:rFonts w:ascii="Times New Roman" w:hAnsi="Times New Roman" w:cs="Times New Roman"/>
          <w:sz w:val="24"/>
          <w:szCs w:val="24"/>
        </w:rPr>
        <w:t xml:space="preserve"> The proportion with a bachelor</w:t>
      </w:r>
      <w:r>
        <w:rPr>
          <w:rFonts w:ascii="Times New Roman" w:hAnsi="Times New Roman" w:cs="Times New Roman"/>
          <w:sz w:val="24"/>
          <w:szCs w:val="24"/>
        </w:rPr>
        <w:t xml:space="preserve"> degree is similar to that of the migrant group, but lower proportions in each country have an advanced degree. In Tonga and Micronesia the</w:t>
      </w:r>
      <w:r w:rsidR="005704B7">
        <w:rPr>
          <w:rFonts w:ascii="Times New Roman" w:hAnsi="Times New Roman" w:cs="Times New Roman"/>
          <w:sz w:val="24"/>
          <w:szCs w:val="24"/>
        </w:rPr>
        <w:t xml:space="preserve"> bachelor degrees were mostly earned abroad, whereas in the other three countries they are mostly earned domestically. With the advanced degrees</w:t>
      </w:r>
      <w:r w:rsidR="00795FC0">
        <w:rPr>
          <w:rFonts w:ascii="Times New Roman" w:hAnsi="Times New Roman" w:cs="Times New Roman"/>
          <w:sz w:val="24"/>
          <w:szCs w:val="24"/>
        </w:rPr>
        <w:t xml:space="preserve">, 28 percent of those in Ghana and 49 percent of those in Papua New Guinea had earned them abroad. </w:t>
      </w:r>
    </w:p>
    <w:p w:rsidR="00B01E56" w:rsidRDefault="00B01E56" w:rsidP="00FD139B">
      <w:pPr>
        <w:tabs>
          <w:tab w:val="left" w:pos="426"/>
        </w:tabs>
        <w:spacing w:after="0"/>
        <w:ind w:firstLine="360"/>
        <w:contextualSpacing/>
        <w:jc w:val="both"/>
        <w:rPr>
          <w:rFonts w:ascii="Times New Roman" w:hAnsi="Times New Roman" w:cs="Times New Roman"/>
          <w:b/>
          <w:sz w:val="24"/>
          <w:szCs w:val="24"/>
        </w:rPr>
      </w:pPr>
    </w:p>
    <w:p w:rsidR="00FB44C7" w:rsidRDefault="00446CFF" w:rsidP="00FD139B">
      <w:pPr>
        <w:tabs>
          <w:tab w:val="left" w:pos="426"/>
        </w:tabs>
        <w:spacing w:after="0"/>
        <w:ind w:firstLine="360"/>
        <w:contextualSpacing/>
        <w:jc w:val="both"/>
        <w:rPr>
          <w:rFonts w:ascii="Times New Roman" w:hAnsi="Times New Roman" w:cs="Times New Roman"/>
          <w:sz w:val="24"/>
          <w:szCs w:val="24"/>
        </w:rPr>
      </w:pPr>
      <w:r w:rsidRPr="00446CFF">
        <w:rPr>
          <w:rFonts w:ascii="Times New Roman" w:hAnsi="Times New Roman" w:cs="Times New Roman"/>
          <w:sz w:val="24"/>
          <w:szCs w:val="24"/>
        </w:rPr>
        <w:t xml:space="preserve">Panel C </w:t>
      </w:r>
      <w:r w:rsidR="000B68E9">
        <w:rPr>
          <w:rFonts w:ascii="Times New Roman" w:hAnsi="Times New Roman" w:cs="Times New Roman"/>
          <w:sz w:val="24"/>
          <w:szCs w:val="24"/>
        </w:rPr>
        <w:t xml:space="preserve">of Table 4 </w:t>
      </w:r>
      <w:r w:rsidRPr="00446CFF">
        <w:rPr>
          <w:rFonts w:ascii="Times New Roman" w:hAnsi="Times New Roman" w:cs="Times New Roman"/>
          <w:sz w:val="24"/>
          <w:szCs w:val="24"/>
        </w:rPr>
        <w:t xml:space="preserve">then reports </w:t>
      </w:r>
      <w:r w:rsidR="007814B3">
        <w:rPr>
          <w:rFonts w:ascii="Times New Roman" w:hAnsi="Times New Roman" w:cs="Times New Roman"/>
          <w:sz w:val="24"/>
          <w:szCs w:val="24"/>
        </w:rPr>
        <w:t>marginal effects from</w:t>
      </w:r>
      <w:r w:rsidRPr="00446CFF">
        <w:rPr>
          <w:rFonts w:ascii="Times New Roman" w:hAnsi="Times New Roman" w:cs="Times New Roman"/>
          <w:sz w:val="24"/>
          <w:szCs w:val="24"/>
        </w:rPr>
        <w:t xml:space="preserve"> </w:t>
      </w:r>
      <w:r w:rsidR="004866F8">
        <w:rPr>
          <w:rFonts w:ascii="Times New Roman" w:hAnsi="Times New Roman" w:cs="Times New Roman"/>
          <w:sz w:val="24"/>
          <w:szCs w:val="24"/>
        </w:rPr>
        <w:t>probit estimation of</w:t>
      </w:r>
      <w:r w:rsidRPr="00446CFF">
        <w:rPr>
          <w:rFonts w:ascii="Times New Roman" w:hAnsi="Times New Roman" w:cs="Times New Roman"/>
          <w:sz w:val="24"/>
          <w:szCs w:val="24"/>
        </w:rPr>
        <w:t xml:space="preserve"> </w:t>
      </w:r>
      <w:r w:rsidR="004866F8">
        <w:rPr>
          <w:rFonts w:ascii="Times New Roman" w:hAnsi="Times New Roman" w:cs="Times New Roman"/>
          <w:sz w:val="24"/>
          <w:szCs w:val="24"/>
        </w:rPr>
        <w:t xml:space="preserve">equation (2), using </w:t>
      </w:r>
      <w:r w:rsidRPr="00446CFF">
        <w:rPr>
          <w:rFonts w:ascii="Times New Roman" w:hAnsi="Times New Roman" w:cs="Times New Roman"/>
          <w:sz w:val="24"/>
          <w:szCs w:val="24"/>
        </w:rPr>
        <w:t>having a bachelor degree, and having</w:t>
      </w:r>
      <w:r>
        <w:rPr>
          <w:rFonts w:ascii="Times New Roman" w:hAnsi="Times New Roman" w:cs="Times New Roman"/>
          <w:sz w:val="24"/>
          <w:szCs w:val="24"/>
        </w:rPr>
        <w:t xml:space="preserve"> an advanced degree as </w:t>
      </w:r>
      <w:r w:rsidR="004866F8">
        <w:rPr>
          <w:rFonts w:ascii="Times New Roman" w:hAnsi="Times New Roman" w:cs="Times New Roman"/>
          <w:sz w:val="24"/>
          <w:szCs w:val="24"/>
        </w:rPr>
        <w:t>the outcomes of interest</w:t>
      </w:r>
      <w:r>
        <w:rPr>
          <w:rFonts w:ascii="Times New Roman" w:hAnsi="Times New Roman" w:cs="Times New Roman"/>
          <w:sz w:val="24"/>
          <w:szCs w:val="24"/>
        </w:rPr>
        <w:t xml:space="preserve">. </w:t>
      </w:r>
      <w:r w:rsidR="003A269D">
        <w:rPr>
          <w:rFonts w:ascii="Times New Roman" w:hAnsi="Times New Roman" w:cs="Times New Roman"/>
          <w:sz w:val="24"/>
          <w:szCs w:val="24"/>
        </w:rPr>
        <w:t xml:space="preserve">The coefficients on the return migrant </w:t>
      </w:r>
      <w:r w:rsidR="009937A5">
        <w:rPr>
          <w:rFonts w:ascii="Times New Roman" w:hAnsi="Times New Roman" w:cs="Times New Roman"/>
          <w:sz w:val="24"/>
          <w:szCs w:val="24"/>
        </w:rPr>
        <w:t xml:space="preserve">term </w:t>
      </w:r>
      <w:r w:rsidR="003A269D">
        <w:rPr>
          <w:rFonts w:ascii="Times New Roman" w:hAnsi="Times New Roman" w:cs="Times New Roman"/>
          <w:sz w:val="24"/>
          <w:szCs w:val="24"/>
        </w:rPr>
        <w:t xml:space="preserve">will be discussed in the next section. </w:t>
      </w:r>
      <w:r w:rsidR="00B92A59">
        <w:rPr>
          <w:rFonts w:ascii="Times New Roman" w:hAnsi="Times New Roman" w:cs="Times New Roman"/>
          <w:sz w:val="24"/>
          <w:szCs w:val="24"/>
        </w:rPr>
        <w:t xml:space="preserve">We confirm the association between </w:t>
      </w:r>
      <w:r w:rsidR="003A269D">
        <w:rPr>
          <w:rFonts w:ascii="Times New Roman" w:hAnsi="Times New Roman" w:cs="Times New Roman"/>
          <w:sz w:val="24"/>
          <w:szCs w:val="24"/>
        </w:rPr>
        <w:t xml:space="preserve">current </w:t>
      </w:r>
      <w:r w:rsidR="00B92A59">
        <w:rPr>
          <w:rFonts w:ascii="Times New Roman" w:hAnsi="Times New Roman" w:cs="Times New Roman"/>
          <w:sz w:val="24"/>
          <w:szCs w:val="24"/>
        </w:rPr>
        <w:t xml:space="preserve">migration and higher levels of undergraduate degrees </w:t>
      </w:r>
      <w:r w:rsidR="003A269D">
        <w:rPr>
          <w:rFonts w:ascii="Times New Roman" w:hAnsi="Times New Roman" w:cs="Times New Roman"/>
          <w:sz w:val="24"/>
          <w:szCs w:val="24"/>
        </w:rPr>
        <w:t>among</w:t>
      </w:r>
      <w:r w:rsidR="00B92A59">
        <w:rPr>
          <w:rFonts w:ascii="Times New Roman" w:hAnsi="Times New Roman" w:cs="Times New Roman"/>
          <w:sz w:val="24"/>
          <w:szCs w:val="24"/>
        </w:rPr>
        <w:t xml:space="preserve"> Tonga</w:t>
      </w:r>
      <w:r w:rsidR="003A269D">
        <w:rPr>
          <w:rFonts w:ascii="Times New Roman" w:hAnsi="Times New Roman" w:cs="Times New Roman"/>
          <w:sz w:val="24"/>
          <w:szCs w:val="24"/>
        </w:rPr>
        <w:t>ns</w:t>
      </w:r>
      <w:r w:rsidR="00B92A59">
        <w:rPr>
          <w:rFonts w:ascii="Times New Roman" w:hAnsi="Times New Roman" w:cs="Times New Roman"/>
          <w:sz w:val="24"/>
          <w:szCs w:val="24"/>
        </w:rPr>
        <w:t xml:space="preserve"> and Micronesia</w:t>
      </w:r>
      <w:r w:rsidR="003A269D">
        <w:rPr>
          <w:rFonts w:ascii="Times New Roman" w:hAnsi="Times New Roman" w:cs="Times New Roman"/>
          <w:sz w:val="24"/>
          <w:szCs w:val="24"/>
        </w:rPr>
        <w:t>ns</w:t>
      </w:r>
      <w:r w:rsidR="00B92A59">
        <w:rPr>
          <w:rFonts w:ascii="Times New Roman" w:hAnsi="Times New Roman" w:cs="Times New Roman"/>
          <w:sz w:val="24"/>
          <w:szCs w:val="24"/>
        </w:rPr>
        <w:t xml:space="preserve">, </w:t>
      </w:r>
      <w:r w:rsidR="004B198F">
        <w:rPr>
          <w:rFonts w:ascii="Times New Roman" w:hAnsi="Times New Roman" w:cs="Times New Roman"/>
          <w:sz w:val="24"/>
          <w:szCs w:val="24"/>
        </w:rPr>
        <w:t xml:space="preserve">although the relationship </w:t>
      </w:r>
      <w:r w:rsidR="003A269D">
        <w:rPr>
          <w:rFonts w:ascii="Times New Roman" w:hAnsi="Times New Roman" w:cs="Times New Roman"/>
          <w:sz w:val="24"/>
          <w:szCs w:val="24"/>
        </w:rPr>
        <w:t>for</w:t>
      </w:r>
      <w:r w:rsidR="004B198F">
        <w:rPr>
          <w:rFonts w:ascii="Times New Roman" w:hAnsi="Times New Roman" w:cs="Times New Roman"/>
          <w:sz w:val="24"/>
          <w:szCs w:val="24"/>
        </w:rPr>
        <w:t xml:space="preserve"> Micronesia</w:t>
      </w:r>
      <w:r w:rsidR="003A269D">
        <w:rPr>
          <w:rFonts w:ascii="Times New Roman" w:hAnsi="Times New Roman" w:cs="Times New Roman"/>
          <w:sz w:val="24"/>
          <w:szCs w:val="24"/>
        </w:rPr>
        <w:t>ns</w:t>
      </w:r>
      <w:r w:rsidR="004B198F">
        <w:rPr>
          <w:rFonts w:ascii="Times New Roman" w:hAnsi="Times New Roman" w:cs="Times New Roman"/>
          <w:sz w:val="24"/>
          <w:szCs w:val="24"/>
        </w:rPr>
        <w:t xml:space="preserve"> is not quite significant. There is also a strong and significant positive association between being a current migrant and having an advanced degree for each of the five countries</w:t>
      </w:r>
      <w:r w:rsidR="00B92A59">
        <w:rPr>
          <w:rFonts w:ascii="Times New Roman" w:hAnsi="Times New Roman" w:cs="Times New Roman"/>
          <w:sz w:val="24"/>
          <w:szCs w:val="24"/>
        </w:rPr>
        <w:t xml:space="preserve">. </w:t>
      </w:r>
      <w:r w:rsidR="00670020">
        <w:rPr>
          <w:rFonts w:ascii="Times New Roman" w:hAnsi="Times New Roman" w:cs="Times New Roman"/>
          <w:sz w:val="24"/>
          <w:szCs w:val="24"/>
        </w:rPr>
        <w:t xml:space="preserve">While part of this might reflect selection, the more limited set of educational choices in the home countries suggests that if many of the individuals had not migrated, they would not have obtained the education that they now have. </w:t>
      </w:r>
      <w:r w:rsidR="00C51FD1">
        <w:rPr>
          <w:rFonts w:ascii="Times New Roman" w:hAnsi="Times New Roman" w:cs="Times New Roman"/>
          <w:sz w:val="24"/>
          <w:szCs w:val="24"/>
        </w:rPr>
        <w:t xml:space="preserve">This is confirmed by directly asking the migrants who are currently studying what they would be doing now in their home country if they hadn’t migrated: 0% of the Papua New Guineans, only 12% of the Ghanaians, 13% of the Tongans, and 18% of the Micronesians aged 22 and older who are abroad and currently studying say they would be studying now if in the home country. In contrast, 37% of the New Zealanders say they would still be studying even if they hadn’t migrated. </w:t>
      </w:r>
      <w:r w:rsidR="00A937E3">
        <w:rPr>
          <w:rFonts w:ascii="Times New Roman" w:hAnsi="Times New Roman" w:cs="Times New Roman"/>
          <w:sz w:val="24"/>
          <w:szCs w:val="24"/>
        </w:rPr>
        <w:t xml:space="preserve">This leads us to believe that most of the measured difference in </w:t>
      </w:r>
      <w:r w:rsidR="00FA5626">
        <w:rPr>
          <w:rFonts w:ascii="Times New Roman" w:hAnsi="Times New Roman" w:cs="Times New Roman"/>
          <w:sz w:val="24"/>
          <w:szCs w:val="24"/>
        </w:rPr>
        <w:t>education rates in Table 4</w:t>
      </w:r>
      <w:r w:rsidR="00A937E3">
        <w:rPr>
          <w:rFonts w:ascii="Times New Roman" w:hAnsi="Times New Roman" w:cs="Times New Roman"/>
          <w:sz w:val="24"/>
          <w:szCs w:val="24"/>
        </w:rPr>
        <w:t>, panel C is indeed the true impact of migration on human capital attainment for the individuals from developing countries.</w:t>
      </w:r>
    </w:p>
    <w:p w:rsidR="00B01E56" w:rsidRDefault="00B01E56" w:rsidP="00FD139B">
      <w:pPr>
        <w:tabs>
          <w:tab w:val="left" w:pos="426"/>
        </w:tabs>
        <w:spacing w:after="0"/>
        <w:ind w:firstLine="360"/>
        <w:contextualSpacing/>
        <w:jc w:val="both"/>
        <w:rPr>
          <w:rFonts w:ascii="Times New Roman" w:hAnsi="Times New Roman" w:cs="Times New Roman"/>
          <w:sz w:val="24"/>
          <w:szCs w:val="24"/>
        </w:rPr>
      </w:pPr>
    </w:p>
    <w:p w:rsidR="00155CFD" w:rsidRDefault="00155CFD" w:rsidP="00FD139B">
      <w:pPr>
        <w:tabs>
          <w:tab w:val="left" w:pos="426"/>
        </w:tabs>
        <w:spacing w:after="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Finally, the recent literature </w:t>
      </w:r>
      <w:r w:rsidRPr="005E132B">
        <w:rPr>
          <w:rFonts w:ascii="Times New Roman" w:hAnsi="Times New Roman" w:cs="Times New Roman"/>
          <w:sz w:val="24"/>
          <w:szCs w:val="24"/>
        </w:rPr>
        <w:t xml:space="preserve">on brain gain (e.g. </w:t>
      </w:r>
      <w:r w:rsidR="005E132B" w:rsidRPr="005E132B">
        <w:rPr>
          <w:rFonts w:ascii="Times New Roman" w:hAnsi="Times New Roman" w:cs="Times New Roman"/>
        </w:rPr>
        <w:t>Mountford, 1997, Vidal, 1998, Stark et al. 1997</w:t>
      </w:r>
      <w:r w:rsidRPr="005E132B">
        <w:rPr>
          <w:rFonts w:ascii="Times New Roman" w:hAnsi="Times New Roman" w:cs="Times New Roman"/>
          <w:sz w:val="24"/>
          <w:szCs w:val="24"/>
        </w:rPr>
        <w:t>) has emphasized that the mere prospect</w:t>
      </w:r>
      <w:r>
        <w:rPr>
          <w:rFonts w:ascii="Times New Roman" w:hAnsi="Times New Roman" w:cs="Times New Roman"/>
          <w:sz w:val="24"/>
          <w:szCs w:val="24"/>
        </w:rPr>
        <w:t xml:space="preserve"> of migration can induce individuals to undertake additional human capital investments, even if they don’t end up actually migrating. If individuals are obtaining bachelors or advanced degrees for this purpose, then comparing migrants to non-migrants will understate the gain in education attributable to migration. More generally, there may be other improvements in human capital aside from degrees. Our survey </w:t>
      </w:r>
      <w:r>
        <w:rPr>
          <w:rFonts w:ascii="Times New Roman" w:hAnsi="Times New Roman" w:cs="Times New Roman"/>
          <w:sz w:val="24"/>
          <w:szCs w:val="24"/>
        </w:rPr>
        <w:lastRenderedPageBreak/>
        <w:t>asked whether people had tak</w:t>
      </w:r>
      <w:r w:rsidR="00D504FB">
        <w:rPr>
          <w:rFonts w:ascii="Times New Roman" w:hAnsi="Times New Roman" w:cs="Times New Roman"/>
          <w:sz w:val="24"/>
          <w:szCs w:val="24"/>
        </w:rPr>
        <w:t>en</w:t>
      </w:r>
      <w:r>
        <w:rPr>
          <w:rFonts w:ascii="Times New Roman" w:hAnsi="Times New Roman" w:cs="Times New Roman"/>
          <w:sz w:val="24"/>
          <w:szCs w:val="24"/>
        </w:rPr>
        <w:t xml:space="preserve"> any additional classes, or changed the subjects they studied during high school to improve their prospects of being able to work or study overseas. The last column of Table 3 shows some evidence of people undertaking such actions, particularly in Ghana, and to a lesser extent in the other developing countries. </w:t>
      </w:r>
      <w:r w:rsidR="00B26F96">
        <w:rPr>
          <w:rFonts w:ascii="Times New Roman" w:hAnsi="Times New Roman" w:cs="Times New Roman"/>
          <w:sz w:val="24"/>
          <w:szCs w:val="24"/>
        </w:rPr>
        <w:t xml:space="preserve">The main actions taken were to take private lessons, study a language, and take test preparation classes to help pass tests such as the SAT. </w:t>
      </w:r>
      <w:r w:rsidR="004429B0">
        <w:rPr>
          <w:rFonts w:ascii="Times New Roman" w:hAnsi="Times New Roman" w:cs="Times New Roman"/>
          <w:sz w:val="24"/>
          <w:szCs w:val="24"/>
        </w:rPr>
        <w:t>That is, among our sample, any effect is more in terms of what is studied, rather than how much schooling takes place.</w:t>
      </w:r>
    </w:p>
    <w:p w:rsidR="00B01E56" w:rsidRDefault="00B01E56" w:rsidP="00FD139B">
      <w:pPr>
        <w:tabs>
          <w:tab w:val="left" w:pos="426"/>
        </w:tabs>
        <w:spacing w:after="0"/>
        <w:ind w:firstLine="360"/>
        <w:contextualSpacing/>
        <w:jc w:val="both"/>
        <w:rPr>
          <w:rFonts w:ascii="Times New Roman" w:hAnsi="Times New Roman" w:cs="Times New Roman"/>
          <w:sz w:val="24"/>
          <w:szCs w:val="24"/>
        </w:rPr>
      </w:pPr>
    </w:p>
    <w:p w:rsidR="00C171D2" w:rsidRDefault="00B01E56" w:rsidP="00FD139B">
      <w:pPr>
        <w:pStyle w:val="ListParagraph"/>
        <w:numPr>
          <w:ilvl w:val="0"/>
          <w:numId w:val="4"/>
        </w:numPr>
        <w:tabs>
          <w:tab w:val="left" w:pos="426"/>
        </w:tabs>
        <w:spacing w:after="0"/>
        <w:ind w:left="284" w:hanging="284"/>
        <w:jc w:val="both"/>
        <w:rPr>
          <w:rFonts w:ascii="Times New Roman" w:hAnsi="Times New Roman" w:cs="Times New Roman"/>
          <w:b/>
          <w:sz w:val="24"/>
          <w:szCs w:val="24"/>
        </w:rPr>
      </w:pPr>
      <w:r>
        <w:rPr>
          <w:rFonts w:ascii="Times New Roman" w:hAnsi="Times New Roman" w:cs="Times New Roman"/>
          <w:b/>
          <w:sz w:val="24"/>
          <w:szCs w:val="24"/>
        </w:rPr>
        <w:t>Empirical Evidence on the Channels through which High-skilled Emigration Affects the Sending C</w:t>
      </w:r>
      <w:r w:rsidR="00C171D2">
        <w:rPr>
          <w:rFonts w:ascii="Times New Roman" w:hAnsi="Times New Roman" w:cs="Times New Roman"/>
          <w:b/>
          <w:sz w:val="24"/>
          <w:szCs w:val="24"/>
        </w:rPr>
        <w:t>ountry</w:t>
      </w:r>
    </w:p>
    <w:p w:rsidR="00B01E56" w:rsidRPr="00B01E56" w:rsidRDefault="00B01E56" w:rsidP="00FD139B">
      <w:pPr>
        <w:pStyle w:val="ListParagraph"/>
        <w:tabs>
          <w:tab w:val="left" w:pos="426"/>
        </w:tabs>
        <w:spacing w:after="0"/>
        <w:ind w:left="284"/>
        <w:jc w:val="both"/>
        <w:rPr>
          <w:rFonts w:ascii="Times New Roman" w:hAnsi="Times New Roman" w:cs="Times New Roman"/>
          <w:b/>
          <w:sz w:val="12"/>
          <w:szCs w:val="12"/>
        </w:rPr>
      </w:pPr>
    </w:p>
    <w:p w:rsidR="00296D52" w:rsidRDefault="00296D52" w:rsidP="00FD139B">
      <w:pPr>
        <w:tabs>
          <w:tab w:val="left" w:pos="426"/>
        </w:tabs>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We now turn to measuring the economic impacts of migration on the sending countries, attempting where possible to quantify these impacts and evaluate them relative to a counterfactual of what the individual would have been doing had they not migrated. </w:t>
      </w:r>
    </w:p>
    <w:p w:rsidR="00B01E56" w:rsidRDefault="00B01E56" w:rsidP="00FD139B">
      <w:pPr>
        <w:tabs>
          <w:tab w:val="left" w:pos="426"/>
        </w:tabs>
        <w:spacing w:after="0"/>
        <w:contextualSpacing/>
        <w:jc w:val="both"/>
        <w:rPr>
          <w:rFonts w:ascii="Times New Roman" w:hAnsi="Times New Roman" w:cs="Times New Roman"/>
          <w:sz w:val="24"/>
          <w:szCs w:val="24"/>
        </w:rPr>
      </w:pPr>
    </w:p>
    <w:p w:rsidR="00296D52" w:rsidRDefault="00296D52" w:rsidP="00FD139B">
      <w:pPr>
        <w:tabs>
          <w:tab w:val="left" w:pos="426"/>
        </w:tabs>
        <w:spacing w:after="0"/>
        <w:contextualSpacing/>
        <w:jc w:val="both"/>
        <w:rPr>
          <w:rFonts w:ascii="Times New Roman" w:hAnsi="Times New Roman" w:cs="Times New Roman"/>
          <w:b/>
          <w:sz w:val="24"/>
          <w:szCs w:val="24"/>
        </w:rPr>
      </w:pPr>
      <w:r>
        <w:rPr>
          <w:rFonts w:ascii="Times New Roman" w:hAnsi="Times New Roman" w:cs="Times New Roman"/>
          <w:b/>
          <w:sz w:val="24"/>
          <w:szCs w:val="24"/>
        </w:rPr>
        <w:t>4.1 Remittances</w:t>
      </w:r>
    </w:p>
    <w:p w:rsidR="00B01E56" w:rsidRPr="00B01E56" w:rsidRDefault="00B01E56" w:rsidP="00FD139B">
      <w:pPr>
        <w:tabs>
          <w:tab w:val="left" w:pos="426"/>
        </w:tabs>
        <w:spacing w:after="0"/>
        <w:contextualSpacing/>
        <w:jc w:val="both"/>
        <w:rPr>
          <w:rFonts w:ascii="Times New Roman" w:hAnsi="Times New Roman" w:cs="Times New Roman"/>
          <w:b/>
          <w:sz w:val="12"/>
          <w:szCs w:val="12"/>
        </w:rPr>
      </w:pPr>
    </w:p>
    <w:p w:rsidR="00296D52" w:rsidRDefault="00296D52" w:rsidP="00FD139B">
      <w:pPr>
        <w:tabs>
          <w:tab w:val="left" w:pos="426"/>
        </w:tabs>
        <w:spacing w:after="0"/>
        <w:contextualSpacing/>
        <w:jc w:val="both"/>
        <w:rPr>
          <w:rFonts w:ascii="Times New Roman" w:hAnsi="Times New Roman" w:cs="Times New Roman"/>
          <w:sz w:val="24"/>
          <w:szCs w:val="24"/>
        </w:rPr>
      </w:pPr>
      <w:r>
        <w:rPr>
          <w:rFonts w:ascii="Times New Roman" w:hAnsi="Times New Roman" w:cs="Times New Roman"/>
          <w:sz w:val="24"/>
          <w:szCs w:val="24"/>
        </w:rPr>
        <w:t>Remittances are the most salient and researched contribution of emigrants to their home countries. However, there is debate as to the extent to which highly-skilled emigrants remit. Cross-country studies based on macro data have been used to claim the high-skilled remit less (Faini, 2007) whilst recent microeconomic evidence based on surveys of immigrants in a number of destination countries suggest</w:t>
      </w:r>
      <w:r w:rsidR="00C76D78">
        <w:rPr>
          <w:rFonts w:ascii="Times New Roman" w:hAnsi="Times New Roman" w:cs="Times New Roman"/>
          <w:sz w:val="24"/>
          <w:szCs w:val="24"/>
        </w:rPr>
        <w:t>s that more educated individuals remit more, with tertiary-educated migrants from poorer countries being more likely to remit than those from richer developing countries (Bollard et al, 2009).</w:t>
      </w:r>
      <w:r w:rsidR="00A45D06">
        <w:rPr>
          <w:rFonts w:ascii="Times New Roman" w:hAnsi="Times New Roman" w:cs="Times New Roman"/>
          <w:sz w:val="24"/>
          <w:szCs w:val="24"/>
        </w:rPr>
        <w:t xml:space="preserve"> </w:t>
      </w:r>
    </w:p>
    <w:p w:rsidR="00B01E56" w:rsidRDefault="00B01E56" w:rsidP="00FD139B">
      <w:pPr>
        <w:tabs>
          <w:tab w:val="left" w:pos="426"/>
        </w:tabs>
        <w:spacing w:after="0"/>
        <w:ind w:firstLine="360"/>
        <w:contextualSpacing/>
        <w:jc w:val="both"/>
        <w:rPr>
          <w:rFonts w:ascii="Times New Roman" w:hAnsi="Times New Roman" w:cs="Times New Roman"/>
          <w:sz w:val="24"/>
          <w:szCs w:val="24"/>
        </w:rPr>
      </w:pPr>
    </w:p>
    <w:p w:rsidR="00A45D06" w:rsidRDefault="00A45D06" w:rsidP="00FD139B">
      <w:pPr>
        <w:tabs>
          <w:tab w:val="left" w:pos="426"/>
        </w:tabs>
        <w:spacing w:after="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Panels A and B of Table </w:t>
      </w:r>
      <w:r w:rsidR="00923146">
        <w:rPr>
          <w:rFonts w:ascii="Times New Roman" w:hAnsi="Times New Roman" w:cs="Times New Roman"/>
          <w:sz w:val="24"/>
          <w:szCs w:val="24"/>
        </w:rPr>
        <w:t>5</w:t>
      </w:r>
      <w:r>
        <w:rPr>
          <w:rFonts w:ascii="Times New Roman" w:hAnsi="Times New Roman" w:cs="Times New Roman"/>
          <w:sz w:val="24"/>
          <w:szCs w:val="24"/>
        </w:rPr>
        <w:t xml:space="preserve"> show the incidence and level of monetary and goods remittances that the non-student migrants in our sample are sending to their home countries. </w:t>
      </w:r>
      <w:r w:rsidR="00FA5626">
        <w:rPr>
          <w:rFonts w:ascii="Times New Roman" w:hAnsi="Times New Roman" w:cs="Times New Roman"/>
          <w:sz w:val="24"/>
          <w:szCs w:val="24"/>
        </w:rPr>
        <w:t xml:space="preserve">Our survey data </w:t>
      </w:r>
      <w:r w:rsidR="00771E8D">
        <w:rPr>
          <w:rFonts w:ascii="Times New Roman" w:hAnsi="Times New Roman" w:cs="Times New Roman"/>
          <w:sz w:val="24"/>
          <w:szCs w:val="24"/>
        </w:rPr>
        <w:t>show a high incidence of remitting among the migrants from developing countries, with migrants from New Zealand being much less likely to remit.</w:t>
      </w:r>
      <w:r w:rsidR="00E157C2">
        <w:rPr>
          <w:rFonts w:ascii="Times New Roman" w:hAnsi="Times New Roman" w:cs="Times New Roman"/>
          <w:sz w:val="24"/>
          <w:szCs w:val="24"/>
        </w:rPr>
        <w:t xml:space="preserve"> For the Ghanaian sample we can compare our results to the remitting patterns of all Ghanaian migrants in the OECD (Bollard, McKenzie and Morten, 20</w:t>
      </w:r>
      <w:r w:rsidR="00B0450B">
        <w:rPr>
          <w:rFonts w:ascii="Times New Roman" w:hAnsi="Times New Roman" w:cs="Times New Roman"/>
          <w:sz w:val="24"/>
          <w:szCs w:val="24"/>
        </w:rPr>
        <w:t>10</w:t>
      </w:r>
      <w:r w:rsidR="00E157C2">
        <w:rPr>
          <w:rFonts w:ascii="Times New Roman" w:hAnsi="Times New Roman" w:cs="Times New Roman"/>
          <w:sz w:val="24"/>
          <w:szCs w:val="24"/>
        </w:rPr>
        <w:t>).</w:t>
      </w:r>
      <w:r w:rsidR="00771E8D">
        <w:rPr>
          <w:rFonts w:ascii="Times New Roman" w:hAnsi="Times New Roman" w:cs="Times New Roman"/>
          <w:sz w:val="24"/>
          <w:szCs w:val="24"/>
        </w:rPr>
        <w:t xml:space="preserve"> 86 percent of all Ghanaian current migrants are remitting, which increases to 93 percent if we exclude current students. This can be compared to a remitting rate of 66 percent among all Ghanaian migrants in the OECD</w:t>
      </w:r>
      <w:r w:rsidR="00E157C2">
        <w:rPr>
          <w:rFonts w:ascii="Times New Roman" w:hAnsi="Times New Roman" w:cs="Times New Roman"/>
          <w:sz w:val="24"/>
          <w:szCs w:val="24"/>
        </w:rPr>
        <w:t xml:space="preserve">. The mean annual amount remitted </w:t>
      </w:r>
      <w:r w:rsidR="000A3E52">
        <w:rPr>
          <w:rFonts w:ascii="Times New Roman" w:hAnsi="Times New Roman" w:cs="Times New Roman"/>
          <w:sz w:val="24"/>
          <w:szCs w:val="24"/>
        </w:rPr>
        <w:t xml:space="preserve">in monetary remittances </w:t>
      </w:r>
      <w:r w:rsidR="00E157C2">
        <w:rPr>
          <w:rFonts w:ascii="Times New Roman" w:hAnsi="Times New Roman" w:cs="Times New Roman"/>
          <w:sz w:val="24"/>
          <w:szCs w:val="24"/>
        </w:rPr>
        <w:t>conditional on remitting for Ghanaians in our sample is US$4,314, compared to US$3,614 for all Ghan</w:t>
      </w:r>
      <w:r w:rsidR="000A3E52">
        <w:rPr>
          <w:rFonts w:ascii="Times New Roman" w:hAnsi="Times New Roman" w:cs="Times New Roman"/>
          <w:sz w:val="24"/>
          <w:szCs w:val="24"/>
        </w:rPr>
        <w:t>a</w:t>
      </w:r>
      <w:r w:rsidR="00E157C2">
        <w:rPr>
          <w:rFonts w:ascii="Times New Roman" w:hAnsi="Times New Roman" w:cs="Times New Roman"/>
          <w:sz w:val="24"/>
          <w:szCs w:val="24"/>
        </w:rPr>
        <w:t>ian migrants in the OECD.</w:t>
      </w:r>
      <w:r w:rsidR="000A3E52">
        <w:rPr>
          <w:rFonts w:ascii="Times New Roman" w:hAnsi="Times New Roman" w:cs="Times New Roman"/>
          <w:sz w:val="24"/>
          <w:szCs w:val="24"/>
        </w:rPr>
        <w:t xml:space="preserve"> Thus the high-skilled migrants in our sample are remitting more frequently and sending more when they do remit than average migrants, even if the amount remitted as a share of income is lower.</w:t>
      </w:r>
    </w:p>
    <w:p w:rsidR="00B01E56" w:rsidRDefault="00B01E56" w:rsidP="00FD139B">
      <w:pPr>
        <w:tabs>
          <w:tab w:val="left" w:pos="426"/>
        </w:tabs>
        <w:spacing w:after="0"/>
        <w:ind w:firstLine="360"/>
        <w:contextualSpacing/>
        <w:jc w:val="both"/>
        <w:rPr>
          <w:rFonts w:ascii="Times New Roman" w:hAnsi="Times New Roman" w:cs="Times New Roman"/>
          <w:sz w:val="24"/>
          <w:szCs w:val="24"/>
        </w:rPr>
      </w:pPr>
    </w:p>
    <w:p w:rsidR="000114EC" w:rsidRDefault="000A3E52" w:rsidP="00FD139B">
      <w:pPr>
        <w:tabs>
          <w:tab w:val="left" w:pos="426"/>
        </w:tabs>
        <w:spacing w:after="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The unconditional mean and median amount remitted then include the zero remittances for those not remitting. The appropriate counterfactual here is that these individuals would not be remitting if they had not migrated. So the net effect of migration on remittances is simply the unconditional mean. Adding together the monetary and goods remittances gives a total impact of $5,000 annual remittances for Ghanaians, $2,100 for Micronesians, $625 for New Zealanders (monetary remittances data only), $7,232 for Papua New Guineans, and </w:t>
      </w:r>
      <w:r>
        <w:rPr>
          <w:rFonts w:ascii="Times New Roman" w:hAnsi="Times New Roman" w:cs="Times New Roman"/>
          <w:sz w:val="24"/>
          <w:szCs w:val="24"/>
        </w:rPr>
        <w:lastRenderedPageBreak/>
        <w:t xml:space="preserve">$4,300 for Tongans. </w:t>
      </w:r>
      <w:r w:rsidR="000774DD">
        <w:rPr>
          <w:rFonts w:ascii="Times New Roman" w:hAnsi="Times New Roman" w:cs="Times New Roman"/>
          <w:sz w:val="24"/>
          <w:szCs w:val="24"/>
        </w:rPr>
        <w:t xml:space="preserve">These amounts are significant relative to the per capita incomes of the developing countries, with Ghanaian and Papua New Guinean remittances equivalent to about seven times per capita GDP. </w:t>
      </w:r>
      <w:r w:rsidR="00547BA0">
        <w:rPr>
          <w:rFonts w:ascii="Times New Roman" w:hAnsi="Times New Roman" w:cs="Times New Roman"/>
          <w:sz w:val="24"/>
          <w:szCs w:val="24"/>
        </w:rPr>
        <w:t xml:space="preserve">Nevertheless, the amounts remitted are only a fraction of what the migrants would have been earning at home (Table 2). </w:t>
      </w:r>
    </w:p>
    <w:p w:rsidR="00B01E56" w:rsidRDefault="00B01E56" w:rsidP="00FD139B">
      <w:pPr>
        <w:tabs>
          <w:tab w:val="left" w:pos="426"/>
        </w:tabs>
        <w:spacing w:after="0"/>
        <w:ind w:firstLine="360"/>
        <w:contextualSpacing/>
        <w:jc w:val="both"/>
        <w:rPr>
          <w:rFonts w:ascii="Times New Roman" w:hAnsi="Times New Roman" w:cs="Times New Roman"/>
          <w:sz w:val="24"/>
          <w:szCs w:val="24"/>
        </w:rPr>
      </w:pPr>
    </w:p>
    <w:p w:rsidR="00594BCD" w:rsidRDefault="000533A0" w:rsidP="00FD139B">
      <w:pPr>
        <w:tabs>
          <w:tab w:val="left" w:pos="426"/>
        </w:tabs>
        <w:spacing w:after="0"/>
        <w:contextualSpacing/>
        <w:jc w:val="both"/>
        <w:rPr>
          <w:rFonts w:ascii="Times New Roman" w:hAnsi="Times New Roman" w:cs="Times New Roman"/>
          <w:b/>
          <w:sz w:val="24"/>
          <w:szCs w:val="24"/>
        </w:rPr>
      </w:pPr>
      <w:r>
        <w:rPr>
          <w:rFonts w:ascii="Times New Roman" w:hAnsi="Times New Roman" w:cs="Times New Roman"/>
          <w:b/>
          <w:sz w:val="24"/>
          <w:szCs w:val="24"/>
        </w:rPr>
        <w:t>4.2  Involvement in Trade and Foreign Direct Investment</w:t>
      </w:r>
    </w:p>
    <w:p w:rsidR="00FD139B" w:rsidRPr="00FD139B" w:rsidRDefault="00FD139B" w:rsidP="00FD139B">
      <w:pPr>
        <w:tabs>
          <w:tab w:val="left" w:pos="426"/>
        </w:tabs>
        <w:spacing w:after="0"/>
        <w:contextualSpacing/>
        <w:jc w:val="both"/>
        <w:rPr>
          <w:rFonts w:ascii="Times New Roman" w:hAnsi="Times New Roman" w:cs="Times New Roman"/>
          <w:b/>
          <w:sz w:val="12"/>
          <w:szCs w:val="12"/>
        </w:rPr>
      </w:pPr>
    </w:p>
    <w:p w:rsidR="001423B9" w:rsidRDefault="00383B87" w:rsidP="00FD139B">
      <w:pPr>
        <w:tabs>
          <w:tab w:val="left" w:pos="426"/>
        </w:tabs>
        <w:spacing w:after="0"/>
        <w:contextualSpacing/>
        <w:jc w:val="both"/>
        <w:rPr>
          <w:rFonts w:ascii="Times New Roman" w:hAnsi="Times New Roman" w:cs="Times New Roman"/>
          <w:sz w:val="24"/>
          <w:szCs w:val="24"/>
        </w:rPr>
      </w:pPr>
      <w:r w:rsidRPr="00383B87">
        <w:rPr>
          <w:rFonts w:ascii="Times New Roman" w:hAnsi="Times New Roman" w:cs="Times New Roman"/>
          <w:sz w:val="24"/>
          <w:szCs w:val="24"/>
        </w:rPr>
        <w:t xml:space="preserve">After remittances, the financial </w:t>
      </w:r>
      <w:r>
        <w:rPr>
          <w:rFonts w:ascii="Times New Roman" w:hAnsi="Times New Roman" w:cs="Times New Roman"/>
          <w:sz w:val="24"/>
          <w:szCs w:val="24"/>
        </w:rPr>
        <w:t>channels through which high skilled emigrants are often thought to have most positive economic benefits for their home countries are through their involvement in trade and foreign direct investment. The experience of Indian, Taiwanese, and Chinese information technology firms has been used to suggest that a highly skilled diaspora can use their knowledge of the destination country to lower the costs of transacting across countries (Rauch and Trinidade, 2000; Kugler and Rapoport, 2005</w:t>
      </w:r>
      <w:r w:rsidR="009606F9">
        <w:rPr>
          <w:rFonts w:ascii="Times New Roman" w:hAnsi="Times New Roman" w:cs="Times New Roman"/>
          <w:sz w:val="24"/>
          <w:szCs w:val="24"/>
        </w:rPr>
        <w:t>, Javorcik et al, 20</w:t>
      </w:r>
      <w:r w:rsidR="00B0450B">
        <w:rPr>
          <w:rFonts w:ascii="Times New Roman" w:hAnsi="Times New Roman" w:cs="Times New Roman"/>
          <w:sz w:val="24"/>
          <w:szCs w:val="24"/>
        </w:rPr>
        <w:t>10</w:t>
      </w:r>
      <w:r>
        <w:rPr>
          <w:rFonts w:ascii="Times New Roman" w:hAnsi="Times New Roman" w:cs="Times New Roman"/>
          <w:sz w:val="24"/>
          <w:szCs w:val="24"/>
        </w:rPr>
        <w:t xml:space="preserve">), and that emigrants can provide venture capital for starting new firms (Saxeenian, 2001, 2002). </w:t>
      </w:r>
      <w:r w:rsidR="001423B9">
        <w:rPr>
          <w:rFonts w:ascii="Times New Roman" w:hAnsi="Times New Roman" w:cs="Times New Roman"/>
          <w:sz w:val="24"/>
          <w:szCs w:val="24"/>
        </w:rPr>
        <w:t>However, such studies and anecdotal evidence tends to focus on the cases where these linkages have occurred, and do not provide any information as to how common such experiences are, or to whether the experiences of high skilled IT workers from large economies are translatable to the types of countries where brain drain rates are much higher and domestic markets much smaller.</w:t>
      </w:r>
    </w:p>
    <w:p w:rsidR="00FD139B" w:rsidRDefault="001423B9" w:rsidP="00FD139B">
      <w:pPr>
        <w:tabs>
          <w:tab w:val="left" w:pos="426"/>
        </w:tabs>
        <w:spacing w:after="0"/>
        <w:contextualSpacing/>
        <w:jc w:val="both"/>
        <w:rPr>
          <w:rFonts w:ascii="Times New Roman" w:hAnsi="Times New Roman" w:cs="Times New Roman"/>
          <w:sz w:val="24"/>
          <w:szCs w:val="24"/>
        </w:rPr>
      </w:pPr>
      <w:r>
        <w:rPr>
          <w:rFonts w:ascii="Times New Roman" w:hAnsi="Times New Roman" w:cs="Times New Roman"/>
          <w:sz w:val="24"/>
          <w:szCs w:val="24"/>
        </w:rPr>
        <w:tab/>
      </w:r>
    </w:p>
    <w:p w:rsidR="00BB36C0" w:rsidRDefault="00FD139B" w:rsidP="00FD139B">
      <w:pPr>
        <w:tabs>
          <w:tab w:val="left" w:pos="426"/>
        </w:tabs>
        <w:spacing w:after="0"/>
        <w:contextualSpacing/>
        <w:jc w:val="both"/>
        <w:rPr>
          <w:rFonts w:ascii="Times New Roman" w:hAnsi="Times New Roman" w:cs="Times New Roman"/>
          <w:sz w:val="24"/>
          <w:szCs w:val="24"/>
        </w:rPr>
      </w:pPr>
      <w:r>
        <w:rPr>
          <w:rFonts w:ascii="Times New Roman" w:hAnsi="Times New Roman" w:cs="Times New Roman"/>
          <w:sz w:val="24"/>
          <w:szCs w:val="24"/>
        </w:rPr>
        <w:tab/>
      </w:r>
      <w:r w:rsidR="001423B9">
        <w:rPr>
          <w:rFonts w:ascii="Times New Roman" w:hAnsi="Times New Roman" w:cs="Times New Roman"/>
          <w:sz w:val="24"/>
          <w:szCs w:val="24"/>
        </w:rPr>
        <w:t xml:space="preserve">Our survey directly asked emigrants whether, in the past year, they had helped a home country firm make a trade deal, and if so, the value of this deal, and whether they had themselves directly exported goods from their home country to sell overseas, and the value. Panel C of Table </w:t>
      </w:r>
      <w:r w:rsidR="00970715">
        <w:rPr>
          <w:rFonts w:ascii="Times New Roman" w:hAnsi="Times New Roman" w:cs="Times New Roman"/>
          <w:sz w:val="24"/>
          <w:szCs w:val="24"/>
        </w:rPr>
        <w:t>5</w:t>
      </w:r>
      <w:r w:rsidR="001423B9">
        <w:rPr>
          <w:rFonts w:ascii="Times New Roman" w:hAnsi="Times New Roman" w:cs="Times New Roman"/>
          <w:sz w:val="24"/>
          <w:szCs w:val="24"/>
        </w:rPr>
        <w:t xml:space="preserve"> summarizes the results. We see that involvement in trade is very uncommon for this group of the best and brightest, with 3 percent of the Ghanaians, 4 percent of the Micronesians</w:t>
      </w:r>
      <w:r w:rsidR="009D7100">
        <w:rPr>
          <w:rFonts w:ascii="Times New Roman" w:hAnsi="Times New Roman" w:cs="Times New Roman"/>
          <w:sz w:val="24"/>
          <w:szCs w:val="24"/>
        </w:rPr>
        <w:t xml:space="preserve"> and Tongans</w:t>
      </w:r>
      <w:r w:rsidR="001423B9">
        <w:rPr>
          <w:rFonts w:ascii="Times New Roman" w:hAnsi="Times New Roman" w:cs="Times New Roman"/>
          <w:sz w:val="24"/>
          <w:szCs w:val="24"/>
        </w:rPr>
        <w:t xml:space="preserve">, and 6 percent of the New Zealanders being involved in trade – the 10 percent figure for Papua New Guinea represents only 1 out of the 10 non-student migrants from this country who answered this question carrying out such activities. </w:t>
      </w:r>
      <w:r w:rsidR="00F832C6">
        <w:rPr>
          <w:rFonts w:ascii="Times New Roman" w:hAnsi="Times New Roman" w:cs="Times New Roman"/>
          <w:sz w:val="24"/>
          <w:szCs w:val="24"/>
        </w:rPr>
        <w:t xml:space="preserve">One might argue that a low incidence of involvement may still have large overall impact if the occasions where deals are made involve large transactions. </w:t>
      </w:r>
      <w:r w:rsidR="00BB36C0">
        <w:rPr>
          <w:rFonts w:ascii="Times New Roman" w:hAnsi="Times New Roman" w:cs="Times New Roman"/>
          <w:sz w:val="24"/>
          <w:szCs w:val="24"/>
        </w:rPr>
        <w:t>For example, one of the Ghanaian migrants in the sample facilitated a 500,000 cedi ($350,000) trade deal with a Ghanaian company, using his knowledge of Ghana to carry out due diligence on the company and his own company abroad to provide concessionary terms in the deal.</w:t>
      </w:r>
      <w:r w:rsidR="007814B3">
        <w:rPr>
          <w:rFonts w:ascii="Times New Roman" w:hAnsi="Times New Roman" w:cs="Times New Roman"/>
          <w:sz w:val="24"/>
          <w:szCs w:val="24"/>
        </w:rPr>
        <w:t xml:space="preserve"> A second example is the case of a migrant from Papua New Guinea, who met entrepreneurs in China during his work visits there, and informed them about the possibilities of importing vanilla from Papua New Guinea. He then </w:t>
      </w:r>
      <w:r w:rsidR="00E84F50">
        <w:rPr>
          <w:rFonts w:ascii="Times New Roman" w:hAnsi="Times New Roman" w:cs="Times New Roman"/>
          <w:sz w:val="24"/>
          <w:szCs w:val="24"/>
        </w:rPr>
        <w:t>contacted vanilla exporters in Papua New Guinea he knew, and linked them up, with an initial order of $250,000.</w:t>
      </w:r>
      <w:r w:rsidR="007814B3">
        <w:rPr>
          <w:rFonts w:ascii="Times New Roman" w:hAnsi="Times New Roman" w:cs="Times New Roman"/>
          <w:sz w:val="24"/>
          <w:szCs w:val="24"/>
        </w:rPr>
        <w:t xml:space="preserve"> </w:t>
      </w:r>
    </w:p>
    <w:p w:rsidR="00FD139B" w:rsidRDefault="00FD139B" w:rsidP="00FD139B">
      <w:pPr>
        <w:tabs>
          <w:tab w:val="left" w:pos="426"/>
        </w:tabs>
        <w:spacing w:after="0"/>
        <w:contextualSpacing/>
        <w:jc w:val="both"/>
        <w:rPr>
          <w:rFonts w:ascii="Times New Roman" w:hAnsi="Times New Roman" w:cs="Times New Roman"/>
          <w:sz w:val="24"/>
          <w:szCs w:val="24"/>
        </w:rPr>
      </w:pPr>
      <w:r>
        <w:rPr>
          <w:rFonts w:ascii="Times New Roman" w:hAnsi="Times New Roman" w:cs="Times New Roman"/>
          <w:sz w:val="24"/>
          <w:szCs w:val="24"/>
        </w:rPr>
        <w:tab/>
      </w:r>
    </w:p>
    <w:p w:rsidR="001423B9" w:rsidRDefault="00FD139B" w:rsidP="00FD139B">
      <w:pPr>
        <w:tabs>
          <w:tab w:val="left" w:pos="426"/>
        </w:tabs>
        <w:spacing w:after="0"/>
        <w:contextualSpacing/>
        <w:jc w:val="both"/>
        <w:rPr>
          <w:rFonts w:ascii="Times New Roman" w:hAnsi="Times New Roman" w:cs="Times New Roman"/>
          <w:sz w:val="24"/>
          <w:szCs w:val="24"/>
        </w:rPr>
      </w:pPr>
      <w:r>
        <w:rPr>
          <w:rFonts w:ascii="Times New Roman" w:hAnsi="Times New Roman" w:cs="Times New Roman"/>
          <w:sz w:val="24"/>
          <w:szCs w:val="24"/>
        </w:rPr>
        <w:tab/>
      </w:r>
      <w:r w:rsidR="00F832C6">
        <w:rPr>
          <w:rFonts w:ascii="Times New Roman" w:hAnsi="Times New Roman" w:cs="Times New Roman"/>
          <w:sz w:val="24"/>
          <w:szCs w:val="24"/>
        </w:rPr>
        <w:t>We therefore report the conditional mean and median value of these transactions, although note these are based on only one transaction for Papua New Guinea, 4 transactions in Micronesia, and 6 transactions in Ghana. There are a couple of large transactions, one in Papua New Guinea and one in Ghana, which push the conditional means up for these countries. Nevertheless, when we look at the unconditional means, the low frequency of</w:t>
      </w:r>
      <w:r w:rsidR="00FA5626">
        <w:rPr>
          <w:rFonts w:ascii="Times New Roman" w:hAnsi="Times New Roman" w:cs="Times New Roman"/>
          <w:sz w:val="24"/>
          <w:szCs w:val="24"/>
        </w:rPr>
        <w:t xml:space="preserve"> such transactions reduces the</w:t>
      </w:r>
      <w:r w:rsidR="00F832C6">
        <w:rPr>
          <w:rFonts w:ascii="Times New Roman" w:hAnsi="Times New Roman" w:cs="Times New Roman"/>
          <w:sz w:val="24"/>
          <w:szCs w:val="24"/>
        </w:rPr>
        <w:t xml:space="preserve"> means considerably. </w:t>
      </w:r>
    </w:p>
    <w:p w:rsidR="00F832C6" w:rsidRDefault="00F832C6" w:rsidP="00FD139B">
      <w:pPr>
        <w:tabs>
          <w:tab w:val="left" w:pos="426"/>
        </w:tabs>
        <w:spacing w:after="0"/>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008B0CFF">
        <w:rPr>
          <w:rFonts w:ascii="Times New Roman" w:hAnsi="Times New Roman" w:cs="Times New Roman"/>
          <w:sz w:val="24"/>
          <w:szCs w:val="24"/>
        </w:rPr>
        <w:t xml:space="preserve">Given how rare such trade transactions are, we do not attempt to </w:t>
      </w:r>
      <w:r w:rsidR="00874A88">
        <w:rPr>
          <w:rFonts w:ascii="Times New Roman" w:hAnsi="Times New Roman" w:cs="Times New Roman"/>
          <w:sz w:val="24"/>
          <w:szCs w:val="24"/>
        </w:rPr>
        <w:t xml:space="preserve">formally </w:t>
      </w:r>
      <w:r w:rsidR="008B0CFF">
        <w:rPr>
          <w:rFonts w:ascii="Times New Roman" w:hAnsi="Times New Roman" w:cs="Times New Roman"/>
          <w:sz w:val="24"/>
          <w:szCs w:val="24"/>
        </w:rPr>
        <w:t xml:space="preserve">construct a counterfactual </w:t>
      </w:r>
      <w:r w:rsidR="00B21885">
        <w:rPr>
          <w:rFonts w:ascii="Times New Roman" w:hAnsi="Times New Roman" w:cs="Times New Roman"/>
          <w:sz w:val="24"/>
          <w:szCs w:val="24"/>
        </w:rPr>
        <w:t xml:space="preserve">through regression analysis </w:t>
      </w:r>
      <w:r w:rsidR="008B0CFF">
        <w:rPr>
          <w:rFonts w:ascii="Times New Roman" w:hAnsi="Times New Roman" w:cs="Times New Roman"/>
          <w:sz w:val="24"/>
          <w:szCs w:val="24"/>
        </w:rPr>
        <w:t>for what trade transactions these individuals would have been doing had they not migrated. Instead, we asked the non-migrants the same questions</w:t>
      </w:r>
      <w:r w:rsidR="00B21885">
        <w:rPr>
          <w:rFonts w:ascii="Times New Roman" w:hAnsi="Times New Roman" w:cs="Times New Roman"/>
          <w:sz w:val="24"/>
          <w:szCs w:val="24"/>
        </w:rPr>
        <w:t xml:space="preserve"> about trade deals</w:t>
      </w:r>
      <w:r w:rsidR="008B0CFF">
        <w:rPr>
          <w:rFonts w:ascii="Times New Roman" w:hAnsi="Times New Roman" w:cs="Times New Roman"/>
          <w:sz w:val="24"/>
          <w:szCs w:val="24"/>
        </w:rPr>
        <w:t xml:space="preserve">, and take the mean values among non-migrants as the counterfactual. The last column of Table </w:t>
      </w:r>
      <w:r w:rsidR="009D7100">
        <w:rPr>
          <w:rFonts w:ascii="Times New Roman" w:hAnsi="Times New Roman" w:cs="Times New Roman"/>
          <w:sz w:val="24"/>
          <w:szCs w:val="24"/>
        </w:rPr>
        <w:t>5</w:t>
      </w:r>
      <w:r w:rsidR="008B0CFF">
        <w:rPr>
          <w:rFonts w:ascii="Times New Roman" w:hAnsi="Times New Roman" w:cs="Times New Roman"/>
          <w:sz w:val="24"/>
          <w:szCs w:val="24"/>
        </w:rPr>
        <w:t xml:space="preserve"> then presents our estimate of the net impact of being a high-skilled emigrant on trade from the home country. For Tonga and Micronesia this net effect is negative, but close to zero: trade was uncommon among the non-migrants and the migrants, but the mean among non-migrants was slightly higher than </w:t>
      </w:r>
      <w:r w:rsidR="00B21885">
        <w:rPr>
          <w:rFonts w:ascii="Times New Roman" w:hAnsi="Times New Roman" w:cs="Times New Roman"/>
          <w:sz w:val="24"/>
          <w:szCs w:val="24"/>
        </w:rPr>
        <w:t>the</w:t>
      </w:r>
      <w:r w:rsidR="00EF006C">
        <w:rPr>
          <w:rFonts w:ascii="Times New Roman" w:hAnsi="Times New Roman" w:cs="Times New Roman"/>
          <w:sz w:val="24"/>
          <w:szCs w:val="24"/>
        </w:rPr>
        <w:t xml:space="preserve"> </w:t>
      </w:r>
      <w:r w:rsidR="008B0CFF">
        <w:rPr>
          <w:rFonts w:ascii="Times New Roman" w:hAnsi="Times New Roman" w:cs="Times New Roman"/>
          <w:sz w:val="24"/>
          <w:szCs w:val="24"/>
        </w:rPr>
        <w:t>migrants. For Ghana, the mean effect is $5,346, although we cannot reject equality to zero. For Papua New Guinea, the one migrant making a trade deal made a large deal, but again we cannot reject equality to zero.</w:t>
      </w:r>
      <w:r w:rsidR="008303A0">
        <w:rPr>
          <w:rFonts w:ascii="Times New Roman" w:hAnsi="Times New Roman" w:cs="Times New Roman"/>
          <w:sz w:val="24"/>
          <w:szCs w:val="24"/>
        </w:rPr>
        <w:t xml:space="preserve"> Moreover, the value-added of this trade creation will depend on the profit margin of the trade deals – if this is only 10-25 percent of the transaction value, then the mean effect reduces to $500-1000 in Ghana.</w:t>
      </w:r>
    </w:p>
    <w:p w:rsidR="00FD139B" w:rsidRDefault="00FD139B" w:rsidP="00FD139B">
      <w:pPr>
        <w:tabs>
          <w:tab w:val="left" w:pos="426"/>
        </w:tabs>
        <w:spacing w:after="0"/>
        <w:contextualSpacing/>
        <w:jc w:val="both"/>
        <w:rPr>
          <w:rFonts w:ascii="Times New Roman" w:hAnsi="Times New Roman" w:cs="Times New Roman"/>
          <w:sz w:val="24"/>
          <w:szCs w:val="24"/>
        </w:rPr>
      </w:pPr>
    </w:p>
    <w:p w:rsidR="00E5313E" w:rsidRDefault="00E5313E" w:rsidP="00FD139B">
      <w:pPr>
        <w:tabs>
          <w:tab w:val="left" w:pos="426"/>
        </w:tabs>
        <w:spacing w:after="0"/>
        <w:contextualSpacing/>
        <w:jc w:val="both"/>
        <w:rPr>
          <w:rFonts w:ascii="Times New Roman" w:hAnsi="Times New Roman" w:cs="Times New Roman"/>
          <w:sz w:val="24"/>
          <w:szCs w:val="24"/>
        </w:rPr>
      </w:pPr>
      <w:r>
        <w:rPr>
          <w:rFonts w:ascii="Times New Roman" w:hAnsi="Times New Roman" w:cs="Times New Roman"/>
          <w:sz w:val="24"/>
          <w:szCs w:val="24"/>
        </w:rPr>
        <w:tab/>
        <w:t>Panel D provides the related answers for whether migrants are providing the capital to start up enterprises at home. Again this is infrequent, with 5 percent or fewer of the emigrants from New Zealand, Micronesia and Tonga doing this, and 8 percent of the</w:t>
      </w:r>
      <w:r w:rsidR="00FA5626">
        <w:rPr>
          <w:rFonts w:ascii="Times New Roman" w:hAnsi="Times New Roman" w:cs="Times New Roman"/>
          <w:sz w:val="24"/>
          <w:szCs w:val="24"/>
        </w:rPr>
        <w:t xml:space="preserve"> </w:t>
      </w:r>
      <w:r w:rsidR="00B21885">
        <w:rPr>
          <w:rFonts w:ascii="Times New Roman" w:hAnsi="Times New Roman" w:cs="Times New Roman"/>
          <w:sz w:val="24"/>
          <w:szCs w:val="24"/>
        </w:rPr>
        <w:t>Papua New Guineans</w:t>
      </w:r>
      <w:r>
        <w:rPr>
          <w:rFonts w:ascii="Times New Roman" w:hAnsi="Times New Roman" w:cs="Times New Roman"/>
          <w:sz w:val="24"/>
          <w:szCs w:val="24"/>
        </w:rPr>
        <w:t>. It is more common in Ghana, but the amounts invested are relatively small – a conditional mean of $</w:t>
      </w:r>
      <w:r w:rsidR="00EA5639">
        <w:rPr>
          <w:rFonts w:ascii="Times New Roman" w:hAnsi="Times New Roman" w:cs="Times New Roman"/>
          <w:sz w:val="24"/>
          <w:szCs w:val="24"/>
        </w:rPr>
        <w:t>18,000</w:t>
      </w:r>
      <w:r>
        <w:rPr>
          <w:rFonts w:ascii="Times New Roman" w:hAnsi="Times New Roman" w:cs="Times New Roman"/>
          <w:sz w:val="24"/>
          <w:szCs w:val="24"/>
        </w:rPr>
        <w:t xml:space="preserve"> and median of $2,100 for Ghana, suggesting that most of the businesses being invested in are very small, or that the migrant is not providing the main source of financing. Nevertheless, migrants are more likely to be making such investments in most countries than non-migrants are, and so our net effect in the last column, after taking out the mean for non-migrants is typically positive, although we cannot reject that it is zero.</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r w:rsidR="00CB4E95">
        <w:rPr>
          <w:rFonts w:ascii="Times New Roman" w:hAnsi="Times New Roman" w:cs="Times New Roman"/>
          <w:sz w:val="24"/>
          <w:szCs w:val="24"/>
        </w:rPr>
        <w:t>In addition, in answer to a separate question, none of the developing country migrants in our sample report holding shares in home country firms, showing that they are not making large investments in existing formally established companies.</w:t>
      </w:r>
    </w:p>
    <w:p w:rsidR="00FD139B" w:rsidRDefault="00FD139B" w:rsidP="00FD139B">
      <w:pPr>
        <w:tabs>
          <w:tab w:val="left" w:pos="426"/>
        </w:tabs>
        <w:spacing w:after="0"/>
        <w:contextualSpacing/>
        <w:jc w:val="both"/>
        <w:rPr>
          <w:rFonts w:ascii="Times New Roman" w:hAnsi="Times New Roman" w:cs="Times New Roman"/>
          <w:sz w:val="24"/>
          <w:szCs w:val="24"/>
        </w:rPr>
      </w:pPr>
    </w:p>
    <w:p w:rsidR="00383B87" w:rsidRDefault="00383B87" w:rsidP="00FD139B">
      <w:pPr>
        <w:tabs>
          <w:tab w:val="left" w:pos="426"/>
        </w:tabs>
        <w:spacing w:after="0"/>
        <w:contextualSpacing/>
        <w:jc w:val="both"/>
        <w:rPr>
          <w:rFonts w:ascii="Times New Roman" w:hAnsi="Times New Roman" w:cs="Times New Roman"/>
          <w:sz w:val="24"/>
          <w:szCs w:val="24"/>
        </w:rPr>
      </w:pPr>
      <w:r>
        <w:rPr>
          <w:rFonts w:ascii="Times New Roman" w:hAnsi="Times New Roman" w:cs="Times New Roman"/>
          <w:sz w:val="24"/>
          <w:szCs w:val="24"/>
        </w:rPr>
        <w:tab/>
      </w:r>
      <w:r w:rsidR="00363209">
        <w:rPr>
          <w:rFonts w:ascii="Times New Roman" w:hAnsi="Times New Roman" w:cs="Times New Roman"/>
          <w:sz w:val="24"/>
          <w:szCs w:val="24"/>
        </w:rPr>
        <w:t xml:space="preserve">In contrast, high-skilled emigrants are much more likely to be consumers of traded products from their home countries, often through what Orozco et al. (2005) term nostalgic trade. 87 percent of Ghanaian non-student migrants in our sample report having purchased Ghanaian food, drink or goods in their destination country, or having ordered goods directly from a Ghanaian retailer for their personal consumption. However, the mean </w:t>
      </w:r>
      <w:r w:rsidR="00CB4E95">
        <w:rPr>
          <w:rFonts w:ascii="Times New Roman" w:hAnsi="Times New Roman" w:cs="Times New Roman"/>
          <w:sz w:val="24"/>
          <w:szCs w:val="24"/>
        </w:rPr>
        <w:t xml:space="preserve">(unconditional) </w:t>
      </w:r>
      <w:r w:rsidR="00363209">
        <w:rPr>
          <w:rFonts w:ascii="Times New Roman" w:hAnsi="Times New Roman" w:cs="Times New Roman"/>
          <w:sz w:val="24"/>
          <w:szCs w:val="24"/>
        </w:rPr>
        <w:t xml:space="preserve">value of goods ordered </w:t>
      </w:r>
      <w:r w:rsidR="00CB4E95">
        <w:rPr>
          <w:rFonts w:ascii="Times New Roman" w:hAnsi="Times New Roman" w:cs="Times New Roman"/>
          <w:sz w:val="24"/>
          <w:szCs w:val="24"/>
        </w:rPr>
        <w:t xml:space="preserve">directly </w:t>
      </w:r>
      <w:r w:rsidR="00363209">
        <w:rPr>
          <w:rFonts w:ascii="Times New Roman" w:hAnsi="Times New Roman" w:cs="Times New Roman"/>
          <w:sz w:val="24"/>
          <w:szCs w:val="24"/>
        </w:rPr>
        <w:t>is only $183</w:t>
      </w:r>
      <w:r w:rsidR="00CB4E95">
        <w:rPr>
          <w:rFonts w:ascii="Times New Roman" w:hAnsi="Times New Roman" w:cs="Times New Roman"/>
          <w:sz w:val="24"/>
          <w:szCs w:val="24"/>
        </w:rPr>
        <w:t xml:space="preserve"> and that of Ghanaian products purchased by migrants abroad is $443. Such nostalgic trade is also common among the New Zealand sample, with </w:t>
      </w:r>
      <w:r w:rsidR="00005FC0">
        <w:rPr>
          <w:rFonts w:ascii="Times New Roman" w:hAnsi="Times New Roman" w:cs="Times New Roman"/>
          <w:sz w:val="24"/>
          <w:szCs w:val="24"/>
        </w:rPr>
        <w:t xml:space="preserve">87 </w:t>
      </w:r>
      <w:r w:rsidR="00CB4E95">
        <w:rPr>
          <w:rFonts w:ascii="Times New Roman" w:hAnsi="Times New Roman" w:cs="Times New Roman"/>
          <w:sz w:val="24"/>
          <w:szCs w:val="24"/>
        </w:rPr>
        <w:t>percent of emigrants engaging in it</w:t>
      </w:r>
      <w:r w:rsidR="00005FC0">
        <w:rPr>
          <w:rFonts w:ascii="Times New Roman" w:hAnsi="Times New Roman" w:cs="Times New Roman"/>
          <w:sz w:val="24"/>
          <w:szCs w:val="24"/>
        </w:rPr>
        <w:t>,</w:t>
      </w:r>
      <w:r w:rsidR="00005FC0">
        <w:rPr>
          <w:rStyle w:val="FootnoteReference"/>
          <w:rFonts w:ascii="Times New Roman" w:hAnsi="Times New Roman" w:cs="Times New Roman"/>
          <w:sz w:val="24"/>
          <w:szCs w:val="24"/>
        </w:rPr>
        <w:footnoteReference w:id="13"/>
      </w:r>
      <w:r w:rsidR="00005FC0">
        <w:rPr>
          <w:rFonts w:ascii="Times New Roman" w:hAnsi="Times New Roman" w:cs="Times New Roman"/>
          <w:sz w:val="24"/>
          <w:szCs w:val="24"/>
        </w:rPr>
        <w:t xml:space="preserve"> </w:t>
      </w:r>
      <w:r w:rsidR="00CB4E95">
        <w:rPr>
          <w:rFonts w:ascii="Times New Roman" w:hAnsi="Times New Roman" w:cs="Times New Roman"/>
          <w:sz w:val="24"/>
          <w:szCs w:val="24"/>
        </w:rPr>
        <w:t xml:space="preserve">but less common amongst migrants from the small island nations: 47 percent of Micronesians engaged in such trade, with an unconditional mean value of such transactions of $337, and only 13 percent of Tongans did, with an unconditional mean value of $36.  </w:t>
      </w:r>
      <w:r w:rsidR="00005FC0">
        <w:rPr>
          <w:rFonts w:ascii="Times New Roman" w:hAnsi="Times New Roman" w:cs="Times New Roman"/>
          <w:sz w:val="24"/>
          <w:szCs w:val="24"/>
        </w:rPr>
        <w:t>Given the small numbers of high-skilled migrants in any particular emigrant destination and the small size of these transactions, these high-</w:t>
      </w:r>
      <w:r w:rsidR="00005FC0">
        <w:rPr>
          <w:rFonts w:ascii="Times New Roman" w:hAnsi="Times New Roman" w:cs="Times New Roman"/>
          <w:sz w:val="24"/>
          <w:szCs w:val="24"/>
        </w:rPr>
        <w:lastRenderedPageBreak/>
        <w:t xml:space="preserve">skilled emigrants are therefore unlikely to spur trade by serving as a significant export market in </w:t>
      </w:r>
      <w:r w:rsidR="00B21885">
        <w:rPr>
          <w:rFonts w:ascii="Times New Roman" w:hAnsi="Times New Roman" w:cs="Times New Roman"/>
          <w:sz w:val="24"/>
          <w:szCs w:val="24"/>
        </w:rPr>
        <w:t xml:space="preserve">and </w:t>
      </w:r>
      <w:r w:rsidR="00005FC0">
        <w:rPr>
          <w:rFonts w:ascii="Times New Roman" w:hAnsi="Times New Roman" w:cs="Times New Roman"/>
          <w:sz w:val="24"/>
          <w:szCs w:val="24"/>
        </w:rPr>
        <w:t>of themselves.</w:t>
      </w:r>
    </w:p>
    <w:p w:rsidR="00FD139B" w:rsidRDefault="006066C4" w:rsidP="00FD139B">
      <w:pPr>
        <w:tabs>
          <w:tab w:val="left" w:pos="426"/>
        </w:tabs>
        <w:spacing w:after="0"/>
        <w:contextualSpacing/>
        <w:jc w:val="both"/>
        <w:rPr>
          <w:rFonts w:ascii="Times New Roman" w:hAnsi="Times New Roman" w:cs="Times New Roman"/>
          <w:sz w:val="24"/>
          <w:szCs w:val="24"/>
        </w:rPr>
      </w:pPr>
      <w:r>
        <w:rPr>
          <w:rFonts w:ascii="Times New Roman" w:hAnsi="Times New Roman" w:cs="Times New Roman"/>
          <w:sz w:val="24"/>
          <w:szCs w:val="24"/>
        </w:rPr>
        <w:tab/>
      </w:r>
    </w:p>
    <w:p w:rsidR="00A15BD4" w:rsidRDefault="00FD139B" w:rsidP="00FD139B">
      <w:pPr>
        <w:tabs>
          <w:tab w:val="left" w:pos="426"/>
        </w:tabs>
        <w:spacing w:after="0"/>
        <w:contextualSpacing/>
        <w:jc w:val="both"/>
        <w:rPr>
          <w:rFonts w:ascii="Times New Roman" w:hAnsi="Times New Roman" w:cs="Times New Roman"/>
          <w:b/>
          <w:sz w:val="24"/>
          <w:szCs w:val="24"/>
        </w:rPr>
      </w:pPr>
      <w:r>
        <w:rPr>
          <w:rFonts w:ascii="Times New Roman" w:hAnsi="Times New Roman" w:cs="Times New Roman"/>
          <w:b/>
          <w:sz w:val="24"/>
          <w:szCs w:val="24"/>
        </w:rPr>
        <w:t xml:space="preserve">4.3 </w:t>
      </w:r>
      <w:r w:rsidR="00D406A3">
        <w:rPr>
          <w:rFonts w:ascii="Times New Roman" w:hAnsi="Times New Roman" w:cs="Times New Roman"/>
          <w:b/>
          <w:sz w:val="24"/>
          <w:szCs w:val="24"/>
        </w:rPr>
        <w:t xml:space="preserve"> </w:t>
      </w:r>
      <w:r>
        <w:rPr>
          <w:rFonts w:ascii="Times New Roman" w:hAnsi="Times New Roman" w:cs="Times New Roman"/>
          <w:b/>
          <w:sz w:val="24"/>
          <w:szCs w:val="24"/>
        </w:rPr>
        <w:t>Non-financial Flows of K</w:t>
      </w:r>
      <w:r w:rsidR="00A15BD4">
        <w:rPr>
          <w:rFonts w:ascii="Times New Roman" w:hAnsi="Times New Roman" w:cs="Times New Roman"/>
          <w:b/>
          <w:sz w:val="24"/>
          <w:szCs w:val="24"/>
        </w:rPr>
        <w:t>nowledge</w:t>
      </w:r>
    </w:p>
    <w:p w:rsidR="00FD139B" w:rsidRPr="00FD139B" w:rsidRDefault="00FD139B" w:rsidP="00FD139B">
      <w:pPr>
        <w:tabs>
          <w:tab w:val="left" w:pos="426"/>
        </w:tabs>
        <w:spacing w:after="0"/>
        <w:contextualSpacing/>
        <w:jc w:val="both"/>
        <w:rPr>
          <w:rFonts w:ascii="Times New Roman" w:hAnsi="Times New Roman" w:cs="Times New Roman"/>
          <w:b/>
          <w:sz w:val="12"/>
          <w:szCs w:val="12"/>
        </w:rPr>
      </w:pPr>
    </w:p>
    <w:p w:rsidR="006066C4" w:rsidRDefault="006066C4" w:rsidP="00FD139B">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972DE">
        <w:rPr>
          <w:rFonts w:ascii="Times New Roman" w:hAnsi="Times New Roman" w:cs="Times New Roman"/>
          <w:sz w:val="24"/>
          <w:szCs w:val="24"/>
        </w:rPr>
        <w:t>In addition to providing financial support to households and firms in their home countries, high-skilled emigrants are often argued to benefit their home countries through knowledge transfer (e.g. Saxeenian, 2002, Newland, 2004, Kugler and Rapoport, 2005</w:t>
      </w:r>
      <w:r w:rsidR="00926B7A">
        <w:rPr>
          <w:rFonts w:ascii="Times New Roman" w:hAnsi="Times New Roman" w:cs="Times New Roman"/>
          <w:sz w:val="24"/>
          <w:szCs w:val="24"/>
        </w:rPr>
        <w:t>, Kerr, 2008</w:t>
      </w:r>
      <w:r w:rsidR="002972DE">
        <w:rPr>
          <w:rFonts w:ascii="Times New Roman" w:hAnsi="Times New Roman" w:cs="Times New Roman"/>
          <w:sz w:val="24"/>
          <w:szCs w:val="24"/>
        </w:rPr>
        <w:t xml:space="preserve">). </w:t>
      </w:r>
      <w:r w:rsidR="009D73CD">
        <w:rPr>
          <w:rFonts w:ascii="Times New Roman" w:hAnsi="Times New Roman" w:cs="Times New Roman"/>
          <w:sz w:val="24"/>
          <w:szCs w:val="24"/>
        </w:rPr>
        <w:t>Although we are unable to place a monetary value on this knowledge transfer, our surveys at least allow us to provide empirical evidence on how common different types of knowledge flows are among the best and brightest, and to ask whether in fact emigrants engage in more of these types of knowledge flows than they would be doing had they not migrated.</w:t>
      </w:r>
    </w:p>
    <w:p w:rsidR="00FD139B" w:rsidRDefault="00FD139B" w:rsidP="00FD139B">
      <w:pPr>
        <w:spacing w:after="0"/>
        <w:contextualSpacing/>
        <w:jc w:val="both"/>
        <w:rPr>
          <w:rFonts w:ascii="Times New Roman" w:hAnsi="Times New Roman" w:cs="Times New Roman"/>
          <w:sz w:val="24"/>
          <w:szCs w:val="24"/>
        </w:rPr>
      </w:pPr>
    </w:p>
    <w:p w:rsidR="009D73CD" w:rsidRDefault="009D73CD" w:rsidP="00FD139B">
      <w:pPr>
        <w:tabs>
          <w:tab w:val="left" w:pos="426"/>
        </w:tabs>
        <w:spacing w:after="0"/>
        <w:contextualSpacing/>
        <w:jc w:val="both"/>
        <w:rPr>
          <w:rFonts w:ascii="Times New Roman" w:hAnsi="Times New Roman" w:cs="Times New Roman"/>
          <w:sz w:val="24"/>
          <w:szCs w:val="24"/>
        </w:rPr>
      </w:pPr>
      <w:r>
        <w:rPr>
          <w:rFonts w:ascii="Times New Roman" w:hAnsi="Times New Roman" w:cs="Times New Roman"/>
          <w:sz w:val="24"/>
          <w:szCs w:val="24"/>
        </w:rPr>
        <w:tab/>
        <w:t xml:space="preserve">Panel A of Table </w:t>
      </w:r>
      <w:r w:rsidR="002851CB">
        <w:rPr>
          <w:rFonts w:ascii="Times New Roman" w:hAnsi="Times New Roman" w:cs="Times New Roman"/>
          <w:sz w:val="24"/>
          <w:szCs w:val="24"/>
        </w:rPr>
        <w:t>6</w:t>
      </w:r>
      <w:r>
        <w:rPr>
          <w:rFonts w:ascii="Times New Roman" w:hAnsi="Times New Roman" w:cs="Times New Roman"/>
          <w:sz w:val="24"/>
          <w:szCs w:val="24"/>
        </w:rPr>
        <w:t xml:space="preserve"> presents the results of questions which asked current migrants whether they had engaged in each of a number of different knowledge transfer activities in the past year. The same questions were asked of non-migrants, and panel B therefore presents the net impact, taking non-migrants </w:t>
      </w:r>
      <w:r w:rsidR="00D92104">
        <w:rPr>
          <w:rFonts w:ascii="Times New Roman" w:hAnsi="Times New Roman" w:cs="Times New Roman"/>
          <w:sz w:val="24"/>
          <w:szCs w:val="24"/>
        </w:rPr>
        <w:t xml:space="preserve">of the same age range and gender </w:t>
      </w:r>
      <w:r>
        <w:rPr>
          <w:rFonts w:ascii="Times New Roman" w:hAnsi="Times New Roman" w:cs="Times New Roman"/>
          <w:sz w:val="24"/>
          <w:szCs w:val="24"/>
        </w:rPr>
        <w:t xml:space="preserve">as the counterfactual for what the migrants would be doing had they not migrated. </w:t>
      </w:r>
      <w:r w:rsidR="00C014F9">
        <w:rPr>
          <w:rFonts w:ascii="Times New Roman" w:hAnsi="Times New Roman" w:cs="Times New Roman"/>
          <w:sz w:val="24"/>
          <w:szCs w:val="24"/>
        </w:rPr>
        <w:t>The first two rows of each panel look at knowledge transfer to the national Government and to home country companies. It is not very common for the best and brightest migrants to be providing this advice: only 4 percent of Ghanaian and New Zealand emigrants, 8 percent of Papua New Guineans, and 13 percent of Micronesians and Tongans had advised their governments. The greater incidence in the smaller countries may reflect the greater likelihood of migrants directly knowing policymakers in these small countries, rather than a greater tendency of these governments to reach out actively to their high-skilled emigrants</w:t>
      </w:r>
      <w:r w:rsidR="00F832F5">
        <w:rPr>
          <w:rFonts w:ascii="Times New Roman" w:hAnsi="Times New Roman" w:cs="Times New Roman"/>
          <w:sz w:val="24"/>
          <w:szCs w:val="24"/>
        </w:rPr>
        <w:t xml:space="preserve">. In panel B we see the net effect is, </w:t>
      </w:r>
      <w:r w:rsidR="00D92104">
        <w:rPr>
          <w:rFonts w:ascii="Times New Roman" w:hAnsi="Times New Roman" w:cs="Times New Roman"/>
          <w:sz w:val="24"/>
          <w:szCs w:val="24"/>
        </w:rPr>
        <w:t>significantly</w:t>
      </w:r>
      <w:r w:rsidR="00F832F5">
        <w:rPr>
          <w:rFonts w:ascii="Times New Roman" w:hAnsi="Times New Roman" w:cs="Times New Roman"/>
          <w:sz w:val="24"/>
          <w:szCs w:val="24"/>
        </w:rPr>
        <w:t xml:space="preserve"> negative in </w:t>
      </w:r>
      <w:r w:rsidR="00D92104">
        <w:rPr>
          <w:rFonts w:ascii="Times New Roman" w:hAnsi="Times New Roman" w:cs="Times New Roman"/>
          <w:sz w:val="24"/>
          <w:szCs w:val="24"/>
        </w:rPr>
        <w:t xml:space="preserve">Ghana, New Zealand and Papua New Guinea, </w:t>
      </w:r>
      <w:r w:rsidR="00F832F5">
        <w:rPr>
          <w:rFonts w:ascii="Times New Roman" w:hAnsi="Times New Roman" w:cs="Times New Roman"/>
          <w:sz w:val="24"/>
          <w:szCs w:val="24"/>
        </w:rPr>
        <w:t xml:space="preserve">showing that migrants engage in such interactions with the home government less often than non-migrants. </w:t>
      </w:r>
      <w:r w:rsidR="00D92104">
        <w:rPr>
          <w:rFonts w:ascii="Times New Roman" w:hAnsi="Times New Roman" w:cs="Times New Roman"/>
          <w:sz w:val="24"/>
          <w:szCs w:val="24"/>
        </w:rPr>
        <w:t>There is no significant effect in Tonga or</w:t>
      </w:r>
      <w:r w:rsidR="00FA5626">
        <w:rPr>
          <w:rFonts w:ascii="Times New Roman" w:hAnsi="Times New Roman" w:cs="Times New Roman"/>
          <w:sz w:val="24"/>
          <w:szCs w:val="24"/>
        </w:rPr>
        <w:t xml:space="preserve"> Micronesia</w:t>
      </w:r>
      <w:r w:rsidR="00D92104">
        <w:rPr>
          <w:rFonts w:ascii="Times New Roman" w:hAnsi="Times New Roman" w:cs="Times New Roman"/>
          <w:sz w:val="24"/>
          <w:szCs w:val="24"/>
        </w:rPr>
        <w:t xml:space="preserve">. </w:t>
      </w:r>
      <w:r w:rsidR="00F832F5">
        <w:rPr>
          <w:rFonts w:ascii="Times New Roman" w:hAnsi="Times New Roman" w:cs="Times New Roman"/>
          <w:sz w:val="24"/>
          <w:szCs w:val="24"/>
        </w:rPr>
        <w:t>Knowledge transfer to home companies through migrants advising them is similarly infrequent, and has a negative net effect in three of the five countries</w:t>
      </w:r>
      <w:r w:rsidR="00D92104">
        <w:rPr>
          <w:rFonts w:ascii="Times New Roman" w:hAnsi="Times New Roman" w:cs="Times New Roman"/>
          <w:sz w:val="24"/>
          <w:szCs w:val="24"/>
        </w:rPr>
        <w:t>, which is significant for New Zealanders</w:t>
      </w:r>
      <w:r w:rsidR="00F832F5">
        <w:rPr>
          <w:rFonts w:ascii="Times New Roman" w:hAnsi="Times New Roman" w:cs="Times New Roman"/>
          <w:sz w:val="24"/>
          <w:szCs w:val="24"/>
        </w:rPr>
        <w:t>.</w:t>
      </w:r>
    </w:p>
    <w:p w:rsidR="00FD139B" w:rsidRDefault="00FD139B" w:rsidP="00FD139B">
      <w:pPr>
        <w:tabs>
          <w:tab w:val="left" w:pos="426"/>
        </w:tabs>
        <w:spacing w:after="0"/>
        <w:contextualSpacing/>
        <w:jc w:val="both"/>
        <w:rPr>
          <w:rFonts w:ascii="Times New Roman" w:hAnsi="Times New Roman" w:cs="Times New Roman"/>
          <w:sz w:val="24"/>
          <w:szCs w:val="24"/>
        </w:rPr>
      </w:pPr>
    </w:p>
    <w:p w:rsidR="00251599" w:rsidRDefault="00251599" w:rsidP="00FD139B">
      <w:pPr>
        <w:tabs>
          <w:tab w:val="left" w:pos="426"/>
        </w:tabs>
        <w:spacing w:after="0"/>
        <w:contextualSpacing/>
        <w:jc w:val="both"/>
        <w:rPr>
          <w:rFonts w:ascii="Times New Roman" w:hAnsi="Times New Roman" w:cs="Times New Roman"/>
          <w:sz w:val="24"/>
          <w:szCs w:val="24"/>
        </w:rPr>
      </w:pPr>
      <w:r>
        <w:rPr>
          <w:rFonts w:ascii="Times New Roman" w:hAnsi="Times New Roman" w:cs="Times New Roman"/>
          <w:sz w:val="24"/>
          <w:szCs w:val="24"/>
        </w:rPr>
        <w:tab/>
        <w:t xml:space="preserve">A much more common form of knowledge transfer involves migrants transferring knowledge about opportunities to study and work abroad. Between 30 and 50 percent of high-skilled emigrants from these countries had advised someone in their home country about such opportunities in the past year, thereby aiding others in their migration decisions. </w:t>
      </w:r>
      <w:r w:rsidR="007D434D">
        <w:rPr>
          <w:rFonts w:ascii="Times New Roman" w:hAnsi="Times New Roman" w:cs="Times New Roman"/>
          <w:sz w:val="24"/>
          <w:szCs w:val="24"/>
        </w:rPr>
        <w:t xml:space="preserve">Migrants are significantly more likely to be doing this than similar non-migrants from most countries. </w:t>
      </w:r>
      <w:r>
        <w:rPr>
          <w:rFonts w:ascii="Times New Roman" w:hAnsi="Times New Roman" w:cs="Times New Roman"/>
          <w:sz w:val="24"/>
          <w:szCs w:val="24"/>
        </w:rPr>
        <w:t>A more intensive form of migration facilitation is to act as the sponsor for a home country national wishing to work or study abroad. This is most common among Tongans, with 20 percent acting as a sponsor. It is least common amongst New Zealanders, with only 4 percent doing this. Since this is something that can only be done when abroad, the net effect of sponsoring is the same as the gross effect.</w:t>
      </w:r>
    </w:p>
    <w:p w:rsidR="00FD139B" w:rsidRDefault="00FD139B" w:rsidP="00FD139B">
      <w:pPr>
        <w:tabs>
          <w:tab w:val="left" w:pos="426"/>
        </w:tabs>
        <w:spacing w:after="0"/>
        <w:contextualSpacing/>
        <w:jc w:val="both"/>
        <w:rPr>
          <w:rFonts w:ascii="Times New Roman" w:hAnsi="Times New Roman" w:cs="Times New Roman"/>
          <w:sz w:val="24"/>
          <w:szCs w:val="24"/>
        </w:rPr>
      </w:pPr>
    </w:p>
    <w:p w:rsidR="00251599" w:rsidRDefault="00251599" w:rsidP="00FD139B">
      <w:pPr>
        <w:tabs>
          <w:tab w:val="left" w:pos="426"/>
        </w:tabs>
        <w:spacing w:after="0"/>
        <w:contextualSpacing/>
        <w:jc w:val="both"/>
        <w:rPr>
          <w:rFonts w:ascii="Times New Roman" w:hAnsi="Times New Roman" w:cs="Times New Roman"/>
          <w:sz w:val="24"/>
          <w:szCs w:val="24"/>
        </w:rPr>
      </w:pPr>
      <w:r>
        <w:rPr>
          <w:rFonts w:ascii="Times New Roman" w:hAnsi="Times New Roman" w:cs="Times New Roman"/>
          <w:sz w:val="24"/>
          <w:szCs w:val="24"/>
        </w:rPr>
        <w:tab/>
        <w:t xml:space="preserve">Another frequent form of knowledge transfer involves migrants using their knowledge of their home country to advise people abroad about taking a holiday in their home country. 91 </w:t>
      </w:r>
      <w:r>
        <w:rPr>
          <w:rFonts w:ascii="Times New Roman" w:hAnsi="Times New Roman" w:cs="Times New Roman"/>
          <w:sz w:val="24"/>
          <w:szCs w:val="24"/>
        </w:rPr>
        <w:lastRenderedPageBreak/>
        <w:t>percent of New Zealanders, 75 percent of Papua New Guineans, 66 percent of Ghanaians, 56 percent of Tongans and 44 percent of Micronesians have done this. Although our surveys do not permit quantification of the value of new tourism created by such advice, they do show migrants engaging in this type of tourism promotion much more frequently than non-migrants (with the exception of Micronesia).</w:t>
      </w:r>
    </w:p>
    <w:p w:rsidR="00FD139B" w:rsidRDefault="00FD139B" w:rsidP="00FD139B">
      <w:pPr>
        <w:tabs>
          <w:tab w:val="left" w:pos="426"/>
        </w:tabs>
        <w:spacing w:after="0"/>
        <w:contextualSpacing/>
        <w:jc w:val="both"/>
        <w:rPr>
          <w:rFonts w:ascii="Times New Roman" w:hAnsi="Times New Roman" w:cs="Times New Roman"/>
          <w:sz w:val="24"/>
          <w:szCs w:val="24"/>
        </w:rPr>
      </w:pPr>
    </w:p>
    <w:p w:rsidR="00251599" w:rsidRDefault="00251599" w:rsidP="00FD139B">
      <w:pPr>
        <w:tabs>
          <w:tab w:val="left" w:pos="426"/>
        </w:tabs>
        <w:spacing w:after="0"/>
        <w:contextualSpacing/>
        <w:jc w:val="both"/>
        <w:rPr>
          <w:rFonts w:ascii="Times New Roman" w:hAnsi="Times New Roman" w:cs="Times New Roman"/>
          <w:sz w:val="24"/>
          <w:szCs w:val="24"/>
        </w:rPr>
      </w:pPr>
      <w:r>
        <w:rPr>
          <w:rFonts w:ascii="Times New Roman" w:hAnsi="Times New Roman" w:cs="Times New Roman"/>
          <w:sz w:val="24"/>
          <w:szCs w:val="24"/>
        </w:rPr>
        <w:tab/>
      </w:r>
      <w:r w:rsidR="002102CA">
        <w:rPr>
          <w:rFonts w:ascii="Times New Roman" w:hAnsi="Times New Roman" w:cs="Times New Roman"/>
          <w:sz w:val="24"/>
          <w:szCs w:val="24"/>
        </w:rPr>
        <w:t xml:space="preserve">Finally, we can examine whether migrants are transferring knowledge to home country researchers through research collaborations. This is not common for Tonga (4%) and Micronesia (8%), where there is little tertiary infrastructure and thus not a large local research community. However, it is somewhat common in Ghana (14%), New Zealand (16%), and Papua New Guinea (25%), showing that there is some evidence of this knowledge transfer. However, of course it is also possible for domestic researchers to work with researchers abroad, </w:t>
      </w:r>
      <w:r w:rsidR="007D434D">
        <w:rPr>
          <w:rFonts w:ascii="Times New Roman" w:hAnsi="Times New Roman" w:cs="Times New Roman"/>
          <w:sz w:val="24"/>
          <w:szCs w:val="24"/>
        </w:rPr>
        <w:t>and</w:t>
      </w:r>
      <w:r w:rsidR="002102CA">
        <w:rPr>
          <w:rFonts w:ascii="Times New Roman" w:hAnsi="Times New Roman" w:cs="Times New Roman"/>
          <w:sz w:val="24"/>
          <w:szCs w:val="24"/>
        </w:rPr>
        <w:t xml:space="preserve"> panel B shows that migrants are </w:t>
      </w:r>
      <w:r w:rsidR="007D434D">
        <w:rPr>
          <w:rFonts w:ascii="Times New Roman" w:hAnsi="Times New Roman" w:cs="Times New Roman"/>
          <w:sz w:val="24"/>
          <w:szCs w:val="24"/>
        </w:rPr>
        <w:t xml:space="preserve">not significantly </w:t>
      </w:r>
      <w:r w:rsidR="002102CA">
        <w:rPr>
          <w:rFonts w:ascii="Times New Roman" w:hAnsi="Times New Roman" w:cs="Times New Roman"/>
          <w:sz w:val="24"/>
          <w:szCs w:val="24"/>
        </w:rPr>
        <w:t>more likely to be engaged in a research collaboration involving researchers in the home country and an abroad country than are non-migrants.</w:t>
      </w:r>
    </w:p>
    <w:p w:rsidR="00FD139B" w:rsidRDefault="00FD139B" w:rsidP="00FD139B">
      <w:pPr>
        <w:tabs>
          <w:tab w:val="left" w:pos="426"/>
        </w:tabs>
        <w:spacing w:after="0"/>
        <w:contextualSpacing/>
        <w:jc w:val="both"/>
        <w:rPr>
          <w:rFonts w:ascii="Times New Roman" w:hAnsi="Times New Roman" w:cs="Times New Roman"/>
          <w:sz w:val="24"/>
          <w:szCs w:val="24"/>
        </w:rPr>
      </w:pPr>
    </w:p>
    <w:p w:rsidR="00C90536" w:rsidRDefault="00C90536" w:rsidP="00FD139B">
      <w:pPr>
        <w:tabs>
          <w:tab w:val="left" w:pos="426"/>
        </w:tabs>
        <w:spacing w:after="0"/>
        <w:contextualSpacing/>
        <w:jc w:val="both"/>
        <w:rPr>
          <w:rFonts w:ascii="Times New Roman" w:hAnsi="Times New Roman" w:cs="Times New Roman"/>
          <w:b/>
          <w:sz w:val="24"/>
          <w:szCs w:val="24"/>
        </w:rPr>
      </w:pPr>
      <w:r>
        <w:rPr>
          <w:rFonts w:ascii="Times New Roman" w:hAnsi="Times New Roman" w:cs="Times New Roman"/>
          <w:b/>
          <w:sz w:val="24"/>
          <w:szCs w:val="24"/>
        </w:rPr>
        <w:t xml:space="preserve">4.4 </w:t>
      </w:r>
      <w:r w:rsidR="00D406A3">
        <w:rPr>
          <w:rFonts w:ascii="Times New Roman" w:hAnsi="Times New Roman" w:cs="Times New Roman"/>
          <w:b/>
          <w:sz w:val="24"/>
          <w:szCs w:val="24"/>
        </w:rPr>
        <w:t xml:space="preserve"> </w:t>
      </w:r>
      <w:r>
        <w:rPr>
          <w:rFonts w:ascii="Times New Roman" w:hAnsi="Times New Roman" w:cs="Times New Roman"/>
          <w:b/>
          <w:sz w:val="24"/>
          <w:szCs w:val="24"/>
        </w:rPr>
        <w:t>Return Migration</w:t>
      </w:r>
    </w:p>
    <w:p w:rsidR="00FD139B" w:rsidRPr="00FD139B" w:rsidRDefault="00FD139B" w:rsidP="00FD139B">
      <w:pPr>
        <w:tabs>
          <w:tab w:val="left" w:pos="426"/>
        </w:tabs>
        <w:spacing w:after="0"/>
        <w:contextualSpacing/>
        <w:jc w:val="both"/>
        <w:rPr>
          <w:rFonts w:ascii="Times New Roman" w:hAnsi="Times New Roman" w:cs="Times New Roman"/>
          <w:b/>
          <w:sz w:val="12"/>
          <w:szCs w:val="12"/>
        </w:rPr>
      </w:pPr>
    </w:p>
    <w:p w:rsidR="00402AEB" w:rsidRDefault="0089565D" w:rsidP="00FD139B">
      <w:pPr>
        <w:spacing w:after="0"/>
        <w:contextualSpacing/>
        <w:jc w:val="both"/>
        <w:rPr>
          <w:rFonts w:ascii="Times New Roman" w:eastAsia="Calibri" w:hAnsi="Times New Roman" w:cs="Times New Roman"/>
          <w:sz w:val="24"/>
          <w:szCs w:val="24"/>
        </w:rPr>
      </w:pPr>
      <w:r>
        <w:rPr>
          <w:rFonts w:ascii="Times New Roman" w:hAnsi="Times New Roman" w:cs="Times New Roman"/>
          <w:sz w:val="24"/>
          <w:szCs w:val="24"/>
        </w:rPr>
        <w:t>Developing countries are also believed to benefit from return migration, with individuals returning with physical and human capital earned abroad being more productive (Dustmann and Kirchkamp, 2002 and Mesnard, 2004). Return migration is also hypothesized to have broader payoffs to others in the home country through transfer of skills and knowledge gained abroad (</w:t>
      </w:r>
      <w:r w:rsidR="003B0919" w:rsidRPr="003B0919">
        <w:rPr>
          <w:rFonts w:ascii="Times New Roman" w:eastAsia="Calibri" w:hAnsi="Times New Roman" w:cs="Times New Roman"/>
          <w:sz w:val="24"/>
          <w:szCs w:val="24"/>
        </w:rPr>
        <w:t>Dos Santos and Postel-Vinay, 2003).</w:t>
      </w:r>
      <w:r>
        <w:rPr>
          <w:rFonts w:ascii="Times New Roman" w:eastAsia="Calibri" w:hAnsi="Times New Roman" w:cs="Times New Roman"/>
          <w:sz w:val="24"/>
          <w:szCs w:val="24"/>
        </w:rPr>
        <w:t xml:space="preserve"> </w:t>
      </w:r>
      <w:r w:rsidR="00E87801">
        <w:rPr>
          <w:rFonts w:ascii="Times New Roman" w:eastAsia="Calibri" w:hAnsi="Times New Roman" w:cs="Times New Roman"/>
          <w:sz w:val="24"/>
          <w:szCs w:val="24"/>
        </w:rPr>
        <w:t xml:space="preserve">Whilst much of this literature has focused on return migration in general, rather than return migration of the highest skilled, Zucker and Darby (2007) </w:t>
      </w:r>
      <w:r w:rsidR="00402AEB">
        <w:rPr>
          <w:rFonts w:ascii="Times New Roman" w:eastAsia="Calibri" w:hAnsi="Times New Roman" w:cs="Times New Roman"/>
          <w:sz w:val="24"/>
          <w:szCs w:val="24"/>
        </w:rPr>
        <w:t xml:space="preserve">show high rates of return migration to </w:t>
      </w:r>
      <w:r w:rsidR="0085279C">
        <w:rPr>
          <w:rFonts w:ascii="Times New Roman" w:eastAsia="Calibri" w:hAnsi="Times New Roman" w:cs="Times New Roman"/>
          <w:sz w:val="24"/>
          <w:szCs w:val="24"/>
        </w:rPr>
        <w:t xml:space="preserve">Brazil, </w:t>
      </w:r>
      <w:r w:rsidR="00402AEB">
        <w:rPr>
          <w:rFonts w:ascii="Times New Roman" w:eastAsia="Calibri" w:hAnsi="Times New Roman" w:cs="Times New Roman"/>
          <w:sz w:val="24"/>
          <w:szCs w:val="24"/>
        </w:rPr>
        <w:t>China and Taiwan (at least for sojourns) of top scientists, and Gundel and Peters (2008) show that high-skilled migrants are more likely to remigrate from Germany than low-skilled migrants</w:t>
      </w:r>
      <w:r w:rsidR="00F8042F">
        <w:rPr>
          <w:rFonts w:ascii="Times New Roman" w:eastAsia="Calibri" w:hAnsi="Times New Roman" w:cs="Times New Roman"/>
          <w:sz w:val="24"/>
          <w:szCs w:val="24"/>
        </w:rPr>
        <w:t>, although return migration is less for migrants from non-EU countries</w:t>
      </w:r>
      <w:r w:rsidR="00402AEB">
        <w:rPr>
          <w:rFonts w:ascii="Times New Roman" w:eastAsia="Calibri" w:hAnsi="Times New Roman" w:cs="Times New Roman"/>
          <w:sz w:val="24"/>
          <w:szCs w:val="24"/>
        </w:rPr>
        <w:t>.</w:t>
      </w:r>
    </w:p>
    <w:p w:rsidR="00FD139B" w:rsidRDefault="00FD139B" w:rsidP="00FD139B">
      <w:pPr>
        <w:spacing w:after="0"/>
        <w:contextualSpacing/>
        <w:jc w:val="both"/>
        <w:rPr>
          <w:rFonts w:ascii="Times New Roman" w:eastAsia="Calibri" w:hAnsi="Times New Roman" w:cs="Times New Roman"/>
          <w:sz w:val="24"/>
          <w:szCs w:val="24"/>
        </w:rPr>
      </w:pPr>
    </w:p>
    <w:p w:rsidR="00E87801" w:rsidRDefault="00F8042F" w:rsidP="00FD139B">
      <w:pPr>
        <w:tabs>
          <w:tab w:val="left" w:pos="426"/>
        </w:tabs>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B67C2F">
        <w:rPr>
          <w:rFonts w:ascii="Times New Roman" w:eastAsia="Calibri" w:hAnsi="Times New Roman" w:cs="Times New Roman"/>
          <w:sz w:val="24"/>
          <w:szCs w:val="24"/>
        </w:rPr>
        <w:t xml:space="preserve">Table 7 presents our estimates of the impacts of return migration in the five countries studied here. The first column presents the income gain estimated relative to non-migrants through the regression in equation (2). If return migrants are more productive (either as entrepreneurs or in wage jobs) we should expect them to be earning higher incomes. The only country with a marginally significant income gain from return migration relative to not migrating is Papua New Guinea. The point estimates are negative in Ghana and Tonga, and positive, but not significant in Micronesia and New Zealand. </w:t>
      </w:r>
      <w:r w:rsidR="00AD3FF1">
        <w:rPr>
          <w:rFonts w:ascii="Times New Roman" w:eastAsia="Calibri" w:hAnsi="Times New Roman" w:cs="Times New Roman"/>
          <w:sz w:val="24"/>
          <w:szCs w:val="24"/>
        </w:rPr>
        <w:t xml:space="preserve">They are significantly less than the large income gains to be had </w:t>
      </w:r>
      <w:r w:rsidR="00FA5626">
        <w:rPr>
          <w:rFonts w:ascii="Times New Roman" w:eastAsia="Calibri" w:hAnsi="Times New Roman" w:cs="Times New Roman"/>
          <w:sz w:val="24"/>
          <w:szCs w:val="24"/>
        </w:rPr>
        <w:t xml:space="preserve">from </w:t>
      </w:r>
      <w:r w:rsidR="00AD3FF1">
        <w:rPr>
          <w:rFonts w:ascii="Times New Roman" w:eastAsia="Calibri" w:hAnsi="Times New Roman" w:cs="Times New Roman"/>
          <w:sz w:val="24"/>
          <w:szCs w:val="24"/>
        </w:rPr>
        <w:t>remaining abroad (Table 2).</w:t>
      </w:r>
      <w:r w:rsidR="009C498B">
        <w:rPr>
          <w:rFonts w:ascii="Times New Roman" w:eastAsia="Calibri" w:hAnsi="Times New Roman" w:cs="Times New Roman"/>
          <w:sz w:val="24"/>
          <w:szCs w:val="24"/>
        </w:rPr>
        <w:t xml:space="preserve"> The standard errors are generally large relative to the mean, reflecting considerable heterogeneity in the wages earned by these high-skilled individuals in their home countries. </w:t>
      </w:r>
      <w:r w:rsidR="0001295C">
        <w:rPr>
          <w:rFonts w:ascii="Times New Roman" w:eastAsia="Calibri" w:hAnsi="Times New Roman" w:cs="Times New Roman"/>
          <w:sz w:val="24"/>
          <w:szCs w:val="24"/>
        </w:rPr>
        <w:t xml:space="preserve">Therefore we cannot rule out income gains from return migration, but there is not strong evidence for this. </w:t>
      </w:r>
    </w:p>
    <w:p w:rsidR="00FD139B" w:rsidRDefault="00FD139B" w:rsidP="00FD139B">
      <w:pPr>
        <w:tabs>
          <w:tab w:val="left" w:pos="426"/>
        </w:tabs>
        <w:spacing w:after="0"/>
        <w:contextualSpacing/>
        <w:jc w:val="both"/>
        <w:rPr>
          <w:rFonts w:ascii="Times New Roman" w:eastAsia="Calibri" w:hAnsi="Times New Roman" w:cs="Times New Roman"/>
          <w:sz w:val="24"/>
          <w:szCs w:val="24"/>
        </w:rPr>
      </w:pPr>
    </w:p>
    <w:p w:rsidR="00DE1F91" w:rsidRDefault="00DE1F91" w:rsidP="00FD139B">
      <w:pPr>
        <w:tabs>
          <w:tab w:val="left" w:pos="426"/>
        </w:tabs>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In contrast, we do see return migrants have accumulated additional human capital relative to non-migrants. Columns 2 and 3 present the marginal effects from probit estimation, as in Table 4 panel C. Increased educational attainment is highest for return </w:t>
      </w:r>
      <w:r>
        <w:rPr>
          <w:rFonts w:ascii="Times New Roman" w:eastAsia="Calibri" w:hAnsi="Times New Roman" w:cs="Times New Roman"/>
          <w:sz w:val="24"/>
          <w:szCs w:val="24"/>
        </w:rPr>
        <w:lastRenderedPageBreak/>
        <w:t xml:space="preserve">migrants in Tonga and Micronesia, who have the most limited educational options at home, and lowest for the New Zealanders. </w:t>
      </w:r>
      <w:r w:rsidR="00E26CCD">
        <w:rPr>
          <w:rFonts w:ascii="Times New Roman" w:eastAsia="Calibri" w:hAnsi="Times New Roman" w:cs="Times New Roman"/>
          <w:sz w:val="24"/>
          <w:szCs w:val="24"/>
        </w:rPr>
        <w:t>In light of these significantly higher levels of education, it is somewhat surprising that we do not see more significant positive income gains from return migration. One possible reason for this is pay systems which reward tenure rather than productivity, which w</w:t>
      </w:r>
      <w:r w:rsidR="00FC13C8">
        <w:rPr>
          <w:rFonts w:ascii="Times New Roman" w:eastAsia="Calibri" w:hAnsi="Times New Roman" w:cs="Times New Roman"/>
          <w:sz w:val="24"/>
          <w:szCs w:val="24"/>
        </w:rPr>
        <w:t>as</w:t>
      </w:r>
      <w:r w:rsidR="00E26CCD">
        <w:rPr>
          <w:rFonts w:ascii="Times New Roman" w:eastAsia="Calibri" w:hAnsi="Times New Roman" w:cs="Times New Roman"/>
          <w:sz w:val="24"/>
          <w:szCs w:val="24"/>
        </w:rPr>
        <w:t xml:space="preserve"> a complaint of a good number of respondents in our surveys.</w:t>
      </w:r>
    </w:p>
    <w:p w:rsidR="00FD139B" w:rsidRDefault="00FD139B" w:rsidP="00FD139B">
      <w:pPr>
        <w:tabs>
          <w:tab w:val="left" w:pos="426"/>
        </w:tabs>
        <w:spacing w:after="0"/>
        <w:contextualSpacing/>
        <w:jc w:val="both"/>
        <w:rPr>
          <w:rFonts w:ascii="Times New Roman" w:eastAsia="Calibri" w:hAnsi="Times New Roman" w:cs="Times New Roman"/>
          <w:sz w:val="24"/>
          <w:szCs w:val="24"/>
        </w:rPr>
      </w:pPr>
    </w:p>
    <w:p w:rsidR="00E26CCD" w:rsidRDefault="00E26CCD" w:rsidP="00FD139B">
      <w:pPr>
        <w:tabs>
          <w:tab w:val="left" w:pos="426"/>
        </w:tabs>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909C1">
        <w:rPr>
          <w:rFonts w:ascii="Times New Roman" w:eastAsia="Calibri" w:hAnsi="Times New Roman" w:cs="Times New Roman"/>
          <w:sz w:val="24"/>
          <w:szCs w:val="24"/>
        </w:rPr>
        <w:t>The fourth column of Table 7 provides the mean level of repatriated savings that individuals say they earned abroad and brought back with them when they returned. We do not have absolute savings levels, so cannot compare to a counterfactual of what they would have saved had they remained in their home countries. In Tonga, Micronesia and Papua New Guinea, the amounts are roughly similar in magnitude to annual remittances, and do not suggest migrants are returning with large accumulated wealth that they can use to make sizeable investments in the home country. The amounts are higher in Ghana and New Zealand.</w:t>
      </w:r>
    </w:p>
    <w:p w:rsidR="00FD139B" w:rsidRDefault="00FD139B" w:rsidP="00FD139B">
      <w:pPr>
        <w:tabs>
          <w:tab w:val="left" w:pos="426"/>
        </w:tabs>
        <w:spacing w:after="0"/>
        <w:contextualSpacing/>
        <w:jc w:val="both"/>
        <w:rPr>
          <w:rFonts w:ascii="Times New Roman" w:eastAsia="Calibri" w:hAnsi="Times New Roman" w:cs="Times New Roman"/>
          <w:sz w:val="24"/>
          <w:szCs w:val="24"/>
        </w:rPr>
      </w:pPr>
    </w:p>
    <w:p w:rsidR="00661050" w:rsidRDefault="00BA3DD1" w:rsidP="00FD139B">
      <w:pPr>
        <w:tabs>
          <w:tab w:val="left" w:pos="426"/>
        </w:tabs>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F78C3">
        <w:rPr>
          <w:rFonts w:ascii="Times New Roman" w:eastAsia="Calibri" w:hAnsi="Times New Roman" w:cs="Times New Roman"/>
          <w:sz w:val="24"/>
          <w:szCs w:val="24"/>
        </w:rPr>
        <w:t xml:space="preserve">The last columns look at whether return migrants are more likely to be engaging in trade deals, investing in business start-ups, and sharing knowledge than non-migrants. The point estimates are almost all positive, and are significant in a number of cases, providing some evidence to support the idea that return migration has benefits in these areas. Nevertheless, the monetary values of the trade deals and start-up investments are again generally not that large, particular if we were to consider only the profit or value-added of such transactions. </w:t>
      </w:r>
      <w:r w:rsidR="00FA2AD0">
        <w:rPr>
          <w:rFonts w:ascii="Times New Roman" w:eastAsia="Calibri" w:hAnsi="Times New Roman" w:cs="Times New Roman"/>
          <w:sz w:val="24"/>
          <w:szCs w:val="24"/>
        </w:rPr>
        <w:t>Return migrants are more likely to be advising companies, and to be advising others about work and study opportunities abroad.</w:t>
      </w:r>
    </w:p>
    <w:p w:rsidR="00FD139B" w:rsidRDefault="00FD139B" w:rsidP="00FD139B">
      <w:pPr>
        <w:tabs>
          <w:tab w:val="left" w:pos="426"/>
        </w:tabs>
        <w:spacing w:after="0"/>
        <w:contextualSpacing/>
        <w:jc w:val="both"/>
        <w:rPr>
          <w:rFonts w:ascii="Times New Roman" w:eastAsia="Calibri" w:hAnsi="Times New Roman" w:cs="Times New Roman"/>
          <w:sz w:val="24"/>
          <w:szCs w:val="24"/>
        </w:rPr>
      </w:pPr>
    </w:p>
    <w:p w:rsidR="002102CA" w:rsidRDefault="002102CA" w:rsidP="00FD139B">
      <w:pPr>
        <w:tabs>
          <w:tab w:val="left" w:pos="426"/>
        </w:tabs>
        <w:spacing w:after="0"/>
        <w:contextualSpacing/>
        <w:jc w:val="both"/>
        <w:rPr>
          <w:rFonts w:ascii="Times New Roman" w:hAnsi="Times New Roman" w:cs="Times New Roman"/>
          <w:b/>
          <w:sz w:val="24"/>
          <w:szCs w:val="24"/>
        </w:rPr>
      </w:pPr>
      <w:r>
        <w:rPr>
          <w:rFonts w:ascii="Times New Roman" w:hAnsi="Times New Roman" w:cs="Times New Roman"/>
          <w:b/>
          <w:sz w:val="24"/>
          <w:szCs w:val="24"/>
        </w:rPr>
        <w:t>4.</w:t>
      </w:r>
      <w:r w:rsidR="00C90536">
        <w:rPr>
          <w:rFonts w:ascii="Times New Roman" w:hAnsi="Times New Roman" w:cs="Times New Roman"/>
          <w:b/>
          <w:sz w:val="24"/>
          <w:szCs w:val="24"/>
        </w:rPr>
        <w:t>5</w:t>
      </w:r>
      <w:r>
        <w:rPr>
          <w:rFonts w:ascii="Times New Roman" w:hAnsi="Times New Roman" w:cs="Times New Roman"/>
          <w:b/>
          <w:sz w:val="24"/>
          <w:szCs w:val="24"/>
        </w:rPr>
        <w:t xml:space="preserve"> </w:t>
      </w:r>
      <w:r w:rsidR="00D406A3">
        <w:rPr>
          <w:rFonts w:ascii="Times New Roman" w:hAnsi="Times New Roman" w:cs="Times New Roman"/>
          <w:b/>
          <w:sz w:val="24"/>
          <w:szCs w:val="24"/>
        </w:rPr>
        <w:t xml:space="preserve"> </w:t>
      </w:r>
      <w:r>
        <w:rPr>
          <w:rFonts w:ascii="Times New Roman" w:hAnsi="Times New Roman" w:cs="Times New Roman"/>
          <w:b/>
          <w:sz w:val="24"/>
          <w:szCs w:val="24"/>
        </w:rPr>
        <w:t>Fiscal Impacts</w:t>
      </w:r>
    </w:p>
    <w:p w:rsidR="00FD139B" w:rsidRPr="00FD139B" w:rsidRDefault="00FD139B" w:rsidP="00FD139B">
      <w:pPr>
        <w:tabs>
          <w:tab w:val="left" w:pos="426"/>
        </w:tabs>
        <w:autoSpaceDE w:val="0"/>
        <w:autoSpaceDN w:val="0"/>
        <w:adjustRightInd w:val="0"/>
        <w:spacing w:after="0"/>
        <w:ind w:firstLine="720"/>
        <w:contextualSpacing/>
        <w:jc w:val="both"/>
        <w:rPr>
          <w:rFonts w:ascii="Times New Roman" w:hAnsi="Times New Roman" w:cs="Times New Roman"/>
          <w:sz w:val="12"/>
          <w:szCs w:val="12"/>
        </w:rPr>
      </w:pPr>
    </w:p>
    <w:p w:rsidR="00A4614C" w:rsidRDefault="00AD03A9" w:rsidP="00FD139B">
      <w:pPr>
        <w:tabs>
          <w:tab w:val="left" w:pos="426"/>
        </w:tabs>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In one of the first academic studies on the brain drain, Bhagwati and Hamada (1974) drew attention to the possible fiscal cost. They noted that highly-skilled emigrants take their education with them, which was funded by taxes on existing residents, but then do not contribute back into the tax system. We would argue that whether or not education is publicly funded is ex post immaterial, since it is a sunk cost when it comes to the time of making a migration decision – what matters is whether the country loses more in the tax revenue</w:t>
      </w:r>
      <w:r w:rsidR="00EF329D">
        <w:rPr>
          <w:rFonts w:ascii="Times New Roman" w:hAnsi="Times New Roman" w:cs="Times New Roman"/>
          <w:sz w:val="24"/>
          <w:szCs w:val="24"/>
        </w:rPr>
        <w:t xml:space="preserve"> (the return on the investment in tertiary education)</w:t>
      </w:r>
      <w:r>
        <w:rPr>
          <w:rFonts w:ascii="Times New Roman" w:hAnsi="Times New Roman" w:cs="Times New Roman"/>
          <w:sz w:val="24"/>
          <w:szCs w:val="24"/>
        </w:rPr>
        <w:t xml:space="preserve"> it would collect from these individuals than it would spend on them going forward in terms of public services.</w:t>
      </w:r>
      <w:r w:rsidR="00EF329D">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This depends on how progressive the income taxation and benefits systems of the countries are.</w:t>
      </w:r>
      <w:r w:rsidR="00BC5DBF">
        <w:rPr>
          <w:rFonts w:ascii="Times New Roman" w:hAnsi="Times New Roman" w:cs="Times New Roman"/>
          <w:sz w:val="24"/>
          <w:szCs w:val="24"/>
        </w:rPr>
        <w:t xml:space="preserve"> We attempt to provide some indication of the likely range of such costs for the countries in our study.</w:t>
      </w:r>
    </w:p>
    <w:p w:rsidR="00FD139B" w:rsidRDefault="00FD139B" w:rsidP="00FD139B">
      <w:pPr>
        <w:tabs>
          <w:tab w:val="left" w:pos="426"/>
        </w:tabs>
        <w:autoSpaceDE w:val="0"/>
        <w:autoSpaceDN w:val="0"/>
        <w:adjustRightInd w:val="0"/>
        <w:spacing w:after="0"/>
        <w:contextualSpacing/>
        <w:jc w:val="both"/>
        <w:rPr>
          <w:rFonts w:ascii="Times New Roman" w:hAnsi="Times New Roman" w:cs="Times New Roman"/>
          <w:sz w:val="24"/>
          <w:szCs w:val="24"/>
        </w:rPr>
      </w:pPr>
    </w:p>
    <w:p w:rsidR="00A4614C" w:rsidRDefault="00FD139B" w:rsidP="00FD139B">
      <w:pPr>
        <w:tabs>
          <w:tab w:val="left" w:pos="426"/>
        </w:tabs>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ab/>
      </w:r>
      <w:r w:rsidR="00BC5DBF">
        <w:rPr>
          <w:rFonts w:ascii="Times New Roman" w:hAnsi="Times New Roman" w:cs="Times New Roman"/>
          <w:sz w:val="24"/>
          <w:szCs w:val="24"/>
        </w:rPr>
        <w:t xml:space="preserve">Table </w:t>
      </w:r>
      <w:r w:rsidR="00661050">
        <w:rPr>
          <w:rFonts w:ascii="Times New Roman" w:hAnsi="Times New Roman" w:cs="Times New Roman"/>
          <w:sz w:val="24"/>
          <w:szCs w:val="24"/>
        </w:rPr>
        <w:t>8</w:t>
      </w:r>
      <w:r w:rsidR="00BC5DBF">
        <w:rPr>
          <w:rFonts w:ascii="Times New Roman" w:hAnsi="Times New Roman" w:cs="Times New Roman"/>
          <w:sz w:val="24"/>
          <w:szCs w:val="24"/>
        </w:rPr>
        <w:t xml:space="preserve"> details our attempts to calculate the first-order fiscal impact of emigration of the best and brightest. We begin by calculating the income tax that these individuals would be </w:t>
      </w:r>
      <w:r w:rsidR="00BC5DBF">
        <w:rPr>
          <w:rFonts w:ascii="Times New Roman" w:hAnsi="Times New Roman" w:cs="Times New Roman"/>
          <w:sz w:val="24"/>
          <w:szCs w:val="24"/>
        </w:rPr>
        <w:lastRenderedPageBreak/>
        <w:t xml:space="preserve">paying if at home. To do this we take the counterfactual income which migrants tell us they would be earning if at home (which we have seen appears to be reasonably accurate), and then use each countries income taxation schedule to calculate the tax per migrant, after which we present the mean and median tax in the table. </w:t>
      </w:r>
      <w:r w:rsidR="008E5387">
        <w:rPr>
          <w:rFonts w:ascii="Times New Roman" w:hAnsi="Times New Roman" w:cs="Times New Roman"/>
          <w:sz w:val="24"/>
          <w:szCs w:val="24"/>
        </w:rPr>
        <w:t xml:space="preserve">The countries differ substantially in both tax rates and in the progressivity of their tax schedules. The lowest taxed and least progressive are Tonga and Micronesia. Tonga has a flat tax rate of 10%, and Micronesia has a tax rate of 6% on the first $11,000 and 10% thereafter. </w:t>
      </w:r>
      <w:r w:rsidR="00AB211F">
        <w:rPr>
          <w:rFonts w:ascii="Times New Roman" w:hAnsi="Times New Roman" w:cs="Times New Roman"/>
          <w:sz w:val="24"/>
          <w:szCs w:val="24"/>
        </w:rPr>
        <w:t>Ghana, Papua New Guinea and New Zealand all have higher tax rates with more steps and progressivity. Ghana’s has five tax rates, with a</w:t>
      </w:r>
      <w:r w:rsidR="00BD3FCD">
        <w:rPr>
          <w:rFonts w:ascii="Times New Roman" w:hAnsi="Times New Roman" w:cs="Times New Roman"/>
          <w:sz w:val="24"/>
          <w:szCs w:val="24"/>
        </w:rPr>
        <w:t xml:space="preserve"> top tax rate of 25% on income above $6,700. Papua New Guinea has six tax rates, with the first step beginning at 22% and with a top tax rate of 42% on income above $89,000. </w:t>
      </w:r>
      <w:r w:rsidR="00AB211F">
        <w:rPr>
          <w:rFonts w:ascii="Times New Roman" w:hAnsi="Times New Roman" w:cs="Times New Roman"/>
          <w:sz w:val="24"/>
          <w:szCs w:val="24"/>
        </w:rPr>
        <w:t xml:space="preserve"> </w:t>
      </w:r>
      <w:r w:rsidR="00BD0864">
        <w:rPr>
          <w:rFonts w:ascii="Times New Roman" w:hAnsi="Times New Roman" w:cs="Times New Roman"/>
          <w:sz w:val="24"/>
          <w:szCs w:val="24"/>
        </w:rPr>
        <w:t>New Zealand has 4 tax rates, with a top tax rate of 38% on income above $57,000.</w:t>
      </w:r>
      <w:r w:rsidR="00697DC2">
        <w:rPr>
          <w:rFonts w:ascii="Times New Roman" w:hAnsi="Times New Roman" w:cs="Times New Roman"/>
          <w:sz w:val="24"/>
          <w:szCs w:val="24"/>
        </w:rPr>
        <w:t xml:space="preserve"> As a result of these low tax rates and low home country incomes, the loss in income tax revenue is only $1000-1200 for Tonga and Micronesia per high-skilled migrant. It is higher in the other three countries: $5,000 in Ghana, $14,000 in Papua New Guinea where the migrants believe they would be earning relatively high incomes at home and getting charged high tax rates, and $17,000 in New Zealand. </w:t>
      </w:r>
    </w:p>
    <w:p w:rsidR="00FD139B" w:rsidRDefault="00FD139B" w:rsidP="00FD139B">
      <w:pPr>
        <w:tabs>
          <w:tab w:val="left" w:pos="426"/>
        </w:tabs>
        <w:autoSpaceDE w:val="0"/>
        <w:autoSpaceDN w:val="0"/>
        <w:adjustRightInd w:val="0"/>
        <w:spacing w:after="0"/>
        <w:contextualSpacing/>
        <w:jc w:val="both"/>
        <w:rPr>
          <w:rFonts w:ascii="Times New Roman" w:hAnsi="Times New Roman" w:cs="Times New Roman"/>
          <w:sz w:val="24"/>
          <w:szCs w:val="24"/>
        </w:rPr>
      </w:pPr>
    </w:p>
    <w:p w:rsidR="00A4614C" w:rsidRDefault="001C6FE4" w:rsidP="00FD139B">
      <w:pPr>
        <w:tabs>
          <w:tab w:val="left" w:pos="426"/>
        </w:tabs>
        <w:autoSpaceDE w:val="0"/>
        <w:autoSpaceDN w:val="0"/>
        <w:adjustRightInd w:val="0"/>
        <w:spacing w:after="0"/>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This calculation assumes that there is no tax evasion. To check this assumption we compare the difference between reported gross and reported net incomes in each of our five countries to what we would calculate the tax payment to be based on the national tax tables. The actual tax reported by non-migrants and return migrants in their home countries are very similar to what we calculate as the tax they should be paying according to the tax rates. It therefore seems reasonable to assume that migrants would also pay the amount of tax we estimate if they were working in their home countries. </w:t>
      </w:r>
    </w:p>
    <w:p w:rsidR="00FD139B" w:rsidRDefault="00FD139B" w:rsidP="00FD139B">
      <w:pPr>
        <w:tabs>
          <w:tab w:val="left" w:pos="426"/>
        </w:tabs>
        <w:autoSpaceDE w:val="0"/>
        <w:autoSpaceDN w:val="0"/>
        <w:adjustRightInd w:val="0"/>
        <w:spacing w:after="0"/>
        <w:ind w:firstLine="720"/>
        <w:contextualSpacing/>
        <w:jc w:val="both"/>
        <w:rPr>
          <w:rFonts w:ascii="Times New Roman" w:hAnsi="Times New Roman" w:cs="Times New Roman"/>
          <w:sz w:val="24"/>
          <w:szCs w:val="24"/>
        </w:rPr>
      </w:pPr>
    </w:p>
    <w:p w:rsidR="00A4614C" w:rsidRDefault="00697DC2" w:rsidP="00FD139B">
      <w:pPr>
        <w:tabs>
          <w:tab w:val="left" w:pos="426"/>
        </w:tabs>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ab/>
        <w:t>Next, we calculate the sales tax these migrants would have paid at home if they were consuming the</w:t>
      </w:r>
      <w:r w:rsidR="00BA6CAA">
        <w:rPr>
          <w:rFonts w:ascii="Times New Roman" w:hAnsi="Times New Roman" w:cs="Times New Roman"/>
          <w:sz w:val="24"/>
          <w:szCs w:val="24"/>
        </w:rPr>
        <w:t>se counterfactual</w:t>
      </w:r>
      <w:r>
        <w:rPr>
          <w:rFonts w:ascii="Times New Roman" w:hAnsi="Times New Roman" w:cs="Times New Roman"/>
          <w:sz w:val="24"/>
          <w:szCs w:val="24"/>
        </w:rPr>
        <w:t xml:space="preserve"> incomes in their home country. </w:t>
      </w:r>
      <w:r w:rsidR="00BA6CAA">
        <w:rPr>
          <w:rFonts w:ascii="Times New Roman" w:hAnsi="Times New Roman" w:cs="Times New Roman"/>
          <w:sz w:val="24"/>
          <w:szCs w:val="24"/>
        </w:rPr>
        <w:t xml:space="preserve">All five countries have sales taxes or goods and services taxes, with tax rates ranging </w:t>
      </w:r>
      <w:r w:rsidR="00301EB2">
        <w:rPr>
          <w:rFonts w:ascii="Times New Roman" w:hAnsi="Times New Roman" w:cs="Times New Roman"/>
          <w:sz w:val="24"/>
          <w:szCs w:val="24"/>
        </w:rPr>
        <w:t>from</w:t>
      </w:r>
      <w:r w:rsidR="00BA6CAA">
        <w:rPr>
          <w:rFonts w:ascii="Times New Roman" w:hAnsi="Times New Roman" w:cs="Times New Roman"/>
          <w:sz w:val="24"/>
          <w:szCs w:val="24"/>
        </w:rPr>
        <w:t xml:space="preserve"> 5% in Micronesia, 10% in Papua New Guinea, </w:t>
      </w:r>
      <w:r w:rsidR="00301EB2">
        <w:rPr>
          <w:rFonts w:ascii="Times New Roman" w:hAnsi="Times New Roman" w:cs="Times New Roman"/>
          <w:sz w:val="24"/>
          <w:szCs w:val="24"/>
        </w:rPr>
        <w:t xml:space="preserve">and </w:t>
      </w:r>
      <w:r w:rsidR="00BA6CAA">
        <w:rPr>
          <w:rFonts w:ascii="Times New Roman" w:hAnsi="Times New Roman" w:cs="Times New Roman"/>
          <w:sz w:val="24"/>
          <w:szCs w:val="24"/>
        </w:rPr>
        <w:t xml:space="preserve">12.5% in Ghana and New Zealand </w:t>
      </w:r>
      <w:r w:rsidR="00301EB2">
        <w:rPr>
          <w:rFonts w:ascii="Times New Roman" w:hAnsi="Times New Roman" w:cs="Times New Roman"/>
          <w:sz w:val="24"/>
          <w:szCs w:val="24"/>
        </w:rPr>
        <w:t xml:space="preserve">to </w:t>
      </w:r>
      <w:r w:rsidR="00BA6CAA">
        <w:rPr>
          <w:rFonts w:ascii="Times New Roman" w:hAnsi="Times New Roman" w:cs="Times New Roman"/>
          <w:sz w:val="24"/>
          <w:szCs w:val="24"/>
        </w:rPr>
        <w:t xml:space="preserve">15% in Tonga. </w:t>
      </w:r>
      <w:r w:rsidR="00422E75">
        <w:rPr>
          <w:rFonts w:ascii="Times New Roman" w:hAnsi="Times New Roman" w:cs="Times New Roman"/>
          <w:sz w:val="24"/>
          <w:szCs w:val="24"/>
        </w:rPr>
        <w:t xml:space="preserve">The Tongan government estimates that its goods and services taxes apply to approximately 60 percent of household </w:t>
      </w:r>
      <w:r w:rsidR="00E22D7C">
        <w:rPr>
          <w:rFonts w:ascii="Times New Roman" w:hAnsi="Times New Roman" w:cs="Times New Roman"/>
          <w:sz w:val="24"/>
          <w:szCs w:val="24"/>
        </w:rPr>
        <w:t>consumption.</w:t>
      </w:r>
      <w:r w:rsidR="001B4563">
        <w:rPr>
          <w:rStyle w:val="FootnoteReference"/>
          <w:rFonts w:ascii="Times New Roman" w:hAnsi="Times New Roman" w:cs="Times New Roman"/>
          <w:sz w:val="24"/>
          <w:szCs w:val="24"/>
        </w:rPr>
        <w:footnoteReference w:id="15"/>
      </w:r>
      <w:r w:rsidR="001B4563">
        <w:rPr>
          <w:rFonts w:ascii="Times New Roman" w:hAnsi="Times New Roman" w:cs="Times New Roman"/>
          <w:sz w:val="24"/>
          <w:szCs w:val="24"/>
        </w:rPr>
        <w:t xml:space="preserve"> </w:t>
      </w:r>
      <w:r w:rsidR="00A710EB">
        <w:rPr>
          <w:rFonts w:ascii="Times New Roman" w:hAnsi="Times New Roman" w:cs="Times New Roman"/>
          <w:sz w:val="24"/>
          <w:szCs w:val="24"/>
        </w:rPr>
        <w:t xml:space="preserve">We assume the same applies to the other </w:t>
      </w:r>
      <w:r w:rsidR="00011E9C">
        <w:rPr>
          <w:rFonts w:ascii="Times New Roman" w:hAnsi="Times New Roman" w:cs="Times New Roman"/>
          <w:sz w:val="24"/>
          <w:szCs w:val="24"/>
        </w:rPr>
        <w:t xml:space="preserve">three developing </w:t>
      </w:r>
      <w:r w:rsidR="00A710EB">
        <w:rPr>
          <w:rFonts w:ascii="Times New Roman" w:hAnsi="Times New Roman" w:cs="Times New Roman"/>
          <w:sz w:val="24"/>
          <w:szCs w:val="24"/>
        </w:rPr>
        <w:t>countries</w:t>
      </w:r>
      <w:r w:rsidR="00011E9C">
        <w:rPr>
          <w:rFonts w:ascii="Times New Roman" w:hAnsi="Times New Roman" w:cs="Times New Roman"/>
          <w:sz w:val="24"/>
          <w:szCs w:val="24"/>
        </w:rPr>
        <w:t xml:space="preserve"> and to 90 percent of consumption for New Zealand</w:t>
      </w:r>
      <w:r w:rsidR="00A710EB">
        <w:rPr>
          <w:rFonts w:ascii="Times New Roman" w:hAnsi="Times New Roman" w:cs="Times New Roman"/>
          <w:sz w:val="24"/>
          <w:szCs w:val="24"/>
        </w:rPr>
        <w:t>, and that all income is spent to arrive at the sales tax figures in the next two columns of Table 6.</w:t>
      </w:r>
      <w:r w:rsidR="00011E9C">
        <w:rPr>
          <w:rStyle w:val="FootnoteReference"/>
          <w:rFonts w:ascii="Times New Roman" w:hAnsi="Times New Roman" w:cs="Times New Roman"/>
          <w:sz w:val="24"/>
          <w:szCs w:val="24"/>
        </w:rPr>
        <w:footnoteReference w:id="16"/>
      </w:r>
      <w:r w:rsidR="00A710EB">
        <w:rPr>
          <w:rFonts w:ascii="Times New Roman" w:hAnsi="Times New Roman" w:cs="Times New Roman"/>
          <w:sz w:val="24"/>
          <w:szCs w:val="24"/>
        </w:rPr>
        <w:t xml:space="preserve"> </w:t>
      </w:r>
      <w:r w:rsidR="00757822">
        <w:rPr>
          <w:rFonts w:ascii="Times New Roman" w:hAnsi="Times New Roman" w:cs="Times New Roman"/>
          <w:sz w:val="24"/>
          <w:szCs w:val="24"/>
        </w:rPr>
        <w:t>This is highest in New Zealand at $</w:t>
      </w:r>
      <w:r w:rsidR="003125FA">
        <w:rPr>
          <w:rFonts w:ascii="Times New Roman" w:hAnsi="Times New Roman" w:cs="Times New Roman"/>
          <w:sz w:val="24"/>
          <w:szCs w:val="24"/>
        </w:rPr>
        <w:t>7055</w:t>
      </w:r>
      <w:r w:rsidR="00757822">
        <w:rPr>
          <w:rFonts w:ascii="Times New Roman" w:hAnsi="Times New Roman" w:cs="Times New Roman"/>
          <w:sz w:val="24"/>
          <w:szCs w:val="24"/>
        </w:rPr>
        <w:t xml:space="preserve"> per migrant, reflecting the higher incomes</w:t>
      </w:r>
      <w:r w:rsidR="003125FA">
        <w:rPr>
          <w:rFonts w:ascii="Times New Roman" w:hAnsi="Times New Roman" w:cs="Times New Roman"/>
          <w:sz w:val="24"/>
          <w:szCs w:val="24"/>
        </w:rPr>
        <w:t xml:space="preserve"> and greater coverage of the sales tax net</w:t>
      </w:r>
      <w:r w:rsidR="00757822">
        <w:rPr>
          <w:rFonts w:ascii="Times New Roman" w:hAnsi="Times New Roman" w:cs="Times New Roman"/>
          <w:sz w:val="24"/>
          <w:szCs w:val="24"/>
        </w:rPr>
        <w:t xml:space="preserve"> in this country, and lowest in Micronesia where the low tax rate and lower incomes means the lost sales tax revenue is only $383 per migrant.</w:t>
      </w:r>
    </w:p>
    <w:p w:rsidR="00FD139B" w:rsidRDefault="00FD139B" w:rsidP="00FD139B">
      <w:pPr>
        <w:tabs>
          <w:tab w:val="left" w:pos="426"/>
        </w:tabs>
        <w:autoSpaceDE w:val="0"/>
        <w:autoSpaceDN w:val="0"/>
        <w:adjustRightInd w:val="0"/>
        <w:spacing w:after="0"/>
        <w:contextualSpacing/>
        <w:jc w:val="both"/>
        <w:rPr>
          <w:rFonts w:ascii="Times New Roman" w:hAnsi="Times New Roman" w:cs="Times New Roman"/>
          <w:sz w:val="24"/>
          <w:szCs w:val="24"/>
        </w:rPr>
      </w:pPr>
    </w:p>
    <w:p w:rsidR="009F1B42" w:rsidRDefault="00757822" w:rsidP="00FD139B">
      <w:pPr>
        <w:tabs>
          <w:tab w:val="left" w:pos="426"/>
        </w:tabs>
        <w:spacing w:after="0"/>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Offsetting these fiscal costs of high-skilled emigration are two main fiscal benefits. The first is that if monetary remittances are spent on consumption items and the government has a sales tax, then the government gains a share of these remittances. We assume that 100 percent </w:t>
      </w:r>
      <w:r>
        <w:rPr>
          <w:rFonts w:ascii="Times New Roman" w:hAnsi="Times New Roman" w:cs="Times New Roman"/>
          <w:sz w:val="24"/>
          <w:szCs w:val="24"/>
        </w:rPr>
        <w:lastRenderedPageBreak/>
        <w:t xml:space="preserve">of monetary remittances are spent, and that again 60 percent of this spending is taxable. Whilst there is debate in the literature as to the extent to which remittances are used for non-consumption purposes, surveys typically find at least 80 percent of remittances are consumed, and even investments in </w:t>
      </w:r>
      <w:r w:rsidR="0017167E">
        <w:rPr>
          <w:rFonts w:ascii="Times New Roman" w:hAnsi="Times New Roman" w:cs="Times New Roman"/>
          <w:sz w:val="24"/>
          <w:szCs w:val="24"/>
        </w:rPr>
        <w:t>items like</w:t>
      </w:r>
      <w:r>
        <w:rPr>
          <w:rFonts w:ascii="Times New Roman" w:hAnsi="Times New Roman" w:cs="Times New Roman"/>
          <w:sz w:val="24"/>
          <w:szCs w:val="24"/>
        </w:rPr>
        <w:t xml:space="preserve"> materials for starting a business may be taxable. Nonetheless, because high-skilled migrants remit back considerably less than they would be earning in the home country, the effective sales tax revenues on remittances are quite small – ranging from only $</w:t>
      </w:r>
      <w:r w:rsidR="0063740C">
        <w:rPr>
          <w:rFonts w:ascii="Times New Roman" w:hAnsi="Times New Roman" w:cs="Times New Roman"/>
          <w:sz w:val="24"/>
          <w:szCs w:val="24"/>
        </w:rPr>
        <w:t>56</w:t>
      </w:r>
      <w:r>
        <w:rPr>
          <w:rFonts w:ascii="Times New Roman" w:hAnsi="Times New Roman" w:cs="Times New Roman"/>
          <w:sz w:val="24"/>
          <w:szCs w:val="24"/>
        </w:rPr>
        <w:t xml:space="preserve"> in New Zealand and $41 in Micronesia, to $130-132 in Tonga and Ghana. </w:t>
      </w:r>
    </w:p>
    <w:p w:rsidR="00FD139B" w:rsidRDefault="00FD139B" w:rsidP="00FD139B">
      <w:pPr>
        <w:tabs>
          <w:tab w:val="left" w:pos="426"/>
        </w:tabs>
        <w:spacing w:after="0"/>
        <w:contextualSpacing/>
        <w:jc w:val="both"/>
        <w:rPr>
          <w:rFonts w:ascii="Times New Roman" w:hAnsi="Times New Roman" w:cs="Times New Roman"/>
          <w:sz w:val="24"/>
          <w:szCs w:val="24"/>
        </w:rPr>
      </w:pPr>
    </w:p>
    <w:p w:rsidR="00757822" w:rsidRDefault="00757822" w:rsidP="00FD139B">
      <w:pPr>
        <w:tabs>
          <w:tab w:val="left" w:pos="426"/>
        </w:tabs>
        <w:spacing w:after="0"/>
        <w:contextualSpacing/>
        <w:jc w:val="both"/>
        <w:rPr>
          <w:rFonts w:ascii="Times New Roman" w:hAnsi="Times New Roman" w:cs="Times New Roman"/>
          <w:sz w:val="24"/>
          <w:szCs w:val="24"/>
        </w:rPr>
      </w:pPr>
      <w:r>
        <w:rPr>
          <w:rFonts w:ascii="Times New Roman" w:hAnsi="Times New Roman" w:cs="Times New Roman"/>
          <w:sz w:val="24"/>
          <w:szCs w:val="24"/>
        </w:rPr>
        <w:tab/>
      </w:r>
      <w:r w:rsidR="003F0303">
        <w:rPr>
          <w:rFonts w:ascii="Times New Roman" w:hAnsi="Times New Roman" w:cs="Times New Roman"/>
          <w:sz w:val="24"/>
          <w:szCs w:val="24"/>
        </w:rPr>
        <w:t xml:space="preserve">In most cases the larger fiscal benefit from emigration will be that </w:t>
      </w:r>
      <w:r w:rsidR="00FC7A32">
        <w:rPr>
          <w:rFonts w:ascii="Times New Roman" w:hAnsi="Times New Roman" w:cs="Times New Roman"/>
          <w:sz w:val="24"/>
          <w:szCs w:val="24"/>
        </w:rPr>
        <w:t xml:space="preserve">the Government does not have to spend on government services for individuals abroad or the family members accompanying them. </w:t>
      </w:r>
      <w:r w:rsidR="00A73CB5">
        <w:rPr>
          <w:rFonts w:ascii="Times New Roman" w:hAnsi="Times New Roman" w:cs="Times New Roman"/>
          <w:sz w:val="24"/>
          <w:szCs w:val="24"/>
        </w:rPr>
        <w:t xml:space="preserve">Table </w:t>
      </w:r>
      <w:r w:rsidR="00D228A9">
        <w:rPr>
          <w:rFonts w:ascii="Times New Roman" w:hAnsi="Times New Roman" w:cs="Times New Roman"/>
          <w:sz w:val="24"/>
          <w:szCs w:val="24"/>
        </w:rPr>
        <w:t>8</w:t>
      </w:r>
      <w:r w:rsidR="00A73CB5">
        <w:rPr>
          <w:rFonts w:ascii="Times New Roman" w:hAnsi="Times New Roman" w:cs="Times New Roman"/>
          <w:sz w:val="24"/>
          <w:szCs w:val="24"/>
        </w:rPr>
        <w:t xml:space="preserve"> gives the mean household size for the emigrants, which ranges from 2.5 to 4. We then form an upper bound on the fiscal savings by taking the total per-capita government expenditure – this would be the savings if government expenditure was equally distributed across all households in the home country and all spending was variable costs. A possible lower bound on the fiscal savings in many countries can be obtained by taking the per-capita government health and expenditure expenditure, which might be more variable in costs. This may be a lower bound because it ignores the possibility that children of the highly skilled may be more likely to use expensive higher levels of education, and that it ignores </w:t>
      </w:r>
      <w:r w:rsidR="00CB67BD">
        <w:rPr>
          <w:rFonts w:ascii="Times New Roman" w:hAnsi="Times New Roman" w:cs="Times New Roman"/>
          <w:sz w:val="24"/>
          <w:szCs w:val="24"/>
        </w:rPr>
        <w:t>any deductions or exemptions that reduce the tax that the highly educated actually pay.</w:t>
      </w:r>
    </w:p>
    <w:p w:rsidR="00FD139B" w:rsidRDefault="00FD139B" w:rsidP="00FD139B">
      <w:pPr>
        <w:tabs>
          <w:tab w:val="left" w:pos="426"/>
        </w:tabs>
        <w:spacing w:after="0"/>
        <w:contextualSpacing/>
        <w:jc w:val="both"/>
        <w:rPr>
          <w:rFonts w:ascii="Times New Roman" w:hAnsi="Times New Roman" w:cs="Times New Roman"/>
          <w:sz w:val="24"/>
          <w:szCs w:val="24"/>
        </w:rPr>
      </w:pPr>
    </w:p>
    <w:p w:rsidR="00AF4718" w:rsidRDefault="00CB67BD" w:rsidP="00FD139B">
      <w:pPr>
        <w:tabs>
          <w:tab w:val="left" w:pos="426"/>
        </w:tabs>
        <w:spacing w:after="0"/>
        <w:contextualSpacing/>
        <w:jc w:val="both"/>
        <w:rPr>
          <w:rFonts w:ascii="Times New Roman" w:hAnsi="Times New Roman" w:cs="Times New Roman"/>
          <w:sz w:val="24"/>
          <w:szCs w:val="24"/>
        </w:rPr>
      </w:pPr>
      <w:r>
        <w:rPr>
          <w:rFonts w:ascii="Times New Roman" w:hAnsi="Times New Roman" w:cs="Times New Roman"/>
          <w:sz w:val="24"/>
          <w:szCs w:val="24"/>
        </w:rPr>
        <w:tab/>
        <w:t xml:space="preserve">Comparing these costs and benefits leads to our estimates of the approximate net fiscal cost of high-skilled emigration, given in the last two columns of Table </w:t>
      </w:r>
      <w:r w:rsidR="00585AE2">
        <w:rPr>
          <w:rFonts w:ascii="Times New Roman" w:hAnsi="Times New Roman" w:cs="Times New Roman"/>
          <w:sz w:val="24"/>
          <w:szCs w:val="24"/>
        </w:rPr>
        <w:t>8</w:t>
      </w:r>
      <w:r>
        <w:rPr>
          <w:rFonts w:ascii="Times New Roman" w:hAnsi="Times New Roman" w:cs="Times New Roman"/>
          <w:sz w:val="24"/>
          <w:szCs w:val="24"/>
        </w:rPr>
        <w:t>. We get quite tight ranges on the likely first-order fiscal effects for the four developing countries. In both Tonga and Micronesia the net fiscal cost is at most $500-1000</w:t>
      </w:r>
      <w:r w:rsidR="00301EB2">
        <w:rPr>
          <w:rFonts w:ascii="Times New Roman" w:hAnsi="Times New Roman" w:cs="Times New Roman"/>
          <w:sz w:val="24"/>
          <w:szCs w:val="24"/>
        </w:rPr>
        <w:t xml:space="preserve"> per year</w:t>
      </w:r>
      <w:r>
        <w:rPr>
          <w:rFonts w:ascii="Times New Roman" w:hAnsi="Times New Roman" w:cs="Times New Roman"/>
          <w:sz w:val="24"/>
          <w:szCs w:val="24"/>
        </w:rPr>
        <w:t xml:space="preserve">, and would be negative if we used full government expenditure in the calculations. The fiscal costs are low in these countries because they have low income tax rates that are not very progressive, sales taxes are quite small because of low rates and low incomes, and the government per-capita spending is not much less (Tonga) or greater (Micronesia) than the estimated income tax take from even these highly skilled individuals. This </w:t>
      </w:r>
      <w:r w:rsidR="00EB1242">
        <w:rPr>
          <w:rFonts w:ascii="Times New Roman" w:hAnsi="Times New Roman" w:cs="Times New Roman"/>
          <w:sz w:val="24"/>
          <w:szCs w:val="24"/>
        </w:rPr>
        <w:t xml:space="preserve">reflects the reliance of Micronesia </w:t>
      </w:r>
      <w:r w:rsidR="000539CD">
        <w:rPr>
          <w:rFonts w:ascii="Times New Roman" w:hAnsi="Times New Roman" w:cs="Times New Roman"/>
          <w:sz w:val="24"/>
          <w:szCs w:val="24"/>
        </w:rPr>
        <w:t xml:space="preserve">on grants from the U.S. (tax revenue is only 21% of total government revenue) and of Tonga </w:t>
      </w:r>
      <w:r w:rsidR="00ED4469">
        <w:rPr>
          <w:rFonts w:ascii="Times New Roman" w:hAnsi="Times New Roman" w:cs="Times New Roman"/>
          <w:sz w:val="24"/>
          <w:szCs w:val="24"/>
        </w:rPr>
        <w:t xml:space="preserve">on indirect taxes and grants. </w:t>
      </w:r>
    </w:p>
    <w:p w:rsidR="00FD139B" w:rsidRDefault="00FD139B" w:rsidP="00FD139B">
      <w:pPr>
        <w:tabs>
          <w:tab w:val="left" w:pos="426"/>
        </w:tabs>
        <w:spacing w:after="0"/>
        <w:contextualSpacing/>
        <w:jc w:val="both"/>
        <w:rPr>
          <w:rFonts w:ascii="Times New Roman" w:hAnsi="Times New Roman" w:cs="Times New Roman"/>
          <w:sz w:val="24"/>
          <w:szCs w:val="24"/>
        </w:rPr>
      </w:pPr>
    </w:p>
    <w:p w:rsidR="006452FC" w:rsidRDefault="00AF4718" w:rsidP="00FD139B">
      <w:pPr>
        <w:tabs>
          <w:tab w:val="left" w:pos="426"/>
        </w:tabs>
        <w:spacing w:after="0"/>
        <w:contextualSpacing/>
        <w:jc w:val="both"/>
        <w:rPr>
          <w:rFonts w:ascii="Times New Roman" w:hAnsi="Times New Roman" w:cs="Times New Roman"/>
          <w:sz w:val="24"/>
          <w:szCs w:val="24"/>
        </w:rPr>
      </w:pPr>
      <w:r>
        <w:rPr>
          <w:rFonts w:ascii="Times New Roman" w:hAnsi="Times New Roman" w:cs="Times New Roman"/>
          <w:sz w:val="24"/>
          <w:szCs w:val="24"/>
        </w:rPr>
        <w:tab/>
        <w:t xml:space="preserve">In Ghana we estimate a net fiscal cost of between $5,450 and $6,300 </w:t>
      </w:r>
      <w:r w:rsidR="00301EB2">
        <w:rPr>
          <w:rFonts w:ascii="Times New Roman" w:hAnsi="Times New Roman" w:cs="Times New Roman"/>
          <w:sz w:val="24"/>
          <w:szCs w:val="24"/>
        </w:rPr>
        <w:t>per</w:t>
      </w:r>
      <w:r>
        <w:rPr>
          <w:rFonts w:ascii="Times New Roman" w:hAnsi="Times New Roman" w:cs="Times New Roman"/>
          <w:sz w:val="24"/>
          <w:szCs w:val="24"/>
        </w:rPr>
        <w:t xml:space="preserve"> high-skilled emigra</w:t>
      </w:r>
      <w:r w:rsidR="00301EB2">
        <w:rPr>
          <w:rFonts w:ascii="Times New Roman" w:hAnsi="Times New Roman" w:cs="Times New Roman"/>
          <w:sz w:val="24"/>
          <w:szCs w:val="24"/>
        </w:rPr>
        <w:t>nt</w:t>
      </w:r>
      <w:r>
        <w:rPr>
          <w:rFonts w:ascii="Times New Roman" w:hAnsi="Times New Roman" w:cs="Times New Roman"/>
          <w:sz w:val="24"/>
          <w:szCs w:val="24"/>
        </w:rPr>
        <w:t xml:space="preserve">. These bounds are quite tight, since Ghana’s per capita government expenditure is so low – Ghana has a progressive income taxation system which collects far more in income taxes from the highly skilled than it is paying out in benefits. Our bounds are even tighter in Papua New Guinea, ranging from $16,500 to $16,900. Again in this case per capita government expenditure is extremely low, and income tax rates on high incomes are quite high – so the fiscal cost greatly exceeds the fiscal benefits. </w:t>
      </w:r>
    </w:p>
    <w:p w:rsidR="00FD139B" w:rsidRDefault="00FD139B" w:rsidP="00FD139B">
      <w:pPr>
        <w:tabs>
          <w:tab w:val="left" w:pos="426"/>
        </w:tabs>
        <w:spacing w:after="0"/>
        <w:contextualSpacing/>
        <w:jc w:val="both"/>
        <w:rPr>
          <w:rFonts w:ascii="Times New Roman" w:hAnsi="Times New Roman" w:cs="Times New Roman"/>
          <w:sz w:val="24"/>
          <w:szCs w:val="24"/>
        </w:rPr>
      </w:pPr>
    </w:p>
    <w:p w:rsidR="00CB67BD" w:rsidRDefault="006452FC" w:rsidP="00FD139B">
      <w:pPr>
        <w:tabs>
          <w:tab w:val="left" w:pos="426"/>
        </w:tabs>
        <w:spacing w:after="0"/>
        <w:contextualSpacing/>
        <w:jc w:val="both"/>
        <w:rPr>
          <w:rFonts w:ascii="Times New Roman" w:hAnsi="Times New Roman" w:cs="Times New Roman"/>
          <w:sz w:val="24"/>
          <w:szCs w:val="24"/>
        </w:rPr>
      </w:pPr>
      <w:r>
        <w:rPr>
          <w:rFonts w:ascii="Times New Roman" w:hAnsi="Times New Roman" w:cs="Times New Roman"/>
          <w:sz w:val="24"/>
          <w:szCs w:val="24"/>
        </w:rPr>
        <w:tab/>
        <w:t>Our range of estimates is much wider for New Zealand, ranging from -$</w:t>
      </w:r>
      <w:r w:rsidR="0063740C">
        <w:rPr>
          <w:rFonts w:ascii="Times New Roman" w:hAnsi="Times New Roman" w:cs="Times New Roman"/>
          <w:sz w:val="24"/>
          <w:szCs w:val="24"/>
        </w:rPr>
        <w:t>6,115</w:t>
      </w:r>
      <w:r>
        <w:rPr>
          <w:rFonts w:ascii="Times New Roman" w:hAnsi="Times New Roman" w:cs="Times New Roman"/>
          <w:sz w:val="24"/>
          <w:szCs w:val="24"/>
        </w:rPr>
        <w:t xml:space="preserve"> to $1</w:t>
      </w:r>
      <w:r w:rsidR="0063740C">
        <w:rPr>
          <w:rFonts w:ascii="Times New Roman" w:hAnsi="Times New Roman" w:cs="Times New Roman"/>
          <w:sz w:val="24"/>
          <w:szCs w:val="24"/>
        </w:rPr>
        <w:t>2</w:t>
      </w:r>
      <w:r>
        <w:rPr>
          <w:rFonts w:ascii="Times New Roman" w:hAnsi="Times New Roman" w:cs="Times New Roman"/>
          <w:sz w:val="24"/>
          <w:szCs w:val="24"/>
        </w:rPr>
        <w:t>,</w:t>
      </w:r>
      <w:r w:rsidR="0063740C">
        <w:rPr>
          <w:rFonts w:ascii="Times New Roman" w:hAnsi="Times New Roman" w:cs="Times New Roman"/>
          <w:sz w:val="24"/>
          <w:szCs w:val="24"/>
        </w:rPr>
        <w:t>950</w:t>
      </w:r>
      <w:r>
        <w:rPr>
          <w:rFonts w:ascii="Times New Roman" w:hAnsi="Times New Roman" w:cs="Times New Roman"/>
          <w:sz w:val="24"/>
          <w:szCs w:val="24"/>
        </w:rPr>
        <w:t xml:space="preserve">, depending on how much of per capita government expenditure actually goes to the </w:t>
      </w:r>
      <w:r>
        <w:rPr>
          <w:rFonts w:ascii="Times New Roman" w:hAnsi="Times New Roman" w:cs="Times New Roman"/>
          <w:sz w:val="24"/>
          <w:szCs w:val="24"/>
        </w:rPr>
        <w:lastRenderedPageBreak/>
        <w:t xml:space="preserve">highly skilled. </w:t>
      </w:r>
      <w:r w:rsidR="005C56AF">
        <w:rPr>
          <w:rFonts w:ascii="Times New Roman" w:hAnsi="Times New Roman" w:cs="Times New Roman"/>
          <w:sz w:val="24"/>
          <w:szCs w:val="24"/>
        </w:rPr>
        <w:t>Crawford and Johnson (2004) provide a more detailed analysis of the receipt of government benefits by decile in New Zealand for the year 1997/98. Because of New Zealand’s highly progressive government spending patterns, households in the top three deciles were estimated to receive only approximately $6,700 per household. Health and expenditure spending approximately doubled between 1998 and 2008, so doubling this figure gives a per household expenditure of approximately $13,400 –</w:t>
      </w:r>
      <w:r w:rsidR="00F57738">
        <w:rPr>
          <w:rFonts w:ascii="Times New Roman" w:hAnsi="Times New Roman" w:cs="Times New Roman"/>
          <w:sz w:val="24"/>
          <w:szCs w:val="24"/>
        </w:rPr>
        <w:t xml:space="preserve"> which is relatively close to our proxy of $11,302 when using per capita health and education spending. This gives our best estimate of the fiscal loss to New Zealand of high-skilled migration at $</w:t>
      </w:r>
      <w:r w:rsidR="0063740C">
        <w:rPr>
          <w:rFonts w:ascii="Times New Roman" w:hAnsi="Times New Roman" w:cs="Times New Roman"/>
          <w:sz w:val="24"/>
          <w:szCs w:val="24"/>
        </w:rPr>
        <w:t>10,</w:t>
      </w:r>
      <w:r w:rsidR="00F57738">
        <w:rPr>
          <w:rFonts w:ascii="Times New Roman" w:hAnsi="Times New Roman" w:cs="Times New Roman"/>
          <w:sz w:val="24"/>
          <w:szCs w:val="24"/>
        </w:rPr>
        <w:t>000 per high-skilled migrant who leaves.</w:t>
      </w:r>
    </w:p>
    <w:p w:rsidR="00FD139B" w:rsidRDefault="00FD139B" w:rsidP="00FD139B">
      <w:pPr>
        <w:tabs>
          <w:tab w:val="left" w:pos="426"/>
        </w:tabs>
        <w:spacing w:after="0"/>
        <w:contextualSpacing/>
        <w:jc w:val="both"/>
        <w:rPr>
          <w:rFonts w:ascii="Times New Roman" w:hAnsi="Times New Roman" w:cs="Times New Roman"/>
          <w:sz w:val="24"/>
          <w:szCs w:val="24"/>
        </w:rPr>
      </w:pPr>
    </w:p>
    <w:p w:rsidR="00C01B63" w:rsidRDefault="00C01B63" w:rsidP="00FD139B">
      <w:pPr>
        <w:tabs>
          <w:tab w:val="left" w:pos="426"/>
        </w:tabs>
        <w:spacing w:after="0"/>
        <w:contextualSpacing/>
        <w:jc w:val="both"/>
        <w:rPr>
          <w:rFonts w:ascii="Times New Roman" w:hAnsi="Times New Roman" w:cs="Times New Roman"/>
          <w:sz w:val="24"/>
          <w:szCs w:val="24"/>
        </w:rPr>
      </w:pPr>
      <w:r>
        <w:rPr>
          <w:rFonts w:ascii="Times New Roman" w:hAnsi="Times New Roman" w:cs="Times New Roman"/>
          <w:sz w:val="24"/>
          <w:szCs w:val="24"/>
        </w:rPr>
        <w:tab/>
        <w:t>We acknowledge that there are a number of simplifying assumptions in making these calculations, but we believe they capture the first-order magnitudes.</w:t>
      </w:r>
      <w:r w:rsidR="00301EB2">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r w:rsidR="004851F3">
        <w:rPr>
          <w:rFonts w:ascii="Times New Roman" w:hAnsi="Times New Roman" w:cs="Times New Roman"/>
          <w:sz w:val="24"/>
          <w:szCs w:val="24"/>
        </w:rPr>
        <w:t xml:space="preserve">They show how much the fiscal cost depends on the progressivity of the income tax system, the role of sales taxes in allowing migrant-sending countries to receive some fiscal benefit from remittances, and some sense of the fiscal benefits. </w:t>
      </w:r>
      <w:r w:rsidR="00630D2C">
        <w:rPr>
          <w:rFonts w:ascii="Times New Roman" w:hAnsi="Times New Roman" w:cs="Times New Roman"/>
          <w:sz w:val="24"/>
          <w:szCs w:val="24"/>
        </w:rPr>
        <w:t xml:space="preserve">What is noticeable is how small these fiscal costs are relative to the income gains estimated to the migrants themselves in Table 2. </w:t>
      </w:r>
    </w:p>
    <w:p w:rsidR="00FD139B" w:rsidRDefault="00FD139B" w:rsidP="00FD139B">
      <w:pPr>
        <w:tabs>
          <w:tab w:val="left" w:pos="426"/>
        </w:tabs>
        <w:spacing w:after="0"/>
        <w:contextualSpacing/>
        <w:jc w:val="both"/>
        <w:rPr>
          <w:rFonts w:ascii="Times New Roman" w:hAnsi="Times New Roman" w:cs="Times New Roman"/>
          <w:sz w:val="24"/>
          <w:szCs w:val="24"/>
        </w:rPr>
      </w:pPr>
    </w:p>
    <w:p w:rsidR="00585AE2" w:rsidRDefault="00585AE2" w:rsidP="00FD139B">
      <w:pPr>
        <w:tabs>
          <w:tab w:val="left" w:pos="426"/>
        </w:tabs>
        <w:spacing w:after="0"/>
        <w:contextualSpacing/>
        <w:jc w:val="both"/>
        <w:rPr>
          <w:rFonts w:ascii="Times New Roman" w:hAnsi="Times New Roman" w:cs="Times New Roman"/>
          <w:b/>
          <w:sz w:val="24"/>
          <w:szCs w:val="24"/>
        </w:rPr>
      </w:pPr>
      <w:r>
        <w:rPr>
          <w:rFonts w:ascii="Times New Roman" w:hAnsi="Times New Roman" w:cs="Times New Roman"/>
          <w:b/>
          <w:sz w:val="24"/>
          <w:szCs w:val="24"/>
        </w:rPr>
        <w:t>4.6 Externalities</w:t>
      </w:r>
    </w:p>
    <w:p w:rsidR="00FD139B" w:rsidRPr="00FD139B" w:rsidRDefault="00FD139B" w:rsidP="00FD139B">
      <w:pPr>
        <w:tabs>
          <w:tab w:val="left" w:pos="426"/>
        </w:tabs>
        <w:spacing w:after="0"/>
        <w:contextualSpacing/>
        <w:jc w:val="both"/>
        <w:rPr>
          <w:rFonts w:ascii="Times New Roman" w:hAnsi="Times New Roman" w:cs="Times New Roman"/>
          <w:b/>
          <w:sz w:val="12"/>
          <w:szCs w:val="12"/>
        </w:rPr>
      </w:pPr>
    </w:p>
    <w:p w:rsidR="00BF5032" w:rsidRDefault="00BF5032" w:rsidP="00FD139B">
      <w:pPr>
        <w:tabs>
          <w:tab w:val="left" w:pos="426"/>
        </w:tabs>
        <w:spacing w:after="0"/>
        <w:contextualSpacing/>
        <w:jc w:val="both"/>
        <w:rPr>
          <w:rFonts w:ascii="Times New Roman" w:hAnsi="Times New Roman" w:cs="Times New Roman"/>
          <w:sz w:val="24"/>
          <w:szCs w:val="24"/>
        </w:rPr>
      </w:pPr>
      <w:r>
        <w:rPr>
          <w:rFonts w:ascii="Times New Roman" w:hAnsi="Times New Roman" w:cs="Times New Roman"/>
          <w:sz w:val="24"/>
          <w:szCs w:val="24"/>
        </w:rPr>
        <w:t>These findings enable us to come close to being able to estimate the first-order net economic effect of highly-skilled emigration on individuals from developing countries.</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The one key effect we cannot measure is the uncompensated externalities of high human capital. Such externalities have been at the heart of brain drain debate since the beginning</w:t>
      </w:r>
      <w:r w:rsidRPr="00EC29EC">
        <w:rPr>
          <w:rFonts w:ascii="Times New Roman" w:hAnsi="Times New Roman" w:cs="Times New Roman"/>
          <w:sz w:val="24"/>
          <w:szCs w:val="24"/>
        </w:rPr>
        <w:t>. Grubel and Scott (1966)</w:t>
      </w:r>
      <w:r>
        <w:rPr>
          <w:rFonts w:ascii="Times New Roman" w:hAnsi="Times New Roman" w:cs="Times New Roman"/>
          <w:sz w:val="24"/>
          <w:szCs w:val="24"/>
        </w:rPr>
        <w:t xml:space="preserve"> noted that if labor markets are competitive and individuals paid their marginal product, </w:t>
      </w:r>
      <w:r w:rsidRPr="00EC29EC">
        <w:rPr>
          <w:rFonts w:ascii="Times New Roman" w:hAnsi="Times New Roman" w:cs="Times New Roman"/>
          <w:sz w:val="24"/>
          <w:szCs w:val="24"/>
        </w:rPr>
        <w:t>then if there were no externalities, the departure of highly skilled emigrants would not reduce the welfare of those left behind</w:t>
      </w:r>
      <w:r>
        <w:rPr>
          <w:rFonts w:ascii="Times New Roman" w:hAnsi="Times New Roman" w:cs="Times New Roman"/>
          <w:sz w:val="24"/>
          <w:szCs w:val="24"/>
        </w:rPr>
        <w:t xml:space="preserve">. </w:t>
      </w:r>
      <w:r w:rsidRPr="00EC29EC">
        <w:rPr>
          <w:rFonts w:ascii="Times New Roman" w:hAnsi="Times New Roman" w:cs="Times New Roman"/>
          <w:sz w:val="24"/>
          <w:szCs w:val="24"/>
        </w:rPr>
        <w:t>Bhagwati and Hamada (1974</w:t>
      </w:r>
      <w:r>
        <w:rPr>
          <w:rFonts w:ascii="Times New Roman" w:hAnsi="Times New Roman" w:cs="Times New Roman"/>
          <w:sz w:val="24"/>
          <w:szCs w:val="24"/>
        </w:rPr>
        <w:t>, p.19</w:t>
      </w:r>
      <w:r w:rsidRPr="00EC29EC">
        <w:rPr>
          <w:rFonts w:ascii="Times New Roman" w:hAnsi="Times New Roman" w:cs="Times New Roman"/>
          <w:sz w:val="24"/>
          <w:szCs w:val="24"/>
        </w:rPr>
        <w:t>)</w:t>
      </w:r>
      <w:r>
        <w:rPr>
          <w:rFonts w:ascii="Times New Roman" w:hAnsi="Times New Roman" w:cs="Times New Roman"/>
          <w:sz w:val="24"/>
          <w:szCs w:val="24"/>
        </w:rPr>
        <w:t xml:space="preserve"> made the case that such externalities could be important with </w:t>
      </w:r>
      <w:r w:rsidR="00BF616F">
        <w:rPr>
          <w:rFonts w:ascii="Times New Roman" w:hAnsi="Times New Roman" w:cs="Times New Roman"/>
          <w:sz w:val="24"/>
          <w:szCs w:val="24"/>
        </w:rPr>
        <w:t>‘</w:t>
      </w:r>
      <w:r w:rsidRPr="00EC29EC">
        <w:rPr>
          <w:rFonts w:ascii="Times New Roman" w:hAnsi="Times New Roman" w:cs="Times New Roman"/>
          <w:sz w:val="24"/>
          <w:szCs w:val="24"/>
        </w:rPr>
        <w:t>doctors and exceptionally gifted academics about whose emigration typically the underdeveloped countries seem to worry</w:t>
      </w:r>
      <w:r w:rsidR="00BF616F">
        <w:rPr>
          <w:rFonts w:ascii="Times New Roman" w:hAnsi="Times New Roman" w:cs="Times New Roman"/>
          <w:sz w:val="24"/>
          <w:szCs w:val="24"/>
        </w:rPr>
        <w:t>’</w:t>
      </w:r>
      <w:r>
        <w:rPr>
          <w:rFonts w:ascii="Times New Roman" w:hAnsi="Times New Roman" w:cs="Times New Roman"/>
          <w:sz w:val="24"/>
          <w:szCs w:val="24"/>
        </w:rPr>
        <w:t xml:space="preserve">, although Bhagwati (1998, p.9) subsequently notes that externalities are the </w:t>
      </w:r>
      <w:r w:rsidR="00BF616F">
        <w:rPr>
          <w:rFonts w:ascii="Times New Roman" w:hAnsi="Times New Roman" w:cs="Times New Roman"/>
          <w:sz w:val="24"/>
          <w:szCs w:val="24"/>
        </w:rPr>
        <w:t>‘</w:t>
      </w:r>
      <w:r>
        <w:rPr>
          <w:rFonts w:ascii="Times New Roman" w:hAnsi="Times New Roman" w:cs="Times New Roman"/>
          <w:sz w:val="24"/>
          <w:szCs w:val="24"/>
        </w:rPr>
        <w:t>first refuge of the scoundrels</w:t>
      </w:r>
      <w:r w:rsidR="00BF616F">
        <w:rPr>
          <w:rFonts w:ascii="Times New Roman" w:hAnsi="Times New Roman" w:cs="Times New Roman"/>
          <w:sz w:val="24"/>
          <w:szCs w:val="24"/>
        </w:rPr>
        <w:t>’</w:t>
      </w:r>
      <w:r>
        <w:rPr>
          <w:rFonts w:ascii="Times New Roman" w:hAnsi="Times New Roman" w:cs="Times New Roman"/>
          <w:sz w:val="24"/>
          <w:szCs w:val="24"/>
        </w:rPr>
        <w:t xml:space="preserve"> in policy debates, with the evidence as to their existence, let alone magnitudes, rather scant. </w:t>
      </w:r>
    </w:p>
    <w:p w:rsidR="00FD139B" w:rsidRDefault="00FD139B" w:rsidP="00FD139B">
      <w:pPr>
        <w:tabs>
          <w:tab w:val="left" w:pos="426"/>
        </w:tabs>
        <w:spacing w:after="0"/>
        <w:contextualSpacing/>
        <w:jc w:val="both"/>
        <w:rPr>
          <w:rFonts w:ascii="Times New Roman" w:hAnsi="Times New Roman" w:cs="Times New Roman"/>
          <w:sz w:val="24"/>
          <w:szCs w:val="24"/>
        </w:rPr>
      </w:pPr>
    </w:p>
    <w:p w:rsidR="000D001C" w:rsidRDefault="000D001C" w:rsidP="00FD139B">
      <w:pPr>
        <w:tabs>
          <w:tab w:val="left" w:pos="426"/>
        </w:tabs>
        <w:spacing w:after="0"/>
        <w:ind w:firstLine="360"/>
        <w:contextualSpacing/>
        <w:jc w:val="both"/>
        <w:rPr>
          <w:rFonts w:ascii="Times New Roman" w:hAnsi="Times New Roman" w:cs="Times New Roman"/>
          <w:sz w:val="24"/>
          <w:szCs w:val="24"/>
        </w:rPr>
      </w:pPr>
      <w:r w:rsidRPr="000D001C">
        <w:rPr>
          <w:rFonts w:ascii="Times New Roman" w:hAnsi="Times New Roman" w:cs="Times New Roman"/>
          <w:sz w:val="24"/>
          <w:szCs w:val="24"/>
        </w:rPr>
        <w:t xml:space="preserve">How big might these externalities be? Despite costly public subsidies to higher education around the world that are often motivated by a claimed importance of human capital externalities, empirical evidence on these externalities is fragmentary and often contradictory.  In a careful, balanced review, Davies (2003) considered the empirical evidence for dynamic externalities, static market externalities and static non-market externalities. In terms of </w:t>
      </w:r>
      <w:r w:rsidRPr="000D001C">
        <w:rPr>
          <w:rFonts w:ascii="Times New Roman" w:hAnsi="Times New Roman" w:cs="Times New Roman"/>
          <w:sz w:val="24"/>
          <w:szCs w:val="24"/>
        </w:rPr>
        <w:lastRenderedPageBreak/>
        <w:t>percentage points of rates of return (to add on to Mincerian private rates of return of around 8-10 percentage points), the most credible estimates of dynamic externalities were 1-2 percentage points, the static market externalities were zero and the static non-market externalities</w:t>
      </w:r>
      <w:r>
        <w:rPr>
          <w:rFonts w:ascii="Times New Roman" w:hAnsi="Times New Roman" w:cs="Times New Roman"/>
          <w:sz w:val="24"/>
          <w:szCs w:val="24"/>
        </w:rPr>
        <w:t xml:space="preserve"> around 3-4 percentage points. </w:t>
      </w:r>
    </w:p>
    <w:p w:rsidR="00FD139B" w:rsidRPr="000D001C" w:rsidRDefault="00FD139B" w:rsidP="00FD139B">
      <w:pPr>
        <w:tabs>
          <w:tab w:val="left" w:pos="426"/>
        </w:tabs>
        <w:spacing w:after="0"/>
        <w:ind w:firstLine="360"/>
        <w:contextualSpacing/>
        <w:jc w:val="both"/>
        <w:rPr>
          <w:rFonts w:ascii="Times New Roman" w:hAnsi="Times New Roman" w:cs="Times New Roman"/>
          <w:sz w:val="24"/>
          <w:szCs w:val="24"/>
        </w:rPr>
      </w:pPr>
    </w:p>
    <w:p w:rsidR="000D001C" w:rsidRDefault="000D001C" w:rsidP="00FD139B">
      <w:pPr>
        <w:tabs>
          <w:tab w:val="left" w:pos="426"/>
        </w:tabs>
        <w:spacing w:after="0"/>
        <w:ind w:firstLine="360"/>
        <w:contextualSpacing/>
        <w:jc w:val="both"/>
        <w:rPr>
          <w:rFonts w:ascii="Times New Roman" w:hAnsi="Times New Roman" w:cs="Times New Roman"/>
          <w:sz w:val="24"/>
          <w:szCs w:val="24"/>
        </w:rPr>
      </w:pPr>
      <w:r w:rsidRPr="000D001C">
        <w:rPr>
          <w:rFonts w:ascii="Times New Roman" w:hAnsi="Times New Roman" w:cs="Times New Roman"/>
          <w:sz w:val="24"/>
          <w:szCs w:val="24"/>
        </w:rPr>
        <w:t xml:space="preserve">The evidence for dynamic externalities, of whether schooling causes growth, has been the most controversial in this literature. Positive human capital externalities should show up as higher macroeconomic returns to education (e.g. from an augmented Solow equation) than microeconomic returns (e.g. from a Mincer equation). Yet using this approach, Pritchett (2001) finds that the estimated growth impact of education is consistently less than what would be expected from the individual impacts, suggesting negative externalities. Similarly, Bils and Klenow (2000) find that most of the observed aggregate relationship between schooling and growth runs from expected growth to schooling, rather than the opposite of schooling causing growth. </w:t>
      </w:r>
    </w:p>
    <w:p w:rsidR="00FD139B" w:rsidRPr="000D001C" w:rsidRDefault="00FD139B" w:rsidP="00FD139B">
      <w:pPr>
        <w:tabs>
          <w:tab w:val="left" w:pos="426"/>
        </w:tabs>
        <w:spacing w:after="0"/>
        <w:ind w:firstLine="360"/>
        <w:contextualSpacing/>
        <w:jc w:val="both"/>
        <w:rPr>
          <w:rFonts w:ascii="Times New Roman" w:hAnsi="Times New Roman" w:cs="Times New Roman"/>
          <w:sz w:val="24"/>
          <w:szCs w:val="24"/>
        </w:rPr>
      </w:pPr>
    </w:p>
    <w:p w:rsidR="000D001C" w:rsidRDefault="000D001C" w:rsidP="00FD139B">
      <w:pPr>
        <w:tabs>
          <w:tab w:val="left" w:pos="426"/>
        </w:tabs>
        <w:spacing w:after="0"/>
        <w:ind w:firstLine="360"/>
        <w:contextualSpacing/>
        <w:jc w:val="both"/>
        <w:rPr>
          <w:rFonts w:ascii="Times New Roman" w:hAnsi="Times New Roman" w:cs="Times New Roman"/>
          <w:sz w:val="24"/>
          <w:szCs w:val="24"/>
        </w:rPr>
      </w:pPr>
      <w:r w:rsidRPr="000D001C">
        <w:rPr>
          <w:rFonts w:ascii="Times New Roman" w:hAnsi="Times New Roman" w:cs="Times New Roman"/>
          <w:sz w:val="24"/>
          <w:szCs w:val="24"/>
        </w:rPr>
        <w:t xml:space="preserve">In terms of static market externalities, one approach has been to augment Mincer equations with a term for the average education of the neighborhood, city or state the individual lives in. For example, Rauch (1993) found that after controlling for own-education, there was still an additional three percent increase in wages </w:t>
      </w:r>
      <w:r w:rsidR="00C033E8">
        <w:rPr>
          <w:rFonts w:ascii="Times New Roman" w:hAnsi="Times New Roman" w:cs="Times New Roman"/>
          <w:sz w:val="24"/>
          <w:szCs w:val="24"/>
        </w:rPr>
        <w:t xml:space="preserve">per </w:t>
      </w:r>
      <w:r w:rsidRPr="000D001C">
        <w:rPr>
          <w:rFonts w:ascii="Times New Roman" w:hAnsi="Times New Roman" w:cs="Times New Roman"/>
          <w:sz w:val="24"/>
          <w:szCs w:val="24"/>
        </w:rPr>
        <w:t>year of average education in the metropolitan area an individual lived in. However, when Acemoglu and Angrist (2000) instrument for average education, using variation in states minimum school leaving ages, this apparent positive spillover disappears.</w:t>
      </w:r>
    </w:p>
    <w:p w:rsidR="00FD139B" w:rsidRPr="000D001C" w:rsidRDefault="00FD139B" w:rsidP="00FD139B">
      <w:pPr>
        <w:tabs>
          <w:tab w:val="left" w:pos="426"/>
        </w:tabs>
        <w:spacing w:after="0"/>
        <w:ind w:firstLine="360"/>
        <w:contextualSpacing/>
        <w:jc w:val="both"/>
        <w:rPr>
          <w:rFonts w:ascii="Times New Roman" w:hAnsi="Times New Roman" w:cs="Times New Roman"/>
          <w:sz w:val="24"/>
          <w:szCs w:val="24"/>
        </w:rPr>
      </w:pPr>
    </w:p>
    <w:p w:rsidR="000D001C" w:rsidRDefault="000D001C" w:rsidP="00FD139B">
      <w:pPr>
        <w:tabs>
          <w:tab w:val="left" w:pos="426"/>
        </w:tabs>
        <w:spacing w:after="0"/>
        <w:ind w:firstLine="360"/>
        <w:contextualSpacing/>
        <w:jc w:val="both"/>
        <w:rPr>
          <w:rFonts w:ascii="Times New Roman" w:hAnsi="Times New Roman" w:cs="Times New Roman"/>
          <w:sz w:val="24"/>
          <w:szCs w:val="24"/>
        </w:rPr>
      </w:pPr>
      <w:r w:rsidRPr="000D001C">
        <w:rPr>
          <w:rFonts w:ascii="Times New Roman" w:hAnsi="Times New Roman" w:cs="Times New Roman"/>
          <w:sz w:val="24"/>
          <w:szCs w:val="24"/>
        </w:rPr>
        <w:t xml:space="preserve">Other compelling micro evidence on how proximity to highly skilled peers affects individual productivity comes from the random assignment of college roommates. One widely cited study found significant peer effects only for individuals in the middle of the skills distribution (proxied by SAT scores) whose GPA would be raised by about 2 percent when they have a roommate in the top 15% rather than the bottom 15% of the skills distribution (Zimmerman, 2003). In a less selective setting, which also has majors declared before freshman year, larger roommate effects were estimated for students in engineering, mathematics and natural sciences but not at all for students in humanities and social sciences (Brunello et al, 2010). This possibly reflects the ease of copying homework for questions with </w:t>
      </w:r>
      <w:r w:rsidR="00BF616F">
        <w:rPr>
          <w:rFonts w:ascii="Times New Roman" w:hAnsi="Times New Roman" w:cs="Times New Roman"/>
          <w:sz w:val="24"/>
          <w:szCs w:val="24"/>
        </w:rPr>
        <w:t>‘</w:t>
      </w:r>
      <w:r w:rsidRPr="000D001C">
        <w:rPr>
          <w:rFonts w:ascii="Times New Roman" w:hAnsi="Times New Roman" w:cs="Times New Roman"/>
          <w:sz w:val="24"/>
          <w:szCs w:val="24"/>
        </w:rPr>
        <w:t>right</w:t>
      </w:r>
      <w:r w:rsidR="00BF616F">
        <w:rPr>
          <w:rFonts w:ascii="Times New Roman" w:hAnsi="Times New Roman" w:cs="Times New Roman"/>
          <w:sz w:val="24"/>
          <w:szCs w:val="24"/>
        </w:rPr>
        <w:t>’</w:t>
      </w:r>
      <w:r w:rsidRPr="000D001C">
        <w:rPr>
          <w:rFonts w:ascii="Times New Roman" w:hAnsi="Times New Roman" w:cs="Times New Roman"/>
          <w:sz w:val="24"/>
          <w:szCs w:val="24"/>
        </w:rPr>
        <w:t xml:space="preserve"> answers in the hard sciences, which is an externality unlikely to generali</w:t>
      </w:r>
      <w:r w:rsidR="00200088">
        <w:rPr>
          <w:rFonts w:ascii="Times New Roman" w:hAnsi="Times New Roman" w:cs="Times New Roman"/>
          <w:sz w:val="24"/>
          <w:szCs w:val="24"/>
        </w:rPr>
        <w:t>z</w:t>
      </w:r>
      <w:r w:rsidRPr="000D001C">
        <w:rPr>
          <w:rFonts w:ascii="Times New Roman" w:hAnsi="Times New Roman" w:cs="Times New Roman"/>
          <w:sz w:val="24"/>
          <w:szCs w:val="24"/>
        </w:rPr>
        <w:t xml:space="preserve">e to the economy-wide level. Similarly credible evidence of productivity spillovers in workplaces is mainly limited to single </w:t>
      </w:r>
      <w:r w:rsidR="00200088">
        <w:rPr>
          <w:rFonts w:ascii="Times New Roman" w:hAnsi="Times New Roman" w:cs="Times New Roman"/>
          <w:sz w:val="24"/>
          <w:szCs w:val="24"/>
        </w:rPr>
        <w:t xml:space="preserve">low-skilled </w:t>
      </w:r>
      <w:r w:rsidRPr="000D001C">
        <w:rPr>
          <w:rFonts w:ascii="Times New Roman" w:hAnsi="Times New Roman" w:cs="Times New Roman"/>
          <w:sz w:val="24"/>
          <w:szCs w:val="24"/>
        </w:rPr>
        <w:t xml:space="preserve">occupations where data on effort and output are reliably measured, such as check-out (Mas and Moretti, 2009) and data entry (Kaur et al, 2010) operators. These studies find productivity spillovers to be very local and to be due to social pressure that leads to increased work effort rather than from greater output per time unit that may reflect learning. </w:t>
      </w:r>
    </w:p>
    <w:p w:rsidR="00FD139B" w:rsidRPr="000D001C" w:rsidRDefault="00FD139B" w:rsidP="00FD139B">
      <w:pPr>
        <w:tabs>
          <w:tab w:val="left" w:pos="426"/>
        </w:tabs>
        <w:spacing w:after="0"/>
        <w:ind w:firstLine="360"/>
        <w:contextualSpacing/>
        <w:jc w:val="both"/>
        <w:rPr>
          <w:rFonts w:ascii="Times New Roman" w:hAnsi="Times New Roman" w:cs="Times New Roman"/>
          <w:sz w:val="24"/>
          <w:szCs w:val="24"/>
        </w:rPr>
      </w:pPr>
    </w:p>
    <w:p w:rsidR="00BF5032" w:rsidRDefault="000D001C" w:rsidP="00FD139B">
      <w:pPr>
        <w:tabs>
          <w:tab w:val="left" w:pos="426"/>
        </w:tabs>
        <w:spacing w:after="0"/>
        <w:ind w:firstLine="360"/>
        <w:contextualSpacing/>
        <w:jc w:val="both"/>
        <w:rPr>
          <w:rFonts w:ascii="Times New Roman" w:hAnsi="Times New Roman" w:cs="Times New Roman"/>
          <w:sz w:val="24"/>
          <w:szCs w:val="24"/>
        </w:rPr>
      </w:pPr>
      <w:r w:rsidRPr="000D001C">
        <w:rPr>
          <w:rFonts w:ascii="Times New Roman" w:hAnsi="Times New Roman" w:cs="Times New Roman"/>
          <w:sz w:val="24"/>
          <w:szCs w:val="24"/>
        </w:rPr>
        <w:t>Studies that invoke non-market benefits of education often rely on a compilation of effects on outcomes such as civic participation, crime, fertility, health, longevity and political stability that were first summari</w:t>
      </w:r>
      <w:r w:rsidR="00200088">
        <w:rPr>
          <w:rFonts w:ascii="Times New Roman" w:hAnsi="Times New Roman" w:cs="Times New Roman"/>
          <w:sz w:val="24"/>
          <w:szCs w:val="24"/>
        </w:rPr>
        <w:t>z</w:t>
      </w:r>
      <w:r w:rsidRPr="000D001C">
        <w:rPr>
          <w:rFonts w:ascii="Times New Roman" w:hAnsi="Times New Roman" w:cs="Times New Roman"/>
          <w:sz w:val="24"/>
          <w:szCs w:val="24"/>
        </w:rPr>
        <w:t xml:space="preserve">ed by Haveman and Wolfe (1984). These authors concluded that if these non-market effects were counted, they may double the social rate of return to </w:t>
      </w:r>
      <w:r w:rsidRPr="000D001C">
        <w:rPr>
          <w:rFonts w:ascii="Times New Roman" w:hAnsi="Times New Roman" w:cs="Times New Roman"/>
          <w:sz w:val="24"/>
          <w:szCs w:val="24"/>
        </w:rPr>
        <w:lastRenderedPageBreak/>
        <w:t>education. However many of the studies summari</w:t>
      </w:r>
      <w:r w:rsidR="00200088">
        <w:rPr>
          <w:rFonts w:ascii="Times New Roman" w:hAnsi="Times New Roman" w:cs="Times New Roman"/>
          <w:sz w:val="24"/>
          <w:szCs w:val="24"/>
        </w:rPr>
        <w:t>z</w:t>
      </w:r>
      <w:r w:rsidRPr="000D001C">
        <w:rPr>
          <w:rFonts w:ascii="Times New Roman" w:hAnsi="Times New Roman" w:cs="Times New Roman"/>
          <w:sz w:val="24"/>
          <w:szCs w:val="24"/>
        </w:rPr>
        <w:t>ed could not adequately control for selectivity, in the form of family unobservables that cause both higher educational attainme</w:t>
      </w:r>
      <w:r w:rsidR="00200088">
        <w:rPr>
          <w:rFonts w:ascii="Times New Roman" w:hAnsi="Times New Roman" w:cs="Times New Roman"/>
          <w:sz w:val="24"/>
          <w:szCs w:val="24"/>
        </w:rPr>
        <w:t>nt and desirable social behavio</w:t>
      </w:r>
      <w:r w:rsidRPr="000D001C">
        <w:rPr>
          <w:rFonts w:ascii="Times New Roman" w:hAnsi="Times New Roman" w:cs="Times New Roman"/>
          <w:sz w:val="24"/>
          <w:szCs w:val="24"/>
        </w:rPr>
        <w:t>r, and so likely overstate the benefits of education. More compelling approaches, using intra-twin differences to control for unobservables, find negative rather than positive effects of education (Gibson, 2001).</w:t>
      </w:r>
    </w:p>
    <w:p w:rsidR="00FD139B" w:rsidRDefault="00FD139B" w:rsidP="00FD139B">
      <w:pPr>
        <w:tabs>
          <w:tab w:val="left" w:pos="426"/>
        </w:tabs>
        <w:spacing w:after="0"/>
        <w:ind w:firstLine="360"/>
        <w:contextualSpacing/>
        <w:jc w:val="both"/>
        <w:rPr>
          <w:rFonts w:ascii="Times New Roman" w:hAnsi="Times New Roman" w:cs="Times New Roman"/>
          <w:sz w:val="24"/>
          <w:szCs w:val="24"/>
        </w:rPr>
      </w:pPr>
    </w:p>
    <w:p w:rsidR="00150262" w:rsidRDefault="00150262" w:rsidP="00FD139B">
      <w:pPr>
        <w:tabs>
          <w:tab w:val="left" w:pos="426"/>
        </w:tabs>
        <w:spacing w:after="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Thus the existing literature suggests that the value of the externalities is likely to </w:t>
      </w:r>
      <w:r w:rsidR="00BA7F67">
        <w:rPr>
          <w:rFonts w:ascii="Times New Roman" w:hAnsi="Times New Roman" w:cs="Times New Roman"/>
          <w:sz w:val="24"/>
          <w:szCs w:val="24"/>
        </w:rPr>
        <w:t xml:space="preserve">be </w:t>
      </w:r>
      <w:r>
        <w:rPr>
          <w:rFonts w:ascii="Times New Roman" w:hAnsi="Times New Roman" w:cs="Times New Roman"/>
          <w:sz w:val="24"/>
          <w:szCs w:val="24"/>
        </w:rPr>
        <w:t>relatively small in terms of productivity spillovers and social benefits. However, the above studies do not get at the externalities on health of medical professionals, which is the source of some of the strongest concerns about brain drain.</w:t>
      </w:r>
      <w:r w:rsidR="000D3E1D">
        <w:rPr>
          <w:rFonts w:ascii="Times New Roman" w:hAnsi="Times New Roman" w:cs="Times New Roman"/>
          <w:sz w:val="24"/>
          <w:szCs w:val="24"/>
        </w:rPr>
        <w:t xml:space="preserve"> In our sample, o</w:t>
      </w:r>
      <w:r w:rsidR="00F96714">
        <w:rPr>
          <w:rFonts w:ascii="Times New Roman" w:hAnsi="Times New Roman" w:cs="Times New Roman"/>
          <w:sz w:val="24"/>
          <w:szCs w:val="24"/>
        </w:rPr>
        <w:t xml:space="preserve">nly 5 percent of current migrants from Papua New Guinea, 6.6 percent from Micronesia, 7.7 percent from New Zealand, 14.4 percent from Ghana and 15.5 percent from Tonga are in the health field. </w:t>
      </w:r>
      <w:r w:rsidR="00DD5D39">
        <w:rPr>
          <w:rFonts w:ascii="Times New Roman" w:hAnsi="Times New Roman" w:cs="Times New Roman"/>
          <w:sz w:val="24"/>
          <w:szCs w:val="24"/>
        </w:rPr>
        <w:t>We do not know of any credible microeconomic study which identifies the externality of a health professional. At a more aggregate level, Clemens (2007) finds no evidence of a relationship between the rate of health professional emigration</w:t>
      </w:r>
      <w:r w:rsidR="00074792">
        <w:rPr>
          <w:rFonts w:ascii="Times New Roman" w:hAnsi="Times New Roman" w:cs="Times New Roman"/>
          <w:sz w:val="24"/>
          <w:szCs w:val="24"/>
        </w:rPr>
        <w:t xml:space="preserve"> and health outcomes in Africa, although Bhargava and Docquier (2008) find an association between emigration and adult deaths from AIDS in high HIV incidence countries. </w:t>
      </w:r>
      <w:r w:rsidR="00346133">
        <w:rPr>
          <w:rFonts w:ascii="Times New Roman" w:hAnsi="Times New Roman" w:cs="Times New Roman"/>
          <w:sz w:val="24"/>
          <w:szCs w:val="24"/>
        </w:rPr>
        <w:t>Given the low incidence of health professional migration in our sample, and that the HIV incidence rates in the countries studied are not in the high category, it therefore also seems likely that the health externalities from brain drain of the best and brightest are small.</w:t>
      </w:r>
    </w:p>
    <w:p w:rsidR="00FD139B" w:rsidRDefault="00FD139B" w:rsidP="00FD139B">
      <w:pPr>
        <w:tabs>
          <w:tab w:val="left" w:pos="426"/>
        </w:tabs>
        <w:spacing w:after="0"/>
        <w:ind w:firstLine="360"/>
        <w:contextualSpacing/>
        <w:jc w:val="both"/>
        <w:rPr>
          <w:rFonts w:ascii="Times New Roman" w:hAnsi="Times New Roman" w:cs="Times New Roman"/>
          <w:sz w:val="24"/>
          <w:szCs w:val="24"/>
        </w:rPr>
      </w:pPr>
    </w:p>
    <w:p w:rsidR="008E149E" w:rsidRDefault="008E149E" w:rsidP="00FD139B">
      <w:pPr>
        <w:tabs>
          <w:tab w:val="left" w:pos="426"/>
        </w:tabs>
        <w:spacing w:after="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Combining the different channels we have looked at, we see that the positive effects of remittances, trade creation, and investment in business start-ups are typically of the same or larger magnitudes than the fiscal costs. Therefore in order for externalities to make the overall net impact of high-skilled migration negative for people from the sending countries, we would need the externalities to exceed the $50,000 or more per year that migrants gain from migrating.   </w:t>
      </w:r>
    </w:p>
    <w:p w:rsidR="00FD139B" w:rsidRDefault="00FD139B" w:rsidP="00FD139B">
      <w:pPr>
        <w:tabs>
          <w:tab w:val="left" w:pos="426"/>
        </w:tabs>
        <w:spacing w:after="0"/>
        <w:ind w:firstLine="360"/>
        <w:contextualSpacing/>
        <w:jc w:val="both"/>
        <w:rPr>
          <w:rFonts w:ascii="Times New Roman" w:hAnsi="Times New Roman" w:cs="Times New Roman"/>
          <w:sz w:val="24"/>
          <w:szCs w:val="24"/>
        </w:rPr>
      </w:pPr>
    </w:p>
    <w:p w:rsidR="00585AE2" w:rsidRDefault="008E149E" w:rsidP="00FD139B">
      <w:pPr>
        <w:tabs>
          <w:tab w:val="left" w:pos="426"/>
        </w:tabs>
        <w:spacing w:after="0"/>
        <w:ind w:firstLine="360"/>
        <w:contextualSpacing/>
        <w:jc w:val="both"/>
        <w:rPr>
          <w:rFonts w:ascii="Times New Roman" w:hAnsi="Times New Roman" w:cs="Times New Roman"/>
          <w:sz w:val="24"/>
          <w:szCs w:val="24"/>
        </w:rPr>
      </w:pPr>
      <w:r>
        <w:rPr>
          <w:rFonts w:ascii="Times New Roman" w:hAnsi="Times New Roman" w:cs="Times New Roman"/>
          <w:sz w:val="24"/>
          <w:szCs w:val="24"/>
        </w:rPr>
        <w:t>This would mean the externalities of high-skilled workers would have to be more than double or triple their private returns in the developing countries studied. Whilst conceivable, this would greatly exceed any measured externality we are aware of in the literature.</w:t>
      </w:r>
      <w:r w:rsidR="002127A3">
        <w:rPr>
          <w:rFonts w:ascii="Times New Roman" w:hAnsi="Times New Roman" w:cs="Times New Roman"/>
          <w:sz w:val="24"/>
          <w:szCs w:val="24"/>
        </w:rPr>
        <w:t xml:space="preserve"> Even taking the high range of externality estimates, of 5 percent per year of education, and applying them to 16 years of education, still would give an externality equal to 80 percent of the home country average unskilled wage – which is therefore in the order of $800 a year in the developing countries studied, or only 2 percent of the private gains.</w:t>
      </w:r>
    </w:p>
    <w:p w:rsidR="00FD139B" w:rsidRDefault="00FD139B" w:rsidP="00FD139B">
      <w:pPr>
        <w:tabs>
          <w:tab w:val="left" w:pos="426"/>
        </w:tabs>
        <w:spacing w:after="0"/>
        <w:ind w:firstLine="360"/>
        <w:contextualSpacing/>
        <w:jc w:val="both"/>
        <w:rPr>
          <w:rFonts w:ascii="Times New Roman" w:hAnsi="Times New Roman" w:cs="Times New Roman"/>
          <w:sz w:val="24"/>
          <w:szCs w:val="24"/>
        </w:rPr>
      </w:pPr>
    </w:p>
    <w:p w:rsidR="00B855D6" w:rsidRDefault="00FD139B" w:rsidP="00FD139B">
      <w:pPr>
        <w:tabs>
          <w:tab w:val="left" w:pos="426"/>
        </w:tabs>
        <w:spacing w:after="0"/>
        <w:contextualSpacing/>
        <w:jc w:val="both"/>
        <w:rPr>
          <w:rFonts w:ascii="Times New Roman" w:hAnsi="Times New Roman" w:cs="Times New Roman"/>
          <w:b/>
          <w:sz w:val="24"/>
          <w:szCs w:val="24"/>
        </w:rPr>
      </w:pPr>
      <w:r>
        <w:rPr>
          <w:rFonts w:ascii="Times New Roman" w:hAnsi="Times New Roman" w:cs="Times New Roman"/>
          <w:b/>
          <w:sz w:val="24"/>
          <w:szCs w:val="24"/>
        </w:rPr>
        <w:t>4.7  How Sensitive are these Results to N</w:t>
      </w:r>
      <w:r w:rsidR="00B855D6">
        <w:rPr>
          <w:rFonts w:ascii="Times New Roman" w:hAnsi="Times New Roman" w:cs="Times New Roman"/>
          <w:b/>
          <w:sz w:val="24"/>
          <w:szCs w:val="24"/>
        </w:rPr>
        <w:t>on-response?</w:t>
      </w:r>
    </w:p>
    <w:p w:rsidR="00FD139B" w:rsidRPr="00FD139B" w:rsidRDefault="00FD139B" w:rsidP="00FD139B">
      <w:pPr>
        <w:tabs>
          <w:tab w:val="left" w:pos="426"/>
        </w:tabs>
        <w:spacing w:after="0"/>
        <w:contextualSpacing/>
        <w:jc w:val="both"/>
        <w:rPr>
          <w:rFonts w:ascii="Times New Roman" w:hAnsi="Times New Roman" w:cs="Times New Roman"/>
          <w:b/>
          <w:sz w:val="12"/>
          <w:szCs w:val="12"/>
        </w:rPr>
      </w:pPr>
    </w:p>
    <w:p w:rsidR="00F67DBA" w:rsidRDefault="00E7332E" w:rsidP="00FD139B">
      <w:pPr>
        <w:tabs>
          <w:tab w:val="left" w:pos="426"/>
        </w:tabs>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The data collected here are unique, and are the result of an exhausting multi-year exercise in identifying and tracking top students. </w:t>
      </w:r>
      <w:r w:rsidR="00F67DBA">
        <w:rPr>
          <w:rFonts w:ascii="Times New Roman" w:hAnsi="Times New Roman" w:cs="Times New Roman"/>
          <w:sz w:val="24"/>
          <w:szCs w:val="24"/>
        </w:rPr>
        <w:t xml:space="preserve">Nevertheless, in interpreting these results one would like to know how sensitive they are to survey non-response. There are two aspects to this. First, one would like to know whether the rates of migration we obtain are biased due to differences in survey response rates between migrants and non-migrants. Second, and more importantly for this paper, one would like to know whether the characteristics of the </w:t>
      </w:r>
      <w:r w:rsidR="00F67DBA">
        <w:rPr>
          <w:rFonts w:ascii="Times New Roman" w:hAnsi="Times New Roman" w:cs="Times New Roman"/>
          <w:sz w:val="24"/>
          <w:szCs w:val="24"/>
        </w:rPr>
        <w:lastRenderedPageBreak/>
        <w:t>individuals we do survey differ from those who aren’t surveyed, potentially leading us to understating or overstating the impacts of high-skilled migration.</w:t>
      </w:r>
    </w:p>
    <w:p w:rsidR="00FD139B" w:rsidRDefault="00FD139B" w:rsidP="00FD139B">
      <w:pPr>
        <w:tabs>
          <w:tab w:val="left" w:pos="426"/>
        </w:tabs>
        <w:spacing w:after="0"/>
        <w:contextualSpacing/>
        <w:jc w:val="both"/>
        <w:rPr>
          <w:rFonts w:ascii="Times New Roman" w:hAnsi="Times New Roman" w:cs="Times New Roman"/>
          <w:sz w:val="24"/>
          <w:szCs w:val="24"/>
        </w:rPr>
      </w:pPr>
    </w:p>
    <w:p w:rsidR="0016267C" w:rsidRDefault="00FD139B" w:rsidP="00FD139B">
      <w:pPr>
        <w:tabs>
          <w:tab w:val="left" w:pos="426"/>
        </w:tabs>
        <w:spacing w:after="0"/>
        <w:contextualSpacing/>
        <w:jc w:val="both"/>
        <w:rPr>
          <w:rFonts w:ascii="Times New Roman" w:hAnsi="Times New Roman" w:cs="Times New Roman"/>
          <w:sz w:val="24"/>
          <w:szCs w:val="24"/>
        </w:rPr>
      </w:pPr>
      <w:r>
        <w:rPr>
          <w:rFonts w:ascii="Times New Roman" w:hAnsi="Times New Roman" w:cs="Times New Roman"/>
          <w:sz w:val="24"/>
          <w:szCs w:val="24"/>
        </w:rPr>
        <w:tab/>
      </w:r>
      <w:r w:rsidR="00D000EE">
        <w:rPr>
          <w:rFonts w:ascii="Times New Roman" w:hAnsi="Times New Roman" w:cs="Times New Roman"/>
          <w:sz w:val="24"/>
          <w:szCs w:val="24"/>
        </w:rPr>
        <w:t xml:space="preserve">We have several approaches to detailing with the first issue, of whether our surveying is more likely to capture migrants than non-migrants or vice versa. </w:t>
      </w:r>
      <w:r w:rsidR="003F25AD">
        <w:rPr>
          <w:rFonts w:ascii="Times New Roman" w:hAnsi="Times New Roman" w:cs="Times New Roman"/>
          <w:sz w:val="24"/>
          <w:szCs w:val="24"/>
        </w:rPr>
        <w:t xml:space="preserve">The first is to note from a practical perspective, given the range of methods used to try and track people included searches in both origin and destination countries, and that these high-skilled individuals are likely to have internally migrated since high-school even if they don’t migrate abroad, there is not a systematic bias in tracking one or the other group. Second, we can use the data on the locations of individuals who we found but did not survey together with our survey data to obtain bounds on migration. The percentage of 22 and older individuals who are current migrants can be bounded at 52.2 to 65.3 percent for Tonga, 34.1 to 66.5 percent for Micronesia, 20.8 to 69.1 percent for New Zealand, 3.2 to 69.0 percent for Papua New Guinea, and 13.4 to 80.7 percent for Ghana. </w:t>
      </w:r>
      <w:r w:rsidR="0016267C">
        <w:rPr>
          <w:rFonts w:ascii="Times New Roman" w:hAnsi="Times New Roman" w:cs="Times New Roman"/>
          <w:sz w:val="24"/>
          <w:szCs w:val="24"/>
        </w:rPr>
        <w:t xml:space="preserve">These bounds show high levels of migration in all countries but PNG. </w:t>
      </w:r>
    </w:p>
    <w:p w:rsidR="00FD139B" w:rsidRDefault="00FD139B" w:rsidP="00FD139B">
      <w:pPr>
        <w:tabs>
          <w:tab w:val="left" w:pos="426"/>
        </w:tabs>
        <w:spacing w:after="0"/>
        <w:contextualSpacing/>
        <w:jc w:val="both"/>
        <w:rPr>
          <w:rFonts w:ascii="Times New Roman" w:hAnsi="Times New Roman" w:cs="Times New Roman"/>
          <w:sz w:val="24"/>
          <w:szCs w:val="24"/>
        </w:rPr>
      </w:pPr>
    </w:p>
    <w:p w:rsidR="00B855D6" w:rsidRDefault="00FD139B" w:rsidP="00FD139B">
      <w:pPr>
        <w:tabs>
          <w:tab w:val="left" w:pos="426"/>
        </w:tabs>
        <w:spacing w:after="0"/>
        <w:contextualSpacing/>
        <w:jc w:val="both"/>
        <w:rPr>
          <w:rFonts w:ascii="Times New Roman" w:hAnsi="Times New Roman" w:cs="Times New Roman"/>
          <w:sz w:val="24"/>
          <w:szCs w:val="24"/>
        </w:rPr>
      </w:pPr>
      <w:r>
        <w:rPr>
          <w:rFonts w:ascii="Times New Roman" w:hAnsi="Times New Roman" w:cs="Times New Roman"/>
          <w:sz w:val="24"/>
          <w:szCs w:val="24"/>
        </w:rPr>
        <w:tab/>
      </w:r>
      <w:r w:rsidR="0016267C">
        <w:rPr>
          <w:rFonts w:ascii="Times New Roman" w:hAnsi="Times New Roman" w:cs="Times New Roman"/>
          <w:sz w:val="24"/>
          <w:szCs w:val="24"/>
        </w:rPr>
        <w:t xml:space="preserve">Third, we can see whether the individuals who we did survey who required more effort to track down have different migration patterns from those who required less effort. The surveying process took place over up to one year </w:t>
      </w:r>
      <w:r w:rsidR="00246B26">
        <w:rPr>
          <w:rFonts w:ascii="Times New Roman" w:hAnsi="Times New Roman" w:cs="Times New Roman"/>
          <w:sz w:val="24"/>
          <w:szCs w:val="24"/>
        </w:rPr>
        <w:t xml:space="preserve">after </w:t>
      </w:r>
      <w:r w:rsidR="0016267C">
        <w:rPr>
          <w:rFonts w:ascii="Times New Roman" w:hAnsi="Times New Roman" w:cs="Times New Roman"/>
          <w:sz w:val="24"/>
          <w:szCs w:val="24"/>
        </w:rPr>
        <w:t xml:space="preserve">the sample frame </w:t>
      </w:r>
      <w:r w:rsidR="00246B26">
        <w:rPr>
          <w:rFonts w:ascii="Times New Roman" w:hAnsi="Times New Roman" w:cs="Times New Roman"/>
          <w:sz w:val="24"/>
          <w:szCs w:val="24"/>
        </w:rPr>
        <w:t xml:space="preserve">was formed in each country and typically involved local survey firms who also had links to diaspora. The survey firms made a first pass through the entire frame, first interviewing the more easily tracked </w:t>
      </w:r>
      <w:r w:rsidR="0016267C">
        <w:rPr>
          <w:rFonts w:ascii="Times New Roman" w:hAnsi="Times New Roman" w:cs="Times New Roman"/>
          <w:sz w:val="24"/>
          <w:szCs w:val="24"/>
        </w:rPr>
        <w:t xml:space="preserve">individuals </w:t>
      </w:r>
      <w:r w:rsidR="00246B26">
        <w:rPr>
          <w:rFonts w:ascii="Times New Roman" w:hAnsi="Times New Roman" w:cs="Times New Roman"/>
          <w:sz w:val="24"/>
          <w:szCs w:val="24"/>
        </w:rPr>
        <w:t>(whether at home or abroad). More detailed efforts were then spent following up on those who couldn’t be initially tracked, often using specialists in online and social networking searches.</w:t>
      </w:r>
      <w:r w:rsidR="00246B26">
        <w:rPr>
          <w:rStyle w:val="FootnoteReference"/>
          <w:rFonts w:ascii="Times New Roman" w:hAnsi="Times New Roman" w:cs="Times New Roman"/>
          <w:sz w:val="24"/>
          <w:szCs w:val="24"/>
        </w:rPr>
        <w:footnoteReference w:id="19"/>
      </w:r>
      <w:r w:rsidR="0016267C">
        <w:rPr>
          <w:rFonts w:ascii="Times New Roman" w:hAnsi="Times New Roman" w:cs="Times New Roman"/>
          <w:sz w:val="24"/>
          <w:szCs w:val="24"/>
        </w:rPr>
        <w:t xml:space="preserve"> </w:t>
      </w:r>
      <w:r w:rsidR="00246B26">
        <w:rPr>
          <w:rFonts w:ascii="Times New Roman" w:hAnsi="Times New Roman" w:cs="Times New Roman"/>
          <w:sz w:val="24"/>
          <w:szCs w:val="24"/>
        </w:rPr>
        <w:t>Since</w:t>
      </w:r>
      <w:r w:rsidR="00E82D96">
        <w:rPr>
          <w:rFonts w:ascii="Times New Roman" w:hAnsi="Times New Roman" w:cs="Times New Roman"/>
          <w:sz w:val="24"/>
          <w:szCs w:val="24"/>
        </w:rPr>
        <w:t xml:space="preserve"> </w:t>
      </w:r>
      <w:r w:rsidR="00246B26">
        <w:rPr>
          <w:rFonts w:ascii="Times New Roman" w:hAnsi="Times New Roman" w:cs="Times New Roman"/>
          <w:sz w:val="24"/>
          <w:szCs w:val="24"/>
        </w:rPr>
        <w:t>t</w:t>
      </w:r>
      <w:r w:rsidR="0016267C">
        <w:rPr>
          <w:rFonts w:ascii="Times New Roman" w:hAnsi="Times New Roman" w:cs="Times New Roman"/>
          <w:sz w:val="24"/>
          <w:szCs w:val="24"/>
        </w:rPr>
        <w:t>he individuals interviewed later in the survey therefore required more attempts and more effort to interview than those interviewed earlier in time</w:t>
      </w:r>
      <w:r w:rsidR="00246B26">
        <w:rPr>
          <w:rFonts w:ascii="Times New Roman" w:hAnsi="Times New Roman" w:cs="Times New Roman"/>
          <w:sz w:val="24"/>
          <w:szCs w:val="24"/>
        </w:rPr>
        <w:t xml:space="preserve"> we</w:t>
      </w:r>
      <w:r w:rsidR="0016267C">
        <w:rPr>
          <w:rFonts w:ascii="Times New Roman" w:hAnsi="Times New Roman" w:cs="Times New Roman"/>
          <w:sz w:val="24"/>
          <w:szCs w:val="24"/>
        </w:rPr>
        <w:t xml:space="preserve"> split the sample at the median in terms of interview date by country, and then compare the migration status of those interviewed in the first half of the sample (who required less effort) to those interviewed in the second half (who required more effort). Conditional on age and sex, we find no significant difference in the likelihood of being a current migrant for those who required more effort to those who required less effort to interview.</w:t>
      </w:r>
    </w:p>
    <w:p w:rsidR="00FD139B" w:rsidRDefault="00FD139B" w:rsidP="00FD139B">
      <w:pPr>
        <w:tabs>
          <w:tab w:val="left" w:pos="426"/>
        </w:tabs>
        <w:spacing w:after="0"/>
        <w:contextualSpacing/>
        <w:jc w:val="both"/>
        <w:rPr>
          <w:rFonts w:ascii="Times New Roman" w:hAnsi="Times New Roman" w:cs="Times New Roman"/>
          <w:sz w:val="24"/>
          <w:szCs w:val="24"/>
        </w:rPr>
      </w:pPr>
    </w:p>
    <w:p w:rsidR="0016267C" w:rsidRDefault="00FD139B" w:rsidP="00FD139B">
      <w:pPr>
        <w:tabs>
          <w:tab w:val="left" w:pos="426"/>
        </w:tabs>
        <w:spacing w:after="0"/>
        <w:contextualSpacing/>
        <w:jc w:val="both"/>
        <w:rPr>
          <w:rFonts w:ascii="Times New Roman" w:hAnsi="Times New Roman" w:cs="Times New Roman"/>
          <w:sz w:val="24"/>
          <w:szCs w:val="24"/>
        </w:rPr>
      </w:pPr>
      <w:r>
        <w:rPr>
          <w:rFonts w:ascii="Times New Roman" w:hAnsi="Times New Roman" w:cs="Times New Roman"/>
          <w:sz w:val="24"/>
          <w:szCs w:val="24"/>
        </w:rPr>
        <w:tab/>
      </w:r>
      <w:r w:rsidR="0088626B">
        <w:rPr>
          <w:rFonts w:ascii="Times New Roman" w:hAnsi="Times New Roman" w:cs="Times New Roman"/>
          <w:sz w:val="24"/>
          <w:szCs w:val="24"/>
        </w:rPr>
        <w:t>We use this same idea to examine the robustness of our estimates of the consequences of migration. For example, we augment equation (1) to be:</w:t>
      </w:r>
    </w:p>
    <w:p w:rsidR="00FD139B" w:rsidRDefault="00FD139B" w:rsidP="00FD139B">
      <w:pPr>
        <w:tabs>
          <w:tab w:val="left" w:pos="426"/>
        </w:tabs>
        <w:spacing w:after="0"/>
        <w:contextualSpacing/>
        <w:jc w:val="both"/>
        <w:rPr>
          <w:rFonts w:ascii="Times New Roman" w:hAnsi="Times New Roman" w:cs="Times New Roman"/>
          <w:sz w:val="24"/>
          <w:szCs w:val="24"/>
        </w:rPr>
      </w:pPr>
    </w:p>
    <w:p w:rsidR="0088626B" w:rsidRPr="0088626B" w:rsidRDefault="002B5AB6" w:rsidP="00FD139B">
      <w:pPr>
        <w:tabs>
          <w:tab w:val="left" w:pos="426"/>
        </w:tabs>
        <w:spacing w:after="0"/>
        <w:ind w:left="360" w:firstLine="360"/>
        <w:contextualSpacing/>
        <w:jc w:val="center"/>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rPr>
              </m:ctrlPr>
            </m:sSubPr>
            <m:e>
              <m:r>
                <w:rPr>
                  <w:rFonts w:ascii="Cambria Math" w:hAnsi="Cambria Math" w:cs="Times New Roman"/>
                </w:rPr>
                <m:t>INCOME</m:t>
              </m:r>
            </m:e>
            <m:sub>
              <m:r>
                <w:rPr>
                  <w:rFonts w:ascii="Cambria Math" w:hAnsi="Cambria Math" w:cs="Times New Roman"/>
                </w:rPr>
                <m:t>i</m:t>
              </m:r>
            </m:sub>
          </m:sSub>
          <m:r>
            <w:rPr>
              <w:rFonts w:ascii="Cambria Math" w:hAnsi="Cambria Math" w:cs="Times New Roman"/>
            </w:rPr>
            <m:t>=α+β</m:t>
          </m:r>
          <m:sSub>
            <m:sSubPr>
              <m:ctrlPr>
                <w:rPr>
                  <w:rFonts w:ascii="Cambria Math" w:hAnsi="Cambria Math" w:cs="Times New Roman"/>
                  <w:i/>
                </w:rPr>
              </m:ctrlPr>
            </m:sSubPr>
            <m:e>
              <m:r>
                <w:rPr>
                  <w:rFonts w:ascii="Cambria Math" w:hAnsi="Cambria Math" w:cs="Times New Roman"/>
                </w:rPr>
                <m:t>CURRENTMIGRANT</m:t>
              </m:r>
            </m:e>
            <m:sub>
              <m:r>
                <w:rPr>
                  <w:rFonts w:ascii="Cambria Math" w:hAnsi="Cambria Math" w:cs="Times New Roman"/>
                </w:rPr>
                <m:t>i</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γ</m:t>
              </m:r>
            </m:e>
            <m:sup>
              <m:r>
                <w:rPr>
                  <w:rFonts w:ascii="Cambria Math" w:hAnsi="Cambria Math" w:cs="Times New Roman"/>
                </w:rPr>
                <m:t>'</m:t>
              </m:r>
            </m:sup>
          </m:sSup>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oMath>
      </m:oMathPara>
    </w:p>
    <w:p w:rsidR="0088626B" w:rsidRPr="00FD139B" w:rsidRDefault="0088626B" w:rsidP="00FD139B">
      <w:pPr>
        <w:tabs>
          <w:tab w:val="left" w:pos="426"/>
          <w:tab w:val="right" w:pos="8931"/>
        </w:tabs>
        <w:spacing w:after="0"/>
        <w:ind w:left="360" w:firstLine="360"/>
        <w:contextualSpacing/>
        <w:rPr>
          <w:rFonts w:ascii="Times New Roman" w:hAnsi="Times New Roman" w:cs="Times New Roman"/>
        </w:rPr>
      </w:pPr>
      <m:oMath>
        <m:r>
          <w:rPr>
            <w:rFonts w:ascii="Cambria Math" w:hAnsi="Cambria Math" w:cs="Times New Roman"/>
          </w:rPr>
          <m:t>+δ</m:t>
        </m:r>
        <m:sSub>
          <m:sSubPr>
            <m:ctrlPr>
              <w:rPr>
                <w:rFonts w:ascii="Cambria Math" w:hAnsi="Cambria Math" w:cs="Times New Roman"/>
                <w:i/>
              </w:rPr>
            </m:ctrlPr>
          </m:sSubPr>
          <m:e>
            <m:r>
              <w:rPr>
                <w:rFonts w:ascii="Cambria Math" w:hAnsi="Cambria Math" w:cs="Times New Roman"/>
              </w:rPr>
              <m:t>LATE</m:t>
            </m:r>
          </m:e>
          <m:sub>
            <m:r>
              <w:rPr>
                <w:rFonts w:ascii="Cambria Math" w:hAnsi="Cambria Math" w:cs="Times New Roman"/>
              </w:rPr>
              <m:t>i</m:t>
            </m:r>
          </m:sub>
        </m:sSub>
        <m:r>
          <w:rPr>
            <w:rFonts w:ascii="Cambria Math" w:hAnsi="Cambria Math" w:cs="Times New Roman"/>
          </w:rPr>
          <m:t>+θ</m:t>
        </m:r>
        <m:sSub>
          <m:sSubPr>
            <m:ctrlPr>
              <w:rPr>
                <w:rFonts w:ascii="Cambria Math" w:hAnsi="Cambria Math" w:cs="Times New Roman"/>
                <w:i/>
              </w:rPr>
            </m:ctrlPr>
          </m:sSubPr>
          <m:e>
            <m:r>
              <w:rPr>
                <w:rFonts w:ascii="Cambria Math" w:hAnsi="Cambria Math" w:cs="Times New Roman"/>
              </w:rPr>
              <m:t>LAT</m:t>
            </m:r>
            <m:r>
              <w:rPr>
                <w:rFonts w:ascii="Cambria Math" w:hAnsi="Cambria Math" w:cs="Times New Roman"/>
              </w:rPr>
              <m:t>E</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CURRENTMIGRANT</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m:t>
            </m:r>
          </m:sub>
        </m:sSub>
      </m:oMath>
      <w:r>
        <w:rPr>
          <w:rFonts w:ascii="Times New Roman" w:hAnsi="Times New Roman" w:cs="Times New Roman"/>
          <w:sz w:val="24"/>
          <w:szCs w:val="24"/>
        </w:rPr>
        <w:t xml:space="preserve"> </w:t>
      </w:r>
      <w:r>
        <w:rPr>
          <w:rFonts w:ascii="Times New Roman" w:hAnsi="Times New Roman" w:cs="Times New Roman"/>
          <w:sz w:val="24"/>
          <w:szCs w:val="24"/>
        </w:rPr>
        <w:tab/>
      </w:r>
      <w:r w:rsidRPr="00FD139B">
        <w:rPr>
          <w:rFonts w:ascii="Times New Roman" w:hAnsi="Times New Roman" w:cs="Times New Roman"/>
        </w:rPr>
        <w:t>(3)</w:t>
      </w:r>
    </w:p>
    <w:p w:rsidR="00FD139B" w:rsidRDefault="00FD139B" w:rsidP="00FD139B">
      <w:pPr>
        <w:tabs>
          <w:tab w:val="left" w:pos="426"/>
        </w:tabs>
        <w:spacing w:after="0"/>
        <w:contextualSpacing/>
        <w:jc w:val="both"/>
        <w:rPr>
          <w:rFonts w:ascii="Times New Roman" w:hAnsi="Times New Roman" w:cs="Times New Roman"/>
          <w:sz w:val="24"/>
          <w:szCs w:val="24"/>
        </w:rPr>
      </w:pPr>
    </w:p>
    <w:p w:rsidR="0088626B" w:rsidRDefault="00FD139B" w:rsidP="00FD139B">
      <w:pPr>
        <w:tabs>
          <w:tab w:val="left" w:pos="426"/>
        </w:tabs>
        <w:spacing w:after="0"/>
        <w:contextualSpacing/>
        <w:jc w:val="both"/>
        <w:rPr>
          <w:rFonts w:ascii="Times New Roman" w:hAnsi="Times New Roman" w:cs="Times New Roman"/>
          <w:sz w:val="24"/>
          <w:szCs w:val="24"/>
        </w:rPr>
      </w:pPr>
      <w:r>
        <w:rPr>
          <w:rFonts w:ascii="Times New Roman" w:hAnsi="Times New Roman" w:cs="Times New Roman"/>
          <w:sz w:val="24"/>
          <w:szCs w:val="24"/>
        </w:rPr>
        <w:t>w</w:t>
      </w:r>
      <w:r w:rsidR="0088626B">
        <w:rPr>
          <w:rFonts w:ascii="Times New Roman" w:hAnsi="Times New Roman" w:cs="Times New Roman"/>
          <w:sz w:val="24"/>
          <w:szCs w:val="24"/>
        </w:rPr>
        <w:t xml:space="preserve">here </w:t>
      </w:r>
      <w:r w:rsidR="0088626B">
        <w:rPr>
          <w:rFonts w:ascii="Times New Roman" w:hAnsi="Times New Roman" w:cs="Times New Roman"/>
          <w:i/>
          <w:sz w:val="24"/>
          <w:szCs w:val="24"/>
        </w:rPr>
        <w:t>LATE</w:t>
      </w:r>
      <w:r w:rsidR="0088626B">
        <w:rPr>
          <w:rFonts w:ascii="Times New Roman" w:hAnsi="Times New Roman" w:cs="Times New Roman"/>
          <w:i/>
          <w:sz w:val="24"/>
          <w:szCs w:val="24"/>
          <w:vertAlign w:val="subscript"/>
        </w:rPr>
        <w:t>i</w:t>
      </w:r>
      <w:r w:rsidR="0088626B">
        <w:rPr>
          <w:rFonts w:ascii="Times New Roman" w:hAnsi="Times New Roman" w:cs="Times New Roman"/>
          <w:i/>
          <w:sz w:val="24"/>
          <w:szCs w:val="24"/>
        </w:rPr>
        <w:t xml:space="preserve"> </w:t>
      </w:r>
      <w:r w:rsidR="0088626B">
        <w:rPr>
          <w:rFonts w:ascii="Times New Roman" w:hAnsi="Times New Roman" w:cs="Times New Roman"/>
          <w:sz w:val="24"/>
          <w:szCs w:val="24"/>
        </w:rPr>
        <w:t xml:space="preserve">is an indicator of whether individual </w:t>
      </w:r>
      <w:r w:rsidR="0088626B">
        <w:rPr>
          <w:rFonts w:ascii="Times New Roman" w:hAnsi="Times New Roman" w:cs="Times New Roman"/>
          <w:i/>
          <w:sz w:val="24"/>
          <w:szCs w:val="24"/>
        </w:rPr>
        <w:t xml:space="preserve">i </w:t>
      </w:r>
      <w:r w:rsidR="0088626B">
        <w:rPr>
          <w:rFonts w:ascii="Times New Roman" w:hAnsi="Times New Roman" w:cs="Times New Roman"/>
          <w:sz w:val="24"/>
          <w:szCs w:val="24"/>
        </w:rPr>
        <w:t xml:space="preserve">was one of the second-half of the individuals interviewed, who required more effort and more attempts to get to respond. </w:t>
      </w:r>
      <w:r w:rsidR="00FC4D98">
        <w:rPr>
          <w:rFonts w:ascii="Times New Roman" w:hAnsi="Times New Roman" w:cs="Times New Roman"/>
          <w:sz w:val="24"/>
          <w:szCs w:val="24"/>
        </w:rPr>
        <w:t xml:space="preserve">The first column of Table 9 then reports the p-value by country for testing that θ = 0, that is for </w:t>
      </w:r>
      <w:r w:rsidR="00FC4D98">
        <w:rPr>
          <w:rFonts w:ascii="Times New Roman" w:hAnsi="Times New Roman" w:cs="Times New Roman"/>
          <w:sz w:val="24"/>
          <w:szCs w:val="24"/>
        </w:rPr>
        <w:lastRenderedPageBreak/>
        <w:t xml:space="preserve">testing that the income gain for migrants who require more effort to survey is the same for those who required less effort to survey. </w:t>
      </w:r>
      <w:r w:rsidR="007C2DA7">
        <w:rPr>
          <w:rFonts w:ascii="Times New Roman" w:hAnsi="Times New Roman" w:cs="Times New Roman"/>
          <w:sz w:val="24"/>
          <w:szCs w:val="24"/>
        </w:rPr>
        <w:t>In Ghana and PNG the point estimates are positive, suggesting it was those migrants earning more who took more effort to reach, while in the other three countries the point estimates are negative</w:t>
      </w:r>
      <w:r w:rsidR="00D201F4">
        <w:rPr>
          <w:rFonts w:ascii="Times New Roman" w:hAnsi="Times New Roman" w:cs="Times New Roman"/>
          <w:sz w:val="24"/>
          <w:szCs w:val="24"/>
        </w:rPr>
        <w:t xml:space="preserve">, but in no case is the difference significance. </w:t>
      </w:r>
      <w:r w:rsidR="00C246F9">
        <w:rPr>
          <w:rFonts w:ascii="Times New Roman" w:hAnsi="Times New Roman" w:cs="Times New Roman"/>
          <w:sz w:val="24"/>
          <w:szCs w:val="24"/>
        </w:rPr>
        <w:t xml:space="preserve">This provides us with some confidence that we are not </w:t>
      </w:r>
      <w:r w:rsidR="0012150D">
        <w:rPr>
          <w:rFonts w:ascii="Times New Roman" w:hAnsi="Times New Roman" w:cs="Times New Roman"/>
          <w:sz w:val="24"/>
          <w:szCs w:val="24"/>
        </w:rPr>
        <w:t xml:space="preserve">just </w:t>
      </w:r>
      <w:r w:rsidR="00C246F9">
        <w:rPr>
          <w:rFonts w:ascii="Times New Roman" w:hAnsi="Times New Roman" w:cs="Times New Roman"/>
          <w:sz w:val="24"/>
          <w:szCs w:val="24"/>
        </w:rPr>
        <w:t>reaching the most successful migrants, thereby overstating the income gains. One can think of reasons why the more successful will be easier to reach (more famous, perhaps more willing to discuss their experiences), but also reasons they will be harder to interview (higher value of time, may have broken off ties with people at home to avoid demands for money, etc.). Given the likely heterogeneity in reasons for non-response, these reasons may cancel one another out on average, leading us to obtain reasonable estimates of the average effect.</w:t>
      </w:r>
    </w:p>
    <w:p w:rsidR="00FD139B" w:rsidRDefault="00FD139B" w:rsidP="00FD139B">
      <w:pPr>
        <w:tabs>
          <w:tab w:val="left" w:pos="426"/>
        </w:tabs>
        <w:spacing w:after="0"/>
        <w:contextualSpacing/>
        <w:jc w:val="both"/>
        <w:rPr>
          <w:rFonts w:ascii="Times New Roman" w:hAnsi="Times New Roman" w:cs="Times New Roman"/>
          <w:sz w:val="24"/>
          <w:szCs w:val="24"/>
        </w:rPr>
      </w:pPr>
    </w:p>
    <w:p w:rsidR="00E82D96" w:rsidRDefault="00D406A3" w:rsidP="00FD139B">
      <w:pPr>
        <w:tabs>
          <w:tab w:val="left" w:pos="426"/>
        </w:tabs>
        <w:spacing w:after="0"/>
        <w:contextualSpacing/>
        <w:jc w:val="both"/>
        <w:rPr>
          <w:rFonts w:ascii="Times New Roman" w:hAnsi="Times New Roman" w:cs="Times New Roman"/>
          <w:sz w:val="24"/>
          <w:szCs w:val="24"/>
        </w:rPr>
      </w:pPr>
      <w:r>
        <w:rPr>
          <w:rFonts w:ascii="Times New Roman" w:hAnsi="Times New Roman" w:cs="Times New Roman"/>
          <w:sz w:val="24"/>
          <w:szCs w:val="24"/>
        </w:rPr>
        <w:tab/>
      </w:r>
      <w:r w:rsidR="00C246F9">
        <w:rPr>
          <w:rFonts w:ascii="Times New Roman" w:hAnsi="Times New Roman" w:cs="Times New Roman"/>
          <w:sz w:val="24"/>
          <w:szCs w:val="24"/>
        </w:rPr>
        <w:t>The next few columns of Table 9 show similarly that we cannot reject the null hypothesis of no difference between easier to interview and harder to interview individuals in terms of the impacts of current migration on educational attainment, remittances, or advising a domestic company.</w:t>
      </w:r>
      <w:r w:rsidR="00BB3368">
        <w:rPr>
          <w:rStyle w:val="FootnoteReference"/>
          <w:rFonts w:ascii="Times New Roman" w:hAnsi="Times New Roman" w:cs="Times New Roman"/>
          <w:sz w:val="24"/>
          <w:szCs w:val="24"/>
        </w:rPr>
        <w:footnoteReference w:id="20"/>
      </w:r>
      <w:r w:rsidR="00C246F9">
        <w:rPr>
          <w:rFonts w:ascii="Times New Roman" w:hAnsi="Times New Roman" w:cs="Times New Roman"/>
          <w:sz w:val="24"/>
          <w:szCs w:val="24"/>
        </w:rPr>
        <w:t xml:space="preserve"> The only significant difference occurs for advising others about work abroad, which the Tongans who it took more effort to reach are more likely to be doing than those who took less effort to reach. Given </w:t>
      </w:r>
      <w:r w:rsidR="00203913">
        <w:rPr>
          <w:rFonts w:ascii="Times New Roman" w:hAnsi="Times New Roman" w:cs="Times New Roman"/>
          <w:sz w:val="24"/>
          <w:szCs w:val="24"/>
        </w:rPr>
        <w:t>this is only one out of 38 cells in the table that is significant at the 5 percent level, this seems the result of pure chance.</w:t>
      </w:r>
      <w:r w:rsidR="00476F8F">
        <w:rPr>
          <w:rFonts w:ascii="Times New Roman" w:hAnsi="Times New Roman" w:cs="Times New Roman"/>
          <w:sz w:val="24"/>
          <w:szCs w:val="24"/>
        </w:rPr>
        <w:t xml:space="preserve"> </w:t>
      </w:r>
      <w:r w:rsidR="00203913">
        <w:rPr>
          <w:rFonts w:ascii="Times New Roman" w:hAnsi="Times New Roman" w:cs="Times New Roman"/>
          <w:sz w:val="24"/>
          <w:szCs w:val="24"/>
        </w:rPr>
        <w:t xml:space="preserve">The final columns of Table 9 similarly examine whether the impacts of return migration in Table 7 </w:t>
      </w:r>
      <w:r w:rsidR="00476F8F">
        <w:rPr>
          <w:rFonts w:ascii="Times New Roman" w:hAnsi="Times New Roman" w:cs="Times New Roman"/>
          <w:sz w:val="24"/>
          <w:szCs w:val="24"/>
        </w:rPr>
        <w:t xml:space="preserve">differ according to how hard it was to interview the return migrants, and again show no significant differences. Based on these results, it seems plausible to argue that survey non-response is not having a major impact on our results. </w:t>
      </w:r>
    </w:p>
    <w:p w:rsidR="00FD139B" w:rsidRPr="0088626B" w:rsidRDefault="00FD139B" w:rsidP="00FD139B">
      <w:pPr>
        <w:tabs>
          <w:tab w:val="left" w:pos="426"/>
        </w:tabs>
        <w:spacing w:after="0"/>
        <w:contextualSpacing/>
        <w:jc w:val="both"/>
        <w:rPr>
          <w:rFonts w:ascii="Times New Roman" w:hAnsi="Times New Roman" w:cs="Times New Roman"/>
          <w:sz w:val="24"/>
          <w:szCs w:val="24"/>
        </w:rPr>
      </w:pPr>
    </w:p>
    <w:p w:rsidR="00505262" w:rsidRDefault="00505262" w:rsidP="00FD139B">
      <w:pPr>
        <w:pStyle w:val="ListParagraph"/>
        <w:numPr>
          <w:ilvl w:val="0"/>
          <w:numId w:val="4"/>
        </w:numPr>
        <w:tabs>
          <w:tab w:val="left" w:pos="426"/>
        </w:tabs>
        <w:spacing w:after="0"/>
        <w:ind w:hanging="720"/>
        <w:jc w:val="both"/>
        <w:rPr>
          <w:rFonts w:ascii="Times New Roman" w:hAnsi="Times New Roman" w:cs="Times New Roman"/>
          <w:b/>
          <w:sz w:val="24"/>
          <w:szCs w:val="24"/>
        </w:rPr>
      </w:pPr>
      <w:r>
        <w:rPr>
          <w:rFonts w:ascii="Times New Roman" w:hAnsi="Times New Roman" w:cs="Times New Roman"/>
          <w:b/>
          <w:sz w:val="24"/>
          <w:szCs w:val="24"/>
        </w:rPr>
        <w:t>Conclusions</w:t>
      </w:r>
    </w:p>
    <w:p w:rsidR="00FD139B" w:rsidRPr="00FD139B" w:rsidRDefault="00FD139B" w:rsidP="00FD139B">
      <w:pPr>
        <w:pStyle w:val="ListParagraph"/>
        <w:tabs>
          <w:tab w:val="left" w:pos="426"/>
        </w:tabs>
        <w:spacing w:after="0"/>
        <w:jc w:val="both"/>
        <w:rPr>
          <w:rFonts w:ascii="Times New Roman" w:hAnsi="Times New Roman" w:cs="Times New Roman"/>
          <w:b/>
          <w:sz w:val="12"/>
          <w:szCs w:val="12"/>
        </w:rPr>
      </w:pPr>
    </w:p>
    <w:p w:rsidR="00505262" w:rsidRDefault="008D7F0E" w:rsidP="00FD139B">
      <w:pPr>
        <w:tabs>
          <w:tab w:val="left" w:pos="426"/>
        </w:tabs>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The number of highly educated emigrants from developing countries living in the OECD doubled between 1990 and 2000 (Docquier and Marfouk, 2005), and has continued to grow over the past decade as developed countries have increasingly made their immigration criteria more skill-selective. As policymakers in high emigration countries watch the departure of </w:t>
      </w:r>
      <w:r w:rsidR="003E0096">
        <w:rPr>
          <w:rFonts w:ascii="Times New Roman" w:hAnsi="Times New Roman" w:cs="Times New Roman"/>
          <w:sz w:val="24"/>
          <w:szCs w:val="24"/>
        </w:rPr>
        <w:t xml:space="preserve">many of their most talented citizens, they both worry about the potential costs of this </w:t>
      </w:r>
      <w:r w:rsidR="00BF616F">
        <w:rPr>
          <w:rFonts w:ascii="Times New Roman" w:hAnsi="Times New Roman" w:cs="Times New Roman"/>
          <w:sz w:val="24"/>
          <w:szCs w:val="24"/>
        </w:rPr>
        <w:t>‘</w:t>
      </w:r>
      <w:r w:rsidR="003E0096">
        <w:rPr>
          <w:rFonts w:ascii="Times New Roman" w:hAnsi="Times New Roman" w:cs="Times New Roman"/>
          <w:sz w:val="24"/>
          <w:szCs w:val="24"/>
        </w:rPr>
        <w:t>brain drain</w:t>
      </w:r>
      <w:r w:rsidR="00BF616F">
        <w:rPr>
          <w:rFonts w:ascii="Times New Roman" w:hAnsi="Times New Roman" w:cs="Times New Roman"/>
          <w:sz w:val="24"/>
          <w:szCs w:val="24"/>
        </w:rPr>
        <w:t>’</w:t>
      </w:r>
      <w:r w:rsidR="003E0096">
        <w:rPr>
          <w:rFonts w:ascii="Times New Roman" w:hAnsi="Times New Roman" w:cs="Times New Roman"/>
          <w:sz w:val="24"/>
          <w:szCs w:val="24"/>
        </w:rPr>
        <w:t xml:space="preserve"> for development in their country as well as wonder about the possibilities offered by having a diaspora of the elite who can send remittances and facilitate trade, investment, and knowledge exchanges. </w:t>
      </w:r>
      <w:r w:rsidR="00481D02">
        <w:rPr>
          <w:rFonts w:ascii="Times New Roman" w:hAnsi="Times New Roman" w:cs="Times New Roman"/>
          <w:sz w:val="24"/>
          <w:szCs w:val="24"/>
        </w:rPr>
        <w:t xml:space="preserve">Our goal in this paper has been to provide the first systematic microeconomic empirical evidence as to how common these key channels of interaction between migrants and their home countries are, and what the economic costs and benefits appear to be in practice. </w:t>
      </w:r>
    </w:p>
    <w:p w:rsidR="00FD139B" w:rsidRDefault="00FD139B" w:rsidP="00FD139B">
      <w:pPr>
        <w:tabs>
          <w:tab w:val="left" w:pos="426"/>
        </w:tabs>
        <w:spacing w:after="0"/>
        <w:contextualSpacing/>
        <w:jc w:val="both"/>
        <w:rPr>
          <w:rFonts w:ascii="Times New Roman" w:hAnsi="Times New Roman" w:cs="Times New Roman"/>
          <w:sz w:val="24"/>
          <w:szCs w:val="24"/>
        </w:rPr>
      </w:pPr>
    </w:p>
    <w:p w:rsidR="0094711F" w:rsidRDefault="0087561D" w:rsidP="00FD139B">
      <w:pPr>
        <w:tabs>
          <w:tab w:val="left" w:pos="426"/>
        </w:tabs>
        <w:spacing w:after="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Our results show large positive benefits of high-skilled migration for citizens of high emigration countries. The largest benefits are to the migrants themselves, who benefit through massive gains in income and through greater human capital. High-skilled individuals </w:t>
      </w:r>
      <w:r>
        <w:rPr>
          <w:rFonts w:ascii="Times New Roman" w:hAnsi="Times New Roman" w:cs="Times New Roman"/>
          <w:sz w:val="24"/>
          <w:szCs w:val="24"/>
        </w:rPr>
        <w:lastRenderedPageBreak/>
        <w:t xml:space="preserve">from poorer countries do typically remit, but it is rare for them to engage in trade or foreign direct investment. They engage in plenty of knowledge transfer in terms of helping others learn about study and work opportunities abroad, but do not frequently advise their local governments or businesses in their home countries. </w:t>
      </w:r>
      <w:r w:rsidR="008E149E">
        <w:rPr>
          <w:rFonts w:ascii="Times New Roman" w:hAnsi="Times New Roman" w:cs="Times New Roman"/>
          <w:sz w:val="24"/>
          <w:szCs w:val="24"/>
        </w:rPr>
        <w:t>Return migration is common, and we find return migrants more likely to be engaging in knowledge transfer than non-migrants</w:t>
      </w:r>
      <w:r w:rsidR="00C033E8">
        <w:rPr>
          <w:rFonts w:ascii="Times New Roman" w:hAnsi="Times New Roman" w:cs="Times New Roman"/>
          <w:sz w:val="24"/>
          <w:szCs w:val="24"/>
        </w:rPr>
        <w:t xml:space="preserve"> but not to have higher levels of productivity</w:t>
      </w:r>
      <w:r w:rsidR="008E149E">
        <w:rPr>
          <w:rFonts w:ascii="Times New Roman" w:hAnsi="Times New Roman" w:cs="Times New Roman"/>
          <w:sz w:val="24"/>
          <w:szCs w:val="24"/>
        </w:rPr>
        <w:t xml:space="preserve">. </w:t>
      </w:r>
      <w:r>
        <w:rPr>
          <w:rFonts w:ascii="Times New Roman" w:hAnsi="Times New Roman" w:cs="Times New Roman"/>
          <w:sz w:val="24"/>
          <w:szCs w:val="24"/>
        </w:rPr>
        <w:t>The main cost we measure is the fiscal cost of emigration. We show how this varies significantly with the progressivity of the tax system and size of government expenditure, with minimal tax implications in Tonga and Micronesia, and possible fiscal losses from high-skilled emigration of $6,300 per high-skilled migrant per year for Ghana, $</w:t>
      </w:r>
      <w:r w:rsidR="0063740C">
        <w:rPr>
          <w:rFonts w:ascii="Times New Roman" w:hAnsi="Times New Roman" w:cs="Times New Roman"/>
          <w:sz w:val="24"/>
          <w:szCs w:val="24"/>
        </w:rPr>
        <w:t>10</w:t>
      </w:r>
      <w:r>
        <w:rPr>
          <w:rFonts w:ascii="Times New Roman" w:hAnsi="Times New Roman" w:cs="Times New Roman"/>
          <w:sz w:val="24"/>
          <w:szCs w:val="24"/>
        </w:rPr>
        <w:t xml:space="preserve">,000 for New Zealand, and $16,900 for Papua New Guinea. </w:t>
      </w:r>
      <w:r w:rsidR="002E1EF6">
        <w:rPr>
          <w:rFonts w:ascii="Times New Roman" w:hAnsi="Times New Roman" w:cs="Times New Roman"/>
          <w:sz w:val="24"/>
          <w:szCs w:val="24"/>
        </w:rPr>
        <w:t>The measured benefits greatly</w:t>
      </w:r>
      <w:r w:rsidR="002127A3">
        <w:rPr>
          <w:rFonts w:ascii="Times New Roman" w:hAnsi="Times New Roman" w:cs="Times New Roman"/>
          <w:sz w:val="24"/>
          <w:szCs w:val="24"/>
        </w:rPr>
        <w:t xml:space="preserve"> exceed the measured costs, suggesting that on net high-skilled migration is improving the living standards of individuals born in countries with high-levels of emigration.</w:t>
      </w:r>
    </w:p>
    <w:p w:rsidR="00FD139B" w:rsidRDefault="00FD139B" w:rsidP="00FD139B">
      <w:pPr>
        <w:tabs>
          <w:tab w:val="left" w:pos="426"/>
        </w:tabs>
        <w:spacing w:after="0"/>
        <w:ind w:firstLine="360"/>
        <w:contextualSpacing/>
        <w:jc w:val="both"/>
        <w:rPr>
          <w:rFonts w:ascii="Times New Roman" w:hAnsi="Times New Roman" w:cs="Times New Roman"/>
          <w:sz w:val="24"/>
          <w:szCs w:val="24"/>
        </w:rPr>
      </w:pPr>
    </w:p>
    <w:p w:rsidR="001B76C7" w:rsidRDefault="002127A3" w:rsidP="00FD139B">
      <w:pPr>
        <w:tabs>
          <w:tab w:val="left" w:pos="426"/>
        </w:tabs>
        <w:spacing w:after="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There are two caveats to this conclusion. The first is that </w:t>
      </w:r>
      <w:r w:rsidR="00F327B7">
        <w:rPr>
          <w:rFonts w:ascii="Times New Roman" w:hAnsi="Times New Roman" w:cs="Times New Roman"/>
          <w:sz w:val="24"/>
          <w:szCs w:val="24"/>
        </w:rPr>
        <w:t xml:space="preserve">we are not able to </w:t>
      </w:r>
      <w:r w:rsidR="005840CC">
        <w:rPr>
          <w:rFonts w:ascii="Times New Roman" w:hAnsi="Times New Roman" w:cs="Times New Roman"/>
          <w:sz w:val="24"/>
          <w:szCs w:val="24"/>
        </w:rPr>
        <w:t>fully</w:t>
      </w:r>
      <w:r w:rsidR="00F327B7">
        <w:rPr>
          <w:rFonts w:ascii="Times New Roman" w:hAnsi="Times New Roman" w:cs="Times New Roman"/>
          <w:sz w:val="24"/>
          <w:szCs w:val="24"/>
        </w:rPr>
        <w:t xml:space="preserve"> measure the distributional consequences of this high-skilled migration, since our sample is only of the best and brightest. Nevertheless, the size of the net gains is so large, that these distributional impacts are likely to be of second-order in any welfare calculations. Secondly, our analysis is restricted to a set of relatively small countries which face high levels of </w:t>
      </w:r>
      <w:r w:rsidR="00591F16">
        <w:rPr>
          <w:rFonts w:ascii="Times New Roman" w:hAnsi="Times New Roman" w:cs="Times New Roman"/>
          <w:sz w:val="24"/>
          <w:szCs w:val="24"/>
        </w:rPr>
        <w:t>e</w:t>
      </w:r>
      <w:r w:rsidR="00F327B7">
        <w:rPr>
          <w:rFonts w:ascii="Times New Roman" w:hAnsi="Times New Roman" w:cs="Times New Roman"/>
          <w:sz w:val="24"/>
          <w:szCs w:val="24"/>
        </w:rPr>
        <w:t>migration. The impacts of high-skilled emigration are likely to be quite different for large countries such as China and India. Ours is the first comprehensive micro-level assessment of the channels through which high-skilled emigration operates, and we see it as a productive area for future research for this approach to be extended to other countries, and potentially to other sample frames of interest other than the top academic achievers.</w:t>
      </w:r>
    </w:p>
    <w:p w:rsidR="00E82D96" w:rsidRPr="005840CC" w:rsidRDefault="00E82D96" w:rsidP="00FD139B">
      <w:pPr>
        <w:tabs>
          <w:tab w:val="left" w:pos="426"/>
        </w:tabs>
        <w:spacing w:after="0"/>
        <w:ind w:firstLine="360"/>
        <w:jc w:val="both"/>
        <w:rPr>
          <w:rFonts w:ascii="Times New Roman" w:hAnsi="Times New Roman" w:cs="Times New Roman"/>
          <w:sz w:val="24"/>
          <w:szCs w:val="24"/>
        </w:rPr>
      </w:pPr>
    </w:p>
    <w:p w:rsidR="00572879" w:rsidRDefault="008C3877" w:rsidP="00FD139B">
      <w:pPr>
        <w:tabs>
          <w:tab w:val="left" w:pos="426"/>
        </w:tabs>
        <w:spacing w:after="0"/>
        <w:contextualSpacing/>
        <w:jc w:val="both"/>
        <w:rPr>
          <w:rFonts w:ascii="Times New Roman" w:hAnsi="Times New Roman" w:cs="Times New Roman"/>
          <w:b/>
          <w:sz w:val="24"/>
          <w:szCs w:val="24"/>
        </w:rPr>
      </w:pPr>
      <w:r>
        <w:rPr>
          <w:rFonts w:ascii="Times New Roman" w:hAnsi="Times New Roman" w:cs="Times New Roman"/>
          <w:b/>
          <w:sz w:val="24"/>
          <w:szCs w:val="24"/>
        </w:rPr>
        <w:t>References</w:t>
      </w:r>
    </w:p>
    <w:p w:rsidR="00FD139B" w:rsidRPr="00FD139B" w:rsidRDefault="00FD139B" w:rsidP="00FD139B">
      <w:pPr>
        <w:tabs>
          <w:tab w:val="left" w:pos="426"/>
        </w:tabs>
        <w:spacing w:after="0"/>
        <w:contextualSpacing/>
        <w:jc w:val="both"/>
        <w:rPr>
          <w:rFonts w:ascii="Times New Roman" w:hAnsi="Times New Roman" w:cs="Times New Roman"/>
          <w:b/>
          <w:sz w:val="12"/>
          <w:szCs w:val="12"/>
        </w:rPr>
      </w:pPr>
    </w:p>
    <w:p w:rsidR="00BC14FC" w:rsidRPr="00FD139B" w:rsidRDefault="00BC14FC" w:rsidP="00FD139B">
      <w:pPr>
        <w:tabs>
          <w:tab w:val="left" w:pos="426"/>
        </w:tabs>
        <w:spacing w:after="0" w:line="240" w:lineRule="auto"/>
        <w:ind w:left="426" w:hanging="426"/>
        <w:contextualSpacing/>
        <w:jc w:val="both"/>
        <w:rPr>
          <w:rFonts w:ascii="Times New Roman" w:hAnsi="Times New Roman" w:cs="Times New Roman"/>
        </w:rPr>
      </w:pPr>
      <w:r w:rsidRPr="00FD139B">
        <w:rPr>
          <w:rFonts w:ascii="Times New Roman" w:hAnsi="Times New Roman"/>
        </w:rPr>
        <w:t xml:space="preserve">Acemoglu, Daron and Joshua Angrist, (2000) </w:t>
      </w:r>
      <w:r w:rsidR="00BF616F" w:rsidRPr="00FD139B">
        <w:rPr>
          <w:rFonts w:ascii="Times New Roman" w:hAnsi="Times New Roman"/>
        </w:rPr>
        <w:t>‘</w:t>
      </w:r>
      <w:r w:rsidRPr="00FD139B">
        <w:rPr>
          <w:rFonts w:ascii="Times New Roman" w:hAnsi="Times New Roman"/>
        </w:rPr>
        <w:t>How large are human capital externalities? Evidence from compulsory schooling laws</w:t>
      </w:r>
      <w:r w:rsidR="00BF616F" w:rsidRPr="00FD139B">
        <w:rPr>
          <w:rFonts w:ascii="Times New Roman" w:hAnsi="Times New Roman"/>
        </w:rPr>
        <w:t>’</w:t>
      </w:r>
      <w:r w:rsidRPr="00FD139B">
        <w:rPr>
          <w:rFonts w:ascii="Times New Roman" w:hAnsi="Times New Roman"/>
        </w:rPr>
        <w:t xml:space="preserve">, in Ben Bernanke and Kenneth Rogoff (eds) </w:t>
      </w:r>
      <w:r w:rsidRPr="00FD139B">
        <w:rPr>
          <w:rFonts w:ascii="Times New Roman" w:hAnsi="Times New Roman"/>
          <w:i/>
        </w:rPr>
        <w:t>NBER Macroeconomics Annual, Volume 15</w:t>
      </w:r>
      <w:r w:rsidRPr="00FD139B">
        <w:rPr>
          <w:rFonts w:ascii="Times New Roman" w:hAnsi="Times New Roman"/>
        </w:rPr>
        <w:t>, MIT Press, Cambridge MA, pp. 9-58.</w:t>
      </w:r>
    </w:p>
    <w:p w:rsidR="001F2E69" w:rsidRPr="00FD139B" w:rsidRDefault="001F2E69" w:rsidP="00FD139B">
      <w:pPr>
        <w:tabs>
          <w:tab w:val="left" w:pos="426"/>
        </w:tabs>
        <w:spacing w:after="0" w:line="240" w:lineRule="auto"/>
        <w:ind w:left="426" w:hanging="426"/>
        <w:contextualSpacing/>
        <w:jc w:val="both"/>
        <w:rPr>
          <w:rFonts w:ascii="Times New Roman" w:hAnsi="Times New Roman" w:cs="Times New Roman"/>
        </w:rPr>
      </w:pPr>
      <w:r w:rsidRPr="00FD139B">
        <w:rPr>
          <w:rFonts w:ascii="Times New Roman" w:hAnsi="Times New Roman" w:cs="Times New Roman"/>
        </w:rPr>
        <w:t>Beine, Michel, Frederic Docquier and Hillel Rapoport (200</w:t>
      </w:r>
      <w:r w:rsidR="002B2A5D" w:rsidRPr="00FD139B">
        <w:rPr>
          <w:rFonts w:ascii="Times New Roman" w:hAnsi="Times New Roman" w:cs="Times New Roman"/>
        </w:rPr>
        <w:t>8</w:t>
      </w:r>
      <w:r w:rsidRPr="00FD139B">
        <w:rPr>
          <w:rFonts w:ascii="Times New Roman" w:hAnsi="Times New Roman" w:cs="Times New Roman"/>
        </w:rPr>
        <w:t xml:space="preserve">) </w:t>
      </w:r>
      <w:r w:rsidR="00BF616F" w:rsidRPr="00FD139B">
        <w:rPr>
          <w:rFonts w:ascii="Times New Roman" w:hAnsi="Times New Roman" w:cs="Times New Roman"/>
        </w:rPr>
        <w:t>‘</w:t>
      </w:r>
      <w:r w:rsidRPr="00FD139B">
        <w:rPr>
          <w:rFonts w:ascii="Times New Roman" w:hAnsi="Times New Roman" w:cs="Times New Roman"/>
        </w:rPr>
        <w:t>Brain Drain and Human Capital Formation in Developing Countries: Winners and Losers</w:t>
      </w:r>
      <w:r w:rsidR="00BF616F" w:rsidRPr="00FD139B">
        <w:rPr>
          <w:rFonts w:ascii="Times New Roman" w:hAnsi="Times New Roman" w:cs="Times New Roman"/>
        </w:rPr>
        <w:t>’</w:t>
      </w:r>
      <w:r w:rsidRPr="00FD139B">
        <w:rPr>
          <w:rFonts w:ascii="Times New Roman" w:hAnsi="Times New Roman" w:cs="Times New Roman"/>
        </w:rPr>
        <w:t xml:space="preserve">, </w:t>
      </w:r>
      <w:r w:rsidRPr="00FD139B">
        <w:rPr>
          <w:rFonts w:ascii="Times New Roman" w:hAnsi="Times New Roman" w:cs="Times New Roman"/>
          <w:i/>
        </w:rPr>
        <w:t xml:space="preserve">Economic Journal </w:t>
      </w:r>
      <w:r w:rsidRPr="00FD139B">
        <w:rPr>
          <w:rFonts w:ascii="Times New Roman" w:hAnsi="Times New Roman" w:cs="Times New Roman"/>
        </w:rPr>
        <w:t>118(528): 631-52.</w:t>
      </w:r>
    </w:p>
    <w:p w:rsidR="002B2A5D" w:rsidRPr="00FD139B" w:rsidRDefault="002B2A5D" w:rsidP="00FD139B">
      <w:pPr>
        <w:tabs>
          <w:tab w:val="left" w:pos="426"/>
        </w:tabs>
        <w:spacing w:after="0" w:line="240" w:lineRule="auto"/>
        <w:ind w:left="426" w:hanging="426"/>
        <w:contextualSpacing/>
        <w:jc w:val="both"/>
        <w:rPr>
          <w:rFonts w:ascii="Times New Roman" w:hAnsi="Times New Roman" w:cs="Times New Roman"/>
        </w:rPr>
      </w:pPr>
      <w:r w:rsidRPr="00FD139B">
        <w:rPr>
          <w:rFonts w:ascii="Times New Roman" w:hAnsi="Times New Roman" w:cs="Times New Roman"/>
        </w:rPr>
        <w:t xml:space="preserve">Beine, Michel, Frederic Docquier and Hillel Rapoport (2007) </w:t>
      </w:r>
      <w:r w:rsidR="00BF616F" w:rsidRPr="00FD139B">
        <w:rPr>
          <w:rFonts w:ascii="Times New Roman" w:hAnsi="Times New Roman" w:cs="Times New Roman"/>
        </w:rPr>
        <w:t>‘</w:t>
      </w:r>
      <w:r w:rsidRPr="00FD139B">
        <w:rPr>
          <w:rFonts w:ascii="Times New Roman" w:hAnsi="Times New Roman" w:cs="Times New Roman"/>
        </w:rPr>
        <w:t>Measuring international skilled migration: a new database controlling for age of entry</w:t>
      </w:r>
      <w:r w:rsidR="00BF616F" w:rsidRPr="00FD139B">
        <w:rPr>
          <w:rFonts w:ascii="Times New Roman" w:hAnsi="Times New Roman" w:cs="Times New Roman"/>
        </w:rPr>
        <w:t>’</w:t>
      </w:r>
      <w:r w:rsidRPr="00FD139B">
        <w:rPr>
          <w:rFonts w:ascii="Times New Roman" w:hAnsi="Times New Roman" w:cs="Times New Roman"/>
        </w:rPr>
        <w:t xml:space="preserve"> </w:t>
      </w:r>
      <w:r w:rsidRPr="00FD139B">
        <w:rPr>
          <w:rFonts w:ascii="Times New Roman" w:hAnsi="Times New Roman" w:cs="Times New Roman"/>
          <w:i/>
        </w:rPr>
        <w:t>World Bank Economic Review</w:t>
      </w:r>
      <w:r w:rsidRPr="00FD139B">
        <w:rPr>
          <w:rFonts w:ascii="Times New Roman" w:hAnsi="Times New Roman" w:cs="Times New Roman"/>
        </w:rPr>
        <w:t>, 21(2): 249-54</w:t>
      </w:r>
    </w:p>
    <w:p w:rsidR="00F6242C" w:rsidRPr="00FD139B" w:rsidRDefault="00F6242C" w:rsidP="00FD139B">
      <w:pPr>
        <w:tabs>
          <w:tab w:val="left" w:pos="426"/>
        </w:tabs>
        <w:spacing w:after="0" w:line="240" w:lineRule="auto"/>
        <w:ind w:left="426" w:hanging="426"/>
        <w:contextualSpacing/>
        <w:jc w:val="both"/>
        <w:rPr>
          <w:rFonts w:ascii="Times New Roman" w:hAnsi="Times New Roman" w:cs="Times New Roman"/>
        </w:rPr>
      </w:pPr>
      <w:r w:rsidRPr="00FD139B">
        <w:rPr>
          <w:rFonts w:ascii="Times New Roman" w:hAnsi="Times New Roman" w:cs="Times New Roman"/>
        </w:rPr>
        <w:t xml:space="preserve">Beine, Michel, Frederic Docquier and Maurice Schiff (2008) </w:t>
      </w:r>
      <w:r w:rsidR="00BF616F" w:rsidRPr="00FD139B">
        <w:rPr>
          <w:rFonts w:ascii="Times New Roman" w:hAnsi="Times New Roman" w:cs="Times New Roman"/>
        </w:rPr>
        <w:t>‘</w:t>
      </w:r>
      <w:r w:rsidRPr="00FD139B">
        <w:rPr>
          <w:rFonts w:ascii="Times New Roman" w:hAnsi="Times New Roman" w:cs="Times New Roman"/>
        </w:rPr>
        <w:t>Brain Drain and its Determinants: A Major Issue for small states</w:t>
      </w:r>
      <w:r w:rsidR="00BF616F" w:rsidRPr="00FD139B">
        <w:rPr>
          <w:rFonts w:ascii="Times New Roman" w:hAnsi="Times New Roman" w:cs="Times New Roman"/>
        </w:rPr>
        <w:t>’</w:t>
      </w:r>
      <w:r w:rsidRPr="00FD139B">
        <w:rPr>
          <w:rFonts w:ascii="Times New Roman" w:hAnsi="Times New Roman" w:cs="Times New Roman"/>
        </w:rPr>
        <w:t>, IZA Discussion Paper No. 3398.</w:t>
      </w:r>
    </w:p>
    <w:p w:rsidR="00E25EE1" w:rsidRPr="00FD139B" w:rsidRDefault="00E25EE1" w:rsidP="00FD139B">
      <w:pPr>
        <w:tabs>
          <w:tab w:val="left" w:pos="426"/>
        </w:tabs>
        <w:spacing w:after="0" w:line="240" w:lineRule="auto"/>
        <w:ind w:left="426" w:hanging="426"/>
        <w:contextualSpacing/>
        <w:jc w:val="both"/>
        <w:rPr>
          <w:rFonts w:ascii="Times New Roman" w:hAnsi="Times New Roman" w:cs="Times New Roman"/>
        </w:rPr>
      </w:pPr>
      <w:r w:rsidRPr="00FD139B">
        <w:rPr>
          <w:rFonts w:ascii="Times New Roman" w:hAnsi="Times New Roman" w:cs="Times New Roman"/>
        </w:rPr>
        <w:t xml:space="preserve">Ben-David, Daniel (2007) </w:t>
      </w:r>
      <w:r w:rsidR="00BF616F" w:rsidRPr="00FD139B">
        <w:rPr>
          <w:rFonts w:ascii="Times New Roman" w:hAnsi="Times New Roman" w:cs="Times New Roman"/>
        </w:rPr>
        <w:t>‘</w:t>
      </w:r>
      <w:r w:rsidRPr="00FD139B">
        <w:rPr>
          <w:rFonts w:ascii="Times New Roman" w:hAnsi="Times New Roman" w:cs="Times New Roman"/>
        </w:rPr>
        <w:t>Soaring Minds: The Flight of Israel’s Economists</w:t>
      </w:r>
      <w:r w:rsidR="00BF616F" w:rsidRPr="00FD139B">
        <w:rPr>
          <w:rFonts w:ascii="Times New Roman" w:hAnsi="Times New Roman" w:cs="Times New Roman"/>
        </w:rPr>
        <w:t>’</w:t>
      </w:r>
      <w:r w:rsidRPr="00FD139B">
        <w:rPr>
          <w:rFonts w:ascii="Times New Roman" w:hAnsi="Times New Roman" w:cs="Times New Roman"/>
        </w:rPr>
        <w:t>, CEPR Discussion Paper No. 6338.</w:t>
      </w:r>
    </w:p>
    <w:p w:rsidR="001D1B4E" w:rsidRPr="00FD139B" w:rsidRDefault="001D1B4E" w:rsidP="00FD139B">
      <w:pPr>
        <w:tabs>
          <w:tab w:val="left" w:pos="426"/>
        </w:tabs>
        <w:spacing w:after="0" w:line="240" w:lineRule="auto"/>
        <w:ind w:left="426" w:hanging="426"/>
        <w:contextualSpacing/>
        <w:jc w:val="both"/>
        <w:rPr>
          <w:rFonts w:ascii="Times New Roman" w:hAnsi="Times New Roman" w:cs="Times New Roman"/>
        </w:rPr>
      </w:pPr>
      <w:r w:rsidRPr="00FD139B">
        <w:rPr>
          <w:rFonts w:ascii="Times New Roman" w:hAnsi="Times New Roman" w:cs="Times New Roman"/>
        </w:rPr>
        <w:t xml:space="preserve">Bhagwati, Jagdish (1998) </w:t>
      </w:r>
      <w:r w:rsidR="00BF616F" w:rsidRPr="00FD139B">
        <w:rPr>
          <w:rFonts w:ascii="Times New Roman" w:hAnsi="Times New Roman" w:cs="Times New Roman"/>
        </w:rPr>
        <w:t>‘</w:t>
      </w:r>
      <w:r w:rsidRPr="00FD139B">
        <w:rPr>
          <w:rFonts w:ascii="Times New Roman" w:hAnsi="Times New Roman" w:cs="Times New Roman"/>
        </w:rPr>
        <w:t>Comments on Borjas</w:t>
      </w:r>
      <w:r w:rsidR="00BF616F" w:rsidRPr="00FD139B">
        <w:rPr>
          <w:rFonts w:ascii="Times New Roman" w:hAnsi="Times New Roman" w:cs="Times New Roman"/>
        </w:rPr>
        <w:t>’</w:t>
      </w:r>
      <w:r w:rsidRPr="00FD139B">
        <w:rPr>
          <w:rFonts w:ascii="Times New Roman" w:hAnsi="Times New Roman" w:cs="Times New Roman"/>
        </w:rPr>
        <w:t>, Michigan University Conference, http://www.columbia.edu/~jb38/borjas_comment.pdf</w:t>
      </w:r>
    </w:p>
    <w:p w:rsidR="00623195" w:rsidRPr="00FD139B" w:rsidRDefault="00623195" w:rsidP="00FD139B">
      <w:pPr>
        <w:tabs>
          <w:tab w:val="left" w:pos="426"/>
        </w:tabs>
        <w:spacing w:after="0" w:line="240" w:lineRule="auto"/>
        <w:ind w:left="426" w:hanging="426"/>
        <w:contextualSpacing/>
        <w:jc w:val="both"/>
        <w:rPr>
          <w:rFonts w:ascii="Times New Roman" w:hAnsi="Times New Roman" w:cs="Times New Roman"/>
        </w:rPr>
      </w:pPr>
      <w:r w:rsidRPr="00FD139B">
        <w:rPr>
          <w:rFonts w:ascii="Times New Roman" w:hAnsi="Times New Roman" w:cs="Times New Roman"/>
        </w:rPr>
        <w:t>Bhagwati, J</w:t>
      </w:r>
      <w:r w:rsidR="003D0AF8" w:rsidRPr="00FD139B">
        <w:rPr>
          <w:rFonts w:ascii="Times New Roman" w:hAnsi="Times New Roman" w:cs="Times New Roman"/>
        </w:rPr>
        <w:t>agdish</w:t>
      </w:r>
      <w:r w:rsidRPr="00FD139B">
        <w:rPr>
          <w:rFonts w:ascii="Times New Roman" w:hAnsi="Times New Roman" w:cs="Times New Roman"/>
        </w:rPr>
        <w:t xml:space="preserve"> and K</w:t>
      </w:r>
      <w:r w:rsidR="003D0AF8" w:rsidRPr="00FD139B">
        <w:rPr>
          <w:rFonts w:ascii="Times New Roman" w:hAnsi="Times New Roman" w:cs="Times New Roman"/>
        </w:rPr>
        <w:t>oichi</w:t>
      </w:r>
      <w:r w:rsidRPr="00FD139B">
        <w:rPr>
          <w:rFonts w:ascii="Times New Roman" w:hAnsi="Times New Roman" w:cs="Times New Roman"/>
        </w:rPr>
        <w:t xml:space="preserve"> Hamada (1974). </w:t>
      </w:r>
      <w:r w:rsidR="00BF616F" w:rsidRPr="00FD139B">
        <w:rPr>
          <w:rFonts w:ascii="Times New Roman" w:hAnsi="Times New Roman" w:cs="Times New Roman"/>
        </w:rPr>
        <w:t>‘</w:t>
      </w:r>
      <w:r w:rsidRPr="00FD139B">
        <w:rPr>
          <w:rFonts w:ascii="Times New Roman" w:hAnsi="Times New Roman" w:cs="Times New Roman"/>
        </w:rPr>
        <w:t>The brain drain, international integration of markets for professionals and unemployment: a theoretical analysis</w:t>
      </w:r>
      <w:r w:rsidR="00BF616F" w:rsidRPr="00FD139B">
        <w:rPr>
          <w:rFonts w:ascii="Times New Roman" w:hAnsi="Times New Roman" w:cs="Times New Roman"/>
        </w:rPr>
        <w:t>’</w:t>
      </w:r>
      <w:r w:rsidRPr="00FD139B">
        <w:rPr>
          <w:rFonts w:ascii="Times New Roman" w:hAnsi="Times New Roman" w:cs="Times New Roman"/>
        </w:rPr>
        <w:t xml:space="preserve">, </w:t>
      </w:r>
      <w:r w:rsidRPr="00FD139B">
        <w:rPr>
          <w:rFonts w:ascii="Times New Roman" w:hAnsi="Times New Roman" w:cs="Times New Roman"/>
          <w:i/>
        </w:rPr>
        <w:t>Journal of Development Economics</w:t>
      </w:r>
      <w:r w:rsidRPr="00FD139B">
        <w:rPr>
          <w:rFonts w:ascii="Times New Roman" w:hAnsi="Times New Roman" w:cs="Times New Roman"/>
        </w:rPr>
        <w:t xml:space="preserve"> 1(1-2): 19-42.</w:t>
      </w:r>
    </w:p>
    <w:p w:rsidR="007D1BF6" w:rsidRPr="00FD139B" w:rsidRDefault="007D1BF6" w:rsidP="00FD139B">
      <w:pPr>
        <w:tabs>
          <w:tab w:val="left" w:pos="426"/>
        </w:tabs>
        <w:spacing w:after="0" w:line="240" w:lineRule="auto"/>
        <w:ind w:left="426" w:hanging="426"/>
        <w:contextualSpacing/>
        <w:jc w:val="both"/>
        <w:rPr>
          <w:rFonts w:ascii="Times New Roman" w:hAnsi="Times New Roman" w:cs="Times New Roman"/>
        </w:rPr>
      </w:pPr>
      <w:r w:rsidRPr="00FD139B">
        <w:rPr>
          <w:rFonts w:ascii="Times New Roman" w:hAnsi="Times New Roman" w:cs="Times New Roman"/>
        </w:rPr>
        <w:t xml:space="preserve">Bhargava, Alok and Frederic Docquier (2008) </w:t>
      </w:r>
      <w:r w:rsidR="00BF616F" w:rsidRPr="00FD139B">
        <w:rPr>
          <w:rFonts w:ascii="Times New Roman" w:hAnsi="Times New Roman" w:cs="Times New Roman"/>
        </w:rPr>
        <w:t>‘</w:t>
      </w:r>
      <w:r w:rsidRPr="00FD139B">
        <w:rPr>
          <w:rFonts w:ascii="Times New Roman" w:hAnsi="Times New Roman" w:cs="Times New Roman"/>
        </w:rPr>
        <w:t>HIV Pandemic, Medical Brain Drain, and Economic Development in Sub-Saharan Africa</w:t>
      </w:r>
      <w:r w:rsidR="00BF616F" w:rsidRPr="00FD139B">
        <w:rPr>
          <w:rFonts w:ascii="Times New Roman" w:hAnsi="Times New Roman" w:cs="Times New Roman"/>
        </w:rPr>
        <w:t>’</w:t>
      </w:r>
      <w:r w:rsidRPr="00FD139B">
        <w:rPr>
          <w:rFonts w:ascii="Times New Roman" w:hAnsi="Times New Roman" w:cs="Times New Roman"/>
        </w:rPr>
        <w:t xml:space="preserve">, </w:t>
      </w:r>
      <w:r w:rsidRPr="00FD139B">
        <w:rPr>
          <w:rFonts w:ascii="Times New Roman" w:hAnsi="Times New Roman" w:cs="Times New Roman"/>
          <w:i/>
        </w:rPr>
        <w:t xml:space="preserve">World Bank Economic Review </w:t>
      </w:r>
      <w:r w:rsidRPr="00FD139B">
        <w:rPr>
          <w:rFonts w:ascii="Times New Roman" w:hAnsi="Times New Roman" w:cs="Times New Roman"/>
        </w:rPr>
        <w:t>22(2): 345-66.</w:t>
      </w:r>
    </w:p>
    <w:p w:rsidR="00BC14FC" w:rsidRPr="00FD139B" w:rsidRDefault="00BC14FC" w:rsidP="00FD139B">
      <w:pPr>
        <w:tabs>
          <w:tab w:val="left" w:pos="426"/>
        </w:tabs>
        <w:spacing w:after="0" w:line="240" w:lineRule="auto"/>
        <w:ind w:left="426" w:hanging="426"/>
        <w:contextualSpacing/>
        <w:rPr>
          <w:rFonts w:ascii="Times New Roman" w:hAnsi="Times New Roman"/>
        </w:rPr>
      </w:pPr>
      <w:r w:rsidRPr="00FD139B">
        <w:rPr>
          <w:rFonts w:ascii="Times New Roman" w:hAnsi="Times New Roman"/>
        </w:rPr>
        <w:t xml:space="preserve">Bils, Mark and Peter Klenow (2000) </w:t>
      </w:r>
      <w:r w:rsidR="00BF616F" w:rsidRPr="00FD139B">
        <w:rPr>
          <w:rFonts w:ascii="Times New Roman" w:hAnsi="Times New Roman"/>
        </w:rPr>
        <w:t>‘</w:t>
      </w:r>
      <w:r w:rsidRPr="00FD139B">
        <w:rPr>
          <w:rFonts w:ascii="Times New Roman" w:hAnsi="Times New Roman"/>
        </w:rPr>
        <w:t>Does schooling cause growth?</w:t>
      </w:r>
      <w:r w:rsidR="00BF616F" w:rsidRPr="00FD139B">
        <w:rPr>
          <w:rFonts w:ascii="Times New Roman" w:hAnsi="Times New Roman"/>
        </w:rPr>
        <w:t>’</w:t>
      </w:r>
      <w:r w:rsidRPr="00FD139B">
        <w:rPr>
          <w:rFonts w:ascii="Times New Roman" w:hAnsi="Times New Roman"/>
        </w:rPr>
        <w:t xml:space="preserve">,  </w:t>
      </w:r>
      <w:r w:rsidRPr="00FD139B">
        <w:rPr>
          <w:rFonts w:ascii="Times New Roman" w:hAnsi="Times New Roman"/>
          <w:i/>
        </w:rPr>
        <w:t>American Economic Review</w:t>
      </w:r>
      <w:r w:rsidRPr="00FD139B">
        <w:rPr>
          <w:rFonts w:ascii="Times New Roman" w:hAnsi="Times New Roman"/>
        </w:rPr>
        <w:t xml:space="preserve"> 90(5): 1160-83.</w:t>
      </w:r>
    </w:p>
    <w:p w:rsidR="00771E8D" w:rsidRPr="00FD139B" w:rsidRDefault="00771E8D" w:rsidP="00FD139B">
      <w:pPr>
        <w:tabs>
          <w:tab w:val="left" w:pos="426"/>
        </w:tabs>
        <w:spacing w:after="0" w:line="240" w:lineRule="auto"/>
        <w:ind w:left="426" w:hanging="426"/>
        <w:contextualSpacing/>
        <w:jc w:val="both"/>
        <w:rPr>
          <w:rFonts w:ascii="Times New Roman" w:hAnsi="Times New Roman" w:cs="Times New Roman"/>
          <w:i/>
        </w:rPr>
      </w:pPr>
      <w:r w:rsidRPr="00FD139B">
        <w:rPr>
          <w:rFonts w:ascii="Times New Roman" w:hAnsi="Times New Roman" w:cs="Times New Roman"/>
        </w:rPr>
        <w:lastRenderedPageBreak/>
        <w:t>Bollard, Albert, David McKenzie and Melanie Morten (</w:t>
      </w:r>
      <w:r w:rsidR="00C35522" w:rsidRPr="00FD139B">
        <w:rPr>
          <w:rFonts w:ascii="Times New Roman" w:hAnsi="Times New Roman" w:cs="Times New Roman"/>
        </w:rPr>
        <w:t>2010</w:t>
      </w:r>
      <w:r w:rsidRPr="00FD139B">
        <w:rPr>
          <w:rFonts w:ascii="Times New Roman" w:hAnsi="Times New Roman" w:cs="Times New Roman"/>
        </w:rPr>
        <w:t xml:space="preserve">) </w:t>
      </w:r>
      <w:r w:rsidR="00BF616F" w:rsidRPr="00FD139B">
        <w:rPr>
          <w:rFonts w:ascii="Times New Roman" w:hAnsi="Times New Roman" w:cs="Times New Roman"/>
        </w:rPr>
        <w:t>‘</w:t>
      </w:r>
      <w:r w:rsidRPr="00FD139B">
        <w:rPr>
          <w:rFonts w:ascii="Times New Roman" w:hAnsi="Times New Roman" w:cs="Times New Roman"/>
        </w:rPr>
        <w:t>The Remitting Patterns of African Migrants in the OECD</w:t>
      </w:r>
      <w:r w:rsidR="00BF616F" w:rsidRPr="00FD139B">
        <w:rPr>
          <w:rFonts w:ascii="Times New Roman" w:hAnsi="Times New Roman" w:cs="Times New Roman"/>
        </w:rPr>
        <w:t>’</w:t>
      </w:r>
      <w:r w:rsidRPr="00FD139B">
        <w:rPr>
          <w:rFonts w:ascii="Times New Roman" w:hAnsi="Times New Roman" w:cs="Times New Roman"/>
        </w:rPr>
        <w:t xml:space="preserve">, </w:t>
      </w:r>
      <w:r w:rsidR="00C35522" w:rsidRPr="00FD139B">
        <w:rPr>
          <w:rFonts w:ascii="Times New Roman" w:hAnsi="Times New Roman" w:cs="Times New Roman"/>
          <w:i/>
        </w:rPr>
        <w:t>Journal of African Economics</w:t>
      </w:r>
      <w:r w:rsidR="00C35522" w:rsidRPr="00FD139B">
        <w:rPr>
          <w:rFonts w:ascii="Times New Roman" w:hAnsi="Times New Roman" w:cs="Times New Roman"/>
        </w:rPr>
        <w:t>, forthcoming</w:t>
      </w:r>
    </w:p>
    <w:p w:rsidR="00C76D78" w:rsidRPr="00FD139B" w:rsidRDefault="00C76D78" w:rsidP="00FD139B">
      <w:pPr>
        <w:tabs>
          <w:tab w:val="left" w:pos="426"/>
        </w:tabs>
        <w:spacing w:after="0" w:line="240" w:lineRule="auto"/>
        <w:ind w:left="426" w:hanging="426"/>
        <w:contextualSpacing/>
        <w:jc w:val="both"/>
        <w:rPr>
          <w:rFonts w:ascii="Times New Roman" w:hAnsi="Times New Roman" w:cs="Times New Roman"/>
        </w:rPr>
      </w:pPr>
      <w:r w:rsidRPr="00FD139B">
        <w:rPr>
          <w:rFonts w:ascii="Times New Roman" w:hAnsi="Times New Roman" w:cs="Times New Roman"/>
        </w:rPr>
        <w:t xml:space="preserve">Bollard, Albert, David McKenzie, Melanie Morten and Hillel Rapoport (2009) </w:t>
      </w:r>
      <w:r w:rsidR="00BF616F" w:rsidRPr="00FD139B">
        <w:rPr>
          <w:rFonts w:ascii="Times New Roman" w:hAnsi="Times New Roman" w:cs="Times New Roman"/>
        </w:rPr>
        <w:t>‘</w:t>
      </w:r>
      <w:r w:rsidR="006855BE" w:rsidRPr="00FD139B">
        <w:rPr>
          <w:rFonts w:ascii="Times New Roman" w:hAnsi="Times New Roman" w:cs="Times New Roman"/>
        </w:rPr>
        <w:t>Remittances and the brain drain revisited: The microdata show that more educated migrants remit more</w:t>
      </w:r>
      <w:r w:rsidR="00BF616F" w:rsidRPr="00FD139B">
        <w:rPr>
          <w:rFonts w:ascii="Times New Roman" w:hAnsi="Times New Roman" w:cs="Times New Roman"/>
        </w:rPr>
        <w:t>’</w:t>
      </w:r>
      <w:r w:rsidR="006855BE" w:rsidRPr="00FD139B">
        <w:rPr>
          <w:rFonts w:ascii="Times New Roman" w:hAnsi="Times New Roman" w:cs="Times New Roman"/>
        </w:rPr>
        <w:t>, World Bank Policy Research Working Paper no. 5113.</w:t>
      </w:r>
    </w:p>
    <w:p w:rsidR="00BC14FC" w:rsidRPr="00FD139B" w:rsidRDefault="00BC14FC" w:rsidP="00FD139B">
      <w:pPr>
        <w:tabs>
          <w:tab w:val="left" w:pos="426"/>
        </w:tabs>
        <w:spacing w:after="0" w:line="240" w:lineRule="auto"/>
        <w:ind w:left="426" w:hanging="426"/>
        <w:contextualSpacing/>
        <w:jc w:val="both"/>
        <w:rPr>
          <w:rFonts w:ascii="Times New Roman" w:hAnsi="Times New Roman"/>
        </w:rPr>
      </w:pPr>
      <w:r w:rsidRPr="00FD139B">
        <w:rPr>
          <w:rFonts w:ascii="Times New Roman" w:hAnsi="Times New Roman"/>
        </w:rPr>
        <w:t xml:space="preserve">Brunello, Giorgio, Maria de Paola and Vincenzo Scoppa, </w:t>
      </w:r>
      <w:r w:rsidR="00646A20" w:rsidRPr="00FD139B">
        <w:rPr>
          <w:rFonts w:ascii="Times New Roman" w:hAnsi="Times New Roman"/>
        </w:rPr>
        <w:t>(2010)</w:t>
      </w:r>
      <w:r w:rsidRPr="00FD139B">
        <w:rPr>
          <w:rFonts w:ascii="Times New Roman" w:hAnsi="Times New Roman"/>
        </w:rPr>
        <w:t xml:space="preserve"> </w:t>
      </w:r>
      <w:r w:rsidR="00BF616F" w:rsidRPr="00FD139B">
        <w:rPr>
          <w:rFonts w:ascii="Times New Roman" w:hAnsi="Times New Roman"/>
        </w:rPr>
        <w:t>‘</w:t>
      </w:r>
      <w:r w:rsidRPr="00FD139B">
        <w:rPr>
          <w:rFonts w:ascii="Times New Roman" w:hAnsi="Times New Roman"/>
        </w:rPr>
        <w:t>Peer effects in higher education: Does the field of study matter?</w:t>
      </w:r>
      <w:r w:rsidR="00BF616F" w:rsidRPr="00FD139B">
        <w:rPr>
          <w:rFonts w:ascii="Times New Roman" w:hAnsi="Times New Roman"/>
        </w:rPr>
        <w:t>’</w:t>
      </w:r>
      <w:r w:rsidR="00646A20" w:rsidRPr="00FD139B">
        <w:rPr>
          <w:rFonts w:ascii="Times New Roman" w:hAnsi="Times New Roman"/>
        </w:rPr>
        <w:t xml:space="preserve">, </w:t>
      </w:r>
      <w:r w:rsidRPr="00FD139B">
        <w:rPr>
          <w:rFonts w:ascii="Times New Roman" w:hAnsi="Times New Roman"/>
        </w:rPr>
        <w:t xml:space="preserve"> </w:t>
      </w:r>
      <w:r w:rsidRPr="00FD139B">
        <w:rPr>
          <w:rFonts w:ascii="Times New Roman" w:hAnsi="Times New Roman"/>
          <w:i/>
        </w:rPr>
        <w:t>Economic Inquiry</w:t>
      </w:r>
      <w:r w:rsidRPr="00FD139B">
        <w:rPr>
          <w:rFonts w:ascii="Times New Roman" w:hAnsi="Times New Roman"/>
        </w:rPr>
        <w:t xml:space="preserve"> forthcoming.</w:t>
      </w:r>
    </w:p>
    <w:p w:rsidR="00CF0F28" w:rsidRPr="00FD139B" w:rsidRDefault="00CF0F28" w:rsidP="00FD139B">
      <w:pPr>
        <w:tabs>
          <w:tab w:val="left" w:pos="426"/>
        </w:tabs>
        <w:spacing w:after="0" w:line="240" w:lineRule="auto"/>
        <w:ind w:left="426" w:hanging="426"/>
        <w:contextualSpacing/>
        <w:jc w:val="both"/>
        <w:rPr>
          <w:rFonts w:ascii="Times New Roman" w:hAnsi="Times New Roman" w:cs="Times New Roman"/>
        </w:rPr>
      </w:pPr>
      <w:r w:rsidRPr="00FD139B">
        <w:rPr>
          <w:rFonts w:ascii="Times New Roman" w:hAnsi="Times New Roman" w:cs="Times New Roman"/>
        </w:rPr>
        <w:t xml:space="preserve">Chand, Satish and Michael Clemens (2008) </w:t>
      </w:r>
      <w:r w:rsidR="00BF616F" w:rsidRPr="00FD139B">
        <w:rPr>
          <w:rFonts w:ascii="Times New Roman" w:hAnsi="Times New Roman" w:cs="Times New Roman"/>
        </w:rPr>
        <w:t>‘</w:t>
      </w:r>
      <w:r w:rsidRPr="00FD139B">
        <w:rPr>
          <w:rFonts w:ascii="Times New Roman" w:hAnsi="Times New Roman" w:cs="Times New Roman"/>
        </w:rPr>
        <w:t>Skilled Emigration and Skill Creation: A quasi-experiment</w:t>
      </w:r>
      <w:r w:rsidR="00BF616F" w:rsidRPr="00FD139B">
        <w:rPr>
          <w:rFonts w:ascii="Times New Roman" w:hAnsi="Times New Roman" w:cs="Times New Roman"/>
        </w:rPr>
        <w:t>’</w:t>
      </w:r>
      <w:r w:rsidRPr="00FD139B">
        <w:rPr>
          <w:rFonts w:ascii="Times New Roman" w:hAnsi="Times New Roman" w:cs="Times New Roman"/>
        </w:rPr>
        <w:t>, Center for Global Development Working Paper no. 152.</w:t>
      </w:r>
    </w:p>
    <w:p w:rsidR="00803E8C" w:rsidRPr="00FD139B" w:rsidRDefault="00803E8C" w:rsidP="00FD139B">
      <w:pPr>
        <w:tabs>
          <w:tab w:val="left" w:pos="426"/>
        </w:tabs>
        <w:spacing w:after="0" w:line="240" w:lineRule="auto"/>
        <w:ind w:left="426" w:hanging="426"/>
        <w:contextualSpacing/>
        <w:jc w:val="both"/>
        <w:rPr>
          <w:rFonts w:ascii="Times New Roman" w:hAnsi="Times New Roman" w:cs="Times New Roman"/>
        </w:rPr>
      </w:pPr>
      <w:r w:rsidRPr="00FD139B">
        <w:rPr>
          <w:rFonts w:ascii="Times New Roman" w:hAnsi="Times New Roman" w:cs="Times New Roman"/>
        </w:rPr>
        <w:t xml:space="preserve">Clemens, Michael (2007) </w:t>
      </w:r>
      <w:r w:rsidR="00BF616F" w:rsidRPr="00FD139B">
        <w:rPr>
          <w:rFonts w:ascii="Times New Roman" w:hAnsi="Times New Roman" w:cs="Times New Roman"/>
        </w:rPr>
        <w:t>‘</w:t>
      </w:r>
      <w:r w:rsidRPr="00FD139B">
        <w:rPr>
          <w:rFonts w:ascii="Times New Roman" w:hAnsi="Times New Roman" w:cs="Times New Roman"/>
        </w:rPr>
        <w:t>Do Visas Kill? Health Effects of African Health Professional Emigration</w:t>
      </w:r>
      <w:r w:rsidR="00BF616F" w:rsidRPr="00FD139B">
        <w:rPr>
          <w:rFonts w:ascii="Times New Roman" w:hAnsi="Times New Roman" w:cs="Times New Roman"/>
        </w:rPr>
        <w:t>’</w:t>
      </w:r>
      <w:r w:rsidRPr="00FD139B">
        <w:rPr>
          <w:rFonts w:ascii="Times New Roman" w:hAnsi="Times New Roman" w:cs="Times New Roman"/>
        </w:rPr>
        <w:t>, Center for Global Development Working Paper no. 114.</w:t>
      </w:r>
    </w:p>
    <w:p w:rsidR="00E25EE1" w:rsidRPr="00FD139B" w:rsidRDefault="00E25EE1" w:rsidP="00FD139B">
      <w:pPr>
        <w:tabs>
          <w:tab w:val="left" w:pos="426"/>
        </w:tabs>
        <w:spacing w:after="0" w:line="240" w:lineRule="auto"/>
        <w:ind w:left="426" w:hanging="426"/>
        <w:contextualSpacing/>
        <w:jc w:val="both"/>
        <w:rPr>
          <w:rFonts w:ascii="Times New Roman" w:hAnsi="Times New Roman" w:cs="Times New Roman"/>
        </w:rPr>
      </w:pPr>
      <w:r w:rsidRPr="00FD139B">
        <w:rPr>
          <w:rFonts w:ascii="Times New Roman" w:hAnsi="Times New Roman" w:cs="Times New Roman"/>
        </w:rPr>
        <w:t xml:space="preserve">Clemens, Michael and Gunilla Pettersson (2008) </w:t>
      </w:r>
      <w:r w:rsidR="00BF616F" w:rsidRPr="00FD139B">
        <w:rPr>
          <w:rFonts w:ascii="Times New Roman" w:hAnsi="Times New Roman" w:cs="Times New Roman"/>
        </w:rPr>
        <w:t>‘</w:t>
      </w:r>
      <w:r w:rsidRPr="00FD139B">
        <w:rPr>
          <w:rFonts w:ascii="Times New Roman" w:hAnsi="Times New Roman" w:cs="Times New Roman"/>
        </w:rPr>
        <w:t>New Data on African health professionals abroad</w:t>
      </w:r>
      <w:r w:rsidR="00BF616F" w:rsidRPr="00FD139B">
        <w:rPr>
          <w:rFonts w:ascii="Times New Roman" w:hAnsi="Times New Roman" w:cs="Times New Roman"/>
        </w:rPr>
        <w:t>’</w:t>
      </w:r>
      <w:r w:rsidRPr="00FD139B">
        <w:rPr>
          <w:rFonts w:ascii="Times New Roman" w:hAnsi="Times New Roman" w:cs="Times New Roman"/>
        </w:rPr>
        <w:t xml:space="preserve">, </w:t>
      </w:r>
      <w:r w:rsidRPr="00FD139B">
        <w:rPr>
          <w:rFonts w:ascii="Times New Roman" w:hAnsi="Times New Roman" w:cs="Times New Roman"/>
          <w:i/>
        </w:rPr>
        <w:t xml:space="preserve">Human Resources for Health </w:t>
      </w:r>
      <w:r w:rsidRPr="00FD139B">
        <w:rPr>
          <w:rFonts w:ascii="Times New Roman" w:hAnsi="Times New Roman" w:cs="Times New Roman"/>
        </w:rPr>
        <w:t>6(1).</w:t>
      </w:r>
    </w:p>
    <w:p w:rsidR="00A44B5F" w:rsidRPr="00FD139B" w:rsidRDefault="00A44B5F" w:rsidP="00FD139B">
      <w:pPr>
        <w:tabs>
          <w:tab w:val="left" w:pos="426"/>
        </w:tabs>
        <w:spacing w:after="0" w:line="240" w:lineRule="auto"/>
        <w:ind w:left="426" w:hanging="426"/>
        <w:contextualSpacing/>
        <w:jc w:val="both"/>
        <w:rPr>
          <w:rFonts w:ascii="Times New Roman" w:hAnsi="Times New Roman" w:cs="Times New Roman"/>
        </w:rPr>
      </w:pPr>
      <w:r w:rsidRPr="00FD139B">
        <w:rPr>
          <w:rFonts w:ascii="Times New Roman" w:hAnsi="Times New Roman" w:cs="Times New Roman"/>
        </w:rPr>
        <w:t xml:space="preserve">Commander, Simon, Mari Kangasniemi and Alan Winters (2004) </w:t>
      </w:r>
      <w:r w:rsidR="00BF616F" w:rsidRPr="00FD139B">
        <w:rPr>
          <w:rFonts w:ascii="Times New Roman" w:hAnsi="Times New Roman" w:cs="Times New Roman"/>
        </w:rPr>
        <w:t>‘</w:t>
      </w:r>
      <w:r w:rsidRPr="00FD139B">
        <w:rPr>
          <w:rFonts w:ascii="Times New Roman" w:hAnsi="Times New Roman" w:cs="Times New Roman"/>
        </w:rPr>
        <w:t>Is the medical brain drain beneficial? Evidence from overseas doctors in the UK</w:t>
      </w:r>
      <w:r w:rsidR="00BF616F" w:rsidRPr="00FD139B">
        <w:rPr>
          <w:rFonts w:ascii="Times New Roman" w:hAnsi="Times New Roman" w:cs="Times New Roman"/>
        </w:rPr>
        <w:t>’</w:t>
      </w:r>
      <w:r w:rsidRPr="00FD139B">
        <w:rPr>
          <w:rFonts w:ascii="Times New Roman" w:hAnsi="Times New Roman" w:cs="Times New Roman"/>
        </w:rPr>
        <w:t>, Center for Economic Performance Discussion Paper no. dp0618.</w:t>
      </w:r>
    </w:p>
    <w:p w:rsidR="00E25EE1" w:rsidRPr="00FD139B" w:rsidRDefault="00E25EE1" w:rsidP="00FD139B">
      <w:pPr>
        <w:tabs>
          <w:tab w:val="left" w:pos="426"/>
        </w:tabs>
        <w:spacing w:after="0" w:line="240" w:lineRule="auto"/>
        <w:ind w:left="426" w:hanging="426"/>
        <w:contextualSpacing/>
        <w:jc w:val="both"/>
        <w:rPr>
          <w:rFonts w:ascii="Times New Roman" w:hAnsi="Times New Roman" w:cs="Times New Roman"/>
          <w:i/>
        </w:rPr>
      </w:pPr>
      <w:r w:rsidRPr="00FD139B">
        <w:rPr>
          <w:rFonts w:ascii="Times New Roman" w:hAnsi="Times New Roman" w:cs="Times New Roman"/>
        </w:rPr>
        <w:t xml:space="preserve">Constant, Amelie and Elena D’Agosto (2008) </w:t>
      </w:r>
      <w:r w:rsidR="00BF616F" w:rsidRPr="00FD139B">
        <w:rPr>
          <w:rFonts w:ascii="Times New Roman" w:hAnsi="Times New Roman" w:cs="Times New Roman"/>
        </w:rPr>
        <w:t>‘</w:t>
      </w:r>
      <w:r w:rsidRPr="00FD139B">
        <w:rPr>
          <w:rFonts w:ascii="Times New Roman" w:hAnsi="Times New Roman" w:cs="Times New Roman"/>
        </w:rPr>
        <w:t>Where do the Brainy Italians Go?</w:t>
      </w:r>
      <w:r w:rsidR="00BF616F" w:rsidRPr="00FD139B">
        <w:rPr>
          <w:rFonts w:ascii="Times New Roman" w:hAnsi="Times New Roman" w:cs="Times New Roman"/>
        </w:rPr>
        <w:t>’</w:t>
      </w:r>
      <w:r w:rsidRPr="00FD139B">
        <w:rPr>
          <w:rFonts w:ascii="Times New Roman" w:hAnsi="Times New Roman" w:cs="Times New Roman"/>
        </w:rPr>
        <w:t xml:space="preserve">, </w:t>
      </w:r>
      <w:r w:rsidRPr="00FD139B">
        <w:rPr>
          <w:rFonts w:ascii="Times New Roman" w:hAnsi="Times New Roman" w:cs="Times New Roman"/>
          <w:i/>
        </w:rPr>
        <w:t>IZA Discussion Paper No. 3325.</w:t>
      </w:r>
    </w:p>
    <w:p w:rsidR="005C56AF" w:rsidRPr="00FD139B" w:rsidRDefault="005C56AF" w:rsidP="00FD139B">
      <w:pPr>
        <w:tabs>
          <w:tab w:val="left" w:pos="426"/>
        </w:tabs>
        <w:spacing w:after="0" w:line="240" w:lineRule="auto"/>
        <w:ind w:left="426" w:hanging="426"/>
        <w:contextualSpacing/>
        <w:jc w:val="both"/>
        <w:rPr>
          <w:rFonts w:ascii="Times New Roman" w:hAnsi="Times New Roman" w:cs="Times New Roman"/>
        </w:rPr>
      </w:pPr>
      <w:r w:rsidRPr="00FD139B">
        <w:rPr>
          <w:rFonts w:ascii="Times New Roman" w:hAnsi="Times New Roman" w:cs="Times New Roman"/>
        </w:rPr>
        <w:t xml:space="preserve">Crawford, Ron and Grant Johnston (2004) </w:t>
      </w:r>
      <w:r w:rsidR="00BF616F" w:rsidRPr="00FD139B">
        <w:rPr>
          <w:rFonts w:ascii="Times New Roman" w:hAnsi="Times New Roman" w:cs="Times New Roman"/>
        </w:rPr>
        <w:t>‘</w:t>
      </w:r>
      <w:r w:rsidRPr="00FD139B">
        <w:rPr>
          <w:rFonts w:ascii="Times New Roman" w:hAnsi="Times New Roman" w:cs="Times New Roman"/>
        </w:rPr>
        <w:t>Household incomes in New Zealand: the impact of the market, taxes and government spending, 1987/88-1997/98</w:t>
      </w:r>
      <w:r w:rsidR="00BF616F" w:rsidRPr="00FD139B">
        <w:rPr>
          <w:rFonts w:ascii="Times New Roman" w:hAnsi="Times New Roman" w:cs="Times New Roman"/>
        </w:rPr>
        <w:t>’</w:t>
      </w:r>
      <w:r w:rsidRPr="00FD139B">
        <w:rPr>
          <w:rFonts w:ascii="Times New Roman" w:hAnsi="Times New Roman" w:cs="Times New Roman"/>
        </w:rPr>
        <w:t>, New Zealand Treasury Working Paper no. 04/20.</w:t>
      </w:r>
    </w:p>
    <w:p w:rsidR="00646A20" w:rsidRPr="00FD139B" w:rsidRDefault="00646A20" w:rsidP="00FD139B">
      <w:pPr>
        <w:tabs>
          <w:tab w:val="left" w:pos="426"/>
        </w:tabs>
        <w:spacing w:after="0" w:line="240" w:lineRule="auto"/>
        <w:ind w:left="426" w:hanging="426"/>
        <w:contextualSpacing/>
        <w:rPr>
          <w:rFonts w:ascii="Times New Roman" w:hAnsi="Times New Roman"/>
        </w:rPr>
      </w:pPr>
      <w:r w:rsidRPr="00FD139B">
        <w:rPr>
          <w:rFonts w:ascii="Times New Roman" w:hAnsi="Times New Roman"/>
        </w:rPr>
        <w:t xml:space="preserve">Davies, Jim (2003) </w:t>
      </w:r>
      <w:r w:rsidR="00BF616F" w:rsidRPr="00FD139B">
        <w:rPr>
          <w:rFonts w:ascii="Times New Roman" w:hAnsi="Times New Roman"/>
        </w:rPr>
        <w:t>‘</w:t>
      </w:r>
      <w:r w:rsidRPr="00FD139B">
        <w:rPr>
          <w:rFonts w:ascii="Times New Roman" w:hAnsi="Times New Roman"/>
        </w:rPr>
        <w:t>Empirical evidence on human capital externalities</w:t>
      </w:r>
      <w:r w:rsidR="00BF616F" w:rsidRPr="00FD139B">
        <w:rPr>
          <w:rFonts w:ascii="Times New Roman" w:hAnsi="Times New Roman"/>
        </w:rPr>
        <w:t>’</w:t>
      </w:r>
      <w:r w:rsidRPr="00FD139B">
        <w:rPr>
          <w:rFonts w:ascii="Times New Roman" w:hAnsi="Times New Roman"/>
        </w:rPr>
        <w:t xml:space="preserve">, </w:t>
      </w:r>
      <w:r w:rsidRPr="00FD139B">
        <w:rPr>
          <w:rFonts w:ascii="Times New Roman" w:hAnsi="Times New Roman"/>
          <w:i/>
        </w:rPr>
        <w:t xml:space="preserve">Working Paper </w:t>
      </w:r>
      <w:r w:rsidRPr="00FD139B">
        <w:rPr>
          <w:rFonts w:ascii="Times New Roman" w:hAnsi="Times New Roman"/>
        </w:rPr>
        <w:t>2003-11, Department of Economics, University of Western Ontario.</w:t>
      </w:r>
    </w:p>
    <w:p w:rsidR="00F6242C" w:rsidRPr="00FD139B" w:rsidRDefault="00295B71" w:rsidP="00FD139B">
      <w:pPr>
        <w:tabs>
          <w:tab w:val="left" w:pos="426"/>
        </w:tabs>
        <w:spacing w:after="0" w:line="240" w:lineRule="auto"/>
        <w:ind w:left="426" w:hanging="426"/>
        <w:contextualSpacing/>
        <w:jc w:val="both"/>
        <w:rPr>
          <w:rFonts w:ascii="Times New Roman" w:hAnsi="Times New Roman" w:cs="Times New Roman"/>
        </w:rPr>
      </w:pPr>
      <w:r w:rsidRPr="00FD139B">
        <w:rPr>
          <w:rFonts w:ascii="Times New Roman" w:hAnsi="Times New Roman" w:cs="Times New Roman"/>
        </w:rPr>
        <w:t xml:space="preserve">Docquier, Frédéric and Abdeslam Marfouk (2005) </w:t>
      </w:r>
      <w:r w:rsidR="00BF616F" w:rsidRPr="00FD139B">
        <w:rPr>
          <w:rFonts w:ascii="Times New Roman" w:hAnsi="Times New Roman" w:cs="Times New Roman"/>
        </w:rPr>
        <w:t>‘</w:t>
      </w:r>
      <w:r w:rsidRPr="00FD139B">
        <w:rPr>
          <w:rFonts w:ascii="Times New Roman" w:hAnsi="Times New Roman" w:cs="Times New Roman"/>
        </w:rPr>
        <w:t>International Migration by Education Attainment, 1990-2000</w:t>
      </w:r>
      <w:r w:rsidR="00BF616F" w:rsidRPr="00FD139B">
        <w:rPr>
          <w:rFonts w:ascii="Times New Roman" w:hAnsi="Times New Roman" w:cs="Times New Roman"/>
        </w:rPr>
        <w:t>’</w:t>
      </w:r>
      <w:r w:rsidRPr="00FD139B">
        <w:rPr>
          <w:rFonts w:ascii="Times New Roman" w:hAnsi="Times New Roman" w:cs="Times New Roman"/>
        </w:rPr>
        <w:t xml:space="preserve">, pp 151-99 in C. Özden and M. Schiff (eds.) </w:t>
      </w:r>
      <w:r w:rsidRPr="00FD139B">
        <w:rPr>
          <w:rFonts w:ascii="Times New Roman" w:hAnsi="Times New Roman" w:cs="Times New Roman"/>
          <w:i/>
          <w:iCs/>
        </w:rPr>
        <w:t>International Migration, Remittances and the Brain Drain</w:t>
      </w:r>
      <w:r w:rsidRPr="00FD139B">
        <w:rPr>
          <w:rFonts w:ascii="Times New Roman" w:hAnsi="Times New Roman" w:cs="Times New Roman"/>
        </w:rPr>
        <w:t>. Ne</w:t>
      </w:r>
      <w:r w:rsidR="00F6242C" w:rsidRPr="00FD139B">
        <w:rPr>
          <w:rFonts w:ascii="Times New Roman" w:hAnsi="Times New Roman" w:cs="Times New Roman"/>
        </w:rPr>
        <w:t>w York: Palgrave Macmillan</w:t>
      </w:r>
    </w:p>
    <w:p w:rsidR="00F01B6A" w:rsidRPr="00FD139B" w:rsidRDefault="00F01B6A" w:rsidP="00FD139B">
      <w:pPr>
        <w:tabs>
          <w:tab w:val="left" w:pos="426"/>
        </w:tabs>
        <w:spacing w:after="0" w:line="240" w:lineRule="auto"/>
        <w:ind w:left="426" w:hanging="426"/>
        <w:contextualSpacing/>
        <w:jc w:val="both"/>
        <w:rPr>
          <w:rFonts w:ascii="Times New Roman" w:hAnsi="Times New Roman" w:cs="Times New Roman"/>
        </w:rPr>
      </w:pPr>
      <w:r w:rsidRPr="00FD139B">
        <w:rPr>
          <w:rFonts w:ascii="Times New Roman" w:hAnsi="Times New Roman" w:cs="Times New Roman"/>
        </w:rPr>
        <w:t xml:space="preserve">Dos Santos, Manon Domingues and Fabien Postel-Vinay (2003) </w:t>
      </w:r>
      <w:r w:rsidR="00BF616F" w:rsidRPr="00FD139B">
        <w:rPr>
          <w:rFonts w:ascii="Times New Roman" w:hAnsi="Times New Roman" w:cs="Times New Roman"/>
        </w:rPr>
        <w:t>‘</w:t>
      </w:r>
      <w:r w:rsidRPr="00FD139B">
        <w:rPr>
          <w:rFonts w:ascii="Times New Roman" w:hAnsi="Times New Roman" w:cs="Times New Roman"/>
        </w:rPr>
        <w:t>Migration as a source of growth: the perspective of a developing country</w:t>
      </w:r>
      <w:r w:rsidR="00BF616F" w:rsidRPr="00FD139B">
        <w:rPr>
          <w:rFonts w:ascii="Times New Roman" w:hAnsi="Times New Roman" w:cs="Times New Roman"/>
        </w:rPr>
        <w:t>’</w:t>
      </w:r>
      <w:r w:rsidRPr="00FD139B">
        <w:rPr>
          <w:rFonts w:ascii="Times New Roman" w:hAnsi="Times New Roman" w:cs="Times New Roman"/>
        </w:rPr>
        <w:t xml:space="preserve">, </w:t>
      </w:r>
      <w:r w:rsidRPr="00FD139B">
        <w:rPr>
          <w:rFonts w:ascii="Times New Roman" w:hAnsi="Times New Roman" w:cs="Times New Roman"/>
          <w:i/>
        </w:rPr>
        <w:t>Journal of Population Economics</w:t>
      </w:r>
      <w:r w:rsidRPr="00FD139B">
        <w:rPr>
          <w:rFonts w:ascii="Times New Roman" w:hAnsi="Times New Roman" w:cs="Times New Roman"/>
        </w:rPr>
        <w:t>, 16(1): 161-75.</w:t>
      </w:r>
    </w:p>
    <w:p w:rsidR="00B06F3D" w:rsidRPr="00FD139B" w:rsidRDefault="00B06F3D" w:rsidP="00FD139B">
      <w:pPr>
        <w:tabs>
          <w:tab w:val="left" w:pos="426"/>
        </w:tabs>
        <w:spacing w:after="0" w:line="240" w:lineRule="auto"/>
        <w:ind w:left="426" w:hanging="426"/>
        <w:contextualSpacing/>
        <w:jc w:val="both"/>
        <w:rPr>
          <w:rFonts w:ascii="Times New Roman" w:hAnsi="Times New Roman" w:cs="Times New Roman"/>
        </w:rPr>
      </w:pPr>
      <w:r w:rsidRPr="00FD139B">
        <w:rPr>
          <w:rFonts w:ascii="Times New Roman" w:hAnsi="Times New Roman" w:cs="Times New Roman"/>
        </w:rPr>
        <w:t>Dustmann, Christian and Oliver Kirchkamp (200</w:t>
      </w:r>
      <w:r w:rsidR="0089565D" w:rsidRPr="00FD139B">
        <w:rPr>
          <w:rFonts w:ascii="Times New Roman" w:hAnsi="Times New Roman" w:cs="Times New Roman"/>
        </w:rPr>
        <w:t>2</w:t>
      </w:r>
      <w:r w:rsidRPr="00FD139B">
        <w:rPr>
          <w:rFonts w:ascii="Times New Roman" w:hAnsi="Times New Roman" w:cs="Times New Roman"/>
        </w:rPr>
        <w:t xml:space="preserve">) </w:t>
      </w:r>
      <w:r w:rsidR="00BF616F" w:rsidRPr="00FD139B">
        <w:rPr>
          <w:rFonts w:ascii="Times New Roman" w:hAnsi="Times New Roman" w:cs="Times New Roman"/>
        </w:rPr>
        <w:t>‘</w:t>
      </w:r>
      <w:r w:rsidRPr="00FD139B">
        <w:rPr>
          <w:rFonts w:ascii="Times New Roman" w:hAnsi="Times New Roman" w:cs="Times New Roman"/>
        </w:rPr>
        <w:t>Migration Duration and Activity Choice after Re-migration</w:t>
      </w:r>
      <w:r w:rsidR="00BF616F" w:rsidRPr="00FD139B">
        <w:rPr>
          <w:rFonts w:ascii="Times New Roman" w:hAnsi="Times New Roman" w:cs="Times New Roman"/>
        </w:rPr>
        <w:t>’</w:t>
      </w:r>
      <w:r w:rsidRPr="00FD139B">
        <w:rPr>
          <w:rFonts w:ascii="Times New Roman" w:hAnsi="Times New Roman" w:cs="Times New Roman"/>
        </w:rPr>
        <w:t xml:space="preserve">, </w:t>
      </w:r>
      <w:r w:rsidRPr="00FD139B">
        <w:rPr>
          <w:rFonts w:ascii="Times New Roman" w:hAnsi="Times New Roman" w:cs="Times New Roman"/>
          <w:i/>
        </w:rPr>
        <w:t xml:space="preserve">Journal of Development Economics </w:t>
      </w:r>
      <w:r w:rsidRPr="00FD139B">
        <w:rPr>
          <w:rFonts w:ascii="Times New Roman" w:hAnsi="Times New Roman" w:cs="Times New Roman"/>
        </w:rPr>
        <w:t>67</w:t>
      </w:r>
      <w:r w:rsidR="0089565D" w:rsidRPr="00FD139B">
        <w:rPr>
          <w:rFonts w:ascii="Times New Roman" w:hAnsi="Times New Roman" w:cs="Times New Roman"/>
        </w:rPr>
        <w:t>(2)</w:t>
      </w:r>
      <w:r w:rsidRPr="00FD139B">
        <w:rPr>
          <w:rFonts w:ascii="Times New Roman" w:hAnsi="Times New Roman" w:cs="Times New Roman"/>
        </w:rPr>
        <w:t>: 351-72.</w:t>
      </w:r>
    </w:p>
    <w:p w:rsidR="00C76D78" w:rsidRPr="00FD139B" w:rsidRDefault="00C76D78" w:rsidP="00FD139B">
      <w:pPr>
        <w:tabs>
          <w:tab w:val="left" w:pos="426"/>
        </w:tabs>
        <w:spacing w:after="0" w:line="240" w:lineRule="auto"/>
        <w:ind w:left="426" w:hanging="426"/>
        <w:contextualSpacing/>
        <w:jc w:val="both"/>
        <w:rPr>
          <w:rFonts w:ascii="Times New Roman" w:hAnsi="Times New Roman" w:cs="Times New Roman"/>
        </w:rPr>
      </w:pPr>
      <w:r w:rsidRPr="00FD139B">
        <w:rPr>
          <w:rFonts w:ascii="Times New Roman" w:hAnsi="Times New Roman" w:cs="Times New Roman"/>
        </w:rPr>
        <w:t xml:space="preserve">Faini, Riccardo (2007) </w:t>
      </w:r>
      <w:r w:rsidR="00BF616F" w:rsidRPr="00FD139B">
        <w:rPr>
          <w:rFonts w:ascii="Times New Roman" w:hAnsi="Times New Roman" w:cs="Times New Roman"/>
        </w:rPr>
        <w:t>‘</w:t>
      </w:r>
      <w:r w:rsidRPr="00FD139B">
        <w:rPr>
          <w:rFonts w:ascii="Times New Roman" w:hAnsi="Times New Roman" w:cs="Times New Roman"/>
        </w:rPr>
        <w:t>Remitances and the Brain Drain: Do More Skilled Migrants Remit More?</w:t>
      </w:r>
      <w:r w:rsidR="00BF616F" w:rsidRPr="00FD139B">
        <w:rPr>
          <w:rFonts w:ascii="Times New Roman" w:hAnsi="Times New Roman" w:cs="Times New Roman"/>
        </w:rPr>
        <w:t>’</w:t>
      </w:r>
      <w:r w:rsidRPr="00FD139B">
        <w:rPr>
          <w:rFonts w:ascii="Times New Roman" w:hAnsi="Times New Roman" w:cs="Times New Roman"/>
        </w:rPr>
        <w:t xml:space="preserve">, </w:t>
      </w:r>
      <w:r w:rsidRPr="00FD139B">
        <w:rPr>
          <w:rFonts w:ascii="Times New Roman" w:hAnsi="Times New Roman" w:cs="Times New Roman"/>
          <w:i/>
        </w:rPr>
        <w:t xml:space="preserve">World Bank Economic Review </w:t>
      </w:r>
      <w:r w:rsidRPr="00FD139B">
        <w:rPr>
          <w:rFonts w:ascii="Times New Roman" w:hAnsi="Times New Roman" w:cs="Times New Roman"/>
        </w:rPr>
        <w:t>21(2): 1-15.</w:t>
      </w:r>
    </w:p>
    <w:p w:rsidR="00646A20" w:rsidRPr="00FD139B" w:rsidRDefault="00646A20" w:rsidP="00FD139B">
      <w:pPr>
        <w:tabs>
          <w:tab w:val="left" w:pos="426"/>
        </w:tabs>
        <w:spacing w:after="0" w:line="240" w:lineRule="auto"/>
        <w:ind w:left="426" w:hanging="426"/>
        <w:contextualSpacing/>
        <w:jc w:val="both"/>
        <w:rPr>
          <w:rFonts w:ascii="Times New Roman" w:hAnsi="Times New Roman"/>
        </w:rPr>
      </w:pPr>
      <w:r w:rsidRPr="00FD139B">
        <w:rPr>
          <w:rFonts w:ascii="Times New Roman" w:hAnsi="Times New Roman"/>
        </w:rPr>
        <w:t xml:space="preserve">Gibson, John (2001) </w:t>
      </w:r>
      <w:r w:rsidR="00BF616F" w:rsidRPr="00FD139B">
        <w:rPr>
          <w:rFonts w:ascii="Times New Roman" w:hAnsi="Times New Roman"/>
        </w:rPr>
        <w:t>‘</w:t>
      </w:r>
      <w:r w:rsidRPr="00FD139B">
        <w:rPr>
          <w:rFonts w:ascii="Times New Roman" w:hAnsi="Times New Roman"/>
        </w:rPr>
        <w:t>Unobservable family effects and the apparent external benefits of education</w:t>
      </w:r>
      <w:r w:rsidR="00BF616F" w:rsidRPr="00FD139B">
        <w:rPr>
          <w:rFonts w:ascii="Times New Roman" w:hAnsi="Times New Roman"/>
        </w:rPr>
        <w:t>’</w:t>
      </w:r>
      <w:r w:rsidRPr="00FD139B">
        <w:rPr>
          <w:rFonts w:ascii="Times New Roman" w:hAnsi="Times New Roman"/>
        </w:rPr>
        <w:t xml:space="preserve">, </w:t>
      </w:r>
      <w:r w:rsidRPr="00FD139B">
        <w:rPr>
          <w:rFonts w:ascii="Times New Roman" w:hAnsi="Times New Roman"/>
          <w:i/>
          <w:iCs/>
        </w:rPr>
        <w:t>Economics of Education Review</w:t>
      </w:r>
      <w:r w:rsidRPr="00FD139B">
        <w:rPr>
          <w:rFonts w:ascii="Times New Roman" w:hAnsi="Times New Roman"/>
        </w:rPr>
        <w:t xml:space="preserve"> 20(3): 225-233.</w:t>
      </w:r>
    </w:p>
    <w:p w:rsidR="00937931" w:rsidRPr="00FD139B" w:rsidRDefault="00937931" w:rsidP="00FD139B">
      <w:pPr>
        <w:tabs>
          <w:tab w:val="left" w:pos="426"/>
        </w:tabs>
        <w:spacing w:after="0" w:line="240" w:lineRule="auto"/>
        <w:ind w:left="426" w:hanging="426"/>
        <w:contextualSpacing/>
        <w:jc w:val="both"/>
        <w:rPr>
          <w:rFonts w:ascii="Times New Roman" w:hAnsi="Times New Roman" w:cs="Times New Roman"/>
        </w:rPr>
      </w:pPr>
      <w:r w:rsidRPr="00FD139B">
        <w:rPr>
          <w:rFonts w:ascii="Times New Roman" w:hAnsi="Times New Roman" w:cs="Times New Roman"/>
        </w:rPr>
        <w:t xml:space="preserve">Gibson, John and David McKenzie (2010) </w:t>
      </w:r>
      <w:r w:rsidR="00BF616F" w:rsidRPr="00FD139B">
        <w:rPr>
          <w:rFonts w:ascii="Times New Roman" w:hAnsi="Times New Roman" w:cs="Times New Roman"/>
        </w:rPr>
        <w:t>‘</w:t>
      </w:r>
      <w:r w:rsidRPr="00FD139B">
        <w:rPr>
          <w:rFonts w:ascii="Times New Roman" w:hAnsi="Times New Roman" w:cs="Times New Roman"/>
        </w:rPr>
        <w:t>The Microeconomic Determinants of Emigration and Return Migration of the Best and Brightest: Evidence from the Pacific</w:t>
      </w:r>
      <w:r w:rsidR="00BF616F" w:rsidRPr="00FD139B">
        <w:rPr>
          <w:rFonts w:ascii="Times New Roman" w:hAnsi="Times New Roman" w:cs="Times New Roman"/>
        </w:rPr>
        <w:t>’</w:t>
      </w:r>
      <w:r w:rsidRPr="00FD139B">
        <w:rPr>
          <w:rFonts w:ascii="Times New Roman" w:hAnsi="Times New Roman" w:cs="Times New Roman"/>
        </w:rPr>
        <w:t xml:space="preserve">, </w:t>
      </w:r>
      <w:r w:rsidRPr="00FD139B">
        <w:rPr>
          <w:rFonts w:ascii="Times New Roman" w:hAnsi="Times New Roman" w:cs="Times New Roman"/>
          <w:i/>
        </w:rPr>
        <w:t>Journal of Development Economics</w:t>
      </w:r>
      <w:r w:rsidRPr="00FD139B">
        <w:rPr>
          <w:rFonts w:ascii="Times New Roman" w:hAnsi="Times New Roman" w:cs="Times New Roman"/>
        </w:rPr>
        <w:t>, forthcoming.</w:t>
      </w:r>
    </w:p>
    <w:p w:rsidR="00BE7B1F" w:rsidRPr="00FD139B" w:rsidRDefault="00BE7B1F" w:rsidP="00FD139B">
      <w:pPr>
        <w:tabs>
          <w:tab w:val="left" w:pos="426"/>
        </w:tabs>
        <w:spacing w:after="0" w:line="240" w:lineRule="auto"/>
        <w:ind w:left="426" w:hanging="426"/>
        <w:contextualSpacing/>
        <w:jc w:val="both"/>
        <w:rPr>
          <w:rFonts w:ascii="Times New Roman" w:hAnsi="Times New Roman" w:cs="Times New Roman"/>
        </w:rPr>
      </w:pPr>
      <w:r w:rsidRPr="00FD139B">
        <w:rPr>
          <w:rFonts w:ascii="Times New Roman" w:hAnsi="Times New Roman" w:cs="Times New Roman"/>
        </w:rPr>
        <w:t>Grogger, Jeffrey and Gordon Hanson (</w:t>
      </w:r>
      <w:r w:rsidR="00C35522" w:rsidRPr="00FD139B">
        <w:rPr>
          <w:rFonts w:ascii="Times New Roman" w:hAnsi="Times New Roman" w:cs="Times New Roman"/>
        </w:rPr>
        <w:t>2010</w:t>
      </w:r>
      <w:r w:rsidRPr="00FD139B">
        <w:rPr>
          <w:rFonts w:ascii="Times New Roman" w:hAnsi="Times New Roman" w:cs="Times New Roman"/>
        </w:rPr>
        <w:t xml:space="preserve">) </w:t>
      </w:r>
      <w:r w:rsidR="00BF616F" w:rsidRPr="00FD139B">
        <w:rPr>
          <w:rFonts w:ascii="Times New Roman" w:hAnsi="Times New Roman" w:cs="Times New Roman"/>
        </w:rPr>
        <w:t>‘</w:t>
      </w:r>
      <w:r w:rsidRPr="00FD139B">
        <w:rPr>
          <w:rFonts w:ascii="Times New Roman" w:hAnsi="Times New Roman" w:cs="Times New Roman"/>
        </w:rPr>
        <w:t>Income Maximization and the Selection and Sorting of International Migrants</w:t>
      </w:r>
      <w:r w:rsidR="00BF616F" w:rsidRPr="00FD139B">
        <w:rPr>
          <w:rFonts w:ascii="Times New Roman" w:hAnsi="Times New Roman" w:cs="Times New Roman"/>
        </w:rPr>
        <w:t>’</w:t>
      </w:r>
      <w:r w:rsidRPr="00FD139B">
        <w:rPr>
          <w:rFonts w:ascii="Times New Roman" w:hAnsi="Times New Roman" w:cs="Times New Roman"/>
        </w:rPr>
        <w:t xml:space="preserve">, </w:t>
      </w:r>
      <w:r w:rsidR="00C35522" w:rsidRPr="00FD139B">
        <w:rPr>
          <w:rFonts w:ascii="Times New Roman" w:hAnsi="Times New Roman" w:cs="Times New Roman"/>
          <w:i/>
        </w:rPr>
        <w:t>Journal of Development Economics</w:t>
      </w:r>
      <w:r w:rsidR="00C35522" w:rsidRPr="00FD139B">
        <w:rPr>
          <w:rFonts w:ascii="Times New Roman" w:hAnsi="Times New Roman" w:cs="Times New Roman"/>
        </w:rPr>
        <w:t>, forthcoming</w:t>
      </w:r>
    </w:p>
    <w:p w:rsidR="00EC29EC" w:rsidRPr="00FD139B" w:rsidRDefault="00EC29EC" w:rsidP="00FD139B">
      <w:pPr>
        <w:tabs>
          <w:tab w:val="left" w:pos="426"/>
        </w:tabs>
        <w:spacing w:after="0" w:line="240" w:lineRule="auto"/>
        <w:ind w:left="426" w:hanging="426"/>
        <w:contextualSpacing/>
        <w:jc w:val="both"/>
        <w:rPr>
          <w:rFonts w:ascii="Times New Roman" w:hAnsi="Times New Roman" w:cs="Times New Roman"/>
        </w:rPr>
      </w:pPr>
      <w:r w:rsidRPr="00FD139B">
        <w:rPr>
          <w:rFonts w:ascii="Times New Roman" w:hAnsi="Times New Roman" w:cs="Times New Roman"/>
        </w:rPr>
        <w:t xml:space="preserve">Grubel, Herbert B and Anthony D. Scott (1966) </w:t>
      </w:r>
      <w:r w:rsidR="00BF616F" w:rsidRPr="00FD139B">
        <w:rPr>
          <w:rFonts w:ascii="Times New Roman" w:hAnsi="Times New Roman" w:cs="Times New Roman"/>
        </w:rPr>
        <w:t>‘</w:t>
      </w:r>
      <w:r w:rsidRPr="00FD139B">
        <w:rPr>
          <w:rFonts w:ascii="Times New Roman" w:hAnsi="Times New Roman" w:cs="Times New Roman"/>
        </w:rPr>
        <w:t>The International Flow of Human Capital</w:t>
      </w:r>
      <w:r w:rsidR="00BF616F" w:rsidRPr="00FD139B">
        <w:rPr>
          <w:rFonts w:ascii="Times New Roman" w:hAnsi="Times New Roman" w:cs="Times New Roman"/>
        </w:rPr>
        <w:t>’</w:t>
      </w:r>
      <w:r w:rsidRPr="00FD139B">
        <w:rPr>
          <w:rFonts w:ascii="Times New Roman" w:hAnsi="Times New Roman" w:cs="Times New Roman"/>
        </w:rPr>
        <w:t xml:space="preserve">, </w:t>
      </w:r>
      <w:r w:rsidRPr="00FD139B">
        <w:rPr>
          <w:rFonts w:ascii="Times New Roman" w:hAnsi="Times New Roman" w:cs="Times New Roman"/>
          <w:i/>
        </w:rPr>
        <w:t>American Economic Review</w:t>
      </w:r>
      <w:r w:rsidRPr="00FD139B">
        <w:rPr>
          <w:rFonts w:ascii="Times New Roman" w:hAnsi="Times New Roman" w:cs="Times New Roman"/>
        </w:rPr>
        <w:t xml:space="preserve"> 56(1-2): 268-74.</w:t>
      </w:r>
    </w:p>
    <w:p w:rsidR="00402AEB" w:rsidRPr="00FD139B" w:rsidRDefault="00402AEB" w:rsidP="00FD139B">
      <w:pPr>
        <w:tabs>
          <w:tab w:val="left" w:pos="426"/>
        </w:tabs>
        <w:spacing w:after="0" w:line="240" w:lineRule="auto"/>
        <w:ind w:left="426" w:hanging="426"/>
        <w:contextualSpacing/>
        <w:jc w:val="both"/>
        <w:rPr>
          <w:rFonts w:ascii="Times New Roman" w:hAnsi="Times New Roman" w:cs="Times New Roman"/>
        </w:rPr>
      </w:pPr>
      <w:r w:rsidRPr="00FD139B">
        <w:rPr>
          <w:rFonts w:ascii="Times New Roman" w:hAnsi="Times New Roman" w:cs="Times New Roman"/>
        </w:rPr>
        <w:t xml:space="preserve">Gundel, Sebastian and Heiko Peters (2008) </w:t>
      </w:r>
      <w:r w:rsidR="00BF616F" w:rsidRPr="00FD139B">
        <w:rPr>
          <w:rFonts w:ascii="Times New Roman" w:hAnsi="Times New Roman" w:cs="Times New Roman"/>
        </w:rPr>
        <w:t>‘</w:t>
      </w:r>
      <w:r w:rsidRPr="00FD139B">
        <w:rPr>
          <w:rFonts w:ascii="Times New Roman" w:hAnsi="Times New Roman" w:cs="Times New Roman"/>
        </w:rPr>
        <w:t>What determines the duration of stay of immigrants in Germany?: Evidence from a longitudinal duration analysis</w:t>
      </w:r>
      <w:r w:rsidR="00BF616F" w:rsidRPr="00FD139B">
        <w:rPr>
          <w:rFonts w:ascii="Times New Roman" w:hAnsi="Times New Roman" w:cs="Times New Roman"/>
        </w:rPr>
        <w:t>’</w:t>
      </w:r>
      <w:r w:rsidRPr="00FD139B">
        <w:rPr>
          <w:rFonts w:ascii="Times New Roman" w:hAnsi="Times New Roman" w:cs="Times New Roman"/>
        </w:rPr>
        <w:t xml:space="preserve">, </w:t>
      </w:r>
      <w:r w:rsidRPr="00FD139B">
        <w:rPr>
          <w:rFonts w:ascii="Times New Roman" w:hAnsi="Times New Roman" w:cs="Times New Roman"/>
          <w:i/>
        </w:rPr>
        <w:t xml:space="preserve">International Journal of Social Economics </w:t>
      </w:r>
      <w:r w:rsidRPr="00FD139B">
        <w:rPr>
          <w:rFonts w:ascii="Times New Roman" w:hAnsi="Times New Roman" w:cs="Times New Roman"/>
        </w:rPr>
        <w:t>35(11): 769-82.</w:t>
      </w:r>
    </w:p>
    <w:p w:rsidR="00FC2020" w:rsidRPr="00FD139B" w:rsidRDefault="00FC2020" w:rsidP="00FD139B">
      <w:pPr>
        <w:tabs>
          <w:tab w:val="left" w:pos="426"/>
        </w:tabs>
        <w:spacing w:after="0" w:line="240" w:lineRule="auto"/>
        <w:ind w:left="426" w:hanging="426"/>
        <w:contextualSpacing/>
        <w:rPr>
          <w:rFonts w:ascii="Times New Roman" w:hAnsi="Times New Roman"/>
        </w:rPr>
      </w:pPr>
      <w:r w:rsidRPr="00FD139B">
        <w:rPr>
          <w:rFonts w:ascii="Times New Roman" w:hAnsi="Times New Roman"/>
          <w:spacing w:val="-3"/>
        </w:rPr>
        <w:t xml:space="preserve">Haveman, Robert and Barbara Wolfe (1984) </w:t>
      </w:r>
      <w:r w:rsidR="00BF616F" w:rsidRPr="00FD139B">
        <w:rPr>
          <w:rFonts w:ascii="Times New Roman" w:hAnsi="Times New Roman"/>
          <w:spacing w:val="-3"/>
        </w:rPr>
        <w:t>‘</w:t>
      </w:r>
      <w:r w:rsidRPr="00FD139B">
        <w:rPr>
          <w:rFonts w:ascii="Times New Roman" w:hAnsi="Times New Roman"/>
          <w:spacing w:val="-3"/>
        </w:rPr>
        <w:t>Schooling and economic well-being: the role of nonmarket effects</w:t>
      </w:r>
      <w:r w:rsidR="00BF616F" w:rsidRPr="00FD139B">
        <w:rPr>
          <w:rFonts w:ascii="Times New Roman" w:hAnsi="Times New Roman"/>
          <w:spacing w:val="-3"/>
        </w:rPr>
        <w:t>’</w:t>
      </w:r>
      <w:r w:rsidRPr="00FD139B">
        <w:rPr>
          <w:rFonts w:ascii="Times New Roman" w:hAnsi="Times New Roman"/>
          <w:spacing w:val="-3"/>
        </w:rPr>
        <w:t xml:space="preserve">, </w:t>
      </w:r>
      <w:r w:rsidRPr="00FD139B">
        <w:rPr>
          <w:rFonts w:ascii="Times New Roman" w:hAnsi="Times New Roman"/>
          <w:i/>
          <w:spacing w:val="-3"/>
        </w:rPr>
        <w:t>Journal of Human Resources</w:t>
      </w:r>
      <w:r w:rsidRPr="00FD139B">
        <w:rPr>
          <w:rFonts w:ascii="Times New Roman" w:hAnsi="Times New Roman"/>
          <w:spacing w:val="-3"/>
        </w:rPr>
        <w:t xml:space="preserve"> 19(3): 377-407.</w:t>
      </w:r>
    </w:p>
    <w:p w:rsidR="00921A0F" w:rsidRPr="00FD139B" w:rsidRDefault="00D931CF" w:rsidP="00FD139B">
      <w:pPr>
        <w:tabs>
          <w:tab w:val="left" w:pos="426"/>
        </w:tabs>
        <w:spacing w:after="0" w:line="240" w:lineRule="auto"/>
        <w:ind w:left="426" w:hanging="426"/>
        <w:contextualSpacing/>
        <w:jc w:val="both"/>
        <w:rPr>
          <w:rFonts w:ascii="Times New Roman" w:hAnsi="Times New Roman" w:cs="Times New Roman"/>
          <w:color w:val="000000"/>
        </w:rPr>
      </w:pPr>
      <w:r w:rsidRPr="00FD139B">
        <w:rPr>
          <w:rFonts w:ascii="Times New Roman" w:hAnsi="Times New Roman" w:cs="Times New Roman"/>
        </w:rPr>
        <w:t xml:space="preserve">Hunter, Rosalind, Andrew Oswald, and Bruce Charlton (2009) </w:t>
      </w:r>
      <w:r w:rsidR="00BF616F" w:rsidRPr="00FD139B">
        <w:rPr>
          <w:rFonts w:ascii="Times New Roman" w:hAnsi="Times New Roman" w:cs="Times New Roman"/>
        </w:rPr>
        <w:t>‘</w:t>
      </w:r>
      <w:r w:rsidRPr="00FD139B">
        <w:rPr>
          <w:rFonts w:ascii="Times New Roman" w:hAnsi="Times New Roman" w:cs="Times New Roman"/>
        </w:rPr>
        <w:t>The Elite Brain Drain</w:t>
      </w:r>
      <w:r w:rsidR="00BF616F" w:rsidRPr="00FD139B">
        <w:rPr>
          <w:rFonts w:ascii="Times New Roman" w:hAnsi="Times New Roman" w:cs="Times New Roman"/>
        </w:rPr>
        <w:t>’</w:t>
      </w:r>
      <w:r w:rsidRPr="00FD139B">
        <w:rPr>
          <w:rFonts w:ascii="Times New Roman" w:hAnsi="Times New Roman" w:cs="Times New Roman"/>
        </w:rPr>
        <w:t xml:space="preserve">, </w:t>
      </w:r>
      <w:r w:rsidRPr="00FD139B">
        <w:rPr>
          <w:rFonts w:ascii="Times New Roman" w:hAnsi="Times New Roman" w:cs="Times New Roman"/>
          <w:i/>
        </w:rPr>
        <w:t xml:space="preserve">The Economic Journal </w:t>
      </w:r>
      <w:r w:rsidRPr="00FD139B">
        <w:rPr>
          <w:rFonts w:ascii="Times New Roman" w:hAnsi="Times New Roman" w:cs="Times New Roman"/>
        </w:rPr>
        <w:t xml:space="preserve">119(538): </w:t>
      </w:r>
      <w:r w:rsidR="00E25EE1" w:rsidRPr="00FD139B">
        <w:rPr>
          <w:rFonts w:ascii="Times New Roman" w:hAnsi="Times New Roman" w:cs="Times New Roman"/>
          <w:color w:val="000000"/>
        </w:rPr>
        <w:t>F231-51</w:t>
      </w:r>
    </w:p>
    <w:p w:rsidR="000B7FC8" w:rsidRPr="00FD139B" w:rsidRDefault="000B7FC8" w:rsidP="00FD139B">
      <w:pPr>
        <w:tabs>
          <w:tab w:val="left" w:pos="426"/>
        </w:tabs>
        <w:spacing w:after="0" w:line="240" w:lineRule="auto"/>
        <w:ind w:left="426" w:hanging="426"/>
        <w:contextualSpacing/>
        <w:jc w:val="both"/>
        <w:rPr>
          <w:rFonts w:ascii="Times New Roman" w:hAnsi="Times New Roman" w:cs="Times New Roman"/>
          <w:color w:val="000000"/>
        </w:rPr>
      </w:pPr>
      <w:r w:rsidRPr="00FD139B">
        <w:rPr>
          <w:rFonts w:ascii="Times New Roman" w:hAnsi="Times New Roman" w:cs="Times New Roman"/>
          <w:color w:val="000000"/>
        </w:rPr>
        <w:t xml:space="preserve">International Comparison Program (2008) </w:t>
      </w:r>
      <w:r w:rsidRPr="00FD139B">
        <w:rPr>
          <w:rFonts w:ascii="Times New Roman" w:hAnsi="Times New Roman" w:cs="Times New Roman"/>
          <w:i/>
          <w:iCs/>
        </w:rPr>
        <w:t xml:space="preserve">Global Purchasing Power Parities and Real Expenditure: 2005 International Comparison Program. </w:t>
      </w:r>
      <w:r w:rsidRPr="00FD139B">
        <w:rPr>
          <w:rFonts w:ascii="Times New Roman" w:hAnsi="Times New Roman" w:cs="Times New Roman"/>
        </w:rPr>
        <w:t>The World Bank: Washington, D.C.</w:t>
      </w:r>
    </w:p>
    <w:p w:rsidR="00591F16" w:rsidRPr="00FD139B" w:rsidRDefault="00591F16" w:rsidP="00FD139B">
      <w:pPr>
        <w:tabs>
          <w:tab w:val="left" w:pos="426"/>
        </w:tabs>
        <w:spacing w:after="0" w:line="240" w:lineRule="auto"/>
        <w:ind w:left="426" w:hanging="426"/>
        <w:contextualSpacing/>
        <w:jc w:val="both"/>
        <w:rPr>
          <w:rFonts w:ascii="Times New Roman" w:hAnsi="Times New Roman" w:cs="Times New Roman"/>
          <w:b/>
        </w:rPr>
      </w:pPr>
      <w:r w:rsidRPr="00FD139B">
        <w:rPr>
          <w:rFonts w:ascii="Times New Roman" w:hAnsi="Times New Roman" w:cs="Times New Roman"/>
        </w:rPr>
        <w:t>Javorcik, Beata, Çaglar Özden, Mariana Spatareanu and Cristina Neagu (20</w:t>
      </w:r>
      <w:r w:rsidR="00B0450B" w:rsidRPr="00FD139B">
        <w:rPr>
          <w:rFonts w:ascii="Times New Roman" w:hAnsi="Times New Roman" w:cs="Times New Roman"/>
        </w:rPr>
        <w:t>10</w:t>
      </w:r>
      <w:r w:rsidRPr="00FD139B">
        <w:rPr>
          <w:rFonts w:ascii="Times New Roman" w:hAnsi="Times New Roman" w:cs="Times New Roman"/>
        </w:rPr>
        <w:t xml:space="preserve">) </w:t>
      </w:r>
      <w:r w:rsidR="00BF616F" w:rsidRPr="00FD139B">
        <w:rPr>
          <w:rFonts w:ascii="Times New Roman" w:hAnsi="Times New Roman" w:cs="Times New Roman"/>
        </w:rPr>
        <w:t>‘</w:t>
      </w:r>
      <w:r w:rsidRPr="00FD139B">
        <w:rPr>
          <w:rFonts w:ascii="Times New Roman" w:hAnsi="Times New Roman" w:cs="Times New Roman"/>
        </w:rPr>
        <w:t>Migrant Networks and Foreign Direct Investment</w:t>
      </w:r>
      <w:r w:rsidR="00BF616F" w:rsidRPr="00FD139B">
        <w:rPr>
          <w:rFonts w:ascii="Times New Roman" w:hAnsi="Times New Roman" w:cs="Times New Roman"/>
        </w:rPr>
        <w:t>’</w:t>
      </w:r>
      <w:r w:rsidRPr="00FD139B">
        <w:rPr>
          <w:rFonts w:ascii="Times New Roman" w:hAnsi="Times New Roman" w:cs="Times New Roman"/>
        </w:rPr>
        <w:t xml:space="preserve">, </w:t>
      </w:r>
      <w:r w:rsidR="00B0450B" w:rsidRPr="00FD139B">
        <w:rPr>
          <w:rFonts w:ascii="Times New Roman" w:hAnsi="Times New Roman" w:cs="Times New Roman"/>
          <w:i/>
        </w:rPr>
        <w:t>Journal of Development Economics</w:t>
      </w:r>
      <w:r w:rsidR="00B0450B" w:rsidRPr="00FD139B">
        <w:rPr>
          <w:rFonts w:ascii="Times New Roman" w:hAnsi="Times New Roman" w:cs="Times New Roman"/>
        </w:rPr>
        <w:t>, forthcoming</w:t>
      </w:r>
      <w:r w:rsidRPr="00FD139B">
        <w:rPr>
          <w:rFonts w:ascii="Times New Roman" w:hAnsi="Times New Roman" w:cs="Times New Roman"/>
          <w:i/>
        </w:rPr>
        <w:t>.</w:t>
      </w:r>
      <w:r w:rsidRPr="00FD139B">
        <w:rPr>
          <w:rFonts w:ascii="Times New Roman" w:hAnsi="Times New Roman" w:cs="Times New Roman"/>
          <w:b/>
        </w:rPr>
        <w:t xml:space="preserve"> </w:t>
      </w:r>
    </w:p>
    <w:p w:rsidR="001D1B4E" w:rsidRPr="00FD139B" w:rsidRDefault="001D1B4E" w:rsidP="00FD139B">
      <w:pPr>
        <w:tabs>
          <w:tab w:val="left" w:pos="426"/>
        </w:tabs>
        <w:spacing w:after="0" w:line="240" w:lineRule="auto"/>
        <w:ind w:left="426" w:hanging="426"/>
        <w:contextualSpacing/>
        <w:jc w:val="both"/>
        <w:rPr>
          <w:rFonts w:ascii="Times New Roman" w:hAnsi="Times New Roman" w:cs="Times New Roman"/>
          <w:color w:val="000000"/>
        </w:rPr>
      </w:pPr>
      <w:r w:rsidRPr="00FD139B">
        <w:rPr>
          <w:rFonts w:ascii="Times New Roman" w:hAnsi="Times New Roman" w:cs="Times New Roman"/>
          <w:color w:val="000000"/>
        </w:rPr>
        <w:t xml:space="preserve">Johnson, Harry </w:t>
      </w:r>
      <w:r w:rsidR="00574905" w:rsidRPr="00FD139B">
        <w:rPr>
          <w:rFonts w:ascii="Times New Roman" w:hAnsi="Times New Roman" w:cs="Times New Roman"/>
          <w:color w:val="000000"/>
        </w:rPr>
        <w:t>(</w:t>
      </w:r>
      <w:r w:rsidRPr="00FD139B">
        <w:rPr>
          <w:rFonts w:ascii="Times New Roman" w:hAnsi="Times New Roman" w:cs="Times New Roman"/>
          <w:color w:val="000000"/>
        </w:rPr>
        <w:t>1967</w:t>
      </w:r>
      <w:r w:rsidR="00574905" w:rsidRPr="00FD139B">
        <w:rPr>
          <w:rFonts w:ascii="Times New Roman" w:hAnsi="Times New Roman" w:cs="Times New Roman"/>
          <w:color w:val="000000"/>
        </w:rPr>
        <w:t>)</w:t>
      </w:r>
      <w:r w:rsidRPr="00FD139B">
        <w:rPr>
          <w:rFonts w:ascii="Times New Roman" w:hAnsi="Times New Roman" w:cs="Times New Roman"/>
          <w:color w:val="000000"/>
        </w:rPr>
        <w:t xml:space="preserve">. </w:t>
      </w:r>
      <w:r w:rsidR="00BF616F" w:rsidRPr="00FD139B">
        <w:rPr>
          <w:rFonts w:ascii="Times New Roman" w:hAnsi="Times New Roman" w:cs="Times New Roman"/>
          <w:color w:val="000000"/>
        </w:rPr>
        <w:t>‘</w:t>
      </w:r>
      <w:r w:rsidRPr="00FD139B">
        <w:rPr>
          <w:rFonts w:ascii="Times New Roman" w:hAnsi="Times New Roman" w:cs="Times New Roman"/>
          <w:color w:val="000000"/>
        </w:rPr>
        <w:t>Some Economic Aspects of the Brain Drain.</w:t>
      </w:r>
      <w:r w:rsidR="00BF616F" w:rsidRPr="00FD139B">
        <w:rPr>
          <w:rFonts w:ascii="Times New Roman" w:hAnsi="Times New Roman" w:cs="Times New Roman"/>
          <w:color w:val="000000"/>
        </w:rPr>
        <w:t>’</w:t>
      </w:r>
      <w:r w:rsidRPr="00FD139B">
        <w:rPr>
          <w:rFonts w:ascii="Times New Roman" w:hAnsi="Times New Roman" w:cs="Times New Roman"/>
          <w:color w:val="000000"/>
        </w:rPr>
        <w:t xml:space="preserve"> </w:t>
      </w:r>
      <w:r w:rsidRPr="00FD139B">
        <w:rPr>
          <w:rFonts w:ascii="Times New Roman" w:hAnsi="Times New Roman" w:cs="Times New Roman"/>
          <w:i/>
          <w:color w:val="000000"/>
        </w:rPr>
        <w:t>Pakistan Development Review</w:t>
      </w:r>
      <w:r w:rsidRPr="00FD139B">
        <w:rPr>
          <w:rFonts w:ascii="Times New Roman" w:hAnsi="Times New Roman" w:cs="Times New Roman"/>
          <w:color w:val="000000"/>
        </w:rPr>
        <w:t xml:space="preserve"> 7(3): 379–411.</w:t>
      </w:r>
    </w:p>
    <w:p w:rsidR="001F2E69" w:rsidRPr="00FD139B" w:rsidRDefault="001F2E69" w:rsidP="00FD139B">
      <w:pPr>
        <w:tabs>
          <w:tab w:val="left" w:pos="426"/>
        </w:tabs>
        <w:spacing w:after="0" w:line="240" w:lineRule="auto"/>
        <w:ind w:left="426" w:hanging="426"/>
        <w:contextualSpacing/>
        <w:jc w:val="both"/>
        <w:rPr>
          <w:rFonts w:ascii="Times New Roman" w:hAnsi="Times New Roman" w:cs="Times New Roman"/>
        </w:rPr>
      </w:pPr>
      <w:r w:rsidRPr="00FD139B">
        <w:rPr>
          <w:rFonts w:ascii="Times New Roman" w:hAnsi="Times New Roman" w:cs="Times New Roman"/>
        </w:rPr>
        <w:lastRenderedPageBreak/>
        <w:t xml:space="preserve">Kapur, Devesh and John McHale (2005) </w:t>
      </w:r>
      <w:r w:rsidRPr="00FD139B">
        <w:rPr>
          <w:rFonts w:ascii="Times New Roman" w:hAnsi="Times New Roman" w:cs="Times New Roman"/>
          <w:i/>
        </w:rPr>
        <w:t>Give us your best and brightest: The global hunt for talent and its impact on the developing world</w:t>
      </w:r>
      <w:r w:rsidRPr="00FD139B">
        <w:rPr>
          <w:rFonts w:ascii="Times New Roman" w:hAnsi="Times New Roman" w:cs="Times New Roman"/>
        </w:rPr>
        <w:t>, Center for Global Development: Washington, DC.</w:t>
      </w:r>
    </w:p>
    <w:p w:rsidR="00284846" w:rsidRPr="00FD139B" w:rsidRDefault="00284846" w:rsidP="00FD139B">
      <w:pPr>
        <w:tabs>
          <w:tab w:val="left" w:pos="426"/>
        </w:tabs>
        <w:spacing w:after="0" w:line="240" w:lineRule="auto"/>
        <w:ind w:left="426" w:hanging="426"/>
        <w:contextualSpacing/>
        <w:jc w:val="both"/>
        <w:rPr>
          <w:rFonts w:ascii="Times New Roman" w:hAnsi="Times New Roman"/>
        </w:rPr>
      </w:pPr>
      <w:r w:rsidRPr="00FD139B">
        <w:rPr>
          <w:rFonts w:ascii="Times New Roman" w:hAnsi="Times New Roman"/>
        </w:rPr>
        <w:t xml:space="preserve">Kaur, Supreet, Michael Kremer and Sendhil Mullainathan, (2010) </w:t>
      </w:r>
      <w:r w:rsidR="00BF616F" w:rsidRPr="00FD139B">
        <w:rPr>
          <w:rFonts w:ascii="Times New Roman" w:hAnsi="Times New Roman"/>
        </w:rPr>
        <w:t>‘</w:t>
      </w:r>
      <w:r w:rsidRPr="00FD139B">
        <w:rPr>
          <w:rFonts w:ascii="Times New Roman" w:hAnsi="Times New Roman"/>
        </w:rPr>
        <w:t>Self-control and the development of work arrangements</w:t>
      </w:r>
      <w:r w:rsidR="00BF616F" w:rsidRPr="00FD139B">
        <w:rPr>
          <w:rFonts w:ascii="Times New Roman" w:hAnsi="Times New Roman"/>
        </w:rPr>
        <w:t>’</w:t>
      </w:r>
      <w:r w:rsidRPr="00FD139B">
        <w:rPr>
          <w:rFonts w:ascii="Times New Roman" w:hAnsi="Times New Roman"/>
        </w:rPr>
        <w:t xml:space="preserve">, </w:t>
      </w:r>
      <w:r w:rsidRPr="00FD139B">
        <w:rPr>
          <w:rFonts w:ascii="Times New Roman" w:hAnsi="Times New Roman"/>
          <w:i/>
        </w:rPr>
        <w:t>American Economic Review Papers and Proceedings</w:t>
      </w:r>
      <w:r w:rsidRPr="00FD139B">
        <w:rPr>
          <w:rFonts w:ascii="Times New Roman" w:hAnsi="Times New Roman"/>
        </w:rPr>
        <w:t xml:space="preserve"> May 2010, forthcoming.</w:t>
      </w:r>
    </w:p>
    <w:p w:rsidR="00926B7A" w:rsidRPr="00FD139B" w:rsidRDefault="00926B7A" w:rsidP="00FD139B">
      <w:pPr>
        <w:tabs>
          <w:tab w:val="left" w:pos="426"/>
        </w:tabs>
        <w:spacing w:after="0" w:line="240" w:lineRule="auto"/>
        <w:ind w:left="426" w:hanging="426"/>
        <w:contextualSpacing/>
        <w:jc w:val="both"/>
        <w:rPr>
          <w:rFonts w:ascii="Times New Roman" w:hAnsi="Times New Roman"/>
        </w:rPr>
      </w:pPr>
      <w:r w:rsidRPr="00FD139B">
        <w:rPr>
          <w:rFonts w:ascii="Times New Roman" w:hAnsi="Times New Roman"/>
        </w:rPr>
        <w:t xml:space="preserve">Kerr, William (2008) </w:t>
      </w:r>
      <w:r w:rsidR="00BF616F" w:rsidRPr="00FD139B">
        <w:rPr>
          <w:rFonts w:ascii="Times New Roman" w:hAnsi="Times New Roman"/>
        </w:rPr>
        <w:t>‘</w:t>
      </w:r>
      <w:r w:rsidRPr="00FD139B">
        <w:rPr>
          <w:rFonts w:ascii="Times New Roman" w:hAnsi="Times New Roman"/>
        </w:rPr>
        <w:t>Ethnic Scientific Communities and International Technology Diffusion</w:t>
      </w:r>
      <w:r w:rsidR="00BF616F" w:rsidRPr="00FD139B">
        <w:rPr>
          <w:rFonts w:ascii="Times New Roman" w:hAnsi="Times New Roman"/>
        </w:rPr>
        <w:t>’</w:t>
      </w:r>
      <w:r w:rsidRPr="00FD139B">
        <w:rPr>
          <w:rFonts w:ascii="Times New Roman" w:hAnsi="Times New Roman"/>
        </w:rPr>
        <w:t xml:space="preserve">, </w:t>
      </w:r>
      <w:r w:rsidRPr="00FD139B">
        <w:rPr>
          <w:rFonts w:ascii="Times New Roman" w:hAnsi="Times New Roman"/>
          <w:i/>
        </w:rPr>
        <w:t xml:space="preserve">Review of Economics and Statistics </w:t>
      </w:r>
      <w:r w:rsidRPr="00FD139B">
        <w:rPr>
          <w:rFonts w:ascii="Times New Roman" w:hAnsi="Times New Roman"/>
        </w:rPr>
        <w:t>90(3): 518-37.</w:t>
      </w:r>
    </w:p>
    <w:p w:rsidR="009606F9" w:rsidRPr="00FD139B" w:rsidRDefault="00921A0F" w:rsidP="00FD139B">
      <w:pPr>
        <w:tabs>
          <w:tab w:val="left" w:pos="426"/>
        </w:tabs>
        <w:spacing w:after="0" w:line="240" w:lineRule="auto"/>
        <w:ind w:left="426" w:hanging="426"/>
        <w:contextualSpacing/>
        <w:jc w:val="both"/>
        <w:rPr>
          <w:rFonts w:ascii="Times New Roman" w:hAnsi="Times New Roman" w:cs="Times New Roman"/>
        </w:rPr>
      </w:pPr>
      <w:r w:rsidRPr="00FD139B">
        <w:rPr>
          <w:rFonts w:ascii="Times New Roman" w:hAnsi="Times New Roman" w:cs="Times New Roman"/>
        </w:rPr>
        <w:t>Kugler, Maurice and Hillel Rapoport (2005)</w:t>
      </w:r>
      <w:r w:rsidR="009606F9" w:rsidRPr="00FD139B">
        <w:rPr>
          <w:rFonts w:ascii="Times New Roman" w:hAnsi="Times New Roman" w:cs="Times New Roman"/>
        </w:rPr>
        <w:t xml:space="preserve"> </w:t>
      </w:r>
      <w:r w:rsidR="00BF616F" w:rsidRPr="00FD139B">
        <w:rPr>
          <w:rFonts w:ascii="Times New Roman" w:hAnsi="Times New Roman" w:cs="Times New Roman"/>
        </w:rPr>
        <w:t>‘</w:t>
      </w:r>
      <w:r w:rsidR="009606F9" w:rsidRPr="00FD139B">
        <w:rPr>
          <w:rFonts w:ascii="Times New Roman" w:hAnsi="Times New Roman" w:cs="Times New Roman"/>
        </w:rPr>
        <w:t>International Labor and Capital Flows: Complements or Substitutes</w:t>
      </w:r>
      <w:r w:rsidR="00BF616F" w:rsidRPr="00FD139B">
        <w:rPr>
          <w:rFonts w:ascii="Times New Roman" w:hAnsi="Times New Roman" w:cs="Times New Roman"/>
        </w:rPr>
        <w:t>’</w:t>
      </w:r>
      <w:r w:rsidR="009606F9" w:rsidRPr="00FD139B">
        <w:rPr>
          <w:rFonts w:ascii="Times New Roman" w:hAnsi="Times New Roman" w:cs="Times New Roman"/>
        </w:rPr>
        <w:t xml:space="preserve">, </w:t>
      </w:r>
      <w:r w:rsidR="009606F9" w:rsidRPr="00FD139B">
        <w:rPr>
          <w:rFonts w:ascii="Times New Roman" w:hAnsi="Times New Roman" w:cs="Times New Roman"/>
          <w:i/>
        </w:rPr>
        <w:t>Economic</w:t>
      </w:r>
      <w:r w:rsidR="005A7A60" w:rsidRPr="00FD139B">
        <w:rPr>
          <w:rFonts w:ascii="Times New Roman" w:hAnsi="Times New Roman" w:cs="Times New Roman"/>
          <w:i/>
        </w:rPr>
        <w:t>s</w:t>
      </w:r>
      <w:r w:rsidR="009606F9" w:rsidRPr="00FD139B">
        <w:rPr>
          <w:rFonts w:ascii="Times New Roman" w:hAnsi="Times New Roman" w:cs="Times New Roman"/>
          <w:i/>
        </w:rPr>
        <w:t xml:space="preserve"> Letters </w:t>
      </w:r>
      <w:r w:rsidR="009606F9" w:rsidRPr="00FD139B">
        <w:rPr>
          <w:rFonts w:ascii="Times New Roman" w:hAnsi="Times New Roman" w:cs="Times New Roman"/>
        </w:rPr>
        <w:t>92(2): 155-62.</w:t>
      </w:r>
    </w:p>
    <w:p w:rsidR="00E9124E" w:rsidRPr="00FD139B" w:rsidRDefault="00E9124E" w:rsidP="00FD139B">
      <w:pPr>
        <w:tabs>
          <w:tab w:val="left" w:pos="426"/>
        </w:tabs>
        <w:spacing w:after="0" w:line="240" w:lineRule="auto"/>
        <w:ind w:left="426" w:hanging="426"/>
        <w:contextualSpacing/>
        <w:rPr>
          <w:rFonts w:ascii="Times New Roman" w:hAnsi="Times New Roman"/>
        </w:rPr>
      </w:pPr>
      <w:r w:rsidRPr="00FD139B">
        <w:rPr>
          <w:rFonts w:ascii="Times New Roman" w:hAnsi="Times New Roman"/>
        </w:rPr>
        <w:t xml:space="preserve">Mas, Alexandre and Enrico Moretti (2009) </w:t>
      </w:r>
      <w:r w:rsidR="00BF616F" w:rsidRPr="00FD139B">
        <w:rPr>
          <w:rFonts w:ascii="Times New Roman" w:hAnsi="Times New Roman"/>
        </w:rPr>
        <w:t>‘</w:t>
      </w:r>
      <w:r w:rsidRPr="00FD139B">
        <w:rPr>
          <w:rFonts w:ascii="Times New Roman" w:hAnsi="Times New Roman"/>
        </w:rPr>
        <w:t>Peers at work</w:t>
      </w:r>
      <w:r w:rsidR="00BF616F" w:rsidRPr="00FD139B">
        <w:rPr>
          <w:rFonts w:ascii="Times New Roman" w:hAnsi="Times New Roman"/>
        </w:rPr>
        <w:t>’</w:t>
      </w:r>
      <w:r w:rsidRPr="00FD139B">
        <w:rPr>
          <w:rFonts w:ascii="Times New Roman" w:hAnsi="Times New Roman"/>
        </w:rPr>
        <w:t xml:space="preserve">, </w:t>
      </w:r>
      <w:r w:rsidRPr="00FD139B">
        <w:rPr>
          <w:rFonts w:ascii="Times New Roman" w:hAnsi="Times New Roman"/>
          <w:i/>
        </w:rPr>
        <w:t>American Economic Review</w:t>
      </w:r>
      <w:r w:rsidRPr="00FD139B">
        <w:rPr>
          <w:rFonts w:ascii="Times New Roman" w:hAnsi="Times New Roman"/>
        </w:rPr>
        <w:t xml:space="preserve"> 99(1): 112-145.</w:t>
      </w:r>
    </w:p>
    <w:p w:rsidR="001D53CA" w:rsidRPr="00FD139B" w:rsidRDefault="001D53CA" w:rsidP="00FD139B">
      <w:pPr>
        <w:tabs>
          <w:tab w:val="left" w:pos="426"/>
        </w:tabs>
        <w:spacing w:after="0" w:line="240" w:lineRule="auto"/>
        <w:ind w:left="426" w:hanging="426"/>
        <w:contextualSpacing/>
        <w:jc w:val="both"/>
        <w:rPr>
          <w:rFonts w:ascii="Times New Roman" w:hAnsi="Times New Roman" w:cs="Times New Roman"/>
        </w:rPr>
      </w:pPr>
      <w:r w:rsidRPr="00FD139B">
        <w:rPr>
          <w:rFonts w:ascii="Times New Roman" w:hAnsi="Times New Roman" w:cs="Times New Roman"/>
        </w:rPr>
        <w:t xml:space="preserve">Mesnard, Alice (2004) </w:t>
      </w:r>
      <w:r w:rsidR="00BF616F" w:rsidRPr="00FD139B">
        <w:rPr>
          <w:rFonts w:ascii="Times New Roman" w:hAnsi="Times New Roman" w:cs="Times New Roman"/>
        </w:rPr>
        <w:t>‘</w:t>
      </w:r>
      <w:r w:rsidRPr="00FD139B">
        <w:rPr>
          <w:rFonts w:ascii="Times New Roman" w:hAnsi="Times New Roman" w:cs="Times New Roman"/>
        </w:rPr>
        <w:t>Temporary migration and Capital Market Imperfections</w:t>
      </w:r>
      <w:r w:rsidR="00BF616F" w:rsidRPr="00FD139B">
        <w:rPr>
          <w:rFonts w:ascii="Times New Roman" w:hAnsi="Times New Roman" w:cs="Times New Roman"/>
        </w:rPr>
        <w:t>’</w:t>
      </w:r>
      <w:r w:rsidRPr="00FD139B">
        <w:rPr>
          <w:rFonts w:ascii="Times New Roman" w:hAnsi="Times New Roman" w:cs="Times New Roman"/>
        </w:rPr>
        <w:t xml:space="preserve">, </w:t>
      </w:r>
      <w:r w:rsidRPr="00FD139B">
        <w:rPr>
          <w:rFonts w:ascii="Times New Roman" w:hAnsi="Times New Roman" w:cs="Times New Roman"/>
          <w:i/>
        </w:rPr>
        <w:t xml:space="preserve">Oxford Economic Papers </w:t>
      </w:r>
      <w:r w:rsidRPr="00FD139B">
        <w:rPr>
          <w:rFonts w:ascii="Times New Roman" w:hAnsi="Times New Roman" w:cs="Times New Roman"/>
        </w:rPr>
        <w:t>56(2): 242-62.</w:t>
      </w:r>
    </w:p>
    <w:p w:rsidR="001F2E69" w:rsidRPr="00FD139B" w:rsidRDefault="00EC4445" w:rsidP="00FD139B">
      <w:pPr>
        <w:tabs>
          <w:tab w:val="left" w:pos="426"/>
        </w:tabs>
        <w:spacing w:after="0" w:line="240" w:lineRule="auto"/>
        <w:ind w:left="426" w:hanging="426"/>
        <w:contextualSpacing/>
        <w:jc w:val="both"/>
        <w:rPr>
          <w:rFonts w:ascii="Times New Roman" w:hAnsi="Times New Roman" w:cs="Times New Roman"/>
          <w:b/>
        </w:rPr>
      </w:pPr>
      <w:r w:rsidRPr="00FD139B">
        <w:rPr>
          <w:rFonts w:ascii="Times New Roman" w:hAnsi="Times New Roman" w:cs="Times New Roman"/>
        </w:rPr>
        <w:t>Mountford Andrew</w:t>
      </w:r>
      <w:r w:rsidR="001F2E69" w:rsidRPr="00FD139B">
        <w:rPr>
          <w:rFonts w:ascii="Times New Roman" w:hAnsi="Times New Roman" w:cs="Times New Roman"/>
        </w:rPr>
        <w:t xml:space="preserve"> (1997). </w:t>
      </w:r>
      <w:r w:rsidR="00BF616F" w:rsidRPr="00FD139B">
        <w:rPr>
          <w:rFonts w:ascii="Times New Roman" w:hAnsi="Times New Roman" w:cs="Times New Roman"/>
        </w:rPr>
        <w:t>‘</w:t>
      </w:r>
      <w:r w:rsidR="001F2E69" w:rsidRPr="00FD139B">
        <w:rPr>
          <w:rFonts w:ascii="Times New Roman" w:hAnsi="Times New Roman" w:cs="Times New Roman"/>
        </w:rPr>
        <w:t>Can a brain drain be good for growth in the source economy?</w:t>
      </w:r>
      <w:r w:rsidR="00BF616F" w:rsidRPr="00FD139B">
        <w:rPr>
          <w:rFonts w:ascii="Times New Roman" w:hAnsi="Times New Roman" w:cs="Times New Roman"/>
        </w:rPr>
        <w:t>’</w:t>
      </w:r>
      <w:r w:rsidR="001F2E69" w:rsidRPr="00FD139B">
        <w:rPr>
          <w:rFonts w:ascii="Times New Roman" w:hAnsi="Times New Roman" w:cs="Times New Roman"/>
        </w:rPr>
        <w:t>,</w:t>
      </w:r>
      <w:r w:rsidR="001F2E69" w:rsidRPr="00FD139B">
        <w:rPr>
          <w:rFonts w:ascii="Times New Roman" w:hAnsi="Times New Roman" w:cs="Times New Roman"/>
          <w:b/>
        </w:rPr>
        <w:t xml:space="preserve"> </w:t>
      </w:r>
      <w:r w:rsidR="001F2E69" w:rsidRPr="00FD139B">
        <w:rPr>
          <w:rFonts w:ascii="Times New Roman" w:hAnsi="Times New Roman" w:cs="Times New Roman"/>
          <w:i/>
        </w:rPr>
        <w:t>Journal of Development Economics</w:t>
      </w:r>
      <w:r w:rsidR="001F2E69" w:rsidRPr="00FD139B">
        <w:rPr>
          <w:rFonts w:ascii="Times New Roman" w:hAnsi="Times New Roman" w:cs="Times New Roman"/>
        </w:rPr>
        <w:t>, 53: 287-303.</w:t>
      </w:r>
    </w:p>
    <w:p w:rsidR="00A476C7" w:rsidRPr="00FD139B" w:rsidRDefault="00A476C7" w:rsidP="00FD139B">
      <w:pPr>
        <w:tabs>
          <w:tab w:val="left" w:pos="426"/>
        </w:tabs>
        <w:spacing w:after="0" w:line="240" w:lineRule="auto"/>
        <w:ind w:left="426" w:hanging="426"/>
        <w:contextualSpacing/>
        <w:jc w:val="both"/>
        <w:rPr>
          <w:rFonts w:ascii="Times New Roman" w:hAnsi="Times New Roman" w:cs="Times New Roman"/>
          <w:b/>
        </w:rPr>
      </w:pPr>
      <w:r w:rsidRPr="00FD139B">
        <w:rPr>
          <w:rFonts w:ascii="Times New Roman" w:eastAsia="Calibri" w:hAnsi="Times New Roman" w:cs="Times New Roman"/>
        </w:rPr>
        <w:t xml:space="preserve">Newland, Kathleen (2004) </w:t>
      </w:r>
      <w:r w:rsidR="00BF616F" w:rsidRPr="00FD139B">
        <w:rPr>
          <w:rFonts w:ascii="Times New Roman" w:eastAsia="Calibri" w:hAnsi="Times New Roman" w:cs="Times New Roman"/>
        </w:rPr>
        <w:t>‘</w:t>
      </w:r>
      <w:r w:rsidRPr="00FD139B">
        <w:rPr>
          <w:rFonts w:ascii="Times New Roman" w:eastAsia="Calibri" w:hAnsi="Times New Roman" w:cs="Times New Roman"/>
        </w:rPr>
        <w:t>Beyond Remittances: The role of diaspora in poverty reduction in their countries of origin</w:t>
      </w:r>
      <w:r w:rsidR="00BF616F" w:rsidRPr="00FD139B">
        <w:rPr>
          <w:rFonts w:ascii="Times New Roman" w:eastAsia="Calibri" w:hAnsi="Times New Roman" w:cs="Times New Roman"/>
        </w:rPr>
        <w:t>’</w:t>
      </w:r>
      <w:r w:rsidRPr="00FD139B">
        <w:rPr>
          <w:rFonts w:ascii="Times New Roman" w:eastAsia="Calibri" w:hAnsi="Times New Roman" w:cs="Times New Roman"/>
        </w:rPr>
        <w:t>, Migration Policy Institute.</w:t>
      </w:r>
    </w:p>
    <w:p w:rsidR="00CC676C" w:rsidRPr="00FD139B" w:rsidRDefault="00CC676C" w:rsidP="00FD139B">
      <w:pPr>
        <w:tabs>
          <w:tab w:val="left" w:pos="426"/>
        </w:tabs>
        <w:spacing w:after="0" w:line="240" w:lineRule="auto"/>
        <w:ind w:left="426" w:hanging="426"/>
        <w:contextualSpacing/>
        <w:jc w:val="both"/>
        <w:rPr>
          <w:rFonts w:ascii="Times New Roman" w:hAnsi="Times New Roman" w:cs="Times New Roman"/>
        </w:rPr>
      </w:pPr>
      <w:r w:rsidRPr="00FD139B">
        <w:rPr>
          <w:rFonts w:ascii="Times New Roman" w:hAnsi="Times New Roman" w:cs="Times New Roman"/>
        </w:rPr>
        <w:t xml:space="preserve">Nyarko, Yaw (2010) </w:t>
      </w:r>
      <w:r w:rsidR="00BF616F" w:rsidRPr="00FD139B">
        <w:rPr>
          <w:rFonts w:ascii="Times New Roman" w:hAnsi="Times New Roman" w:cs="Times New Roman"/>
        </w:rPr>
        <w:t>‘</w:t>
      </w:r>
      <w:r w:rsidRPr="00FD139B">
        <w:rPr>
          <w:rFonts w:ascii="Times New Roman" w:hAnsi="Times New Roman" w:cs="Times New Roman"/>
        </w:rPr>
        <w:t>The return to the brain drain and brain circulation in some sub-Saharan African nations</w:t>
      </w:r>
      <w:r w:rsidR="00BF616F" w:rsidRPr="00FD139B">
        <w:rPr>
          <w:rFonts w:ascii="Times New Roman" w:hAnsi="Times New Roman" w:cs="Times New Roman"/>
        </w:rPr>
        <w:t>’</w:t>
      </w:r>
      <w:r w:rsidRPr="00FD139B">
        <w:rPr>
          <w:rFonts w:ascii="Times New Roman" w:hAnsi="Times New Roman" w:cs="Times New Roman"/>
        </w:rPr>
        <w:t xml:space="preserve"> Presented at the NBER Africa Project Meetings, Accra, July </w:t>
      </w:r>
      <w:r w:rsidR="0032473D" w:rsidRPr="00FD139B">
        <w:rPr>
          <w:rFonts w:ascii="Times New Roman" w:hAnsi="Times New Roman" w:cs="Times New Roman"/>
        </w:rPr>
        <w:t xml:space="preserve">18-20, Retrieved from: </w:t>
      </w:r>
      <w:hyperlink r:id="rId8" w:history="1">
        <w:r w:rsidR="0032473D" w:rsidRPr="00FD139B">
          <w:rPr>
            <w:rStyle w:val="Hyperlink"/>
            <w:rFonts w:ascii="Times New Roman" w:hAnsi="Times New Roman" w:cs="Times New Roman"/>
          </w:rPr>
          <w:t>http://www.nber.org/confer/2010/ADSs10/Nyark0.pdf</w:t>
        </w:r>
      </w:hyperlink>
    </w:p>
    <w:p w:rsidR="00363209" w:rsidRPr="00FD139B" w:rsidRDefault="00363209" w:rsidP="00FD139B">
      <w:pPr>
        <w:tabs>
          <w:tab w:val="left" w:pos="426"/>
        </w:tabs>
        <w:spacing w:after="0" w:line="240" w:lineRule="auto"/>
        <w:ind w:left="426" w:hanging="426"/>
        <w:contextualSpacing/>
        <w:jc w:val="both"/>
        <w:rPr>
          <w:rFonts w:ascii="Times New Roman" w:hAnsi="Times New Roman" w:cs="Times New Roman"/>
        </w:rPr>
      </w:pPr>
      <w:r w:rsidRPr="00FD139B">
        <w:rPr>
          <w:rFonts w:ascii="Times New Roman" w:hAnsi="Times New Roman" w:cs="Times New Roman"/>
        </w:rPr>
        <w:t xml:space="preserve">Orozco, Manuel, Lindsay Lowell, Micah Bump, and Rachel Fedewa (2005) </w:t>
      </w:r>
      <w:r w:rsidRPr="00FD139B">
        <w:rPr>
          <w:rFonts w:ascii="Times New Roman" w:hAnsi="Times New Roman" w:cs="Times New Roman"/>
          <w:i/>
        </w:rPr>
        <w:t xml:space="preserve">Transnational Engagement, Remittances, and Their Relationship to Development in Latin America and the Caribbean. </w:t>
      </w:r>
      <w:r w:rsidRPr="00FD139B">
        <w:rPr>
          <w:rFonts w:ascii="Times New Roman" w:hAnsi="Times New Roman" w:cs="Times New Roman"/>
        </w:rPr>
        <w:t>Institute for the Study of International Migration, Georgetown.</w:t>
      </w:r>
    </w:p>
    <w:p w:rsidR="00E9124E" w:rsidRPr="00FD139B" w:rsidRDefault="00E9124E" w:rsidP="00FD139B">
      <w:pPr>
        <w:tabs>
          <w:tab w:val="left" w:pos="426"/>
        </w:tabs>
        <w:spacing w:after="0" w:line="240" w:lineRule="auto"/>
        <w:ind w:left="426" w:hanging="426"/>
        <w:contextualSpacing/>
        <w:rPr>
          <w:rFonts w:ascii="Times New Roman" w:hAnsi="Times New Roman"/>
        </w:rPr>
      </w:pPr>
      <w:r w:rsidRPr="00FD139B">
        <w:rPr>
          <w:rFonts w:ascii="Times New Roman" w:hAnsi="Times New Roman"/>
        </w:rPr>
        <w:t xml:space="preserve">Pritchett, Lant  (2001) </w:t>
      </w:r>
      <w:r w:rsidR="00BF616F" w:rsidRPr="00FD139B">
        <w:rPr>
          <w:rFonts w:ascii="Times New Roman" w:hAnsi="Times New Roman"/>
        </w:rPr>
        <w:t>‘</w:t>
      </w:r>
      <w:r w:rsidRPr="00FD139B">
        <w:rPr>
          <w:rFonts w:ascii="Times New Roman" w:hAnsi="Times New Roman"/>
        </w:rPr>
        <w:t>Where has all the education gone?</w:t>
      </w:r>
      <w:r w:rsidR="00BF616F" w:rsidRPr="00FD139B">
        <w:rPr>
          <w:rFonts w:ascii="Times New Roman" w:hAnsi="Times New Roman"/>
        </w:rPr>
        <w:t>’</w:t>
      </w:r>
      <w:r w:rsidRPr="00FD139B">
        <w:rPr>
          <w:rFonts w:ascii="Times New Roman" w:hAnsi="Times New Roman"/>
        </w:rPr>
        <w:t xml:space="preserve"> </w:t>
      </w:r>
      <w:r w:rsidRPr="00FD139B">
        <w:rPr>
          <w:rFonts w:ascii="Times New Roman" w:hAnsi="Times New Roman"/>
          <w:i/>
        </w:rPr>
        <w:t>World Bank Economic Review</w:t>
      </w:r>
      <w:r w:rsidRPr="00FD139B">
        <w:rPr>
          <w:rFonts w:ascii="Times New Roman" w:hAnsi="Times New Roman"/>
        </w:rPr>
        <w:t xml:space="preserve"> 15(3): 367-91.</w:t>
      </w:r>
    </w:p>
    <w:p w:rsidR="00E9124E" w:rsidRPr="00FD139B" w:rsidRDefault="00E9124E" w:rsidP="00FD139B">
      <w:pPr>
        <w:tabs>
          <w:tab w:val="left" w:pos="426"/>
        </w:tabs>
        <w:spacing w:after="0" w:line="240" w:lineRule="auto"/>
        <w:ind w:left="426" w:hanging="426"/>
        <w:contextualSpacing/>
        <w:jc w:val="both"/>
        <w:rPr>
          <w:rFonts w:ascii="Times New Roman" w:hAnsi="Times New Roman"/>
        </w:rPr>
      </w:pPr>
      <w:r w:rsidRPr="00FD139B">
        <w:rPr>
          <w:rFonts w:ascii="Times New Roman" w:hAnsi="Times New Roman"/>
        </w:rPr>
        <w:t xml:space="preserve">Rauch, James (1993) </w:t>
      </w:r>
      <w:r w:rsidR="00BF616F" w:rsidRPr="00FD139B">
        <w:rPr>
          <w:rFonts w:ascii="Times New Roman" w:hAnsi="Times New Roman"/>
        </w:rPr>
        <w:t>‘</w:t>
      </w:r>
      <w:r w:rsidRPr="00FD139B">
        <w:rPr>
          <w:rFonts w:ascii="Times New Roman" w:hAnsi="Times New Roman"/>
        </w:rPr>
        <w:t>Productivity gains from geographic concentration of human capital: evidence from cities</w:t>
      </w:r>
      <w:r w:rsidR="00BF616F" w:rsidRPr="00FD139B">
        <w:rPr>
          <w:rFonts w:ascii="Times New Roman" w:hAnsi="Times New Roman"/>
        </w:rPr>
        <w:t>’</w:t>
      </w:r>
      <w:r w:rsidRPr="00FD139B">
        <w:rPr>
          <w:rFonts w:ascii="Times New Roman" w:hAnsi="Times New Roman"/>
        </w:rPr>
        <w:t xml:space="preserve">, </w:t>
      </w:r>
      <w:r w:rsidRPr="00FD139B">
        <w:rPr>
          <w:rFonts w:ascii="Times New Roman" w:hAnsi="Times New Roman"/>
          <w:i/>
        </w:rPr>
        <w:t>Journal of Urban Economics</w:t>
      </w:r>
      <w:r w:rsidRPr="00FD139B">
        <w:rPr>
          <w:rFonts w:ascii="Times New Roman" w:hAnsi="Times New Roman"/>
        </w:rPr>
        <w:t xml:space="preserve"> 34(3): 380-400.</w:t>
      </w:r>
    </w:p>
    <w:p w:rsidR="00921A0F" w:rsidRPr="00FD139B" w:rsidRDefault="00921A0F" w:rsidP="00FD139B">
      <w:pPr>
        <w:tabs>
          <w:tab w:val="left" w:pos="426"/>
        </w:tabs>
        <w:spacing w:after="0" w:line="240" w:lineRule="auto"/>
        <w:ind w:left="426" w:hanging="426"/>
        <w:contextualSpacing/>
        <w:jc w:val="both"/>
        <w:rPr>
          <w:rFonts w:ascii="Times New Roman" w:hAnsi="Times New Roman" w:cs="Times New Roman"/>
          <w:b/>
        </w:rPr>
      </w:pPr>
      <w:r w:rsidRPr="00FD139B">
        <w:rPr>
          <w:rFonts w:ascii="Times New Roman" w:eastAsia="Calibri" w:hAnsi="Times New Roman" w:cs="Times New Roman"/>
        </w:rPr>
        <w:t>Rauch, J</w:t>
      </w:r>
      <w:r w:rsidR="00EC4445" w:rsidRPr="00FD139B">
        <w:rPr>
          <w:rFonts w:ascii="Times New Roman" w:eastAsia="Calibri" w:hAnsi="Times New Roman" w:cs="Times New Roman"/>
        </w:rPr>
        <w:t>ames</w:t>
      </w:r>
      <w:r w:rsidRPr="00FD139B">
        <w:rPr>
          <w:rFonts w:ascii="Times New Roman" w:eastAsia="Calibri" w:hAnsi="Times New Roman" w:cs="Times New Roman"/>
        </w:rPr>
        <w:t xml:space="preserve"> and V</w:t>
      </w:r>
      <w:r w:rsidR="00EC4445" w:rsidRPr="00FD139B">
        <w:rPr>
          <w:rFonts w:ascii="Times New Roman" w:eastAsia="Calibri" w:hAnsi="Times New Roman" w:cs="Times New Roman"/>
        </w:rPr>
        <w:t>itor</w:t>
      </w:r>
      <w:r w:rsidRPr="00FD139B">
        <w:rPr>
          <w:rFonts w:ascii="Times New Roman" w:eastAsia="Calibri" w:hAnsi="Times New Roman" w:cs="Times New Roman"/>
        </w:rPr>
        <w:t xml:space="preserve"> Trindade (2002) ‘Ethnic Chinese Networks in International Trade’, </w:t>
      </w:r>
      <w:r w:rsidRPr="00FD139B">
        <w:rPr>
          <w:rFonts w:ascii="Times New Roman" w:eastAsia="Calibri" w:hAnsi="Times New Roman" w:cs="Times New Roman"/>
          <w:i/>
        </w:rPr>
        <w:t>Review of Economics and Statistics</w:t>
      </w:r>
      <w:r w:rsidRPr="00FD139B">
        <w:rPr>
          <w:rFonts w:ascii="Times New Roman" w:eastAsia="Calibri" w:hAnsi="Times New Roman" w:cs="Times New Roman"/>
        </w:rPr>
        <w:t>, 84 (1): 116–130.</w:t>
      </w:r>
    </w:p>
    <w:p w:rsidR="00921A0F" w:rsidRPr="00FD139B" w:rsidRDefault="00921A0F" w:rsidP="00FD139B">
      <w:pPr>
        <w:tabs>
          <w:tab w:val="left" w:pos="426"/>
        </w:tabs>
        <w:spacing w:after="0" w:line="240" w:lineRule="auto"/>
        <w:ind w:left="426" w:hanging="426"/>
        <w:contextualSpacing/>
        <w:jc w:val="both"/>
        <w:rPr>
          <w:rFonts w:ascii="Times New Roman" w:hAnsi="Times New Roman" w:cs="Times New Roman"/>
        </w:rPr>
      </w:pPr>
      <w:r w:rsidRPr="00FD139B">
        <w:rPr>
          <w:rFonts w:ascii="Times New Roman" w:hAnsi="Times New Roman" w:cs="Times New Roman"/>
        </w:rPr>
        <w:t xml:space="preserve">Saxeenian, Anna Lee (2002) </w:t>
      </w:r>
      <w:r w:rsidR="00BF616F" w:rsidRPr="00FD139B">
        <w:rPr>
          <w:rFonts w:ascii="Times New Roman" w:hAnsi="Times New Roman" w:cs="Times New Roman"/>
        </w:rPr>
        <w:t>‘</w:t>
      </w:r>
      <w:r w:rsidRPr="00FD139B">
        <w:rPr>
          <w:rFonts w:ascii="Times New Roman" w:hAnsi="Times New Roman" w:cs="Times New Roman"/>
        </w:rPr>
        <w:t>The Silicon Valley Connection: Transnational Networks and Regional Development in Taiwan, China and India</w:t>
      </w:r>
      <w:r w:rsidR="00BF616F" w:rsidRPr="00FD139B">
        <w:rPr>
          <w:rFonts w:ascii="Times New Roman" w:hAnsi="Times New Roman" w:cs="Times New Roman"/>
        </w:rPr>
        <w:t>’</w:t>
      </w:r>
      <w:r w:rsidRPr="00FD139B">
        <w:rPr>
          <w:rFonts w:ascii="Times New Roman" w:hAnsi="Times New Roman" w:cs="Times New Roman"/>
        </w:rPr>
        <w:t xml:space="preserve">, </w:t>
      </w:r>
      <w:r w:rsidRPr="00FD139B">
        <w:rPr>
          <w:rFonts w:ascii="Times New Roman" w:hAnsi="Times New Roman" w:cs="Times New Roman"/>
          <w:i/>
        </w:rPr>
        <w:t xml:space="preserve">Science Technology &amp; Society </w:t>
      </w:r>
      <w:r w:rsidRPr="00FD139B">
        <w:rPr>
          <w:rFonts w:ascii="Times New Roman" w:hAnsi="Times New Roman" w:cs="Times New Roman"/>
        </w:rPr>
        <w:t>71(1): 117-49.</w:t>
      </w:r>
    </w:p>
    <w:p w:rsidR="001F2E69" w:rsidRPr="00FD139B" w:rsidRDefault="00921A0F" w:rsidP="00FD139B">
      <w:pPr>
        <w:tabs>
          <w:tab w:val="left" w:pos="426"/>
        </w:tabs>
        <w:spacing w:after="0" w:line="240" w:lineRule="auto"/>
        <w:ind w:left="426" w:hanging="426"/>
        <w:contextualSpacing/>
        <w:jc w:val="both"/>
        <w:rPr>
          <w:rFonts w:ascii="Times New Roman" w:eastAsia="Calibri" w:hAnsi="Times New Roman" w:cs="Times New Roman"/>
        </w:rPr>
      </w:pPr>
      <w:r w:rsidRPr="00FD139B">
        <w:rPr>
          <w:rFonts w:ascii="Times New Roman" w:eastAsia="Calibri" w:hAnsi="Times New Roman" w:cs="Times New Roman"/>
        </w:rPr>
        <w:t>Saxeenian, Anna Lee. (2001) Bangalore, the Silicon Valley of India?, CREDPR</w:t>
      </w:r>
      <w:r w:rsidRPr="00FD139B">
        <w:rPr>
          <w:rFonts w:ascii="Times New Roman" w:hAnsi="Times New Roman" w:cs="Times New Roman"/>
          <w:b/>
        </w:rPr>
        <w:t xml:space="preserve"> </w:t>
      </w:r>
      <w:r w:rsidRPr="00FD139B">
        <w:rPr>
          <w:rFonts w:ascii="Times New Roman" w:eastAsia="Calibri" w:hAnsi="Times New Roman" w:cs="Times New Roman"/>
        </w:rPr>
        <w:t>Working Paper No 91, Stanford University.</w:t>
      </w:r>
    </w:p>
    <w:p w:rsidR="001F2E69" w:rsidRPr="00FD139B" w:rsidRDefault="001F2E69" w:rsidP="00FD139B">
      <w:pPr>
        <w:tabs>
          <w:tab w:val="left" w:pos="426"/>
        </w:tabs>
        <w:spacing w:after="0" w:line="240" w:lineRule="auto"/>
        <w:ind w:left="426" w:hanging="426"/>
        <w:contextualSpacing/>
        <w:jc w:val="both"/>
        <w:rPr>
          <w:rFonts w:ascii="Times New Roman" w:eastAsia="Calibri" w:hAnsi="Times New Roman" w:cs="Times New Roman"/>
        </w:rPr>
      </w:pPr>
      <w:r w:rsidRPr="00FD139B">
        <w:rPr>
          <w:rFonts w:ascii="Times New Roman" w:eastAsia="Calibri" w:hAnsi="Times New Roman" w:cs="Times New Roman"/>
        </w:rPr>
        <w:t xml:space="preserve">Schiff, Maurice (2005) </w:t>
      </w:r>
      <w:r w:rsidR="00BF616F" w:rsidRPr="00FD139B">
        <w:rPr>
          <w:rFonts w:ascii="Times New Roman" w:eastAsia="Calibri" w:hAnsi="Times New Roman" w:cs="Times New Roman"/>
        </w:rPr>
        <w:t>‘</w:t>
      </w:r>
      <w:r w:rsidRPr="00FD139B">
        <w:rPr>
          <w:rFonts w:ascii="Times New Roman" w:eastAsia="Calibri" w:hAnsi="Times New Roman" w:cs="Times New Roman"/>
        </w:rPr>
        <w:t>Brain Gain: Claims about its Size and Impact on Welfare and Growth are greatly exaggerated</w:t>
      </w:r>
      <w:r w:rsidR="00BF616F" w:rsidRPr="00FD139B">
        <w:rPr>
          <w:rFonts w:ascii="Times New Roman" w:eastAsia="Calibri" w:hAnsi="Times New Roman" w:cs="Times New Roman"/>
        </w:rPr>
        <w:t>’</w:t>
      </w:r>
      <w:r w:rsidRPr="00FD139B">
        <w:rPr>
          <w:rFonts w:ascii="Times New Roman" w:eastAsia="Calibri" w:hAnsi="Times New Roman" w:cs="Times New Roman"/>
        </w:rPr>
        <w:t xml:space="preserve">, pp. 201-225 in C. Özden and M. Schiff (eds.) </w:t>
      </w:r>
      <w:r w:rsidRPr="00FD139B">
        <w:rPr>
          <w:rFonts w:ascii="Times New Roman" w:eastAsia="Calibri" w:hAnsi="Times New Roman" w:cs="Times New Roman"/>
          <w:i/>
        </w:rPr>
        <w:t>International Migration, Remittances and the Brain Drain</w:t>
      </w:r>
      <w:r w:rsidRPr="00FD139B">
        <w:rPr>
          <w:rFonts w:ascii="Times New Roman" w:eastAsia="Calibri" w:hAnsi="Times New Roman" w:cs="Times New Roman"/>
        </w:rPr>
        <w:t>. New York: Palgrave Macmillan.</w:t>
      </w:r>
    </w:p>
    <w:p w:rsidR="001F2E69" w:rsidRPr="00FD139B" w:rsidRDefault="001F2E69" w:rsidP="00FD139B">
      <w:pPr>
        <w:tabs>
          <w:tab w:val="left" w:pos="426"/>
        </w:tabs>
        <w:spacing w:after="0" w:line="240" w:lineRule="auto"/>
        <w:ind w:left="426" w:hanging="426"/>
        <w:contextualSpacing/>
        <w:jc w:val="both"/>
        <w:rPr>
          <w:rFonts w:ascii="Times New Roman" w:eastAsia="Calibri" w:hAnsi="Times New Roman" w:cs="Times New Roman"/>
        </w:rPr>
      </w:pPr>
      <w:r w:rsidRPr="00FD139B">
        <w:rPr>
          <w:rFonts w:ascii="Times New Roman" w:eastAsia="Calibri" w:hAnsi="Times New Roman" w:cs="Times New Roman"/>
        </w:rPr>
        <w:t>Stark O</w:t>
      </w:r>
      <w:r w:rsidR="00EC4445" w:rsidRPr="00FD139B">
        <w:rPr>
          <w:rFonts w:ascii="Times New Roman" w:eastAsia="Calibri" w:hAnsi="Times New Roman" w:cs="Times New Roman"/>
        </w:rPr>
        <w:t>ded</w:t>
      </w:r>
      <w:r w:rsidRPr="00FD139B">
        <w:rPr>
          <w:rFonts w:ascii="Times New Roman" w:eastAsia="Calibri" w:hAnsi="Times New Roman" w:cs="Times New Roman"/>
        </w:rPr>
        <w:t>, C</w:t>
      </w:r>
      <w:r w:rsidR="00EC4445" w:rsidRPr="00FD139B">
        <w:rPr>
          <w:rFonts w:ascii="Times New Roman" w:eastAsia="Calibri" w:hAnsi="Times New Roman" w:cs="Times New Roman"/>
        </w:rPr>
        <w:t>hristian</w:t>
      </w:r>
      <w:r w:rsidRPr="00FD139B">
        <w:rPr>
          <w:rFonts w:ascii="Times New Roman" w:eastAsia="Calibri" w:hAnsi="Times New Roman" w:cs="Times New Roman"/>
        </w:rPr>
        <w:t xml:space="preserve"> Helmenstein, and A</w:t>
      </w:r>
      <w:r w:rsidR="00EC4445" w:rsidRPr="00FD139B">
        <w:rPr>
          <w:rFonts w:ascii="Times New Roman" w:eastAsia="Calibri" w:hAnsi="Times New Roman" w:cs="Times New Roman"/>
        </w:rPr>
        <w:t>lexia</w:t>
      </w:r>
      <w:r w:rsidRPr="00FD139B">
        <w:rPr>
          <w:rFonts w:ascii="Times New Roman" w:eastAsia="Calibri" w:hAnsi="Times New Roman" w:cs="Times New Roman"/>
        </w:rPr>
        <w:t xml:space="preserve"> Prskawetz (1997). </w:t>
      </w:r>
      <w:r w:rsidR="00BF616F" w:rsidRPr="00FD139B">
        <w:rPr>
          <w:rFonts w:ascii="Times New Roman" w:eastAsia="Calibri" w:hAnsi="Times New Roman" w:cs="Times New Roman"/>
        </w:rPr>
        <w:t>‘</w:t>
      </w:r>
      <w:r w:rsidRPr="00FD139B">
        <w:rPr>
          <w:rFonts w:ascii="Times New Roman" w:eastAsia="Calibri" w:hAnsi="Times New Roman" w:cs="Times New Roman"/>
        </w:rPr>
        <w:t>A brain gain with a brain drain</w:t>
      </w:r>
      <w:r w:rsidR="00BF616F" w:rsidRPr="00FD139B">
        <w:rPr>
          <w:rFonts w:ascii="Times New Roman" w:eastAsia="Calibri" w:hAnsi="Times New Roman" w:cs="Times New Roman"/>
        </w:rPr>
        <w:t>’</w:t>
      </w:r>
      <w:r w:rsidRPr="00FD139B">
        <w:rPr>
          <w:rFonts w:ascii="Times New Roman" w:eastAsia="Calibri" w:hAnsi="Times New Roman" w:cs="Times New Roman"/>
        </w:rPr>
        <w:t xml:space="preserve">, </w:t>
      </w:r>
      <w:r w:rsidRPr="00FD139B">
        <w:rPr>
          <w:rFonts w:ascii="Times New Roman" w:eastAsia="Calibri" w:hAnsi="Times New Roman" w:cs="Times New Roman"/>
          <w:i/>
        </w:rPr>
        <w:t>Economic Letters</w:t>
      </w:r>
      <w:r w:rsidRPr="00FD139B">
        <w:rPr>
          <w:rFonts w:ascii="Times New Roman" w:eastAsia="Calibri" w:hAnsi="Times New Roman" w:cs="Times New Roman"/>
        </w:rPr>
        <w:t>, 55: 227-234.</w:t>
      </w:r>
    </w:p>
    <w:p w:rsidR="00B03F5A" w:rsidRPr="00FD139B" w:rsidRDefault="00B03F5A" w:rsidP="00FD139B">
      <w:pPr>
        <w:tabs>
          <w:tab w:val="left" w:pos="426"/>
        </w:tabs>
        <w:spacing w:after="0" w:line="240" w:lineRule="auto"/>
        <w:ind w:left="426" w:hanging="426"/>
        <w:contextualSpacing/>
        <w:jc w:val="both"/>
        <w:rPr>
          <w:rFonts w:ascii="Times New Roman" w:eastAsia="Calibri" w:hAnsi="Times New Roman" w:cs="Times New Roman"/>
        </w:rPr>
      </w:pPr>
      <w:r w:rsidRPr="00FD139B">
        <w:rPr>
          <w:rFonts w:ascii="Times New Roman" w:eastAsia="Calibri" w:hAnsi="Times New Roman" w:cs="Times New Roman"/>
        </w:rPr>
        <w:t xml:space="preserve">Sukhatme, Suhas P. (1994) </w:t>
      </w:r>
      <w:r w:rsidRPr="00FD139B">
        <w:rPr>
          <w:rFonts w:ascii="Times New Roman" w:eastAsia="Calibri" w:hAnsi="Times New Roman" w:cs="Times New Roman"/>
          <w:i/>
        </w:rPr>
        <w:t>The Real Brain Drain</w:t>
      </w:r>
      <w:r w:rsidRPr="00FD139B">
        <w:rPr>
          <w:rFonts w:ascii="Times New Roman" w:eastAsia="Calibri" w:hAnsi="Times New Roman" w:cs="Times New Roman"/>
        </w:rPr>
        <w:t>. Bombay: Orient Longman.</w:t>
      </w:r>
    </w:p>
    <w:p w:rsidR="001F2E69" w:rsidRPr="00FD139B" w:rsidRDefault="001F2E69" w:rsidP="00FD139B">
      <w:pPr>
        <w:tabs>
          <w:tab w:val="left" w:pos="426"/>
        </w:tabs>
        <w:spacing w:after="0" w:line="240" w:lineRule="auto"/>
        <w:ind w:left="426" w:hanging="426"/>
        <w:contextualSpacing/>
        <w:jc w:val="both"/>
        <w:rPr>
          <w:rFonts w:ascii="Times New Roman" w:hAnsi="Times New Roman" w:cs="Times New Roman"/>
        </w:rPr>
      </w:pPr>
      <w:r w:rsidRPr="00FD139B">
        <w:rPr>
          <w:rFonts w:ascii="Times New Roman" w:hAnsi="Times New Roman" w:cs="Times New Roman"/>
        </w:rPr>
        <w:t xml:space="preserve">Vidal, Jean-Pierre (1998) </w:t>
      </w:r>
      <w:r w:rsidR="00BF616F" w:rsidRPr="00FD139B">
        <w:rPr>
          <w:rFonts w:ascii="Times New Roman" w:hAnsi="Times New Roman" w:cs="Times New Roman"/>
        </w:rPr>
        <w:t>‘</w:t>
      </w:r>
      <w:r w:rsidRPr="00FD139B">
        <w:rPr>
          <w:rFonts w:ascii="Times New Roman" w:hAnsi="Times New Roman" w:cs="Times New Roman"/>
        </w:rPr>
        <w:t>The effect of emigration on human capital formation</w:t>
      </w:r>
      <w:r w:rsidR="00BF616F" w:rsidRPr="00FD139B">
        <w:rPr>
          <w:rFonts w:ascii="Times New Roman" w:hAnsi="Times New Roman" w:cs="Times New Roman"/>
        </w:rPr>
        <w:t>’</w:t>
      </w:r>
      <w:r w:rsidRPr="00FD139B">
        <w:rPr>
          <w:rFonts w:ascii="Times New Roman" w:hAnsi="Times New Roman" w:cs="Times New Roman"/>
        </w:rPr>
        <w:t xml:space="preserve">, </w:t>
      </w:r>
      <w:r w:rsidRPr="00FD139B">
        <w:rPr>
          <w:rFonts w:ascii="Times New Roman" w:hAnsi="Times New Roman" w:cs="Times New Roman"/>
          <w:i/>
        </w:rPr>
        <w:t>Journal of Population Economics</w:t>
      </w:r>
      <w:r w:rsidRPr="00FD139B">
        <w:rPr>
          <w:rFonts w:ascii="Times New Roman" w:hAnsi="Times New Roman" w:cs="Times New Roman"/>
        </w:rPr>
        <w:t>, 11, 4: 589-600.</w:t>
      </w:r>
    </w:p>
    <w:p w:rsidR="00E9124E" w:rsidRPr="00FD139B" w:rsidRDefault="00E9124E" w:rsidP="00FD139B">
      <w:pPr>
        <w:tabs>
          <w:tab w:val="left" w:pos="426"/>
        </w:tabs>
        <w:spacing w:after="0" w:line="240" w:lineRule="auto"/>
        <w:ind w:left="426" w:hanging="426"/>
        <w:contextualSpacing/>
        <w:jc w:val="both"/>
        <w:rPr>
          <w:rFonts w:ascii="Times New Roman" w:hAnsi="Times New Roman"/>
        </w:rPr>
      </w:pPr>
      <w:r w:rsidRPr="00FD139B">
        <w:rPr>
          <w:rFonts w:ascii="Times New Roman" w:hAnsi="Times New Roman"/>
        </w:rPr>
        <w:t xml:space="preserve">Zimmerman, David (2003) </w:t>
      </w:r>
      <w:r w:rsidR="00BF616F" w:rsidRPr="00FD139B">
        <w:rPr>
          <w:rFonts w:ascii="Times New Roman" w:hAnsi="Times New Roman"/>
        </w:rPr>
        <w:t>‘</w:t>
      </w:r>
      <w:r w:rsidRPr="00FD139B">
        <w:rPr>
          <w:rFonts w:ascii="Times New Roman" w:hAnsi="Times New Roman"/>
        </w:rPr>
        <w:t>Peer effects in academic outcomes: evidence from a natural experiment</w:t>
      </w:r>
      <w:r w:rsidR="00BF616F" w:rsidRPr="00FD139B">
        <w:rPr>
          <w:rFonts w:ascii="Times New Roman" w:hAnsi="Times New Roman"/>
        </w:rPr>
        <w:t>’</w:t>
      </w:r>
      <w:r w:rsidRPr="00FD139B">
        <w:rPr>
          <w:rFonts w:ascii="Times New Roman" w:hAnsi="Times New Roman"/>
        </w:rPr>
        <w:t xml:space="preserve">, </w:t>
      </w:r>
      <w:r w:rsidRPr="00FD139B">
        <w:rPr>
          <w:rFonts w:ascii="Times New Roman" w:hAnsi="Times New Roman"/>
          <w:i/>
        </w:rPr>
        <w:t>Review of Economics and Statistics</w:t>
      </w:r>
      <w:r w:rsidRPr="00FD139B">
        <w:rPr>
          <w:rFonts w:ascii="Times New Roman" w:hAnsi="Times New Roman"/>
        </w:rPr>
        <w:t xml:space="preserve"> 85(1): 9-23.</w:t>
      </w:r>
    </w:p>
    <w:p w:rsidR="00402AEB" w:rsidRPr="00FD139B" w:rsidRDefault="00402AEB" w:rsidP="00FD139B">
      <w:pPr>
        <w:tabs>
          <w:tab w:val="left" w:pos="426"/>
        </w:tabs>
        <w:spacing w:after="0" w:line="240" w:lineRule="auto"/>
        <w:ind w:left="426" w:hanging="426"/>
        <w:contextualSpacing/>
        <w:jc w:val="both"/>
        <w:rPr>
          <w:rFonts w:ascii="Times New Roman" w:hAnsi="Times New Roman" w:cs="Times New Roman"/>
        </w:rPr>
      </w:pPr>
      <w:r w:rsidRPr="00FD139B">
        <w:rPr>
          <w:rFonts w:ascii="Times New Roman" w:hAnsi="Times New Roman" w:cs="Times New Roman"/>
        </w:rPr>
        <w:t xml:space="preserve">Zucker, Lynne and Michael Darby (2007) </w:t>
      </w:r>
      <w:r w:rsidR="00BF616F" w:rsidRPr="00FD139B">
        <w:rPr>
          <w:rFonts w:ascii="Times New Roman" w:hAnsi="Times New Roman" w:cs="Times New Roman"/>
        </w:rPr>
        <w:t>‘</w:t>
      </w:r>
      <w:r w:rsidRPr="00FD139B">
        <w:rPr>
          <w:rFonts w:ascii="Times New Roman" w:hAnsi="Times New Roman" w:cs="Times New Roman"/>
        </w:rPr>
        <w:t>Star Scientists, Innovation, and Regional and National Innovation</w:t>
      </w:r>
      <w:r w:rsidR="00BF616F" w:rsidRPr="00FD139B">
        <w:rPr>
          <w:rFonts w:ascii="Times New Roman" w:hAnsi="Times New Roman" w:cs="Times New Roman"/>
        </w:rPr>
        <w:t>’</w:t>
      </w:r>
      <w:r w:rsidRPr="00FD139B">
        <w:rPr>
          <w:rFonts w:ascii="Times New Roman" w:hAnsi="Times New Roman" w:cs="Times New Roman"/>
        </w:rPr>
        <w:t>, NBER Working Paper no. 13547.</w:t>
      </w:r>
    </w:p>
    <w:p w:rsidR="00E82D96" w:rsidRDefault="00E82D96" w:rsidP="00FD139B">
      <w:pPr>
        <w:tabs>
          <w:tab w:val="left" w:pos="426"/>
        </w:tabs>
        <w:spacing w:after="0"/>
        <w:jc w:val="both"/>
        <w:rPr>
          <w:rFonts w:ascii="Times New Roman" w:hAnsi="Times New Roman" w:cs="Times New Roman"/>
          <w:sz w:val="24"/>
          <w:szCs w:val="24"/>
        </w:rPr>
      </w:pPr>
    </w:p>
    <w:p w:rsidR="005D5051" w:rsidRDefault="005D5051" w:rsidP="00FD139B">
      <w:pPr>
        <w:tabs>
          <w:tab w:val="left" w:pos="426"/>
        </w:tabs>
        <w:spacing w:after="0"/>
        <w:jc w:val="both"/>
        <w:rPr>
          <w:rFonts w:ascii="Times New Roman" w:hAnsi="Times New Roman" w:cs="Times New Roman"/>
          <w:sz w:val="24"/>
          <w:szCs w:val="24"/>
        </w:rPr>
      </w:pPr>
    </w:p>
    <w:p w:rsidR="005D5051" w:rsidRDefault="005D5051" w:rsidP="00FD139B">
      <w:pPr>
        <w:tabs>
          <w:tab w:val="left" w:pos="426"/>
        </w:tabs>
        <w:spacing w:after="0"/>
        <w:jc w:val="both"/>
        <w:rPr>
          <w:rFonts w:ascii="Times New Roman" w:hAnsi="Times New Roman" w:cs="Times New Roman"/>
          <w:sz w:val="24"/>
          <w:szCs w:val="24"/>
        </w:rPr>
      </w:pPr>
    </w:p>
    <w:p w:rsidR="005D5051" w:rsidRDefault="005D5051" w:rsidP="00FD139B">
      <w:pPr>
        <w:tabs>
          <w:tab w:val="left" w:pos="426"/>
        </w:tabs>
        <w:spacing w:after="0"/>
        <w:jc w:val="both"/>
        <w:rPr>
          <w:rFonts w:ascii="Times New Roman" w:hAnsi="Times New Roman" w:cs="Times New Roman"/>
          <w:sz w:val="24"/>
          <w:szCs w:val="24"/>
        </w:rPr>
      </w:pPr>
    </w:p>
    <w:p w:rsidR="005D5051" w:rsidRDefault="005D5051" w:rsidP="00FD139B">
      <w:pPr>
        <w:tabs>
          <w:tab w:val="left" w:pos="426"/>
        </w:tabs>
        <w:spacing w:after="0"/>
        <w:jc w:val="both"/>
        <w:rPr>
          <w:rFonts w:ascii="Times New Roman" w:hAnsi="Times New Roman" w:cs="Times New Roman"/>
          <w:sz w:val="24"/>
          <w:szCs w:val="24"/>
        </w:rPr>
      </w:pPr>
    </w:p>
    <w:p w:rsidR="005D5051" w:rsidRDefault="005D5051" w:rsidP="00FD139B">
      <w:pPr>
        <w:tabs>
          <w:tab w:val="left" w:pos="426"/>
        </w:tabs>
        <w:spacing w:after="0"/>
        <w:jc w:val="both"/>
        <w:rPr>
          <w:rFonts w:ascii="Times New Roman" w:hAnsi="Times New Roman" w:cs="Times New Roman"/>
          <w:sz w:val="24"/>
          <w:szCs w:val="24"/>
        </w:rPr>
      </w:pPr>
    </w:p>
    <w:p w:rsidR="005D5051" w:rsidRDefault="005D5051" w:rsidP="00FD139B">
      <w:pPr>
        <w:tabs>
          <w:tab w:val="left" w:pos="426"/>
        </w:tabs>
        <w:spacing w:after="0"/>
        <w:jc w:val="both"/>
        <w:rPr>
          <w:rFonts w:ascii="Times New Roman" w:hAnsi="Times New Roman" w:cs="Times New Roman"/>
          <w:sz w:val="24"/>
          <w:szCs w:val="24"/>
        </w:rPr>
      </w:pPr>
    </w:p>
    <w:p w:rsidR="005D5051" w:rsidRDefault="005D5051" w:rsidP="00FD139B">
      <w:pPr>
        <w:tabs>
          <w:tab w:val="left" w:pos="426"/>
        </w:tabs>
        <w:spacing w:after="0"/>
        <w:jc w:val="both"/>
        <w:rPr>
          <w:rFonts w:ascii="Times New Roman" w:hAnsi="Times New Roman" w:cs="Times New Roman"/>
          <w:sz w:val="24"/>
          <w:szCs w:val="24"/>
        </w:rPr>
      </w:pPr>
    </w:p>
    <w:p w:rsidR="00FD139B" w:rsidRDefault="00D02950" w:rsidP="00FD139B">
      <w:pPr>
        <w:tabs>
          <w:tab w:val="left" w:pos="426"/>
        </w:tabs>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Appendix 1</w:t>
      </w:r>
    </w:p>
    <w:p w:rsidR="00D02950" w:rsidRPr="00D02950" w:rsidRDefault="00D02950" w:rsidP="00FD139B">
      <w:pPr>
        <w:tabs>
          <w:tab w:val="left" w:pos="426"/>
        </w:tabs>
        <w:spacing w:after="0"/>
        <w:jc w:val="both"/>
        <w:rPr>
          <w:rFonts w:ascii="Times New Roman" w:hAnsi="Times New Roman" w:cs="Times New Roman"/>
          <w:b/>
          <w:sz w:val="12"/>
          <w:szCs w:val="12"/>
        </w:rPr>
      </w:pPr>
    </w:p>
    <w:p w:rsidR="00A21A3F" w:rsidRPr="00FD139B" w:rsidRDefault="00A21A3F" w:rsidP="00FD139B">
      <w:pPr>
        <w:tabs>
          <w:tab w:val="left" w:pos="426"/>
        </w:tabs>
        <w:spacing w:after="0"/>
        <w:jc w:val="both"/>
        <w:rPr>
          <w:rFonts w:ascii="Times New Roman" w:hAnsi="Times New Roman" w:cs="Times New Roman"/>
          <w:b/>
          <w:sz w:val="24"/>
          <w:szCs w:val="24"/>
        </w:rPr>
      </w:pPr>
      <w:r w:rsidRPr="00FD139B">
        <w:rPr>
          <w:rFonts w:ascii="Times New Roman" w:hAnsi="Times New Roman" w:cs="Times New Roman"/>
          <w:b/>
          <w:sz w:val="24"/>
          <w:szCs w:val="24"/>
        </w:rPr>
        <w:t>Detailed Information on the Sample Frame in Each Country</w:t>
      </w:r>
      <w:r w:rsidR="00A41352" w:rsidRPr="00FD139B">
        <w:rPr>
          <w:rFonts w:ascii="Times New Roman" w:hAnsi="Times New Roman" w:cs="Times New Roman"/>
          <w:b/>
          <w:sz w:val="24"/>
          <w:szCs w:val="24"/>
        </w:rPr>
        <w:t xml:space="preserve"> (not for publication)</w:t>
      </w:r>
    </w:p>
    <w:p w:rsidR="00FD139B" w:rsidRPr="00D02950" w:rsidRDefault="00FD139B" w:rsidP="00FD139B">
      <w:pPr>
        <w:tabs>
          <w:tab w:val="left" w:pos="426"/>
        </w:tabs>
        <w:spacing w:after="0"/>
        <w:jc w:val="both"/>
        <w:rPr>
          <w:rFonts w:ascii="Times New Roman" w:hAnsi="Times New Roman" w:cs="Times New Roman"/>
          <w:b/>
          <w:sz w:val="12"/>
          <w:szCs w:val="12"/>
        </w:rPr>
      </w:pPr>
    </w:p>
    <w:p w:rsidR="00A662AB" w:rsidRPr="00FD139B" w:rsidRDefault="00A662AB" w:rsidP="00FD139B">
      <w:pPr>
        <w:tabs>
          <w:tab w:val="left" w:pos="426"/>
        </w:tabs>
        <w:spacing w:after="0"/>
        <w:jc w:val="both"/>
        <w:rPr>
          <w:rFonts w:ascii="Times New Roman" w:hAnsi="Times New Roman" w:cs="Times New Roman"/>
          <w:sz w:val="24"/>
          <w:szCs w:val="24"/>
        </w:rPr>
      </w:pPr>
      <w:r w:rsidRPr="00FD139B">
        <w:rPr>
          <w:rFonts w:ascii="Times New Roman" w:hAnsi="Times New Roman" w:cs="Times New Roman"/>
          <w:sz w:val="24"/>
          <w:szCs w:val="24"/>
        </w:rPr>
        <w:t>In each country we obtained a sample frame of the top academic achievers graduating secondary school in the country ov</w:t>
      </w:r>
      <w:r w:rsidR="0072748E" w:rsidRPr="00FD139B">
        <w:rPr>
          <w:rFonts w:ascii="Times New Roman" w:hAnsi="Times New Roman" w:cs="Times New Roman"/>
          <w:sz w:val="24"/>
          <w:szCs w:val="24"/>
        </w:rPr>
        <w:t>er the 1976 to 2004 period. Different educational systems and differences in record-keeping mean that the definition of a top academic achiever varies slightly from one country to another, as we discuss here. But in each country, the individuals chosen are by at least one metric the top students in their country in the year of their graduation.</w:t>
      </w:r>
    </w:p>
    <w:p w:rsidR="00FD139B" w:rsidRDefault="00FD139B" w:rsidP="00FD139B">
      <w:pPr>
        <w:tabs>
          <w:tab w:val="left" w:pos="426"/>
        </w:tabs>
        <w:spacing w:after="0"/>
        <w:jc w:val="both"/>
        <w:rPr>
          <w:rFonts w:ascii="Times New Roman" w:hAnsi="Times New Roman" w:cs="Times New Roman"/>
          <w:sz w:val="24"/>
          <w:szCs w:val="24"/>
        </w:rPr>
      </w:pPr>
    </w:p>
    <w:p w:rsidR="00D02950" w:rsidRPr="00FD139B" w:rsidRDefault="00D02950" w:rsidP="00FD139B">
      <w:pPr>
        <w:tabs>
          <w:tab w:val="left" w:pos="426"/>
        </w:tabs>
        <w:spacing w:after="0"/>
        <w:jc w:val="both"/>
        <w:rPr>
          <w:rFonts w:ascii="Times New Roman" w:hAnsi="Times New Roman" w:cs="Times New Roman"/>
          <w:sz w:val="24"/>
          <w:szCs w:val="24"/>
        </w:rPr>
      </w:pPr>
    </w:p>
    <w:p w:rsidR="00A21A3F" w:rsidRDefault="00A21A3F" w:rsidP="00FD139B">
      <w:pPr>
        <w:tabs>
          <w:tab w:val="left" w:pos="426"/>
        </w:tabs>
        <w:spacing w:after="0"/>
        <w:jc w:val="both"/>
        <w:rPr>
          <w:rFonts w:ascii="Times New Roman" w:hAnsi="Times New Roman" w:cs="Times New Roman"/>
          <w:b/>
          <w:i/>
          <w:sz w:val="24"/>
          <w:szCs w:val="24"/>
        </w:rPr>
      </w:pPr>
      <w:r w:rsidRPr="00FD139B">
        <w:rPr>
          <w:rFonts w:ascii="Times New Roman" w:hAnsi="Times New Roman" w:cs="Times New Roman"/>
          <w:b/>
          <w:i/>
          <w:sz w:val="24"/>
          <w:szCs w:val="24"/>
        </w:rPr>
        <w:t>Ghana</w:t>
      </w:r>
    </w:p>
    <w:p w:rsidR="00FD139B" w:rsidRPr="00FD139B" w:rsidRDefault="00FD139B" w:rsidP="00FD139B">
      <w:pPr>
        <w:tabs>
          <w:tab w:val="left" w:pos="426"/>
        </w:tabs>
        <w:spacing w:after="0"/>
        <w:jc w:val="both"/>
        <w:rPr>
          <w:rFonts w:ascii="Times New Roman" w:hAnsi="Times New Roman" w:cs="Times New Roman"/>
          <w:b/>
          <w:sz w:val="12"/>
          <w:szCs w:val="12"/>
        </w:rPr>
      </w:pPr>
    </w:p>
    <w:p w:rsidR="00D02950" w:rsidRDefault="00E9178F" w:rsidP="00FD139B">
      <w:pPr>
        <w:tabs>
          <w:tab w:val="left" w:pos="426"/>
        </w:tabs>
        <w:spacing w:after="0"/>
        <w:jc w:val="both"/>
        <w:rPr>
          <w:rFonts w:ascii="Times New Roman" w:hAnsi="Times New Roman" w:cs="Times New Roman"/>
          <w:sz w:val="24"/>
          <w:szCs w:val="24"/>
        </w:rPr>
      </w:pPr>
      <w:r w:rsidRPr="00FD139B">
        <w:rPr>
          <w:rFonts w:ascii="Times New Roman" w:hAnsi="Times New Roman" w:cs="Times New Roman"/>
          <w:sz w:val="24"/>
          <w:szCs w:val="24"/>
        </w:rPr>
        <w:t xml:space="preserve">We selected the following 13 secondary schools for the study: Aburi Girls, Accra Academy, Achimota, Adisadel College, Ghana National College, Holy Child School, Mfantsipim College, Opoku Ware Secondary School, Prempeh College, Presbyterian Secondary School, St. Augustine’s College, Tamale Secondary School, and Wesley Girl’s High School. This list was chosen on the basis of performance in A-level and Senior Secondary School examinations over the past 30 years, and selected schools which were selected by </w:t>
      </w:r>
      <w:r w:rsidRPr="00FD139B">
        <w:rPr>
          <w:rFonts w:ascii="Times New Roman" w:hAnsi="Times New Roman" w:cs="Times New Roman"/>
          <w:i/>
          <w:sz w:val="24"/>
          <w:szCs w:val="24"/>
        </w:rPr>
        <w:t>Africa Almanac</w:t>
      </w:r>
      <w:r w:rsidRPr="00FD139B">
        <w:rPr>
          <w:rFonts w:ascii="Times New Roman" w:hAnsi="Times New Roman" w:cs="Times New Roman"/>
          <w:sz w:val="24"/>
          <w:szCs w:val="24"/>
        </w:rPr>
        <w:t xml:space="preserve"> as being among Africa’s top 100 high schools</w:t>
      </w:r>
      <w:r w:rsidR="00D02950">
        <w:rPr>
          <w:rFonts w:ascii="Times New Roman" w:hAnsi="Times New Roman" w:cs="Times New Roman"/>
          <w:sz w:val="24"/>
          <w:szCs w:val="24"/>
        </w:rPr>
        <w:t>,</w:t>
      </w:r>
    </w:p>
    <w:p w:rsidR="00D02950" w:rsidRDefault="00E9178F" w:rsidP="00FD139B">
      <w:pPr>
        <w:tabs>
          <w:tab w:val="left" w:pos="426"/>
        </w:tabs>
        <w:spacing w:after="0"/>
        <w:jc w:val="both"/>
        <w:rPr>
          <w:rFonts w:ascii="Times New Roman" w:hAnsi="Times New Roman" w:cs="Times New Roman"/>
          <w:sz w:val="24"/>
          <w:szCs w:val="24"/>
        </w:rPr>
      </w:pPr>
      <w:r w:rsidRPr="00FD139B">
        <w:rPr>
          <w:rFonts w:ascii="Times New Roman" w:hAnsi="Times New Roman" w:cs="Times New Roman"/>
          <w:sz w:val="24"/>
          <w:szCs w:val="24"/>
        </w:rPr>
        <w:t>(</w:t>
      </w:r>
      <w:r w:rsidR="00D02950">
        <w:rPr>
          <w:rFonts w:ascii="Times New Roman" w:hAnsi="Times New Roman" w:cs="Times New Roman"/>
          <w:sz w:val="24"/>
          <w:szCs w:val="24"/>
        </w:rPr>
        <w:t xml:space="preserve">see </w:t>
      </w:r>
      <w:hyperlink r:id="rId9" w:history="1">
        <w:r w:rsidRPr="00FD139B">
          <w:rPr>
            <w:rStyle w:val="Hyperlink"/>
            <w:rFonts w:ascii="Times New Roman" w:hAnsi="Times New Roman" w:cs="Times New Roman"/>
            <w:sz w:val="24"/>
            <w:szCs w:val="24"/>
          </w:rPr>
          <w:t>http://www.africaalmanac.com/top20highschools.html</w:t>
        </w:r>
      </w:hyperlink>
      <w:r w:rsidRPr="00FD139B">
        <w:rPr>
          <w:rFonts w:ascii="Times New Roman" w:hAnsi="Times New Roman" w:cs="Times New Roman"/>
          <w:sz w:val="24"/>
          <w:szCs w:val="24"/>
        </w:rPr>
        <w:t xml:space="preserve">), </w:t>
      </w:r>
    </w:p>
    <w:p w:rsidR="00E9178F" w:rsidRPr="00FD139B" w:rsidRDefault="00E9178F" w:rsidP="00FD139B">
      <w:pPr>
        <w:tabs>
          <w:tab w:val="left" w:pos="426"/>
        </w:tabs>
        <w:spacing w:after="0"/>
        <w:jc w:val="both"/>
        <w:rPr>
          <w:rFonts w:ascii="Times New Roman" w:hAnsi="Times New Roman" w:cs="Times New Roman"/>
          <w:sz w:val="24"/>
          <w:szCs w:val="24"/>
        </w:rPr>
      </w:pPr>
      <w:r w:rsidRPr="00FD139B">
        <w:rPr>
          <w:rFonts w:ascii="Times New Roman" w:hAnsi="Times New Roman" w:cs="Times New Roman"/>
          <w:sz w:val="24"/>
          <w:szCs w:val="24"/>
        </w:rPr>
        <w:t xml:space="preserve">as well as schools </w:t>
      </w:r>
      <w:r w:rsidR="004A56CE" w:rsidRPr="00FD139B">
        <w:rPr>
          <w:rFonts w:ascii="Times New Roman" w:hAnsi="Times New Roman" w:cs="Times New Roman"/>
          <w:sz w:val="24"/>
          <w:szCs w:val="24"/>
        </w:rPr>
        <w:t xml:space="preserve">which supplied the most students admitted to KNUST (a premier university of science and technology). Additionally we chose Tamale Secondary School to get students from the far north of Ghana, who might not otherwise make the sample. At each school we then worked with the school to obtain the names of the top five students graduating in each year between 1976 and 2004, using school records of </w:t>
      </w:r>
      <w:r w:rsidR="00E7403F" w:rsidRPr="00FD139B">
        <w:rPr>
          <w:rFonts w:ascii="Times New Roman" w:hAnsi="Times New Roman" w:cs="Times New Roman"/>
          <w:sz w:val="24"/>
          <w:szCs w:val="24"/>
        </w:rPr>
        <w:t xml:space="preserve">which students received the most subject prizes in their senior year and of </w:t>
      </w:r>
      <w:r w:rsidR="004A56CE" w:rsidRPr="00FD139B">
        <w:rPr>
          <w:rFonts w:ascii="Times New Roman" w:hAnsi="Times New Roman" w:cs="Times New Roman"/>
          <w:sz w:val="24"/>
          <w:szCs w:val="24"/>
        </w:rPr>
        <w:t>examination performance</w:t>
      </w:r>
      <w:r w:rsidR="00E7403F" w:rsidRPr="00FD139B">
        <w:rPr>
          <w:rFonts w:ascii="Times New Roman" w:hAnsi="Times New Roman" w:cs="Times New Roman"/>
          <w:sz w:val="24"/>
          <w:szCs w:val="24"/>
        </w:rPr>
        <w:t xml:space="preserve"> on the A-level or SSSCE examinations</w:t>
      </w:r>
      <w:r w:rsidR="004A56CE" w:rsidRPr="00FD139B">
        <w:rPr>
          <w:rFonts w:ascii="Times New Roman" w:hAnsi="Times New Roman" w:cs="Times New Roman"/>
          <w:sz w:val="24"/>
          <w:szCs w:val="24"/>
        </w:rPr>
        <w:t>.</w:t>
      </w:r>
    </w:p>
    <w:p w:rsidR="00FD139B" w:rsidRDefault="00FD139B" w:rsidP="00FD139B">
      <w:pPr>
        <w:tabs>
          <w:tab w:val="left" w:pos="426"/>
        </w:tabs>
        <w:spacing w:after="0"/>
        <w:jc w:val="both"/>
        <w:rPr>
          <w:rFonts w:ascii="Times New Roman" w:hAnsi="Times New Roman" w:cs="Times New Roman"/>
          <w:sz w:val="24"/>
          <w:szCs w:val="24"/>
        </w:rPr>
      </w:pPr>
    </w:p>
    <w:p w:rsidR="004E0235" w:rsidRPr="00FD139B" w:rsidRDefault="004E0235" w:rsidP="00FD139B">
      <w:pPr>
        <w:tabs>
          <w:tab w:val="left" w:pos="426"/>
        </w:tabs>
        <w:spacing w:after="0"/>
        <w:jc w:val="both"/>
        <w:rPr>
          <w:rFonts w:ascii="Times New Roman" w:hAnsi="Times New Roman" w:cs="Times New Roman"/>
          <w:sz w:val="24"/>
          <w:szCs w:val="24"/>
        </w:rPr>
      </w:pPr>
    </w:p>
    <w:p w:rsidR="00E9178F" w:rsidRDefault="00371D58" w:rsidP="00FD139B">
      <w:pPr>
        <w:tabs>
          <w:tab w:val="left" w:pos="426"/>
        </w:tabs>
        <w:spacing w:after="0"/>
        <w:jc w:val="both"/>
        <w:rPr>
          <w:rFonts w:ascii="Times New Roman" w:hAnsi="Times New Roman" w:cs="Times New Roman"/>
          <w:b/>
          <w:i/>
          <w:sz w:val="24"/>
          <w:szCs w:val="24"/>
        </w:rPr>
      </w:pPr>
      <w:r w:rsidRPr="00FD139B">
        <w:rPr>
          <w:rFonts w:ascii="Times New Roman" w:hAnsi="Times New Roman" w:cs="Times New Roman"/>
          <w:b/>
          <w:i/>
          <w:sz w:val="24"/>
          <w:szCs w:val="24"/>
        </w:rPr>
        <w:t>Micronesia</w:t>
      </w:r>
    </w:p>
    <w:p w:rsidR="004E0235" w:rsidRPr="004E0235" w:rsidRDefault="004E0235" w:rsidP="00FD139B">
      <w:pPr>
        <w:tabs>
          <w:tab w:val="left" w:pos="426"/>
        </w:tabs>
        <w:spacing w:after="0"/>
        <w:jc w:val="both"/>
        <w:rPr>
          <w:rFonts w:ascii="Times New Roman" w:hAnsi="Times New Roman" w:cs="Times New Roman"/>
          <w:b/>
          <w:i/>
          <w:sz w:val="12"/>
          <w:szCs w:val="12"/>
        </w:rPr>
      </w:pPr>
    </w:p>
    <w:p w:rsidR="00E92662" w:rsidRPr="00FD139B" w:rsidRDefault="00286826" w:rsidP="00FD139B">
      <w:pPr>
        <w:tabs>
          <w:tab w:val="left" w:pos="426"/>
        </w:tabs>
        <w:spacing w:after="0"/>
        <w:jc w:val="both"/>
        <w:rPr>
          <w:rFonts w:ascii="Times New Roman" w:hAnsi="Times New Roman" w:cs="Times New Roman"/>
          <w:sz w:val="24"/>
          <w:szCs w:val="24"/>
        </w:rPr>
      </w:pPr>
      <w:r w:rsidRPr="00FD139B">
        <w:rPr>
          <w:rFonts w:ascii="Times New Roman" w:hAnsi="Times New Roman" w:cs="Times New Roman"/>
          <w:sz w:val="24"/>
          <w:szCs w:val="24"/>
        </w:rPr>
        <w:t>In the Federated States of Micronesia (FSM), the sample frame consisted of the valedictorian, salutatorian, and where available, third-placed student from high school classes graduating between 1976 and 2004. This sample frame was constructed by contacting 15 high schools on four islands of FSM: Chuuk, Kosrae, Pohnpei, and Yap.</w:t>
      </w:r>
      <w:r w:rsidR="00E92662" w:rsidRPr="00FD139B">
        <w:rPr>
          <w:rFonts w:ascii="Times New Roman" w:hAnsi="Times New Roman" w:cs="Times New Roman"/>
          <w:sz w:val="24"/>
          <w:szCs w:val="24"/>
        </w:rPr>
        <w:t xml:space="preserve"> Not all of these schools had been in existence throughout the whole period, so for more recently established schools we just used the years in existence. Given this, the majority of the sample comes from the more prestigious, longer established schools of Xavier High Scho</w:t>
      </w:r>
      <w:r w:rsidR="005A7A60" w:rsidRPr="00FD139B">
        <w:rPr>
          <w:rFonts w:ascii="Times New Roman" w:hAnsi="Times New Roman" w:cs="Times New Roman"/>
          <w:sz w:val="24"/>
          <w:szCs w:val="24"/>
        </w:rPr>
        <w:t>ol</w:t>
      </w:r>
      <w:r w:rsidR="00E92662" w:rsidRPr="00FD139B">
        <w:rPr>
          <w:rFonts w:ascii="Times New Roman" w:hAnsi="Times New Roman" w:cs="Times New Roman"/>
          <w:sz w:val="24"/>
          <w:szCs w:val="24"/>
        </w:rPr>
        <w:t>, Pohnpei Island Central School (PICS), Yap High School, Seventh Day Adventist High School, and Kosrae High School</w:t>
      </w:r>
      <w:r w:rsidR="00836D24" w:rsidRPr="00FD139B">
        <w:rPr>
          <w:rFonts w:ascii="Times New Roman" w:hAnsi="Times New Roman" w:cs="Times New Roman"/>
          <w:sz w:val="24"/>
          <w:szCs w:val="24"/>
        </w:rPr>
        <w:t>, but the sample frame essentially covers almost all available secondary schooling on these islands.</w:t>
      </w:r>
      <w:r w:rsidR="00421A47" w:rsidRPr="00FD139B">
        <w:rPr>
          <w:rFonts w:ascii="Times New Roman" w:hAnsi="Times New Roman" w:cs="Times New Roman"/>
          <w:sz w:val="24"/>
          <w:szCs w:val="24"/>
        </w:rPr>
        <w:t xml:space="preserve"> The names of the top students were obtained from school records.</w:t>
      </w:r>
    </w:p>
    <w:p w:rsidR="00FD139B" w:rsidRDefault="00FD139B" w:rsidP="00FD139B">
      <w:pPr>
        <w:tabs>
          <w:tab w:val="left" w:pos="426"/>
        </w:tabs>
        <w:spacing w:after="0"/>
        <w:jc w:val="both"/>
        <w:rPr>
          <w:rFonts w:ascii="Times New Roman" w:hAnsi="Times New Roman" w:cs="Times New Roman"/>
          <w:sz w:val="24"/>
          <w:szCs w:val="24"/>
        </w:rPr>
      </w:pPr>
    </w:p>
    <w:p w:rsidR="00FD139B" w:rsidRPr="00FD139B" w:rsidRDefault="00FD139B" w:rsidP="00FD139B">
      <w:pPr>
        <w:tabs>
          <w:tab w:val="left" w:pos="426"/>
        </w:tabs>
        <w:spacing w:after="0"/>
        <w:jc w:val="both"/>
        <w:rPr>
          <w:rFonts w:ascii="Times New Roman" w:hAnsi="Times New Roman" w:cs="Times New Roman"/>
          <w:sz w:val="24"/>
          <w:szCs w:val="24"/>
        </w:rPr>
      </w:pPr>
    </w:p>
    <w:p w:rsidR="004E0235" w:rsidRDefault="004E0235">
      <w:pPr>
        <w:rPr>
          <w:rFonts w:ascii="Times New Roman" w:hAnsi="Times New Roman" w:cs="Times New Roman"/>
          <w:b/>
          <w:i/>
          <w:sz w:val="24"/>
          <w:szCs w:val="24"/>
        </w:rPr>
      </w:pPr>
      <w:r>
        <w:rPr>
          <w:rFonts w:ascii="Times New Roman" w:hAnsi="Times New Roman" w:cs="Times New Roman"/>
          <w:b/>
          <w:i/>
          <w:sz w:val="24"/>
          <w:szCs w:val="24"/>
        </w:rPr>
        <w:br w:type="page"/>
      </w:r>
    </w:p>
    <w:p w:rsidR="00836D24" w:rsidRDefault="00794BDC" w:rsidP="00FD139B">
      <w:pPr>
        <w:tabs>
          <w:tab w:val="left" w:pos="426"/>
        </w:tabs>
        <w:spacing w:after="0"/>
        <w:jc w:val="both"/>
        <w:rPr>
          <w:rFonts w:ascii="Times New Roman" w:hAnsi="Times New Roman" w:cs="Times New Roman"/>
          <w:b/>
          <w:i/>
          <w:sz w:val="24"/>
          <w:szCs w:val="24"/>
        </w:rPr>
      </w:pPr>
      <w:r w:rsidRPr="00FD139B">
        <w:rPr>
          <w:rFonts w:ascii="Times New Roman" w:hAnsi="Times New Roman" w:cs="Times New Roman"/>
          <w:b/>
          <w:i/>
          <w:sz w:val="24"/>
          <w:szCs w:val="24"/>
        </w:rPr>
        <w:lastRenderedPageBreak/>
        <w:t>New Zealand</w:t>
      </w:r>
    </w:p>
    <w:p w:rsidR="00FD139B" w:rsidRPr="004E0235" w:rsidRDefault="00FD139B" w:rsidP="00FD139B">
      <w:pPr>
        <w:tabs>
          <w:tab w:val="left" w:pos="426"/>
        </w:tabs>
        <w:spacing w:after="0"/>
        <w:jc w:val="both"/>
        <w:rPr>
          <w:rFonts w:ascii="Times New Roman" w:hAnsi="Times New Roman" w:cs="Times New Roman"/>
          <w:b/>
          <w:i/>
          <w:sz w:val="12"/>
          <w:szCs w:val="12"/>
        </w:rPr>
      </w:pPr>
    </w:p>
    <w:p w:rsidR="00836D24" w:rsidRPr="00FD139B" w:rsidRDefault="00794BDC" w:rsidP="00FD139B">
      <w:pPr>
        <w:tabs>
          <w:tab w:val="left" w:pos="426"/>
        </w:tabs>
        <w:spacing w:after="0"/>
        <w:jc w:val="both"/>
        <w:rPr>
          <w:rFonts w:ascii="Times New Roman" w:hAnsi="Times New Roman" w:cs="Times New Roman"/>
          <w:sz w:val="24"/>
          <w:szCs w:val="24"/>
        </w:rPr>
      </w:pPr>
      <w:r w:rsidRPr="00FD139B">
        <w:rPr>
          <w:rFonts w:ascii="Times New Roman" w:hAnsi="Times New Roman" w:cs="Times New Roman"/>
          <w:sz w:val="24"/>
          <w:szCs w:val="24"/>
        </w:rPr>
        <w:t>The sample frame in New Zealand is comprised of four groups of individuals who excelled academically: Members of New Zealand’s Mathematical Olympiad team over the 1988 to 2004 period (73 individuals); Members of New Zealand’s Chemistry Olympiad team over the 1992 to 2004 period (48 individuals); Top scholars in the University Bursary examinations over the period 1991-2004, which are the final year examinations taken by almost all students (484 individuals); and over the 1976-91 period, the Duxes of 16 secondary schools which had supplied many of the individuals in the first groups (271 individuals). The reason for these overlapping groups is that New Zealand only began participating in the Mathematical and Chemistry Olympiads in 1988 and 1992 respectively, and only publicly named and awarded prizes to the top performers in the Bursary examinations beginning in 1991. The Dux is the equivalent of the valedictorian in the United States, and is the student who has the highest academic performance amongst final year students in a school. These groups are discussed further in the appendix to Gibson and McKenzie (2010)</w:t>
      </w:r>
      <w:r w:rsidR="00421A47" w:rsidRPr="00FD139B">
        <w:rPr>
          <w:rFonts w:ascii="Times New Roman" w:hAnsi="Times New Roman" w:cs="Times New Roman"/>
          <w:sz w:val="24"/>
          <w:szCs w:val="24"/>
        </w:rPr>
        <w:t>, which also provides additional information on the Papua New Guinea and Tonga samples</w:t>
      </w:r>
      <w:r w:rsidRPr="00FD139B">
        <w:rPr>
          <w:rFonts w:ascii="Times New Roman" w:hAnsi="Times New Roman" w:cs="Times New Roman"/>
          <w:sz w:val="24"/>
          <w:szCs w:val="24"/>
        </w:rPr>
        <w:t>.</w:t>
      </w:r>
    </w:p>
    <w:p w:rsidR="00FD139B" w:rsidRDefault="00FD139B" w:rsidP="00FD139B">
      <w:pPr>
        <w:tabs>
          <w:tab w:val="left" w:pos="426"/>
        </w:tabs>
        <w:spacing w:after="0"/>
        <w:jc w:val="both"/>
        <w:rPr>
          <w:rFonts w:ascii="Times New Roman" w:hAnsi="Times New Roman" w:cs="Times New Roman"/>
          <w:sz w:val="24"/>
          <w:szCs w:val="24"/>
        </w:rPr>
      </w:pPr>
    </w:p>
    <w:p w:rsidR="00FD139B" w:rsidRPr="00FD139B" w:rsidRDefault="00FD139B" w:rsidP="00FD139B">
      <w:pPr>
        <w:tabs>
          <w:tab w:val="left" w:pos="426"/>
        </w:tabs>
        <w:spacing w:after="0"/>
        <w:jc w:val="both"/>
        <w:rPr>
          <w:rFonts w:ascii="Times New Roman" w:hAnsi="Times New Roman" w:cs="Times New Roman"/>
          <w:sz w:val="24"/>
          <w:szCs w:val="24"/>
        </w:rPr>
      </w:pPr>
    </w:p>
    <w:p w:rsidR="00794BDC" w:rsidRDefault="00794BDC" w:rsidP="00FD139B">
      <w:pPr>
        <w:tabs>
          <w:tab w:val="left" w:pos="426"/>
        </w:tabs>
        <w:spacing w:after="0"/>
        <w:jc w:val="both"/>
        <w:rPr>
          <w:rFonts w:ascii="Times New Roman" w:hAnsi="Times New Roman" w:cs="Times New Roman"/>
          <w:b/>
          <w:i/>
          <w:sz w:val="24"/>
          <w:szCs w:val="24"/>
        </w:rPr>
      </w:pPr>
      <w:r w:rsidRPr="00FD139B">
        <w:rPr>
          <w:rFonts w:ascii="Times New Roman" w:hAnsi="Times New Roman" w:cs="Times New Roman"/>
          <w:b/>
          <w:i/>
          <w:sz w:val="24"/>
          <w:szCs w:val="24"/>
        </w:rPr>
        <w:t>Papua New Guinea</w:t>
      </w:r>
    </w:p>
    <w:p w:rsidR="004E0235" w:rsidRPr="004E0235" w:rsidRDefault="004E0235" w:rsidP="00FD139B">
      <w:pPr>
        <w:tabs>
          <w:tab w:val="left" w:pos="426"/>
        </w:tabs>
        <w:spacing w:after="0"/>
        <w:jc w:val="both"/>
        <w:rPr>
          <w:rFonts w:ascii="Times New Roman" w:hAnsi="Times New Roman" w:cs="Times New Roman"/>
          <w:b/>
          <w:i/>
          <w:sz w:val="12"/>
          <w:szCs w:val="12"/>
        </w:rPr>
      </w:pPr>
    </w:p>
    <w:p w:rsidR="00421A47" w:rsidRPr="00FD139B" w:rsidRDefault="00794BDC" w:rsidP="00FD139B">
      <w:pPr>
        <w:tabs>
          <w:tab w:val="left" w:pos="426"/>
        </w:tabs>
        <w:spacing w:after="0"/>
        <w:jc w:val="both"/>
        <w:rPr>
          <w:rFonts w:ascii="Times New Roman" w:hAnsi="Times New Roman" w:cs="Times New Roman"/>
          <w:sz w:val="24"/>
          <w:szCs w:val="24"/>
        </w:rPr>
      </w:pPr>
      <w:r w:rsidRPr="00FD139B">
        <w:rPr>
          <w:rFonts w:ascii="Times New Roman" w:hAnsi="Times New Roman" w:cs="Times New Roman"/>
          <w:sz w:val="24"/>
          <w:szCs w:val="24"/>
        </w:rPr>
        <w:t>Papua New Guinea has the lowest secondary school enrolment rate of any of the countries in our study, with net secondary enrolment less than 20%. Historically, there was a major winnowing of students first at grade 6, and then at grade 10. Grades 11 and 12 were only taught at four National High Schools. S</w:t>
      </w:r>
      <w:r w:rsidR="00421A47" w:rsidRPr="00FD139B">
        <w:rPr>
          <w:rFonts w:ascii="Times New Roman" w:hAnsi="Times New Roman" w:cs="Times New Roman"/>
          <w:sz w:val="24"/>
          <w:szCs w:val="24"/>
        </w:rPr>
        <w:t xml:space="preserve">chool records in Papua New Guinea were almost non-existent, with no school magazines or boards displaying the names of top students to provide  a record of who the top students were. The only formal sampling frame came from the Office of Higher Education (OHE), which allocates slots and scholarships for tertiary study. It provided the names of the 264 students who had achieved a 4.0 GPA in their Grade 12 national examinations during 1995-98 and 2000-2004. On average only 0.7% of Grade 12 exam entrants achieved this perfect GPA. For 1976-94 our sample frame consists of the Duxes and Proxime Accesits from the National High Schools. We obtained the names of 93 of the 152 potential individuals on this list by asking former students and teachers at these schools, and through radio and television advertisements. </w:t>
      </w:r>
    </w:p>
    <w:p w:rsidR="00FD139B" w:rsidRDefault="00FD139B" w:rsidP="00FD139B">
      <w:pPr>
        <w:tabs>
          <w:tab w:val="left" w:pos="426"/>
        </w:tabs>
        <w:spacing w:after="0"/>
        <w:jc w:val="both"/>
        <w:rPr>
          <w:rFonts w:ascii="Times New Roman" w:hAnsi="Times New Roman" w:cs="Times New Roman"/>
          <w:sz w:val="24"/>
          <w:szCs w:val="24"/>
        </w:rPr>
      </w:pPr>
    </w:p>
    <w:p w:rsidR="00FD139B" w:rsidRPr="00FD139B" w:rsidRDefault="00FD139B" w:rsidP="00FD139B">
      <w:pPr>
        <w:tabs>
          <w:tab w:val="left" w:pos="426"/>
        </w:tabs>
        <w:spacing w:after="0"/>
        <w:jc w:val="both"/>
        <w:rPr>
          <w:rFonts w:ascii="Times New Roman" w:hAnsi="Times New Roman" w:cs="Times New Roman"/>
          <w:sz w:val="24"/>
          <w:szCs w:val="24"/>
        </w:rPr>
      </w:pPr>
    </w:p>
    <w:p w:rsidR="00421A47" w:rsidRDefault="00421A47" w:rsidP="00FD139B">
      <w:pPr>
        <w:tabs>
          <w:tab w:val="left" w:pos="426"/>
        </w:tabs>
        <w:spacing w:after="0"/>
        <w:jc w:val="both"/>
        <w:rPr>
          <w:rFonts w:ascii="Times New Roman" w:hAnsi="Times New Roman" w:cs="Times New Roman"/>
          <w:b/>
          <w:i/>
          <w:sz w:val="24"/>
          <w:szCs w:val="24"/>
        </w:rPr>
      </w:pPr>
      <w:r w:rsidRPr="00FD139B">
        <w:rPr>
          <w:rFonts w:ascii="Times New Roman" w:hAnsi="Times New Roman" w:cs="Times New Roman"/>
          <w:b/>
          <w:i/>
          <w:sz w:val="24"/>
          <w:szCs w:val="24"/>
        </w:rPr>
        <w:t>Tonga</w:t>
      </w:r>
    </w:p>
    <w:p w:rsidR="004E0235" w:rsidRPr="004E0235" w:rsidRDefault="004E0235" w:rsidP="00FD139B">
      <w:pPr>
        <w:tabs>
          <w:tab w:val="left" w:pos="426"/>
        </w:tabs>
        <w:spacing w:after="0"/>
        <w:jc w:val="both"/>
        <w:rPr>
          <w:rFonts w:ascii="Times New Roman" w:hAnsi="Times New Roman" w:cs="Times New Roman"/>
          <w:b/>
          <w:i/>
          <w:sz w:val="12"/>
          <w:szCs w:val="12"/>
        </w:rPr>
      </w:pPr>
    </w:p>
    <w:p w:rsidR="00421A47" w:rsidRPr="00FD139B" w:rsidRDefault="00421A47" w:rsidP="00FD139B">
      <w:pPr>
        <w:tabs>
          <w:tab w:val="left" w:pos="426"/>
        </w:tabs>
        <w:spacing w:after="0"/>
        <w:jc w:val="both"/>
        <w:rPr>
          <w:rFonts w:ascii="Times New Roman" w:hAnsi="Times New Roman" w:cs="Times New Roman"/>
          <w:sz w:val="24"/>
          <w:szCs w:val="24"/>
        </w:rPr>
      </w:pPr>
      <w:r w:rsidRPr="00FD139B">
        <w:rPr>
          <w:rFonts w:ascii="Times New Roman" w:hAnsi="Times New Roman" w:cs="Times New Roman"/>
          <w:sz w:val="24"/>
          <w:szCs w:val="24"/>
        </w:rPr>
        <w:t xml:space="preserve">Our sample frame consists of the Dux and Proxime Accesit from the top three high schools on the main island of Tongatapu (Tonga High School, Tonga College, and Queen Salote), and from two main schools in the Outer Islands (Vava’u High School and Taufa’ahau I Pilolevu College (TPC) in Ha’apai. For each we take the top scholars over the 1976-2004 period, except for Va’vau High Schoo which only opened in 1985. Websites of these schools provided some initial information on the names of the top students. Each of the schools was then visited and school teachers and librarians helped to reconstruct the list, using school records and old school magazines. </w:t>
      </w:r>
    </w:p>
    <w:p w:rsidR="00421A47" w:rsidRPr="00421A47" w:rsidRDefault="00421A47" w:rsidP="00FD139B">
      <w:pPr>
        <w:tabs>
          <w:tab w:val="left" w:pos="426"/>
        </w:tabs>
        <w:spacing w:after="0"/>
        <w:jc w:val="both"/>
        <w:rPr>
          <w:rFonts w:ascii="Times New Roman" w:hAnsi="Times New Roman" w:cs="Times New Roman"/>
        </w:rPr>
        <w:sectPr w:rsidR="00421A47" w:rsidRPr="00421A47" w:rsidSect="00BF616F">
          <w:footerReference w:type="default" r:id="rId10"/>
          <w:pgSz w:w="11907" w:h="16840" w:code="9"/>
          <w:pgMar w:top="1440" w:right="1440" w:bottom="1440" w:left="1440" w:header="720" w:footer="720" w:gutter="0"/>
          <w:cols w:space="720"/>
          <w:docGrid w:linePitch="360"/>
        </w:sectPr>
      </w:pPr>
    </w:p>
    <w:p w:rsidR="006102DB" w:rsidRDefault="00B01E56" w:rsidP="00FD139B">
      <w:pPr>
        <w:tabs>
          <w:tab w:val="left" w:pos="426"/>
        </w:tabs>
        <w:spacing w:after="0"/>
        <w:rPr>
          <w:rFonts w:ascii="Times New Roman" w:hAnsi="Times New Roman" w:cs="Times New Roman"/>
          <w:b/>
          <w:sz w:val="24"/>
          <w:szCs w:val="24"/>
        </w:rPr>
      </w:pPr>
      <w:r>
        <w:rPr>
          <w:noProof/>
          <w:lang w:val="en-NZ" w:eastAsia="en-NZ"/>
        </w:rPr>
      </w:r>
      <w:r w:rsidR="00E806B9">
        <w:rPr>
          <w:rFonts w:ascii="Times New Roman" w:hAnsi="Times New Roman" w:cs="Times New Roman"/>
          <w:b/>
          <w:sz w:val="24"/>
          <w:szCs w:val="24"/>
        </w:rPr>
        <w:pict>
          <v:group id="_x0000_s1028" editas="canvas" style="width:647.75pt;height:177.65pt;mso-position-horizontal-relative:char;mso-position-vertical-relative:line" coordsize="12955,36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955;height:3640" o:preferrelative="f">
              <v:fill o:detectmouseclick="t"/>
              <v:path o:extrusionok="t" o:connecttype="none"/>
              <o:lock v:ext="edit" text="t"/>
            </v:shape>
            <v:rect id="_x0000_s1029" style="position:absolute;width:12820;height:3340" stroked="f"/>
            <v:rect id="_x0000_s1030" style="position:absolute;left:45;top:30;width:5441;height:509;mso-wrap-style:none" filled="f" stroked="f">
              <v:textbox style="mso-next-textbox:#_x0000_s1030" inset="0,0,0,0">
                <w:txbxContent>
                  <w:p w:rsidR="00B01E56" w:rsidRDefault="00B01E56">
                    <w:r>
                      <w:rPr>
                        <w:rFonts w:ascii="Calibri" w:hAnsi="Calibri" w:cs="Calibri"/>
                        <w:b/>
                        <w:bCs/>
                        <w:color w:val="000000"/>
                      </w:rPr>
                      <w:t>Table 1: Sample Sizes, Response Rates, and Migration Rates</w:t>
                    </w:r>
                  </w:p>
                </w:txbxContent>
              </v:textbox>
            </v:rect>
            <v:rect id="_x0000_s1031" style="position:absolute;left:1846;top:344;width:1018;height:509;mso-wrap-style:none" filled="f" stroked="f">
              <v:textbox style="mso-next-textbox:#_x0000_s1031" inset="0,0,0,0">
                <w:txbxContent>
                  <w:p w:rsidR="00B01E56" w:rsidRDefault="00B01E56">
                    <w:r>
                      <w:rPr>
                        <w:rFonts w:ascii="Calibri" w:hAnsi="Calibri" w:cs="Calibri"/>
                        <w:color w:val="000000"/>
                      </w:rPr>
                      <w:t># in sample</w:t>
                    </w:r>
                  </w:p>
                </w:txbxContent>
              </v:textbox>
            </v:rect>
            <v:rect id="_x0000_s1032" style="position:absolute;left:3062;top:344;width:979;height:509;mso-wrap-style:none" filled="f" stroked="f">
              <v:textbox style="mso-next-textbox:#_x0000_s1032" inset="0,0,0,0">
                <w:txbxContent>
                  <w:p w:rsidR="00B01E56" w:rsidRDefault="00B01E56">
                    <w:r>
                      <w:rPr>
                        <w:rFonts w:ascii="Calibri" w:hAnsi="Calibri" w:cs="Calibri"/>
                        <w:color w:val="000000"/>
                      </w:rPr>
                      <w:t># of survey</w:t>
                    </w:r>
                  </w:p>
                </w:txbxContent>
              </v:textbox>
            </v:rect>
            <v:rect id="_x0000_s1033" style="position:absolute;left:4338;top:344;width:602;height:509;mso-wrap-style:none" filled="f" stroked="f">
              <v:textbox style="mso-next-textbox:#_x0000_s1033" inset="0,0,0,0">
                <w:txbxContent>
                  <w:p w:rsidR="00B01E56" w:rsidRDefault="00B01E56">
                    <w:r>
                      <w:rPr>
                        <w:rFonts w:ascii="Calibri" w:hAnsi="Calibri" w:cs="Calibri"/>
                        <w:color w:val="000000"/>
                      </w:rPr>
                      <w:t>Survey</w:t>
                    </w:r>
                  </w:p>
                </w:txbxContent>
              </v:textbox>
            </v:rect>
            <v:rect id="_x0000_s1034" style="position:absolute;left:7671;top:344;width:158;height:509;mso-wrap-style:none" filled="f" stroked="f">
              <v:textbox style="mso-next-textbox:#_x0000_s1034" inset="0,0,0,0">
                <w:txbxContent>
                  <w:p w:rsidR="00B01E56" w:rsidRDefault="00B01E56">
                    <w:r>
                      <w:rPr>
                        <w:rFonts w:ascii="Calibri" w:hAnsi="Calibri" w:cs="Calibri"/>
                        <w:color w:val="000000"/>
                      </w:rPr>
                      <w:t xml:space="preserve">% </w:t>
                    </w:r>
                  </w:p>
                </w:txbxContent>
              </v:textbox>
            </v:rect>
            <v:rect id="_x0000_s1035" style="position:absolute;left:8196;top:344;width:1053;height:509;mso-wrap-style:none" filled="f" stroked="f">
              <v:textbox style="mso-next-textbox:#_x0000_s1035" inset="0,0,0,0">
                <w:txbxContent>
                  <w:p w:rsidR="00B01E56" w:rsidRDefault="00B01E56">
                    <w:r>
                      <w:rPr>
                        <w:rFonts w:ascii="Calibri" w:hAnsi="Calibri" w:cs="Calibri"/>
                        <w:color w:val="000000"/>
                      </w:rPr>
                      <w:t># of current</w:t>
                    </w:r>
                  </w:p>
                </w:txbxContent>
              </v:textbox>
            </v:rect>
            <v:rect id="_x0000_s1036" style="position:absolute;left:9412;top:344;width:1212;height:509;mso-wrap-style:none" filled="f" stroked="f">
              <v:textbox style="mso-next-textbox:#_x0000_s1036" inset="0,0,0,0">
                <w:txbxContent>
                  <w:p w:rsidR="00B01E56" w:rsidRDefault="00B01E56">
                    <w:r>
                      <w:rPr>
                        <w:rFonts w:ascii="Calibri" w:hAnsi="Calibri" w:cs="Calibri"/>
                        <w:color w:val="000000"/>
                      </w:rPr>
                      <w:t>% of 22+ who</w:t>
                    </w:r>
                  </w:p>
                </w:txbxContent>
              </v:textbox>
            </v:rect>
            <v:rect id="_x0000_s1037" style="position:absolute;left:11184;top:344;width:1212;height:509;mso-wrap-style:none" filled="f" stroked="f">
              <v:textbox style="mso-next-textbox:#_x0000_s1037" inset="0,0,0,0">
                <w:txbxContent>
                  <w:p w:rsidR="00B01E56" w:rsidRDefault="00B01E56">
                    <w:r>
                      <w:rPr>
                        <w:rFonts w:ascii="Calibri" w:hAnsi="Calibri" w:cs="Calibri"/>
                        <w:color w:val="000000"/>
                      </w:rPr>
                      <w:t>% of 22+ who</w:t>
                    </w:r>
                  </w:p>
                </w:txbxContent>
              </v:textbox>
            </v:rect>
            <v:rect id="_x0000_s1038" style="position:absolute;left:45;top:644;width:715;height:509;mso-wrap-style:none" filled="f" stroked="f">
              <v:textbox style="mso-next-textbox:#_x0000_s1038" inset="0,0,0,0">
                <w:txbxContent>
                  <w:p w:rsidR="00B01E56" w:rsidRDefault="00B01E56">
                    <w:r>
                      <w:rPr>
                        <w:rFonts w:ascii="Calibri" w:hAnsi="Calibri" w:cs="Calibri"/>
                        <w:color w:val="000000"/>
                      </w:rPr>
                      <w:t>Country</w:t>
                    </w:r>
                  </w:p>
                </w:txbxContent>
              </v:textbox>
            </v:rect>
            <v:rect id="_x0000_s1039" style="position:absolute;left:2087;top:644;width:535;height:509;mso-wrap-style:none" filled="f" stroked="f">
              <v:textbox style="mso-next-textbox:#_x0000_s1039" inset="0,0,0,0">
                <w:txbxContent>
                  <w:p w:rsidR="00B01E56" w:rsidRDefault="00B01E56">
                    <w:r>
                      <w:rPr>
                        <w:rFonts w:ascii="Calibri" w:hAnsi="Calibri" w:cs="Calibri"/>
                        <w:color w:val="000000"/>
                      </w:rPr>
                      <w:t>frame</w:t>
                    </w:r>
                  </w:p>
                </w:txbxContent>
              </v:textbox>
            </v:rect>
            <v:rect id="_x0000_s1040" style="position:absolute;left:2972;top:644;width:1120;height:509;mso-wrap-style:none" filled="f" stroked="f">
              <v:textbox style="mso-next-textbox:#_x0000_s1040" inset="0,0,0,0">
                <w:txbxContent>
                  <w:p w:rsidR="00B01E56" w:rsidRDefault="00B01E56">
                    <w:r>
                      <w:rPr>
                        <w:rFonts w:ascii="Calibri" w:hAnsi="Calibri" w:cs="Calibri"/>
                        <w:color w:val="000000"/>
                      </w:rPr>
                      <w:t>respondents</w:t>
                    </w:r>
                  </w:p>
                </w:txbxContent>
              </v:textbox>
            </v:rect>
            <v:rect id="_x0000_s1041" style="position:absolute;left:4443;top:644;width:408;height:509;mso-wrap-style:none" filled="f" stroked="f">
              <v:textbox style="mso-next-textbox:#_x0000_s1041" inset="0,0,0,0">
                <w:txbxContent>
                  <w:p w:rsidR="00B01E56" w:rsidRDefault="00B01E56">
                    <w:r>
                      <w:rPr>
                        <w:rFonts w:ascii="Calibri" w:hAnsi="Calibri" w:cs="Calibri"/>
                        <w:color w:val="000000"/>
                      </w:rPr>
                      <w:t>Rate</w:t>
                    </w:r>
                  </w:p>
                </w:txbxContent>
              </v:textbox>
            </v:rect>
            <v:rect id="_x0000_s1042" style="position:absolute;left:5284;top:644;width:736;height:509;mso-wrap-style:none" filled="f" stroked="f">
              <v:textbox style="mso-next-textbox:#_x0000_s1042" inset="0,0,0,0">
                <w:txbxContent>
                  <w:p w:rsidR="00B01E56" w:rsidRDefault="00B01E56">
                    <w:r>
                      <w:rPr>
                        <w:rFonts w:ascii="Calibri" w:hAnsi="Calibri" w:cs="Calibri"/>
                        <w:color w:val="000000"/>
                      </w:rPr>
                      <w:t>Number</w:t>
                    </w:r>
                  </w:p>
                </w:txbxContent>
              </v:textbox>
            </v:rect>
            <v:rect id="_x0000_s1043" style="position:absolute;left:6725;top:644;width:158;height:509;mso-wrap-style:none" filled="f" stroked="f">
              <v:textbox style="mso-next-textbox:#_x0000_s1043" inset="0,0,0,0">
                <w:txbxContent>
                  <w:p w:rsidR="00B01E56" w:rsidRDefault="00B01E56">
                    <w:r>
                      <w:rPr>
                        <w:rFonts w:ascii="Calibri" w:hAnsi="Calibri" w:cs="Calibri"/>
                        <w:color w:val="000000"/>
                      </w:rPr>
                      <w:t>%</w:t>
                    </w:r>
                  </w:p>
                </w:txbxContent>
              </v:textbox>
            </v:rect>
            <v:rect id="_x0000_s1044" style="position:absolute;left:7446;top:644;width:618;height:509;mso-wrap-style:none" filled="f" stroked="f">
              <v:textbox style="mso-next-textbox:#_x0000_s1044" inset="0,0,0,0">
                <w:txbxContent>
                  <w:p w:rsidR="00B01E56" w:rsidRDefault="00B01E56">
                    <w:r>
                      <w:rPr>
                        <w:rFonts w:ascii="Calibri" w:hAnsi="Calibri" w:cs="Calibri"/>
                        <w:color w:val="000000"/>
                      </w:rPr>
                      <w:t>female</w:t>
                    </w:r>
                  </w:p>
                </w:txbxContent>
              </v:textbox>
            </v:rect>
            <v:rect id="_x0000_s1045" style="position:absolute;left:8316;top:644;width:788;height:509;mso-wrap-style:none" filled="f" stroked="f">
              <v:textbox style="mso-next-textbox:#_x0000_s1045" inset="0,0,0,0">
                <w:txbxContent>
                  <w:p w:rsidR="00B01E56" w:rsidRDefault="00B01E56">
                    <w:r>
                      <w:rPr>
                        <w:rFonts w:ascii="Calibri" w:hAnsi="Calibri" w:cs="Calibri"/>
                        <w:color w:val="000000"/>
                      </w:rPr>
                      <w:t>migrants</w:t>
                    </w:r>
                  </w:p>
                </w:txbxContent>
              </v:textbox>
            </v:rect>
            <v:rect id="_x0000_s1046" style="position:absolute;left:9367;top:644;width:1256;height:509;mso-wrap-style:none" filled="f" stroked="f">
              <v:textbox style="mso-next-textbox:#_x0000_s1046" inset="0,0,0,0">
                <w:txbxContent>
                  <w:p w:rsidR="00B01E56" w:rsidRDefault="00B01E56">
                    <w:r>
                      <w:rPr>
                        <w:rFonts w:ascii="Calibri" w:hAnsi="Calibri" w:cs="Calibri"/>
                        <w:color w:val="000000"/>
                      </w:rPr>
                      <w:t>ever migrated</w:t>
                    </w:r>
                  </w:p>
                </w:txbxContent>
              </v:textbox>
            </v:rect>
            <v:rect id="_x0000_s1047" style="position:absolute;left:10853;top:644;width:1839;height:509;mso-wrap-style:none" filled="f" stroked="f">
              <v:textbox style="mso-next-textbox:#_x0000_s1047" inset="0,0,0,0">
                <w:txbxContent>
                  <w:p w:rsidR="00B01E56" w:rsidRDefault="00B01E56">
                    <w:r>
                      <w:rPr>
                        <w:rFonts w:ascii="Calibri" w:hAnsi="Calibri" w:cs="Calibri"/>
                        <w:color w:val="000000"/>
                      </w:rPr>
                      <w:t>are current migrants</w:t>
                    </w:r>
                  </w:p>
                </w:txbxContent>
              </v:textbox>
            </v:rect>
            <v:rect id="_x0000_s1048" style="position:absolute;left:45;top:944;width:581;height:509;mso-wrap-style:none" filled="f" stroked="f">
              <v:textbox style="mso-next-textbox:#_x0000_s1048" inset="0,0,0,0">
                <w:txbxContent>
                  <w:p w:rsidR="00B01E56" w:rsidRDefault="00B01E56">
                    <w:r>
                      <w:rPr>
                        <w:rFonts w:ascii="Calibri" w:hAnsi="Calibri" w:cs="Calibri"/>
                        <w:color w:val="000000"/>
                      </w:rPr>
                      <w:t>Ghana</w:t>
                    </w:r>
                  </w:p>
                </w:txbxContent>
              </v:textbox>
            </v:rect>
            <v:rect id="_x0000_s1049" style="position:absolute;left:2162;top:944;width:447;height:509;mso-wrap-style:none" filled="f" stroked="f">
              <v:textbox style="mso-next-textbox:#_x0000_s1049" inset="0,0,0,0">
                <w:txbxContent>
                  <w:p w:rsidR="00B01E56" w:rsidRDefault="00B01E56">
                    <w:r>
                      <w:rPr>
                        <w:rFonts w:ascii="Calibri" w:hAnsi="Calibri" w:cs="Calibri"/>
                        <w:color w:val="000000"/>
                      </w:rPr>
                      <w:t>1851</w:t>
                    </w:r>
                  </w:p>
                </w:txbxContent>
              </v:textbox>
            </v:rect>
            <v:rect id="_x0000_s1050" style="position:absolute;left:3408;top:944;width:335;height:509;mso-wrap-style:none" filled="f" stroked="f">
              <v:textbox style="mso-next-textbox:#_x0000_s1050" inset="0,0,0,0">
                <w:txbxContent>
                  <w:p w:rsidR="00B01E56" w:rsidRDefault="00B01E56">
                    <w:r>
                      <w:rPr>
                        <w:rFonts w:ascii="Calibri" w:hAnsi="Calibri" w:cs="Calibri"/>
                        <w:color w:val="000000"/>
                      </w:rPr>
                      <w:t>283</w:t>
                    </w:r>
                  </w:p>
                </w:txbxContent>
              </v:textbox>
            </v:rect>
            <v:rect id="_x0000_s1051" style="position:absolute;left:4473;top:944;width:391;height:509;mso-wrap-style:none" filled="f" stroked="f">
              <v:textbox style="mso-next-textbox:#_x0000_s1051" inset="0,0,0,0">
                <w:txbxContent>
                  <w:p w:rsidR="00B01E56" w:rsidRDefault="00B01E56">
                    <w:r>
                      <w:rPr>
                        <w:rFonts w:ascii="Calibri" w:hAnsi="Calibri" w:cs="Calibri"/>
                        <w:color w:val="000000"/>
                      </w:rPr>
                      <w:t>15.3</w:t>
                    </w:r>
                  </w:p>
                </w:txbxContent>
              </v:textbox>
            </v:rect>
            <v:rect id="_x0000_s1052" style="position:absolute;left:5509;top:944;width:335;height:509;mso-wrap-style:none" filled="f" stroked="f">
              <v:textbox style="mso-next-textbox:#_x0000_s1052" inset="0,0,0,0">
                <w:txbxContent>
                  <w:p w:rsidR="00B01E56" w:rsidRDefault="00B01E56">
                    <w:r>
                      <w:rPr>
                        <w:rFonts w:ascii="Calibri" w:hAnsi="Calibri" w:cs="Calibri"/>
                        <w:color w:val="000000"/>
                      </w:rPr>
                      <w:t>605</w:t>
                    </w:r>
                  </w:p>
                </w:txbxContent>
              </v:textbox>
            </v:rect>
            <v:rect id="_x0000_s1053" style="position:absolute;left:6620;top:944;width:391;height:509;mso-wrap-style:none" filled="f" stroked="f">
              <v:textbox style="mso-next-textbox:#_x0000_s1053" inset="0,0,0,0">
                <w:txbxContent>
                  <w:p w:rsidR="00B01E56" w:rsidRDefault="00B01E56">
                    <w:r>
                      <w:rPr>
                        <w:rFonts w:ascii="Calibri" w:hAnsi="Calibri" w:cs="Calibri"/>
                        <w:color w:val="000000"/>
                      </w:rPr>
                      <w:t>32.7</w:t>
                    </w:r>
                  </w:p>
                </w:txbxContent>
              </v:textbox>
            </v:rect>
            <v:rect id="_x0000_s1054" style="position:absolute;left:7581;top:944;width:391;height:509;mso-wrap-style:none" filled="f" stroked="f">
              <v:textbox style="mso-next-textbox:#_x0000_s1054" inset="0,0,0,0">
                <w:txbxContent>
                  <w:p w:rsidR="00B01E56" w:rsidRDefault="00B01E56">
                    <w:r>
                      <w:rPr>
                        <w:rFonts w:ascii="Calibri" w:hAnsi="Calibri" w:cs="Calibri"/>
                        <w:color w:val="000000"/>
                      </w:rPr>
                      <w:t>36.6</w:t>
                    </w:r>
                  </w:p>
                </w:txbxContent>
              </v:textbox>
            </v:rect>
            <v:rect id="_x0000_s1055" style="position:absolute;left:8572;top:944;width:335;height:509;mso-wrap-style:none" filled="f" stroked="f">
              <v:textbox style="mso-next-textbox:#_x0000_s1055" inset="0,0,0,0">
                <w:txbxContent>
                  <w:p w:rsidR="00B01E56" w:rsidRDefault="00B01E56">
                    <w:r>
                      <w:rPr>
                        <w:rFonts w:ascii="Calibri" w:hAnsi="Calibri" w:cs="Calibri"/>
                        <w:color w:val="000000"/>
                      </w:rPr>
                      <w:t>106</w:t>
                    </w:r>
                  </w:p>
                </w:txbxContent>
              </v:textbox>
            </v:rect>
            <v:rect id="_x0000_s1056" style="position:absolute;left:9833;top:944;width:391;height:509;mso-wrap-style:none" filled="f" stroked="f">
              <v:textbox style="mso-next-textbox:#_x0000_s1056" inset="0,0,0,0">
                <w:txbxContent>
                  <w:p w:rsidR="00B01E56" w:rsidRDefault="00B01E56">
                    <w:r>
                      <w:rPr>
                        <w:rFonts w:ascii="Calibri" w:hAnsi="Calibri" w:cs="Calibri"/>
                        <w:color w:val="000000"/>
                      </w:rPr>
                      <w:t>59.9</w:t>
                    </w:r>
                  </w:p>
                </w:txbxContent>
              </v:textbox>
            </v:rect>
            <v:rect id="_x0000_s1057" style="position:absolute;left:11604;top:944;width:391;height:509;mso-wrap-style:none" filled="f" stroked="f">
              <v:textbox style="mso-next-textbox:#_x0000_s1057" inset="0,0,0,0">
                <w:txbxContent>
                  <w:p w:rsidR="00B01E56" w:rsidRDefault="00B01E56">
                    <w:r>
                      <w:rPr>
                        <w:rFonts w:ascii="Calibri" w:hAnsi="Calibri" w:cs="Calibri"/>
                        <w:color w:val="000000"/>
                      </w:rPr>
                      <w:t>37.6</w:t>
                    </w:r>
                  </w:p>
                </w:txbxContent>
              </v:textbox>
            </v:rect>
            <v:rect id="_x0000_s1058" style="position:absolute;left:45;top:1243;width:992;height:509;mso-wrap-style:none" filled="f" stroked="f">
              <v:textbox style="mso-next-textbox:#_x0000_s1058" inset="0,0,0,0">
                <w:txbxContent>
                  <w:p w:rsidR="00B01E56" w:rsidRDefault="00B01E56">
                    <w:r>
                      <w:rPr>
                        <w:rFonts w:ascii="Calibri" w:hAnsi="Calibri" w:cs="Calibri"/>
                        <w:color w:val="000000"/>
                      </w:rPr>
                      <w:t>Micronesia</w:t>
                    </w:r>
                  </w:p>
                </w:txbxContent>
              </v:textbox>
            </v:rect>
            <v:rect id="_x0000_s1059" style="position:absolute;left:2207;top:1243;width:335;height:509;mso-wrap-style:none" filled="f" stroked="f">
              <v:textbox style="mso-next-textbox:#_x0000_s1059" inset="0,0,0,0">
                <w:txbxContent>
                  <w:p w:rsidR="00B01E56" w:rsidRDefault="00B01E56">
                    <w:r>
                      <w:rPr>
                        <w:rFonts w:ascii="Calibri" w:hAnsi="Calibri" w:cs="Calibri"/>
                        <w:color w:val="000000"/>
                      </w:rPr>
                      <w:t>472</w:t>
                    </w:r>
                  </w:p>
                </w:txbxContent>
              </v:textbox>
            </v:rect>
            <v:rect id="_x0000_s1060" style="position:absolute;left:3408;top:1243;width:335;height:509;mso-wrap-style:none" filled="f" stroked="f">
              <v:textbox style="mso-next-textbox:#_x0000_s1060" inset="0,0,0,0">
                <w:txbxContent>
                  <w:p w:rsidR="00B01E56" w:rsidRDefault="00B01E56">
                    <w:r>
                      <w:rPr>
                        <w:rFonts w:ascii="Calibri" w:hAnsi="Calibri" w:cs="Calibri"/>
                        <w:color w:val="000000"/>
                      </w:rPr>
                      <w:t>157</w:t>
                    </w:r>
                  </w:p>
                </w:txbxContent>
              </v:textbox>
            </v:rect>
            <v:rect id="_x0000_s1061" style="position:absolute;left:4473;top:1243;width:391;height:509;mso-wrap-style:none" filled="f" stroked="f">
              <v:textbox style="mso-next-textbox:#_x0000_s1061" inset="0,0,0,0">
                <w:txbxContent>
                  <w:p w:rsidR="00B01E56" w:rsidRDefault="00B01E56">
                    <w:r>
                      <w:rPr>
                        <w:rFonts w:ascii="Calibri" w:hAnsi="Calibri" w:cs="Calibri"/>
                        <w:color w:val="000000"/>
                      </w:rPr>
                      <w:t>33.3</w:t>
                    </w:r>
                  </w:p>
                </w:txbxContent>
              </v:textbox>
            </v:rect>
            <v:rect id="_x0000_s1062" style="position:absolute;left:5509;top:1243;width:335;height:509;mso-wrap-style:none" filled="f" stroked="f">
              <v:textbox style="mso-next-textbox:#_x0000_s1062" inset="0,0,0,0">
                <w:txbxContent>
                  <w:p w:rsidR="00B01E56" w:rsidRDefault="00B01E56">
                    <w:r>
                      <w:rPr>
                        <w:rFonts w:ascii="Calibri" w:hAnsi="Calibri" w:cs="Calibri"/>
                        <w:color w:val="000000"/>
                      </w:rPr>
                      <w:t>319</w:t>
                    </w:r>
                  </w:p>
                </w:txbxContent>
              </v:textbox>
            </v:rect>
            <v:rect id="_x0000_s1063" style="position:absolute;left:6620;top:1243;width:391;height:509;mso-wrap-style:none" filled="f" stroked="f">
              <v:textbox style="mso-next-textbox:#_x0000_s1063" inset="0,0,0,0">
                <w:txbxContent>
                  <w:p w:rsidR="00B01E56" w:rsidRDefault="00B01E56">
                    <w:r>
                      <w:rPr>
                        <w:rFonts w:ascii="Calibri" w:hAnsi="Calibri" w:cs="Calibri"/>
                        <w:color w:val="000000"/>
                      </w:rPr>
                      <w:t>67.6</w:t>
                    </w:r>
                  </w:p>
                </w:txbxContent>
              </v:textbox>
            </v:rect>
            <v:rect id="_x0000_s1064" style="position:absolute;left:7581;top:1243;width:391;height:509;mso-wrap-style:none" filled="f" stroked="f">
              <v:textbox style="mso-next-textbox:#_x0000_s1064" inset="0,0,0,0">
                <w:txbxContent>
                  <w:p w:rsidR="00B01E56" w:rsidRDefault="00B01E56">
                    <w:r>
                      <w:rPr>
                        <w:rFonts w:ascii="Calibri" w:hAnsi="Calibri" w:cs="Calibri"/>
                        <w:color w:val="000000"/>
                      </w:rPr>
                      <w:t>59.2</w:t>
                    </w:r>
                  </w:p>
                </w:txbxContent>
              </v:textbox>
            </v:rect>
            <v:rect id="_x0000_s1065" style="position:absolute;left:8617;top:1243;width:224;height:509;mso-wrap-style:none" filled="f" stroked="f">
              <v:textbox style="mso-next-textbox:#_x0000_s1065" inset="0,0,0,0">
                <w:txbxContent>
                  <w:p w:rsidR="00B01E56" w:rsidRDefault="00B01E56">
                    <w:r>
                      <w:rPr>
                        <w:rFonts w:ascii="Calibri" w:hAnsi="Calibri" w:cs="Calibri"/>
                        <w:color w:val="000000"/>
                      </w:rPr>
                      <w:t>65</w:t>
                    </w:r>
                  </w:p>
                </w:txbxContent>
              </v:textbox>
            </v:rect>
            <v:rect id="_x0000_s1066" style="position:absolute;left:9833;top:1243;width:391;height:509;mso-wrap-style:none" filled="f" stroked="f">
              <v:textbox style="mso-next-textbox:#_x0000_s1066" inset="0,0,0,0">
                <w:txbxContent>
                  <w:p w:rsidR="00B01E56" w:rsidRDefault="00B01E56">
                    <w:r>
                      <w:rPr>
                        <w:rFonts w:ascii="Calibri" w:hAnsi="Calibri" w:cs="Calibri"/>
                        <w:color w:val="000000"/>
                      </w:rPr>
                      <w:t>84.1</w:t>
                    </w:r>
                  </w:p>
                </w:txbxContent>
              </v:textbox>
            </v:rect>
            <v:rect id="_x0000_s1067" style="position:absolute;left:11604;top:1243;width:391;height:509;mso-wrap-style:none" filled="f" stroked="f">
              <v:textbox style="mso-next-textbox:#_x0000_s1067" inset="0,0,0,0">
                <w:txbxContent>
                  <w:p w:rsidR="00B01E56" w:rsidRDefault="00B01E56">
                    <w:r>
                      <w:rPr>
                        <w:rFonts w:ascii="Calibri" w:hAnsi="Calibri" w:cs="Calibri"/>
                        <w:color w:val="000000"/>
                      </w:rPr>
                      <w:t>41.4</w:t>
                    </w:r>
                  </w:p>
                </w:txbxContent>
              </v:textbox>
            </v:rect>
            <v:rect id="_x0000_s1068" style="position:absolute;left:45;top:1543;width:1164;height:509;mso-wrap-style:none" filled="f" stroked="f">
              <v:textbox style="mso-next-textbox:#_x0000_s1068" inset="0,0,0,0">
                <w:txbxContent>
                  <w:p w:rsidR="00B01E56" w:rsidRDefault="00B01E56">
                    <w:r>
                      <w:rPr>
                        <w:rFonts w:ascii="Calibri" w:hAnsi="Calibri" w:cs="Calibri"/>
                        <w:color w:val="000000"/>
                      </w:rPr>
                      <w:t>New Zealand</w:t>
                    </w:r>
                  </w:p>
                </w:txbxContent>
              </v:textbox>
            </v:rect>
            <v:rect id="_x0000_s1069" style="position:absolute;left:2207;top:1543;width:335;height:509;mso-wrap-style:none" filled="f" stroked="f">
              <v:textbox style="mso-next-textbox:#_x0000_s1069" inset="0,0,0,0">
                <w:txbxContent>
                  <w:p w:rsidR="00B01E56" w:rsidRDefault="00B01E56">
                    <w:r>
                      <w:rPr>
                        <w:rFonts w:ascii="Calibri" w:hAnsi="Calibri" w:cs="Calibri"/>
                        <w:color w:val="000000"/>
                      </w:rPr>
                      <w:t>851</w:t>
                    </w:r>
                  </w:p>
                </w:txbxContent>
              </v:textbox>
            </v:rect>
            <v:rect id="_x0000_s1070" style="position:absolute;left:3408;top:1543;width:335;height:509;mso-wrap-style:none" filled="f" stroked="f">
              <v:textbox style="mso-next-textbox:#_x0000_s1070" inset="0,0,0,0">
                <w:txbxContent>
                  <w:p w:rsidR="00B01E56" w:rsidRDefault="00B01E56">
                    <w:r>
                      <w:rPr>
                        <w:rFonts w:ascii="Calibri" w:hAnsi="Calibri" w:cs="Calibri"/>
                        <w:color w:val="000000"/>
                      </w:rPr>
                      <w:t>371</w:t>
                    </w:r>
                  </w:p>
                </w:txbxContent>
              </v:textbox>
            </v:rect>
            <v:rect id="_x0000_s1071" style="position:absolute;left:4473;top:1543;width:391;height:509;mso-wrap-style:none" filled="f" stroked="f">
              <v:textbox style="mso-next-textbox:#_x0000_s1071" inset="0,0,0,0">
                <w:txbxContent>
                  <w:p w:rsidR="00B01E56" w:rsidRDefault="00B01E56">
                    <w:r>
                      <w:rPr>
                        <w:rFonts w:ascii="Calibri" w:hAnsi="Calibri" w:cs="Calibri"/>
                        <w:color w:val="000000"/>
                      </w:rPr>
                      <w:t>43.6</w:t>
                    </w:r>
                  </w:p>
                </w:txbxContent>
              </v:textbox>
            </v:rect>
            <v:rect id="_x0000_s1072" style="position:absolute;left:5509;top:1543;width:335;height:509;mso-wrap-style:none" filled="f" stroked="f">
              <v:textbox style="mso-next-textbox:#_x0000_s1072" inset="0,0,0,0">
                <w:txbxContent>
                  <w:p w:rsidR="00B01E56" w:rsidRDefault="00B01E56">
                    <w:r>
                      <w:rPr>
                        <w:rFonts w:ascii="Calibri" w:hAnsi="Calibri" w:cs="Calibri"/>
                        <w:color w:val="000000"/>
                      </w:rPr>
                      <w:t>476</w:t>
                    </w:r>
                  </w:p>
                </w:txbxContent>
              </v:textbox>
            </v:rect>
            <v:rect id="_x0000_s1073" style="position:absolute;left:6620;top:1543;width:391;height:509;mso-wrap-style:none" filled="f" stroked="f">
              <v:textbox style="mso-next-textbox:#_x0000_s1073" inset="0,0,0,0">
                <w:txbxContent>
                  <w:p w:rsidR="00B01E56" w:rsidRDefault="00B01E56">
                    <w:r>
                      <w:rPr>
                        <w:rFonts w:ascii="Calibri" w:hAnsi="Calibri" w:cs="Calibri"/>
                        <w:color w:val="000000"/>
                      </w:rPr>
                      <w:t>55.9</w:t>
                    </w:r>
                  </w:p>
                </w:txbxContent>
              </v:textbox>
            </v:rect>
            <v:rect id="_x0000_s1074" style="position:absolute;left:7581;top:1543;width:391;height:509;mso-wrap-style:none" filled="f" stroked="f">
              <v:textbox style="mso-next-textbox:#_x0000_s1074" inset="0,0,0,0">
                <w:txbxContent>
                  <w:p w:rsidR="00B01E56" w:rsidRDefault="00B01E56">
                    <w:r>
                      <w:rPr>
                        <w:rFonts w:ascii="Calibri" w:hAnsi="Calibri" w:cs="Calibri"/>
                        <w:color w:val="000000"/>
                      </w:rPr>
                      <w:t>39.9</w:t>
                    </w:r>
                  </w:p>
                </w:txbxContent>
              </v:textbox>
            </v:rect>
            <v:rect id="_x0000_s1075" style="position:absolute;left:8572;top:1543;width:335;height:509;mso-wrap-style:none" filled="f" stroked="f">
              <v:textbox style="mso-next-textbox:#_x0000_s1075" inset="0,0,0,0">
                <w:txbxContent>
                  <w:p w:rsidR="00B01E56" w:rsidRDefault="00B01E56">
                    <w:r>
                      <w:rPr>
                        <w:rFonts w:ascii="Calibri" w:hAnsi="Calibri" w:cs="Calibri"/>
                        <w:color w:val="000000"/>
                      </w:rPr>
                      <w:t>155</w:t>
                    </w:r>
                  </w:p>
                </w:txbxContent>
              </v:textbox>
            </v:rect>
            <v:rect id="_x0000_s1076" style="position:absolute;left:9833;top:1543;width:391;height:509;mso-wrap-style:none" filled="f" stroked="f">
              <v:textbox style="mso-next-textbox:#_x0000_s1076" inset="0,0,0,0">
                <w:txbxContent>
                  <w:p w:rsidR="00B01E56" w:rsidRDefault="00B01E56">
                    <w:r>
                      <w:rPr>
                        <w:rFonts w:ascii="Calibri" w:hAnsi="Calibri" w:cs="Calibri"/>
                        <w:color w:val="000000"/>
                      </w:rPr>
                      <w:t>67.8</w:t>
                    </w:r>
                  </w:p>
                </w:txbxContent>
              </v:textbox>
            </v:rect>
            <v:rect id="_x0000_s1077" style="position:absolute;left:11604;top:1543;width:391;height:509;mso-wrap-style:none" filled="f" stroked="f">
              <v:textbox style="mso-next-textbox:#_x0000_s1077" inset="0,0,0,0">
                <w:txbxContent>
                  <w:p w:rsidR="00B01E56" w:rsidRDefault="00B01E56">
                    <w:r>
                      <w:rPr>
                        <w:rFonts w:ascii="Calibri" w:hAnsi="Calibri" w:cs="Calibri"/>
                        <w:color w:val="000000"/>
                      </w:rPr>
                      <w:t>44.4</w:t>
                    </w:r>
                  </w:p>
                </w:txbxContent>
              </v:textbox>
            </v:rect>
            <v:rect id="_x0000_s1078" style="position:absolute;left:45;top:1842;width:1700;height:509;mso-wrap-style:none" filled="f" stroked="f">
              <v:textbox style="mso-next-textbox:#_x0000_s1078" inset="0,0,0,0">
                <w:txbxContent>
                  <w:p w:rsidR="00B01E56" w:rsidRDefault="00B01E56">
                    <w:r>
                      <w:rPr>
                        <w:rFonts w:ascii="Calibri" w:hAnsi="Calibri" w:cs="Calibri"/>
                        <w:color w:val="000000"/>
                      </w:rPr>
                      <w:t>Papua New Guinea</w:t>
                    </w:r>
                  </w:p>
                </w:txbxContent>
              </v:textbox>
            </v:rect>
            <v:rect id="_x0000_s1079" style="position:absolute;left:2207;top:1842;width:335;height:509;mso-wrap-style:none" filled="f" stroked="f">
              <v:textbox style="mso-next-textbox:#_x0000_s1079" inset="0,0,0,0">
                <w:txbxContent>
                  <w:p w:rsidR="00B01E56" w:rsidRDefault="00B01E56">
                    <w:r>
                      <w:rPr>
                        <w:rFonts w:ascii="Calibri" w:hAnsi="Calibri" w:cs="Calibri"/>
                        <w:color w:val="000000"/>
                      </w:rPr>
                      <w:t>691</w:t>
                    </w:r>
                  </w:p>
                </w:txbxContent>
              </v:textbox>
            </v:rect>
            <v:rect id="_x0000_s1080" style="position:absolute;left:3408;top:1842;width:335;height:509;mso-wrap-style:none" filled="f" stroked="f">
              <v:textbox style="mso-next-textbox:#_x0000_s1080" inset="0,0,0,0">
                <w:txbxContent>
                  <w:p w:rsidR="00B01E56" w:rsidRDefault="00B01E56">
                    <w:r>
                      <w:rPr>
                        <w:rFonts w:ascii="Calibri" w:hAnsi="Calibri" w:cs="Calibri"/>
                        <w:color w:val="000000"/>
                      </w:rPr>
                      <w:t>236</w:t>
                    </w:r>
                  </w:p>
                </w:txbxContent>
              </v:textbox>
            </v:rect>
            <v:rect id="_x0000_s1081" style="position:absolute;left:4473;top:1842;width:391;height:509;mso-wrap-style:none" filled="f" stroked="f">
              <v:textbox style="mso-next-textbox:#_x0000_s1081" inset="0,0,0,0">
                <w:txbxContent>
                  <w:p w:rsidR="00B01E56" w:rsidRDefault="00B01E56">
                    <w:r>
                      <w:rPr>
                        <w:rFonts w:ascii="Calibri" w:hAnsi="Calibri" w:cs="Calibri"/>
                        <w:color w:val="000000"/>
                      </w:rPr>
                      <w:t>34.2</w:t>
                    </w:r>
                  </w:p>
                </w:txbxContent>
              </v:textbox>
            </v:rect>
            <v:rect id="_x0000_s1082" style="position:absolute;left:5509;top:1842;width:335;height:509;mso-wrap-style:none" filled="f" stroked="f">
              <v:textbox style="mso-next-textbox:#_x0000_s1082" inset="0,0,0,0">
                <w:txbxContent>
                  <w:p w:rsidR="00B01E56" w:rsidRDefault="00B01E56">
                    <w:r>
                      <w:rPr>
                        <w:rFonts w:ascii="Calibri" w:hAnsi="Calibri" w:cs="Calibri"/>
                        <w:color w:val="000000"/>
                      </w:rPr>
                      <w:t>298</w:t>
                    </w:r>
                  </w:p>
                </w:txbxContent>
              </v:textbox>
            </v:rect>
            <v:rect id="_x0000_s1083" style="position:absolute;left:6620;top:1842;width:391;height:509;mso-wrap-style:none" filled="f" stroked="f">
              <v:textbox style="mso-next-textbox:#_x0000_s1083" inset="0,0,0,0">
                <w:txbxContent>
                  <w:p w:rsidR="00B01E56" w:rsidRDefault="00B01E56">
                    <w:r>
                      <w:rPr>
                        <w:rFonts w:ascii="Calibri" w:hAnsi="Calibri" w:cs="Calibri"/>
                        <w:color w:val="000000"/>
                      </w:rPr>
                      <w:t>43.1</w:t>
                    </w:r>
                  </w:p>
                </w:txbxContent>
              </v:textbox>
            </v:rect>
            <v:rect id="_x0000_s1084" style="position:absolute;left:7581;top:1842;width:391;height:509;mso-wrap-style:none" filled="f" stroked="f">
              <v:textbox style="mso-next-textbox:#_x0000_s1084" inset="0,0,0,0">
                <w:txbxContent>
                  <w:p w:rsidR="00B01E56" w:rsidRDefault="00B01E56">
                    <w:r>
                      <w:rPr>
                        <w:rFonts w:ascii="Calibri" w:hAnsi="Calibri" w:cs="Calibri"/>
                        <w:color w:val="000000"/>
                      </w:rPr>
                      <w:t>34.2</w:t>
                    </w:r>
                  </w:p>
                </w:txbxContent>
              </v:textbox>
            </v:rect>
            <v:rect id="_x0000_s1085" style="position:absolute;left:8617;top:1842;width:224;height:509;mso-wrap-style:none" filled="f" stroked="f">
              <v:textbox style="mso-next-textbox:#_x0000_s1085" inset="0,0,0,0">
                <w:txbxContent>
                  <w:p w:rsidR="00B01E56" w:rsidRDefault="00B01E56">
                    <w:r>
                      <w:rPr>
                        <w:rFonts w:ascii="Calibri" w:hAnsi="Calibri" w:cs="Calibri"/>
                        <w:color w:val="000000"/>
                      </w:rPr>
                      <w:t>22</w:t>
                    </w:r>
                  </w:p>
                </w:txbxContent>
              </v:textbox>
            </v:rect>
            <v:rect id="_x0000_s1086" style="position:absolute;left:9833;top:1842;width:391;height:509;mso-wrap-style:none" filled="f" stroked="f">
              <v:textbox style="mso-next-textbox:#_x0000_s1086" inset="0,0,0,0">
                <w:txbxContent>
                  <w:p w:rsidR="00B01E56" w:rsidRDefault="00B01E56">
                    <w:r>
                      <w:rPr>
                        <w:rFonts w:ascii="Calibri" w:hAnsi="Calibri" w:cs="Calibri"/>
                        <w:color w:val="000000"/>
                      </w:rPr>
                      <w:t>36.8</w:t>
                    </w:r>
                  </w:p>
                </w:txbxContent>
              </v:textbox>
            </v:rect>
            <v:rect id="_x0000_s1087" style="position:absolute;left:11664;top:1842;width:279;height:509;mso-wrap-style:none" filled="f" stroked="f">
              <v:textbox style="mso-next-textbox:#_x0000_s1087" inset="0,0,0,0">
                <w:txbxContent>
                  <w:p w:rsidR="00B01E56" w:rsidRDefault="00B01E56">
                    <w:r>
                      <w:rPr>
                        <w:rFonts w:ascii="Calibri" w:hAnsi="Calibri" w:cs="Calibri"/>
                        <w:color w:val="000000"/>
                      </w:rPr>
                      <w:t>9.5</w:t>
                    </w:r>
                  </w:p>
                </w:txbxContent>
              </v:textbox>
            </v:rect>
            <v:rect id="_x0000_s1088" style="position:absolute;left:45;top:2142;width:548;height:509;mso-wrap-style:none" filled="f" stroked="f">
              <v:textbox style="mso-next-textbox:#_x0000_s1088" inset="0,0,0,0">
                <w:txbxContent>
                  <w:p w:rsidR="00B01E56" w:rsidRDefault="00B01E56">
                    <w:r>
                      <w:rPr>
                        <w:rFonts w:ascii="Calibri" w:hAnsi="Calibri" w:cs="Calibri"/>
                        <w:color w:val="000000"/>
                      </w:rPr>
                      <w:t>Tonga</w:t>
                    </w:r>
                  </w:p>
                </w:txbxContent>
              </v:textbox>
            </v:rect>
            <v:rect id="_x0000_s1089" style="position:absolute;left:2207;top:2142;width:335;height:509;mso-wrap-style:none" filled="f" stroked="f">
              <v:textbox style="mso-next-textbox:#_x0000_s1089" inset="0,0,0,0">
                <w:txbxContent>
                  <w:p w:rsidR="00B01E56" w:rsidRDefault="00B01E56">
                    <w:r>
                      <w:rPr>
                        <w:rFonts w:ascii="Calibri" w:hAnsi="Calibri" w:cs="Calibri"/>
                        <w:color w:val="000000"/>
                      </w:rPr>
                      <w:t>266</w:t>
                    </w:r>
                  </w:p>
                </w:txbxContent>
              </v:textbox>
            </v:rect>
            <v:rect id="_x0000_s1090" style="position:absolute;left:3408;top:2142;width:335;height:509;mso-wrap-style:none" filled="f" stroked="f">
              <v:textbox style="mso-next-textbox:#_x0000_s1090" inset="0,0,0,0">
                <w:txbxContent>
                  <w:p w:rsidR="00B01E56" w:rsidRDefault="00B01E56">
                    <w:r>
                      <w:rPr>
                        <w:rFonts w:ascii="Calibri" w:hAnsi="Calibri" w:cs="Calibri"/>
                        <w:color w:val="000000"/>
                      </w:rPr>
                      <w:t>193</w:t>
                    </w:r>
                  </w:p>
                </w:txbxContent>
              </v:textbox>
            </v:rect>
            <v:rect id="_x0000_s1091" style="position:absolute;left:4473;top:2142;width:391;height:509;mso-wrap-style:none" filled="f" stroked="f">
              <v:textbox style="mso-next-textbox:#_x0000_s1091" inset="0,0,0,0">
                <w:txbxContent>
                  <w:p w:rsidR="00B01E56" w:rsidRDefault="00B01E56">
                    <w:r>
                      <w:rPr>
                        <w:rFonts w:ascii="Calibri" w:hAnsi="Calibri" w:cs="Calibri"/>
                        <w:color w:val="000000"/>
                      </w:rPr>
                      <w:t>72.6</w:t>
                    </w:r>
                  </w:p>
                </w:txbxContent>
              </v:textbox>
            </v:rect>
            <v:rect id="_x0000_s1092" style="position:absolute;left:5509;top:2142;width:335;height:509;mso-wrap-style:none" filled="f" stroked="f">
              <v:textbox style="mso-next-textbox:#_x0000_s1092" inset="0,0,0,0">
                <w:txbxContent>
                  <w:p w:rsidR="00B01E56" w:rsidRDefault="00B01E56">
                    <w:r>
                      <w:rPr>
                        <w:rFonts w:ascii="Calibri" w:hAnsi="Calibri" w:cs="Calibri"/>
                        <w:color w:val="000000"/>
                      </w:rPr>
                      <w:t>245</w:t>
                    </w:r>
                  </w:p>
                </w:txbxContent>
              </v:textbox>
            </v:rect>
            <v:rect id="_x0000_s1093" style="position:absolute;left:6620;top:2142;width:391;height:509;mso-wrap-style:none" filled="f" stroked="f">
              <v:textbox style="mso-next-textbox:#_x0000_s1093" inset="0,0,0,0">
                <w:txbxContent>
                  <w:p w:rsidR="00B01E56" w:rsidRDefault="00B01E56">
                    <w:r>
                      <w:rPr>
                        <w:rFonts w:ascii="Calibri" w:hAnsi="Calibri" w:cs="Calibri"/>
                        <w:color w:val="000000"/>
                      </w:rPr>
                      <w:t>92.1</w:t>
                    </w:r>
                  </w:p>
                </w:txbxContent>
              </v:textbox>
            </v:rect>
            <v:rect id="_x0000_s1094" style="position:absolute;left:7581;top:2142;width:391;height:509;mso-wrap-style:none" filled="f" stroked="f">
              <v:textbox style="mso-next-textbox:#_x0000_s1094" inset="0,0,0,0">
                <w:txbxContent>
                  <w:p w:rsidR="00B01E56" w:rsidRDefault="00B01E56">
                    <w:r>
                      <w:rPr>
                        <w:rFonts w:ascii="Calibri" w:hAnsi="Calibri" w:cs="Calibri"/>
                        <w:color w:val="000000"/>
                      </w:rPr>
                      <w:t>52.3</w:t>
                    </w:r>
                  </w:p>
                </w:txbxContent>
              </v:textbox>
            </v:rect>
            <v:rect id="_x0000_s1095" style="position:absolute;left:8617;top:2142;width:224;height:509;mso-wrap-style:none" filled="f" stroked="f">
              <v:textbox style="mso-next-textbox:#_x0000_s1095" inset="0,0,0,0">
                <w:txbxContent>
                  <w:p w:rsidR="00B01E56" w:rsidRDefault="00B01E56">
                    <w:r>
                      <w:rPr>
                        <w:rFonts w:ascii="Calibri" w:hAnsi="Calibri" w:cs="Calibri"/>
                        <w:color w:val="000000"/>
                      </w:rPr>
                      <w:t>98</w:t>
                    </w:r>
                  </w:p>
                </w:txbxContent>
              </v:textbox>
            </v:rect>
            <v:rect id="_x0000_s1096" style="position:absolute;left:9833;top:2142;width:391;height:509;mso-wrap-style:none" filled="f" stroked="f">
              <v:textbox style="mso-next-textbox:#_x0000_s1096" inset="0,0,0,0">
                <w:txbxContent>
                  <w:p w:rsidR="00B01E56" w:rsidRDefault="00B01E56">
                    <w:r>
                      <w:rPr>
                        <w:rFonts w:ascii="Calibri" w:hAnsi="Calibri" w:cs="Calibri"/>
                        <w:color w:val="000000"/>
                      </w:rPr>
                      <w:t>85.7</w:t>
                    </w:r>
                  </w:p>
                </w:txbxContent>
              </v:textbox>
            </v:rect>
            <v:rect id="_x0000_s1097" style="position:absolute;left:11604;top:2142;width:391;height:509;mso-wrap-style:none" filled="f" stroked="f">
              <v:textbox style="mso-next-textbox:#_x0000_s1097" inset="0,0,0,0">
                <w:txbxContent>
                  <w:p w:rsidR="00B01E56" w:rsidRDefault="00B01E56">
                    <w:r>
                      <w:rPr>
                        <w:rFonts w:ascii="Calibri" w:hAnsi="Calibri" w:cs="Calibri"/>
                        <w:color w:val="000000"/>
                      </w:rPr>
                      <w:t>48.2</w:t>
                    </w:r>
                  </w:p>
                </w:txbxContent>
              </v:textbox>
            </v:rect>
            <v:rect id="_x0000_s1098" style="position:absolute;left:45;top:2441;width:467;height:509;mso-wrap-style:none" filled="f" stroked="f">
              <v:textbox style="mso-next-textbox:#_x0000_s1098" inset="0,0,0,0">
                <w:txbxContent>
                  <w:p w:rsidR="00B01E56" w:rsidRDefault="00B01E56">
                    <w:r>
                      <w:rPr>
                        <w:rFonts w:ascii="Calibri" w:hAnsi="Calibri" w:cs="Calibri"/>
                        <w:b/>
                        <w:bCs/>
                        <w:color w:val="000000"/>
                      </w:rPr>
                      <w:t>Total</w:t>
                    </w:r>
                  </w:p>
                </w:txbxContent>
              </v:textbox>
            </v:rect>
            <v:rect id="_x0000_s1099" style="position:absolute;left:2162;top:2441;width:447;height:509;mso-wrap-style:none" filled="f" stroked="f">
              <v:textbox style="mso-next-textbox:#_x0000_s1099" inset="0,0,0,0">
                <w:txbxContent>
                  <w:p w:rsidR="00B01E56" w:rsidRDefault="00B01E56">
                    <w:r>
                      <w:rPr>
                        <w:rFonts w:ascii="Calibri" w:hAnsi="Calibri" w:cs="Calibri"/>
                        <w:color w:val="000000"/>
                      </w:rPr>
                      <w:t>4131</w:t>
                    </w:r>
                  </w:p>
                </w:txbxContent>
              </v:textbox>
            </v:rect>
            <v:rect id="_x0000_s1100" style="position:absolute;left:3348;top:2441;width:447;height:509;mso-wrap-style:none" filled="f" stroked="f">
              <v:textbox style="mso-next-textbox:#_x0000_s1100" inset="0,0,0,0">
                <w:txbxContent>
                  <w:p w:rsidR="00B01E56" w:rsidRDefault="00B01E56">
                    <w:r>
                      <w:rPr>
                        <w:rFonts w:ascii="Calibri" w:hAnsi="Calibri" w:cs="Calibri"/>
                        <w:color w:val="000000"/>
                      </w:rPr>
                      <w:t>1240</w:t>
                    </w:r>
                  </w:p>
                </w:txbxContent>
              </v:textbox>
            </v:rect>
            <v:rect id="_x0000_s1101" style="position:absolute;left:4473;top:2441;width:391;height:509;mso-wrap-style:none" filled="f" stroked="f">
              <v:textbox style="mso-next-textbox:#_x0000_s1101" inset="0,0,0,0">
                <w:txbxContent>
                  <w:p w:rsidR="00B01E56" w:rsidRDefault="00B01E56">
                    <w:r>
                      <w:rPr>
                        <w:rFonts w:ascii="Calibri" w:hAnsi="Calibri" w:cs="Calibri"/>
                        <w:color w:val="000000"/>
                      </w:rPr>
                      <w:t>30.0</w:t>
                    </w:r>
                  </w:p>
                </w:txbxContent>
              </v:textbox>
            </v:rect>
            <v:rect id="_x0000_s1102" style="position:absolute;left:5449;top:2441;width:447;height:509;mso-wrap-style:none" filled="f" stroked="f">
              <v:textbox style="mso-next-textbox:#_x0000_s1102" inset="0,0,0,0">
                <w:txbxContent>
                  <w:p w:rsidR="00B01E56" w:rsidRDefault="00B01E56">
                    <w:r>
                      <w:rPr>
                        <w:rFonts w:ascii="Calibri" w:hAnsi="Calibri" w:cs="Calibri"/>
                        <w:color w:val="000000"/>
                      </w:rPr>
                      <w:t>1943</w:t>
                    </w:r>
                  </w:p>
                </w:txbxContent>
              </v:textbox>
            </v:rect>
            <v:rect id="_x0000_s1103" style="position:absolute;left:6620;top:2441;width:391;height:509;mso-wrap-style:none" filled="f" stroked="f">
              <v:textbox style="mso-next-textbox:#_x0000_s1103" inset="0,0,0,0">
                <w:txbxContent>
                  <w:p w:rsidR="00B01E56" w:rsidRDefault="00B01E56">
                    <w:r>
                      <w:rPr>
                        <w:rFonts w:ascii="Calibri" w:hAnsi="Calibri" w:cs="Calibri"/>
                        <w:color w:val="000000"/>
                      </w:rPr>
                      <w:t>47.0</w:t>
                    </w:r>
                  </w:p>
                </w:txbxContent>
              </v:textbox>
            </v:rect>
            <v:rect id="_x0000_s1104" style="position:absolute;left:7581;top:2441;width:391;height:509;mso-wrap-style:none" filled="f" stroked="f">
              <v:textbox style="mso-next-textbox:#_x0000_s1104" inset="0,0,0,0">
                <w:txbxContent>
                  <w:p w:rsidR="00B01E56" w:rsidRDefault="00B01E56">
                    <w:r>
                      <w:rPr>
                        <w:rFonts w:ascii="Calibri" w:hAnsi="Calibri" w:cs="Calibri"/>
                        <w:color w:val="000000"/>
                      </w:rPr>
                      <w:t>39.4</w:t>
                    </w:r>
                  </w:p>
                </w:txbxContent>
              </v:textbox>
            </v:rect>
            <v:rect id="_x0000_s1105" style="position:absolute;left:8572;top:2441;width:335;height:509;mso-wrap-style:none" filled="f" stroked="f">
              <v:textbox style="mso-next-textbox:#_x0000_s1105" inset="0,0,0,0">
                <w:txbxContent>
                  <w:p w:rsidR="00B01E56" w:rsidRDefault="00B01E56">
                    <w:r>
                      <w:rPr>
                        <w:rFonts w:ascii="Calibri" w:hAnsi="Calibri" w:cs="Calibri"/>
                        <w:color w:val="000000"/>
                      </w:rPr>
                      <w:t>446</w:t>
                    </w:r>
                  </w:p>
                </w:txbxContent>
              </v:textbox>
            </v:rect>
            <v:rect id="_x0000_s1106" style="position:absolute;left:9833;top:2441;width:391;height:509;mso-wrap-style:none" filled="f" stroked="f">
              <v:textbox style="mso-next-textbox:#_x0000_s1106" inset="0,0,0,0">
                <w:txbxContent>
                  <w:p w:rsidR="00B01E56" w:rsidRDefault="00B01E56">
                    <w:r>
                      <w:rPr>
                        <w:rFonts w:ascii="Calibri" w:hAnsi="Calibri" w:cs="Calibri"/>
                        <w:color w:val="000000"/>
                      </w:rPr>
                      <w:t>64.6</w:t>
                    </w:r>
                  </w:p>
                </w:txbxContent>
              </v:textbox>
            </v:rect>
            <v:rect id="_x0000_s1107" style="position:absolute;left:11604;top:2441;width:391;height:509;mso-wrap-style:none" filled="f" stroked="f">
              <v:textbox style="mso-next-textbox:#_x0000_s1107" inset="0,0,0,0">
                <w:txbxContent>
                  <w:p w:rsidR="00B01E56" w:rsidRDefault="00B01E56">
                    <w:r>
                      <w:rPr>
                        <w:rFonts w:ascii="Calibri" w:hAnsi="Calibri" w:cs="Calibri"/>
                        <w:color w:val="000000"/>
                      </w:rPr>
                      <w:t>35.8</w:t>
                    </w:r>
                  </w:p>
                </w:txbxContent>
              </v:textbox>
            </v:rect>
            <v:rect id="_x0000_s1108" style="position:absolute;left:45;top:2801;width:480;height:453;mso-wrap-style:none" filled="f" stroked="f">
              <v:textbox style="mso-next-textbox:#_x0000_s1108" inset="0,0,0,0">
                <w:txbxContent>
                  <w:p w:rsidR="00B01E56" w:rsidRDefault="00B01E56">
                    <w:r>
                      <w:rPr>
                        <w:rFonts w:ascii="Calibri" w:hAnsi="Calibri" w:cs="Calibri"/>
                        <w:color w:val="000000"/>
                        <w:sz w:val="18"/>
                        <w:szCs w:val="18"/>
                      </w:rPr>
                      <w:t xml:space="preserve">Notes: </w:t>
                    </w:r>
                  </w:p>
                </w:txbxContent>
              </v:textbox>
            </v:rect>
            <v:rect id="_x0000_s1109" style="position:absolute;left:45;top:3100;width:10354;height:453;mso-wrap-style:none" filled="f" stroked="f">
              <v:textbox style="mso-next-textbox:#_x0000_s1109" inset="0,0,0,0">
                <w:txbxContent>
                  <w:p w:rsidR="00B01E56" w:rsidRDefault="00B01E56">
                    <w:r>
                      <w:rPr>
                        <w:rFonts w:ascii="Calibri" w:hAnsi="Calibri" w:cs="Calibri"/>
                        <w:color w:val="000000"/>
                        <w:sz w:val="18"/>
                        <w:szCs w:val="18"/>
                      </w:rPr>
                      <w:t>% female, number of current migrants, % of 22+ who ever migrated and who are current migrants pertains to the sample, not the population.</w:t>
                    </w:r>
                  </w:p>
                </w:txbxContent>
              </v:textbox>
            </v:rect>
            <v:rect id="_x0000_s1110" style="position:absolute;left:5089;top:344;width:2211;height:509;mso-wrap-style:none" filled="f" stroked="f">
              <v:textbox style="mso-next-textbox:#_x0000_s1110" inset="0,0,0,0">
                <w:txbxContent>
                  <w:p w:rsidR="00B01E56" w:rsidRDefault="00B01E56">
                    <w:r>
                      <w:rPr>
                        <w:rFonts w:ascii="Calibri" w:hAnsi="Calibri" w:cs="Calibri"/>
                        <w:color w:val="000000"/>
                      </w:rPr>
                      <w:t>Current Location known:</w:t>
                    </w:r>
                  </w:p>
                </w:txbxContent>
              </v:textbox>
            </v:rect>
            <v:rect id="_x0000_s1111" style="position:absolute;width:15;height:1" fillcolor="#d0d7e5" stroked="f"/>
            <v:rect id="_x0000_s1112" style="position:absolute;left:1831;width:15;height:1" fillcolor="#d0d7e5" stroked="f"/>
            <v:rect id="_x0000_s1113" style="position:absolute;left:2882;width:15;height:1" fillcolor="#d0d7e5" stroked="f"/>
            <v:rect id="_x0000_s1114" style="position:absolute;left:4218;width:15;height:1" fillcolor="#d0d7e5" stroked="f"/>
            <v:rect id="_x0000_s1115" style="position:absolute;left:5074;width:15;height:1" fillcolor="#d0d7e5" stroked="f"/>
            <v:rect id="_x0000_s1116" style="position:absolute;left:6230;width:15;height:1" fillcolor="#d0d7e5" stroked="f"/>
            <v:rect id="_x0000_s1117" style="position:absolute;left:7356;width:15;height:1" fillcolor="#d0d7e5" stroked="f"/>
            <v:rect id="_x0000_s1118" style="position:absolute;left:8166;width:15;height:1" fillcolor="#d0d7e5" stroked="f"/>
            <v:rect id="_x0000_s1119" style="position:absolute;left:9262;width:15;height:1" fillcolor="#d0d7e5" stroked="f"/>
            <v:rect id="_x0000_s1120" style="position:absolute;left:10763;width:15;height:1" fillcolor="#d0d7e5" stroked="f"/>
            <v:rect id="_x0000_s1121" style="position:absolute;left:12805;width:15;height:1" fillcolor="#d0d7e5" stroked="f"/>
            <v:rect id="_x0000_s1122" style="position:absolute;top:300;width:12820;height:30" fillcolor="black" stroked="f"/>
            <v:line id="_x0000_s1123" style="position:absolute" from="0,914" to="12820,915" strokeweight="0"/>
            <v:rect id="_x0000_s1124" style="position:absolute;top:914;width:12820;height:15" fillcolor="black" stroked="f"/>
            <v:line id="_x0000_s1125" style="position:absolute" from="0,2411" to="12820,2412" strokeweight="0"/>
            <v:rect id="_x0000_s1126" style="position:absolute;top:2411;width:12820;height:15" fillcolor="black" stroked="f"/>
            <v:rect id="_x0000_s1127" style="position:absolute;top:2711;width:12820;height:30" fillcolor="black" stroked="f"/>
            <v:line id="_x0000_s1128" style="position:absolute" from="12820,0" to="12821,1" strokecolor="#d0d7e5" strokeweight="0"/>
            <v:rect id="_x0000_s1129" style="position:absolute;left:12820;width:15;height:15" fillcolor="#d0d7e5" stroked="f"/>
            <v:line id="_x0000_s1130" style="position:absolute" from="12820,315" to="12821,316" strokecolor="#d0d7e5" strokeweight="0"/>
            <v:rect id="_x0000_s1131" style="position:absolute;left:12820;top:315;width:15;height:15" fillcolor="#d0d7e5" stroked="f"/>
            <v:line id="_x0000_s1132" style="position:absolute" from="12820,614" to="12821,615" strokecolor="#d0d7e5" strokeweight="0"/>
            <v:rect id="_x0000_s1133" style="position:absolute;left:12820;top:614;width:15;height:15" fillcolor="#d0d7e5" stroked="f"/>
            <v:line id="_x0000_s1134" style="position:absolute" from="12820,914" to="12821,915" strokecolor="#d0d7e5" strokeweight="0"/>
            <v:rect id="_x0000_s1135" style="position:absolute;left:12820;top:914;width:15;height:15" fillcolor="#d0d7e5" stroked="f"/>
            <v:line id="_x0000_s1136" style="position:absolute" from="12820,1213" to="12821,1214" strokecolor="#d0d7e5" strokeweight="0"/>
            <v:rect id="_x0000_s1137" style="position:absolute;left:12820;top:1213;width:15;height:15" fillcolor="#d0d7e5" stroked="f"/>
            <v:line id="_x0000_s1138" style="position:absolute" from="12820,1513" to="12821,1514" strokecolor="#d0d7e5" strokeweight="0"/>
            <v:rect id="_x0000_s1139" style="position:absolute;left:12820;top:1513;width:15;height:15" fillcolor="#d0d7e5" stroked="f"/>
            <v:line id="_x0000_s1140" style="position:absolute" from="12820,1812" to="12821,1813" strokecolor="#d0d7e5" strokeweight="0"/>
            <v:rect id="_x0000_s1141" style="position:absolute;left:12820;top:1812;width:15;height:15" fillcolor="#d0d7e5" stroked="f"/>
            <v:line id="_x0000_s1142" style="position:absolute" from="12820,2112" to="12821,2113" strokecolor="#d0d7e5" strokeweight="0"/>
            <v:rect id="_x0000_s1143" style="position:absolute;left:12820;top:2112;width:15;height:15" fillcolor="#d0d7e5" stroked="f"/>
            <v:line id="_x0000_s1144" style="position:absolute" from="12820,2411" to="12821,2412" strokecolor="#d0d7e5" strokeweight="0"/>
            <v:rect id="_x0000_s1145" style="position:absolute;left:12820;top:2411;width:15;height:15" fillcolor="#d0d7e5" stroked="f"/>
            <v:line id="_x0000_s1146" style="position:absolute" from="12820,2726" to="12821,2727" strokecolor="#d0d7e5" strokeweight="0"/>
            <v:rect id="_x0000_s1147" style="position:absolute;left:12820;top:2726;width:15;height:15" fillcolor="#d0d7e5" stroked="f"/>
            <v:line id="_x0000_s1148" style="position:absolute" from="12820,3025" to="12821,3026" strokecolor="#d0d7e5" strokeweight="0"/>
            <v:rect id="_x0000_s1149" style="position:absolute;left:12820;top:3025;width:15;height:15" fillcolor="#d0d7e5" stroked="f"/>
            <v:line id="_x0000_s1150" style="position:absolute" from="12820,3325" to="12821,3326" strokecolor="#d0d7e5" strokeweight="0"/>
            <v:rect id="_x0000_s1151" style="position:absolute;left:12820;top:3325;width:15;height:15" fillcolor="#d0d7e5" stroked="f"/>
            <w10:wrap type="none"/>
            <w10:anchorlock/>
          </v:group>
        </w:pict>
      </w:r>
      <w:r w:rsidR="00040DEA" w:rsidRPr="00040DEA">
        <w:rPr>
          <w:noProof/>
          <w:szCs w:val="24"/>
          <w:lang w:val="en-NZ" w:eastAsia="en-NZ"/>
        </w:rPr>
        <w:lastRenderedPageBreak/>
        <w:drawing>
          <wp:inline distT="0" distB="0" distL="0" distR="0">
            <wp:extent cx="8229600" cy="3800350"/>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8229600" cy="3800350"/>
                    </a:xfrm>
                    <a:prstGeom prst="rect">
                      <a:avLst/>
                    </a:prstGeom>
                    <a:noFill/>
                    <a:ln w="9525">
                      <a:noFill/>
                      <a:miter lim="800000"/>
                      <a:headEnd/>
                      <a:tailEnd/>
                    </a:ln>
                  </pic:spPr>
                </pic:pic>
              </a:graphicData>
            </a:graphic>
          </wp:inline>
        </w:drawing>
      </w:r>
    </w:p>
    <w:p w:rsidR="006102DB" w:rsidRDefault="00040DEA" w:rsidP="00FD139B">
      <w:pPr>
        <w:tabs>
          <w:tab w:val="left" w:pos="426"/>
        </w:tabs>
        <w:spacing w:after="0"/>
        <w:rPr>
          <w:rFonts w:ascii="Times New Roman" w:hAnsi="Times New Roman" w:cs="Times New Roman"/>
          <w:b/>
          <w:sz w:val="24"/>
          <w:szCs w:val="24"/>
        </w:rPr>
      </w:pPr>
      <w:r w:rsidRPr="00040DEA">
        <w:rPr>
          <w:noProof/>
          <w:szCs w:val="24"/>
          <w:lang w:val="en-NZ" w:eastAsia="en-NZ"/>
        </w:rPr>
        <w:lastRenderedPageBreak/>
        <w:drawing>
          <wp:inline distT="0" distB="0" distL="0" distR="0">
            <wp:extent cx="7239000" cy="3267075"/>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7239000" cy="3267075"/>
                    </a:xfrm>
                    <a:prstGeom prst="rect">
                      <a:avLst/>
                    </a:prstGeom>
                    <a:noFill/>
                    <a:ln w="9525">
                      <a:noFill/>
                      <a:miter lim="800000"/>
                      <a:headEnd/>
                      <a:tailEnd/>
                    </a:ln>
                  </pic:spPr>
                </pic:pic>
              </a:graphicData>
            </a:graphic>
          </wp:inline>
        </w:drawing>
      </w:r>
    </w:p>
    <w:p w:rsidR="006102DB" w:rsidRDefault="006102DB" w:rsidP="00FD139B">
      <w:pPr>
        <w:tabs>
          <w:tab w:val="left" w:pos="426"/>
        </w:tabs>
        <w:spacing w:after="0"/>
        <w:rPr>
          <w:rFonts w:ascii="Times New Roman" w:hAnsi="Times New Roman" w:cs="Times New Roman"/>
          <w:b/>
          <w:sz w:val="24"/>
          <w:szCs w:val="24"/>
        </w:rPr>
      </w:pPr>
    </w:p>
    <w:p w:rsidR="006102DB" w:rsidRDefault="006102DB" w:rsidP="00FD139B">
      <w:pPr>
        <w:tabs>
          <w:tab w:val="left" w:pos="426"/>
        </w:tabs>
        <w:spacing w:after="0"/>
        <w:rPr>
          <w:rFonts w:ascii="Times New Roman" w:hAnsi="Times New Roman" w:cs="Times New Roman"/>
          <w:b/>
          <w:sz w:val="24"/>
          <w:szCs w:val="24"/>
        </w:rPr>
      </w:pPr>
    </w:p>
    <w:p w:rsidR="006102DB" w:rsidRDefault="006102DB" w:rsidP="00FD139B">
      <w:pPr>
        <w:tabs>
          <w:tab w:val="left" w:pos="426"/>
        </w:tabs>
        <w:spacing w:after="0"/>
        <w:rPr>
          <w:rFonts w:ascii="Times New Roman" w:hAnsi="Times New Roman" w:cs="Times New Roman"/>
          <w:b/>
          <w:sz w:val="24"/>
          <w:szCs w:val="24"/>
        </w:rPr>
      </w:pPr>
    </w:p>
    <w:p w:rsidR="006102DB" w:rsidRDefault="006102DB" w:rsidP="00FD139B">
      <w:pPr>
        <w:tabs>
          <w:tab w:val="left" w:pos="426"/>
        </w:tabs>
        <w:spacing w:after="0"/>
        <w:rPr>
          <w:rFonts w:ascii="Times New Roman" w:hAnsi="Times New Roman" w:cs="Times New Roman"/>
          <w:b/>
          <w:sz w:val="24"/>
          <w:szCs w:val="24"/>
        </w:rPr>
      </w:pPr>
    </w:p>
    <w:p w:rsidR="00E76E58" w:rsidRDefault="00E76E58" w:rsidP="00FD139B">
      <w:pPr>
        <w:tabs>
          <w:tab w:val="left" w:pos="426"/>
        </w:tabs>
        <w:spacing w:after="0"/>
        <w:rPr>
          <w:rFonts w:ascii="Times New Roman" w:hAnsi="Times New Roman" w:cs="Times New Roman"/>
          <w:b/>
          <w:sz w:val="24"/>
          <w:szCs w:val="24"/>
        </w:rPr>
      </w:pPr>
    </w:p>
    <w:p w:rsidR="00A16C24" w:rsidRDefault="00A16C24" w:rsidP="00FD139B">
      <w:pPr>
        <w:tabs>
          <w:tab w:val="left" w:pos="426"/>
        </w:tabs>
        <w:spacing w:after="0"/>
        <w:rPr>
          <w:rFonts w:ascii="Times New Roman" w:hAnsi="Times New Roman" w:cs="Times New Roman"/>
          <w:b/>
          <w:sz w:val="24"/>
          <w:szCs w:val="24"/>
        </w:rPr>
        <w:sectPr w:rsidR="00A16C24" w:rsidSect="008B5559">
          <w:pgSz w:w="15840" w:h="12240" w:orient="landscape"/>
          <w:pgMar w:top="1440" w:right="1440" w:bottom="1440" w:left="1440" w:header="720" w:footer="720" w:gutter="0"/>
          <w:cols w:space="720"/>
          <w:docGrid w:linePitch="360"/>
        </w:sectPr>
      </w:pPr>
    </w:p>
    <w:p w:rsidR="00E76E58" w:rsidRDefault="00E76E58" w:rsidP="00FD139B">
      <w:pPr>
        <w:tabs>
          <w:tab w:val="left" w:pos="426"/>
        </w:tabs>
        <w:spacing w:after="0"/>
        <w:rPr>
          <w:rFonts w:ascii="Times New Roman" w:hAnsi="Times New Roman" w:cs="Times New Roman"/>
          <w:b/>
          <w:sz w:val="24"/>
          <w:szCs w:val="24"/>
        </w:rPr>
      </w:pPr>
    </w:p>
    <w:p w:rsidR="00A16C24" w:rsidRDefault="00040DEA" w:rsidP="00FD139B">
      <w:pPr>
        <w:tabs>
          <w:tab w:val="left" w:pos="426"/>
        </w:tabs>
        <w:spacing w:after="0"/>
        <w:rPr>
          <w:rFonts w:ascii="Times New Roman" w:hAnsi="Times New Roman" w:cs="Times New Roman"/>
          <w:b/>
          <w:sz w:val="24"/>
          <w:szCs w:val="24"/>
        </w:rPr>
      </w:pPr>
      <w:r w:rsidRPr="00040DEA">
        <w:rPr>
          <w:noProof/>
          <w:szCs w:val="24"/>
          <w:lang w:val="en-NZ" w:eastAsia="en-NZ"/>
        </w:rPr>
        <w:drawing>
          <wp:inline distT="0" distB="0" distL="0" distR="0">
            <wp:extent cx="5943600" cy="4711021"/>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943600" cy="4711021"/>
                    </a:xfrm>
                    <a:prstGeom prst="rect">
                      <a:avLst/>
                    </a:prstGeom>
                    <a:noFill/>
                    <a:ln w="9525">
                      <a:noFill/>
                      <a:miter lim="800000"/>
                      <a:headEnd/>
                      <a:tailEnd/>
                    </a:ln>
                  </pic:spPr>
                </pic:pic>
              </a:graphicData>
            </a:graphic>
          </wp:inline>
        </w:drawing>
      </w:r>
    </w:p>
    <w:p w:rsidR="008C767D" w:rsidRDefault="00040DEA" w:rsidP="00FD139B">
      <w:pPr>
        <w:tabs>
          <w:tab w:val="left" w:pos="426"/>
        </w:tabs>
        <w:spacing w:after="0"/>
        <w:rPr>
          <w:rFonts w:ascii="Times New Roman" w:hAnsi="Times New Roman" w:cs="Times New Roman"/>
          <w:b/>
          <w:sz w:val="24"/>
          <w:szCs w:val="24"/>
        </w:rPr>
      </w:pPr>
      <w:r w:rsidRPr="00040DEA">
        <w:rPr>
          <w:noProof/>
          <w:szCs w:val="24"/>
          <w:lang w:val="en-NZ" w:eastAsia="en-NZ"/>
        </w:rPr>
        <w:lastRenderedPageBreak/>
        <w:drawing>
          <wp:inline distT="0" distB="0" distL="0" distR="0">
            <wp:extent cx="5943600" cy="5005523"/>
            <wp:effectExtent l="1905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5943600" cy="5005523"/>
                    </a:xfrm>
                    <a:prstGeom prst="rect">
                      <a:avLst/>
                    </a:prstGeom>
                    <a:noFill/>
                    <a:ln w="9525">
                      <a:noFill/>
                      <a:miter lim="800000"/>
                      <a:headEnd/>
                      <a:tailEnd/>
                    </a:ln>
                  </pic:spPr>
                </pic:pic>
              </a:graphicData>
            </a:graphic>
          </wp:inline>
        </w:drawing>
      </w:r>
    </w:p>
    <w:p w:rsidR="00040DEA" w:rsidRDefault="00040DEA" w:rsidP="00FD139B">
      <w:pPr>
        <w:tabs>
          <w:tab w:val="left" w:pos="426"/>
        </w:tabs>
        <w:spacing w:after="0"/>
        <w:rPr>
          <w:rFonts w:ascii="Times New Roman" w:hAnsi="Times New Roman" w:cs="Times New Roman"/>
          <w:b/>
          <w:sz w:val="24"/>
          <w:szCs w:val="24"/>
        </w:rPr>
      </w:pPr>
    </w:p>
    <w:p w:rsidR="00040DEA" w:rsidRDefault="00040DEA" w:rsidP="00FD139B">
      <w:pPr>
        <w:tabs>
          <w:tab w:val="left" w:pos="426"/>
        </w:tabs>
        <w:spacing w:after="0"/>
        <w:rPr>
          <w:rFonts w:ascii="Times New Roman" w:hAnsi="Times New Roman" w:cs="Times New Roman"/>
          <w:b/>
          <w:sz w:val="24"/>
          <w:szCs w:val="24"/>
        </w:rPr>
      </w:pPr>
    </w:p>
    <w:p w:rsidR="00762A75" w:rsidRDefault="00641829" w:rsidP="00FD139B">
      <w:pPr>
        <w:tabs>
          <w:tab w:val="left" w:pos="426"/>
        </w:tabs>
        <w:spacing w:after="0"/>
        <w:rPr>
          <w:rFonts w:ascii="Times New Roman" w:hAnsi="Times New Roman" w:cs="Times New Roman"/>
          <w:b/>
          <w:sz w:val="24"/>
          <w:szCs w:val="24"/>
        </w:rPr>
      </w:pPr>
      <w:r w:rsidRPr="00641829">
        <w:rPr>
          <w:noProof/>
          <w:szCs w:val="24"/>
          <w:lang w:val="en-NZ" w:eastAsia="en-NZ"/>
        </w:rPr>
        <w:lastRenderedPageBreak/>
        <w:drawing>
          <wp:inline distT="0" distB="0" distL="0" distR="0">
            <wp:extent cx="5943600" cy="350960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943600" cy="3509602"/>
                    </a:xfrm>
                    <a:prstGeom prst="rect">
                      <a:avLst/>
                    </a:prstGeom>
                    <a:noFill/>
                    <a:ln w="9525">
                      <a:noFill/>
                      <a:miter lim="800000"/>
                      <a:headEnd/>
                      <a:tailEnd/>
                    </a:ln>
                  </pic:spPr>
                </pic:pic>
              </a:graphicData>
            </a:graphic>
          </wp:inline>
        </w:drawing>
      </w:r>
    </w:p>
    <w:p w:rsidR="00E3789A" w:rsidRDefault="00E3789A" w:rsidP="00FD139B">
      <w:pPr>
        <w:tabs>
          <w:tab w:val="left" w:pos="426"/>
        </w:tabs>
        <w:spacing w:after="0"/>
        <w:rPr>
          <w:rFonts w:ascii="Times New Roman" w:hAnsi="Times New Roman" w:cs="Times New Roman"/>
          <w:b/>
          <w:sz w:val="24"/>
          <w:szCs w:val="24"/>
        </w:rPr>
      </w:pPr>
    </w:p>
    <w:p w:rsidR="00E3789A" w:rsidRDefault="00E3789A" w:rsidP="00FD139B">
      <w:pPr>
        <w:tabs>
          <w:tab w:val="left" w:pos="426"/>
        </w:tabs>
        <w:spacing w:after="0"/>
        <w:rPr>
          <w:rFonts w:ascii="Times New Roman" w:hAnsi="Times New Roman" w:cs="Times New Roman"/>
          <w:b/>
          <w:sz w:val="24"/>
          <w:szCs w:val="24"/>
        </w:rPr>
      </w:pPr>
    </w:p>
    <w:p w:rsidR="00E3789A" w:rsidRDefault="00E3789A" w:rsidP="00FD139B">
      <w:pPr>
        <w:tabs>
          <w:tab w:val="left" w:pos="426"/>
        </w:tabs>
        <w:spacing w:after="0"/>
        <w:rPr>
          <w:rFonts w:ascii="Times New Roman" w:hAnsi="Times New Roman" w:cs="Times New Roman"/>
          <w:b/>
          <w:sz w:val="24"/>
          <w:szCs w:val="24"/>
        </w:rPr>
        <w:sectPr w:rsidR="00E3789A" w:rsidSect="00A16C24">
          <w:pgSz w:w="12240" w:h="15840"/>
          <w:pgMar w:top="1440" w:right="1440" w:bottom="1440" w:left="1440" w:header="720" w:footer="720" w:gutter="0"/>
          <w:cols w:space="720"/>
          <w:docGrid w:linePitch="360"/>
        </w:sectPr>
      </w:pPr>
    </w:p>
    <w:p w:rsidR="00762A75" w:rsidRDefault="00E3789A" w:rsidP="00FD139B">
      <w:pPr>
        <w:tabs>
          <w:tab w:val="left" w:pos="426"/>
        </w:tabs>
        <w:spacing w:after="0"/>
        <w:rPr>
          <w:rFonts w:ascii="Times New Roman" w:hAnsi="Times New Roman" w:cs="Times New Roman"/>
          <w:b/>
          <w:sz w:val="24"/>
          <w:szCs w:val="24"/>
        </w:rPr>
      </w:pPr>
      <w:r w:rsidRPr="00E3789A">
        <w:rPr>
          <w:noProof/>
          <w:szCs w:val="24"/>
          <w:lang w:val="en-NZ" w:eastAsia="en-NZ"/>
        </w:rPr>
        <w:lastRenderedPageBreak/>
        <w:drawing>
          <wp:inline distT="0" distB="0" distL="0" distR="0">
            <wp:extent cx="7981950" cy="3267075"/>
            <wp:effectExtent l="19050" t="0" r="0" b="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7981950" cy="3267075"/>
                    </a:xfrm>
                    <a:prstGeom prst="rect">
                      <a:avLst/>
                    </a:prstGeom>
                    <a:noFill/>
                    <a:ln w="9525">
                      <a:noFill/>
                      <a:miter lim="800000"/>
                      <a:headEnd/>
                      <a:tailEnd/>
                    </a:ln>
                  </pic:spPr>
                </pic:pic>
              </a:graphicData>
            </a:graphic>
          </wp:inline>
        </w:drawing>
      </w:r>
    </w:p>
    <w:p w:rsidR="00E3789A" w:rsidRDefault="00820A05" w:rsidP="00FD139B">
      <w:pPr>
        <w:tabs>
          <w:tab w:val="left" w:pos="426"/>
        </w:tabs>
        <w:spacing w:after="0"/>
        <w:rPr>
          <w:rFonts w:ascii="Times New Roman" w:hAnsi="Times New Roman" w:cs="Times New Roman"/>
          <w:b/>
          <w:sz w:val="24"/>
          <w:szCs w:val="24"/>
        </w:rPr>
      </w:pPr>
      <w:r w:rsidRPr="00820A05">
        <w:rPr>
          <w:noProof/>
          <w:szCs w:val="24"/>
          <w:lang w:val="en-NZ" w:eastAsia="en-NZ"/>
        </w:rPr>
        <w:drawing>
          <wp:inline distT="0" distB="0" distL="0" distR="0">
            <wp:extent cx="8229600" cy="183785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8229600" cy="1837853"/>
                    </a:xfrm>
                    <a:prstGeom prst="rect">
                      <a:avLst/>
                    </a:prstGeom>
                    <a:noFill/>
                    <a:ln w="9525">
                      <a:noFill/>
                      <a:miter lim="800000"/>
                      <a:headEnd/>
                      <a:tailEnd/>
                    </a:ln>
                  </pic:spPr>
                </pic:pic>
              </a:graphicData>
            </a:graphic>
          </wp:inline>
        </w:drawing>
      </w:r>
    </w:p>
    <w:p w:rsidR="003B71B3" w:rsidRDefault="003B71B3" w:rsidP="00FD139B">
      <w:pPr>
        <w:tabs>
          <w:tab w:val="left" w:pos="426"/>
        </w:tabs>
        <w:spacing w:after="0"/>
        <w:rPr>
          <w:rFonts w:ascii="Times New Roman" w:hAnsi="Times New Roman" w:cs="Times New Roman"/>
          <w:b/>
          <w:sz w:val="24"/>
          <w:szCs w:val="24"/>
        </w:rPr>
      </w:pPr>
      <w:r w:rsidRPr="003B71B3">
        <w:rPr>
          <w:noProof/>
          <w:szCs w:val="24"/>
          <w:lang w:val="en-NZ" w:eastAsia="en-NZ"/>
        </w:rPr>
        <w:lastRenderedPageBreak/>
        <w:drawing>
          <wp:inline distT="0" distB="0" distL="0" distR="0">
            <wp:extent cx="8229600" cy="1821418"/>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8229600" cy="1821418"/>
                    </a:xfrm>
                    <a:prstGeom prst="rect">
                      <a:avLst/>
                    </a:prstGeom>
                    <a:noFill/>
                    <a:ln w="9525">
                      <a:noFill/>
                      <a:miter lim="800000"/>
                      <a:headEnd/>
                      <a:tailEnd/>
                    </a:ln>
                  </pic:spPr>
                </pic:pic>
              </a:graphicData>
            </a:graphic>
          </wp:inline>
        </w:drawing>
      </w:r>
    </w:p>
    <w:p w:rsidR="00E3789A" w:rsidRDefault="00E3789A" w:rsidP="00FD139B">
      <w:pPr>
        <w:tabs>
          <w:tab w:val="left" w:pos="426"/>
        </w:tabs>
        <w:spacing w:after="0"/>
        <w:rPr>
          <w:rFonts w:ascii="Times New Roman" w:hAnsi="Times New Roman" w:cs="Times New Roman"/>
          <w:b/>
          <w:sz w:val="24"/>
          <w:szCs w:val="24"/>
        </w:rPr>
      </w:pPr>
    </w:p>
    <w:p w:rsidR="00D67010" w:rsidRPr="008C3877" w:rsidRDefault="00D67010" w:rsidP="00FD139B">
      <w:pPr>
        <w:tabs>
          <w:tab w:val="left" w:pos="426"/>
        </w:tabs>
        <w:spacing w:after="0"/>
        <w:rPr>
          <w:rFonts w:ascii="Times New Roman" w:hAnsi="Times New Roman" w:cs="Times New Roman"/>
          <w:b/>
          <w:sz w:val="24"/>
          <w:szCs w:val="24"/>
        </w:rPr>
      </w:pPr>
    </w:p>
    <w:sectPr w:rsidR="00D67010" w:rsidRPr="008C3877" w:rsidSect="00762A75">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697" w:rsidRDefault="00BB1697" w:rsidP="002B1D90">
      <w:pPr>
        <w:spacing w:after="0" w:line="240" w:lineRule="auto"/>
      </w:pPr>
      <w:r>
        <w:separator/>
      </w:r>
    </w:p>
  </w:endnote>
  <w:endnote w:type="continuationSeparator" w:id="0">
    <w:p w:rsidR="00BB1697" w:rsidRDefault="00BB1697" w:rsidP="002B1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G Times">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39424"/>
      <w:docPartObj>
        <w:docPartGallery w:val="Page Numbers (Bottom of Page)"/>
        <w:docPartUnique/>
      </w:docPartObj>
    </w:sdtPr>
    <w:sdtContent>
      <w:p w:rsidR="00B01E56" w:rsidRDefault="00B01E56">
        <w:pPr>
          <w:pStyle w:val="Footer"/>
          <w:jc w:val="center"/>
        </w:pPr>
        <w:fldSimple w:instr=" PAGE   \* MERGEFORMAT ">
          <w:r w:rsidR="00D406A3">
            <w:rPr>
              <w:noProof/>
            </w:rPr>
            <w:t>21</w:t>
          </w:r>
        </w:fldSimple>
      </w:p>
    </w:sdtContent>
  </w:sdt>
  <w:p w:rsidR="00B01E56" w:rsidRDefault="00B01E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697" w:rsidRDefault="00BB1697" w:rsidP="002B1D90">
      <w:pPr>
        <w:spacing w:after="0" w:line="240" w:lineRule="auto"/>
      </w:pPr>
      <w:r>
        <w:separator/>
      </w:r>
    </w:p>
  </w:footnote>
  <w:footnote w:type="continuationSeparator" w:id="0">
    <w:p w:rsidR="00BB1697" w:rsidRDefault="00BB1697" w:rsidP="002B1D90">
      <w:pPr>
        <w:spacing w:after="0" w:line="240" w:lineRule="auto"/>
      </w:pPr>
      <w:r>
        <w:continuationSeparator/>
      </w:r>
    </w:p>
  </w:footnote>
  <w:footnote w:id="1">
    <w:p w:rsidR="00B01E56" w:rsidRPr="00BF616F" w:rsidRDefault="00B01E56" w:rsidP="00BF616F">
      <w:pPr>
        <w:pStyle w:val="FootnoteText"/>
        <w:ind w:left="284" w:hanging="284"/>
        <w:jc w:val="both"/>
        <w:rPr>
          <w:rFonts w:ascii="Times New Roman" w:hAnsi="Times New Roman" w:cs="Times New Roman"/>
          <w:sz w:val="22"/>
          <w:szCs w:val="22"/>
        </w:rPr>
      </w:pPr>
      <w:r w:rsidRPr="00BF616F">
        <w:rPr>
          <w:rStyle w:val="FootnoteReference"/>
          <w:rFonts w:ascii="Times New Roman" w:hAnsi="Times New Roman" w:cs="Times New Roman"/>
          <w:sz w:val="22"/>
          <w:szCs w:val="22"/>
        </w:rPr>
        <w:footnoteRef/>
      </w:r>
      <w:r w:rsidRPr="00BF616F">
        <w:rPr>
          <w:rFonts w:ascii="Times New Roman" w:hAnsi="Times New Roman" w:cs="Times New Roman"/>
          <w:sz w:val="22"/>
          <w:szCs w:val="22"/>
        </w:rPr>
        <w:t xml:space="preserve"> </w:t>
      </w:r>
      <w:r>
        <w:rPr>
          <w:rFonts w:ascii="Times New Roman" w:hAnsi="Times New Roman" w:cs="Times New Roman"/>
          <w:sz w:val="22"/>
          <w:szCs w:val="22"/>
        </w:rPr>
        <w:tab/>
      </w:r>
      <w:r w:rsidRPr="00BF616F">
        <w:rPr>
          <w:rFonts w:ascii="Times New Roman" w:hAnsi="Times New Roman" w:cs="Times New Roman"/>
          <w:sz w:val="22"/>
          <w:szCs w:val="22"/>
        </w:rPr>
        <w:t>For example, in 2009 the Algerian Government said it would restrict study abroad scholarships granted to high achievers in baccalaureate examinations in an effort to stem a worsening brain drain, and Uganda began requiring doctors who wish to pursue further studies abroad to make a written commitment to return to Uganda. On the receiving side, the World Federation of Public Health Associations adopted a resolution in 2005 supporting ethical restrictions on international recruitment of health professionals from developing countries.</w:t>
      </w:r>
    </w:p>
  </w:footnote>
  <w:footnote w:id="2">
    <w:p w:rsidR="00B01E56" w:rsidRPr="00BF616F" w:rsidRDefault="00B01E56" w:rsidP="00BF616F">
      <w:pPr>
        <w:pStyle w:val="FootnoteText"/>
        <w:ind w:left="284" w:hanging="284"/>
        <w:jc w:val="both"/>
        <w:rPr>
          <w:rFonts w:ascii="Times New Roman" w:hAnsi="Times New Roman" w:cs="Times New Roman"/>
          <w:sz w:val="22"/>
          <w:szCs w:val="22"/>
        </w:rPr>
      </w:pPr>
      <w:r w:rsidRPr="00BF616F">
        <w:rPr>
          <w:rStyle w:val="FootnoteReference"/>
          <w:rFonts w:ascii="Times New Roman" w:hAnsi="Times New Roman" w:cs="Times New Roman"/>
          <w:sz w:val="22"/>
          <w:szCs w:val="22"/>
        </w:rPr>
        <w:footnoteRef/>
      </w:r>
      <w:r w:rsidRPr="00BF616F">
        <w:rPr>
          <w:rFonts w:ascii="Times New Roman" w:hAnsi="Times New Roman" w:cs="Times New Roman"/>
          <w:sz w:val="22"/>
          <w:szCs w:val="22"/>
        </w:rPr>
        <w:t xml:space="preserve"> </w:t>
      </w:r>
      <w:r>
        <w:rPr>
          <w:rFonts w:ascii="Times New Roman" w:hAnsi="Times New Roman" w:cs="Times New Roman"/>
          <w:sz w:val="22"/>
          <w:szCs w:val="22"/>
        </w:rPr>
        <w:tab/>
      </w:r>
      <w:r w:rsidRPr="00BF616F">
        <w:rPr>
          <w:rFonts w:ascii="Times New Roman" w:hAnsi="Times New Roman" w:cs="Times New Roman"/>
          <w:sz w:val="22"/>
          <w:szCs w:val="22"/>
        </w:rPr>
        <w:t>See Mountford (1997), Vidal (1998), Stark et al. (1997) and Schiff (2006) for this theoretical debate, Beine et al. (2008) for cross-country empirical evidence, and Chand and Clemens (2008) for a case study in Fiji. Kapur and McHale (2005) provide a nice recent review of the literature.</w:t>
      </w:r>
    </w:p>
  </w:footnote>
  <w:footnote w:id="3">
    <w:p w:rsidR="00B01E56" w:rsidRPr="00BF616F" w:rsidRDefault="00B01E56" w:rsidP="00BF616F">
      <w:pPr>
        <w:pStyle w:val="FootnoteText"/>
        <w:ind w:left="284" w:hanging="284"/>
        <w:jc w:val="both"/>
        <w:rPr>
          <w:rFonts w:ascii="Times New Roman" w:hAnsi="Times New Roman" w:cs="Times New Roman"/>
          <w:sz w:val="22"/>
          <w:szCs w:val="22"/>
          <w:lang w:val="en-NZ"/>
        </w:rPr>
      </w:pPr>
      <w:r w:rsidRPr="00BF616F">
        <w:rPr>
          <w:rStyle w:val="FootnoteReference"/>
          <w:rFonts w:ascii="Times New Roman" w:hAnsi="Times New Roman" w:cs="Times New Roman"/>
          <w:sz w:val="22"/>
          <w:szCs w:val="22"/>
        </w:rPr>
        <w:footnoteRef/>
      </w:r>
      <w:r w:rsidRPr="00BF616F">
        <w:rPr>
          <w:rFonts w:ascii="Times New Roman" w:hAnsi="Times New Roman" w:cs="Times New Roman"/>
          <w:sz w:val="22"/>
          <w:szCs w:val="22"/>
        </w:rPr>
        <w:t xml:space="preserve"> </w:t>
      </w:r>
      <w:r>
        <w:rPr>
          <w:rFonts w:ascii="Times New Roman" w:hAnsi="Times New Roman" w:cs="Times New Roman"/>
          <w:sz w:val="22"/>
          <w:szCs w:val="22"/>
        </w:rPr>
        <w:tab/>
      </w:r>
      <w:r w:rsidRPr="00BF616F">
        <w:rPr>
          <w:rFonts w:ascii="Times New Roman" w:hAnsi="Times New Roman" w:cs="Times New Roman"/>
          <w:sz w:val="22"/>
          <w:szCs w:val="22"/>
          <w:lang w:val="en-NZ"/>
        </w:rPr>
        <w:t xml:space="preserve">Nyarko (2010) provides illustrative calculations of the internal rates of return to tertiary education in Ghana that a social planner would face, allowing for both permanent emigration of the tertiary educated (‘brain drain’) and emigration followed by return (‘brain circulation’). The net present value from those who permanently emigrate exceeds that of the returnees and the stayers because the assumed value of remittances outweighs the value of extra output created by the tertiary educated who never leave. However the values used for earnings, remittances and migration propensities are based on reworking of existing data, rather than new empirical evidence, and also ignore distributional issues such </w:t>
      </w:r>
      <w:r>
        <w:rPr>
          <w:rFonts w:ascii="Times New Roman" w:hAnsi="Times New Roman" w:cs="Times New Roman"/>
          <w:sz w:val="22"/>
          <w:szCs w:val="22"/>
          <w:lang w:val="en-NZ"/>
        </w:rPr>
        <w:t>as to whom the benefits accrue.</w:t>
      </w:r>
    </w:p>
  </w:footnote>
  <w:footnote w:id="4">
    <w:p w:rsidR="00B01E56" w:rsidRPr="00BF616F" w:rsidRDefault="00B01E56" w:rsidP="00BF616F">
      <w:pPr>
        <w:pStyle w:val="FootnoteText"/>
        <w:ind w:left="284" w:hanging="284"/>
        <w:jc w:val="both"/>
        <w:rPr>
          <w:sz w:val="22"/>
          <w:szCs w:val="22"/>
        </w:rPr>
      </w:pPr>
      <w:r w:rsidRPr="00BF616F">
        <w:rPr>
          <w:rStyle w:val="FootnoteReference"/>
          <w:rFonts w:ascii="Times New Roman" w:hAnsi="Times New Roman" w:cs="Times New Roman"/>
          <w:sz w:val="22"/>
          <w:szCs w:val="22"/>
        </w:rPr>
        <w:footnoteRef/>
      </w:r>
      <w:r w:rsidRPr="00BF616F">
        <w:rPr>
          <w:rFonts w:ascii="Times New Roman" w:hAnsi="Times New Roman" w:cs="Times New Roman"/>
          <w:sz w:val="22"/>
          <w:szCs w:val="22"/>
        </w:rPr>
        <w:t xml:space="preserve"> </w:t>
      </w:r>
      <w:r>
        <w:rPr>
          <w:rFonts w:ascii="Times New Roman" w:hAnsi="Times New Roman" w:cs="Times New Roman"/>
          <w:sz w:val="22"/>
          <w:szCs w:val="22"/>
        </w:rPr>
        <w:tab/>
      </w:r>
      <w:r w:rsidRPr="00BF616F">
        <w:rPr>
          <w:rFonts w:ascii="Times New Roman" w:hAnsi="Times New Roman" w:cs="Times New Roman"/>
          <w:sz w:val="22"/>
          <w:szCs w:val="22"/>
        </w:rPr>
        <w:t>These brain drain rates measure the share of adults with tertiary education born in a particular country who are living abroad.</w:t>
      </w:r>
    </w:p>
  </w:footnote>
  <w:footnote w:id="5">
    <w:p w:rsidR="00B01E56" w:rsidRPr="00BF616F" w:rsidRDefault="00B01E56" w:rsidP="00BF616F">
      <w:pPr>
        <w:pStyle w:val="FootnoteText"/>
        <w:ind w:left="284" w:hanging="284"/>
        <w:jc w:val="both"/>
        <w:rPr>
          <w:rFonts w:ascii="Times New Roman" w:hAnsi="Times New Roman" w:cs="Times New Roman"/>
          <w:sz w:val="22"/>
          <w:szCs w:val="22"/>
        </w:rPr>
      </w:pPr>
      <w:r w:rsidRPr="00BF616F">
        <w:rPr>
          <w:rStyle w:val="FootnoteReference"/>
          <w:rFonts w:ascii="Times New Roman" w:hAnsi="Times New Roman" w:cs="Times New Roman"/>
          <w:sz w:val="22"/>
          <w:szCs w:val="22"/>
        </w:rPr>
        <w:footnoteRef/>
      </w:r>
      <w:r w:rsidRPr="00BF616F">
        <w:rPr>
          <w:rFonts w:ascii="Times New Roman" w:hAnsi="Times New Roman" w:cs="Times New Roman"/>
          <w:sz w:val="22"/>
          <w:szCs w:val="22"/>
        </w:rPr>
        <w:t xml:space="preserve"> </w:t>
      </w:r>
      <w:r>
        <w:rPr>
          <w:rFonts w:ascii="Times New Roman" w:hAnsi="Times New Roman" w:cs="Times New Roman"/>
          <w:sz w:val="22"/>
          <w:szCs w:val="22"/>
        </w:rPr>
        <w:tab/>
      </w:r>
      <w:r w:rsidRPr="00BF616F">
        <w:rPr>
          <w:rFonts w:ascii="Times New Roman" w:hAnsi="Times New Roman" w:cs="Times New Roman"/>
          <w:sz w:val="22"/>
          <w:szCs w:val="22"/>
        </w:rPr>
        <w:t>All values are expressed in current United States dollars as of January 2010.</w:t>
      </w:r>
    </w:p>
  </w:footnote>
  <w:footnote w:id="6">
    <w:p w:rsidR="00B01E56" w:rsidRPr="008A7B9E" w:rsidRDefault="00B01E56">
      <w:pPr>
        <w:pStyle w:val="FootnoteText"/>
        <w:rPr>
          <w:rFonts w:ascii="Times New Roman" w:hAnsi="Times New Roman" w:cs="Times New Roman"/>
        </w:rPr>
      </w:pPr>
      <w:r w:rsidRPr="008A7B9E">
        <w:rPr>
          <w:rStyle w:val="FootnoteReference"/>
          <w:rFonts w:ascii="Times New Roman" w:hAnsi="Times New Roman" w:cs="Times New Roman"/>
        </w:rPr>
        <w:footnoteRef/>
      </w:r>
      <w:r w:rsidRPr="008A7B9E">
        <w:rPr>
          <w:rFonts w:ascii="Times New Roman" w:hAnsi="Times New Roman" w:cs="Times New Roman"/>
        </w:rPr>
        <w:t xml:space="preserve"> Population and GNI per capita are World Bank 2008 estimates.</w:t>
      </w:r>
    </w:p>
  </w:footnote>
  <w:footnote w:id="7">
    <w:p w:rsidR="00B01E56" w:rsidRPr="00B01E56" w:rsidRDefault="00B01E56" w:rsidP="00B01E56">
      <w:pPr>
        <w:pStyle w:val="FootnoteText"/>
        <w:ind w:left="284" w:hanging="284"/>
        <w:jc w:val="both"/>
        <w:rPr>
          <w:rFonts w:ascii="Times New Roman" w:hAnsi="Times New Roman" w:cs="Times New Roman"/>
          <w:sz w:val="22"/>
          <w:szCs w:val="22"/>
        </w:rPr>
      </w:pPr>
      <w:r w:rsidRPr="00B01E56">
        <w:rPr>
          <w:rStyle w:val="FootnoteReference"/>
          <w:rFonts w:ascii="Times New Roman" w:hAnsi="Times New Roman" w:cs="Times New Roman"/>
          <w:sz w:val="22"/>
          <w:szCs w:val="22"/>
        </w:rPr>
        <w:footnoteRef/>
      </w:r>
      <w:r w:rsidRPr="00B01E56">
        <w:rPr>
          <w:rFonts w:ascii="Times New Roman" w:hAnsi="Times New Roman" w:cs="Times New Roman"/>
          <w:sz w:val="22"/>
          <w:szCs w:val="22"/>
        </w:rPr>
        <w:t xml:space="preserve"> </w:t>
      </w:r>
      <w:r>
        <w:rPr>
          <w:rFonts w:ascii="Times New Roman" w:hAnsi="Times New Roman" w:cs="Times New Roman"/>
          <w:sz w:val="22"/>
          <w:szCs w:val="22"/>
        </w:rPr>
        <w:tab/>
      </w:r>
      <w:r w:rsidRPr="00B01E56">
        <w:rPr>
          <w:rFonts w:ascii="Times New Roman" w:hAnsi="Times New Roman" w:cs="Times New Roman"/>
          <w:sz w:val="22"/>
          <w:szCs w:val="22"/>
        </w:rPr>
        <w:t>See Gibson and McKenzie (2010) for details of this for New Zealand, Papua New Guinea and Tonga.</w:t>
      </w:r>
    </w:p>
  </w:footnote>
  <w:footnote w:id="8">
    <w:p w:rsidR="00B01E56" w:rsidRPr="00B01E56" w:rsidRDefault="00B01E56" w:rsidP="00B01E56">
      <w:pPr>
        <w:pStyle w:val="FootnoteText"/>
        <w:ind w:left="284" w:hanging="284"/>
        <w:jc w:val="both"/>
        <w:rPr>
          <w:rFonts w:ascii="Times New Roman" w:hAnsi="Times New Roman" w:cs="Times New Roman"/>
          <w:sz w:val="22"/>
          <w:szCs w:val="22"/>
        </w:rPr>
      </w:pPr>
      <w:r w:rsidRPr="00B01E56">
        <w:rPr>
          <w:rStyle w:val="FootnoteReference"/>
          <w:rFonts w:ascii="Times New Roman" w:hAnsi="Times New Roman" w:cs="Times New Roman"/>
          <w:sz w:val="22"/>
          <w:szCs w:val="22"/>
        </w:rPr>
        <w:footnoteRef/>
      </w:r>
      <w:r w:rsidRPr="00B01E56">
        <w:rPr>
          <w:rFonts w:ascii="Times New Roman" w:hAnsi="Times New Roman" w:cs="Times New Roman"/>
          <w:sz w:val="22"/>
          <w:szCs w:val="22"/>
        </w:rPr>
        <w:t xml:space="preserve"> </w:t>
      </w:r>
      <w:r>
        <w:rPr>
          <w:rFonts w:ascii="Times New Roman" w:hAnsi="Times New Roman" w:cs="Times New Roman"/>
          <w:sz w:val="22"/>
          <w:szCs w:val="22"/>
        </w:rPr>
        <w:tab/>
      </w:r>
      <w:r w:rsidRPr="00B01E56">
        <w:rPr>
          <w:rFonts w:ascii="Times New Roman" w:hAnsi="Times New Roman" w:cs="Times New Roman"/>
          <w:sz w:val="22"/>
          <w:szCs w:val="22"/>
        </w:rPr>
        <w:t>The employment rate is very high among our sample once we exclude students, so we ignore selection into employment.</w:t>
      </w:r>
    </w:p>
  </w:footnote>
  <w:footnote w:id="9">
    <w:p w:rsidR="00B01E56" w:rsidRPr="00B01E56" w:rsidRDefault="00B01E56" w:rsidP="00B01E56">
      <w:pPr>
        <w:pStyle w:val="FootnoteText"/>
        <w:tabs>
          <w:tab w:val="left" w:pos="284"/>
        </w:tabs>
        <w:rPr>
          <w:rFonts w:ascii="Times New Roman" w:hAnsi="Times New Roman" w:cs="Times New Roman"/>
          <w:sz w:val="22"/>
          <w:szCs w:val="22"/>
        </w:rPr>
      </w:pPr>
      <w:r w:rsidRPr="00B01E56">
        <w:rPr>
          <w:rStyle w:val="FootnoteReference"/>
          <w:rFonts w:ascii="Times New Roman" w:hAnsi="Times New Roman" w:cs="Times New Roman"/>
          <w:sz w:val="22"/>
          <w:szCs w:val="22"/>
        </w:rPr>
        <w:footnoteRef/>
      </w:r>
      <w:r w:rsidRPr="00B01E56">
        <w:rPr>
          <w:rFonts w:ascii="Times New Roman" w:hAnsi="Times New Roman" w:cs="Times New Roman"/>
          <w:sz w:val="22"/>
          <w:szCs w:val="22"/>
        </w:rPr>
        <w:t xml:space="preserve"> </w:t>
      </w:r>
      <w:r>
        <w:rPr>
          <w:rFonts w:ascii="Times New Roman" w:hAnsi="Times New Roman" w:cs="Times New Roman"/>
          <w:sz w:val="22"/>
          <w:szCs w:val="22"/>
        </w:rPr>
        <w:tab/>
      </w:r>
      <w:r w:rsidRPr="00B01E56">
        <w:rPr>
          <w:rFonts w:ascii="Times New Roman" w:hAnsi="Times New Roman" w:cs="Times New Roman"/>
          <w:sz w:val="22"/>
          <w:szCs w:val="22"/>
        </w:rPr>
        <w:t>International Comparison Program (2008).</w:t>
      </w:r>
    </w:p>
  </w:footnote>
  <w:footnote w:id="10">
    <w:p w:rsidR="00B01E56" w:rsidRPr="00B01E56" w:rsidRDefault="00B01E56" w:rsidP="00B01E56">
      <w:pPr>
        <w:pStyle w:val="FootnoteText"/>
        <w:ind w:left="284" w:hanging="284"/>
        <w:jc w:val="both"/>
        <w:rPr>
          <w:rFonts w:ascii="Times New Roman" w:hAnsi="Times New Roman" w:cs="Times New Roman"/>
          <w:sz w:val="22"/>
          <w:szCs w:val="22"/>
        </w:rPr>
      </w:pPr>
      <w:r w:rsidRPr="00B01E56">
        <w:rPr>
          <w:rStyle w:val="FootnoteReference"/>
          <w:rFonts w:ascii="Times New Roman" w:hAnsi="Times New Roman" w:cs="Times New Roman"/>
          <w:sz w:val="22"/>
          <w:szCs w:val="22"/>
        </w:rPr>
        <w:footnoteRef/>
      </w:r>
      <w:r w:rsidRPr="00B01E56">
        <w:rPr>
          <w:rFonts w:ascii="Times New Roman" w:hAnsi="Times New Roman" w:cs="Times New Roman"/>
          <w:sz w:val="22"/>
          <w:szCs w:val="22"/>
        </w:rPr>
        <w:t xml:space="preserve"> </w:t>
      </w:r>
      <w:r>
        <w:rPr>
          <w:rFonts w:ascii="Times New Roman" w:hAnsi="Times New Roman" w:cs="Times New Roman"/>
          <w:sz w:val="22"/>
          <w:szCs w:val="22"/>
        </w:rPr>
        <w:tab/>
      </w:r>
      <w:r w:rsidRPr="00B01E56">
        <w:rPr>
          <w:rFonts w:ascii="Times New Roman" w:hAnsi="Times New Roman" w:cs="Times New Roman"/>
          <w:sz w:val="22"/>
          <w:szCs w:val="22"/>
        </w:rPr>
        <w:t>We classify a law degree as an advanced degree as in some countries it requires an undergraduate degree first, whilst in others it is a longer length undergraduate program than arts or sciences bachelor degrees.</w:t>
      </w:r>
    </w:p>
  </w:footnote>
  <w:footnote w:id="11">
    <w:p w:rsidR="00B01E56" w:rsidRPr="00B01E56" w:rsidRDefault="00B01E56" w:rsidP="00B01E56">
      <w:pPr>
        <w:pStyle w:val="FootnoteText"/>
        <w:ind w:left="284" w:hanging="284"/>
        <w:jc w:val="both"/>
        <w:rPr>
          <w:rFonts w:ascii="Times New Roman" w:hAnsi="Times New Roman" w:cs="Times New Roman"/>
          <w:sz w:val="22"/>
          <w:szCs w:val="22"/>
        </w:rPr>
      </w:pPr>
      <w:r w:rsidRPr="00B01E56">
        <w:rPr>
          <w:rStyle w:val="FootnoteReference"/>
          <w:rFonts w:ascii="Times New Roman" w:hAnsi="Times New Roman" w:cs="Times New Roman"/>
          <w:sz w:val="22"/>
          <w:szCs w:val="22"/>
        </w:rPr>
        <w:footnoteRef/>
      </w:r>
      <w:r w:rsidRPr="00B01E56">
        <w:rPr>
          <w:rFonts w:ascii="Times New Roman" w:hAnsi="Times New Roman" w:cs="Times New Roman"/>
          <w:sz w:val="22"/>
          <w:szCs w:val="22"/>
        </w:rPr>
        <w:t xml:space="preserve"> </w:t>
      </w:r>
      <w:r>
        <w:rPr>
          <w:rFonts w:ascii="Times New Roman" w:hAnsi="Times New Roman" w:cs="Times New Roman"/>
          <w:sz w:val="22"/>
          <w:szCs w:val="22"/>
        </w:rPr>
        <w:tab/>
      </w:r>
      <w:r w:rsidRPr="00B01E56">
        <w:rPr>
          <w:rFonts w:ascii="Times New Roman" w:hAnsi="Times New Roman" w:cs="Times New Roman"/>
          <w:sz w:val="22"/>
          <w:szCs w:val="22"/>
        </w:rPr>
        <w:t>The Micronesians with Masters earned at home had earned masters in theology by remote study.</w:t>
      </w:r>
    </w:p>
  </w:footnote>
  <w:footnote w:id="12">
    <w:p w:rsidR="00B01E56" w:rsidRPr="00FD139B" w:rsidRDefault="00B01E56" w:rsidP="00FD139B">
      <w:pPr>
        <w:pStyle w:val="FootnoteText"/>
        <w:ind w:left="284" w:hanging="284"/>
        <w:rPr>
          <w:rFonts w:ascii="Times New Roman" w:hAnsi="Times New Roman" w:cs="Times New Roman"/>
          <w:sz w:val="22"/>
          <w:szCs w:val="22"/>
        </w:rPr>
      </w:pPr>
      <w:r w:rsidRPr="00FD139B">
        <w:rPr>
          <w:rStyle w:val="FootnoteReference"/>
          <w:rFonts w:ascii="Times New Roman" w:hAnsi="Times New Roman" w:cs="Times New Roman"/>
          <w:sz w:val="22"/>
          <w:szCs w:val="22"/>
        </w:rPr>
        <w:footnoteRef/>
      </w:r>
      <w:r w:rsidRPr="00FD139B">
        <w:rPr>
          <w:rFonts w:ascii="Times New Roman" w:hAnsi="Times New Roman" w:cs="Times New Roman"/>
          <w:sz w:val="22"/>
          <w:szCs w:val="22"/>
        </w:rPr>
        <w:t xml:space="preserve"> </w:t>
      </w:r>
      <w:r w:rsidR="00FD139B">
        <w:rPr>
          <w:rFonts w:ascii="Times New Roman" w:hAnsi="Times New Roman" w:cs="Times New Roman"/>
          <w:sz w:val="22"/>
          <w:szCs w:val="22"/>
        </w:rPr>
        <w:tab/>
      </w:r>
      <w:r w:rsidRPr="00FD139B">
        <w:rPr>
          <w:rFonts w:ascii="Times New Roman" w:hAnsi="Times New Roman" w:cs="Times New Roman"/>
          <w:sz w:val="22"/>
          <w:szCs w:val="22"/>
        </w:rPr>
        <w:t>We formally test for equality to zero by regressing the unconditional amount invested on a dummy for being a current migrant, restricting analysis to the current migrant and non-migrant samples of non-students.</w:t>
      </w:r>
    </w:p>
  </w:footnote>
  <w:footnote w:id="13">
    <w:p w:rsidR="00B01E56" w:rsidRPr="00FD139B" w:rsidRDefault="00B01E56" w:rsidP="00FD139B">
      <w:pPr>
        <w:pStyle w:val="FootnoteText"/>
        <w:ind w:left="284" w:hanging="284"/>
        <w:rPr>
          <w:rFonts w:ascii="Times New Roman" w:hAnsi="Times New Roman" w:cs="Times New Roman"/>
          <w:sz w:val="22"/>
          <w:szCs w:val="22"/>
        </w:rPr>
      </w:pPr>
      <w:r w:rsidRPr="00FD139B">
        <w:rPr>
          <w:rStyle w:val="FootnoteReference"/>
          <w:rFonts w:ascii="Times New Roman" w:hAnsi="Times New Roman" w:cs="Times New Roman"/>
          <w:sz w:val="22"/>
          <w:szCs w:val="22"/>
        </w:rPr>
        <w:footnoteRef/>
      </w:r>
      <w:r w:rsidRPr="00FD139B">
        <w:rPr>
          <w:rFonts w:ascii="Times New Roman" w:hAnsi="Times New Roman" w:cs="Times New Roman"/>
          <w:sz w:val="22"/>
          <w:szCs w:val="22"/>
        </w:rPr>
        <w:t xml:space="preserve"> </w:t>
      </w:r>
      <w:r w:rsidR="00FD139B">
        <w:rPr>
          <w:rFonts w:ascii="Times New Roman" w:hAnsi="Times New Roman" w:cs="Times New Roman"/>
          <w:sz w:val="22"/>
          <w:szCs w:val="22"/>
        </w:rPr>
        <w:tab/>
      </w:r>
      <w:r w:rsidRPr="00FD139B">
        <w:rPr>
          <w:rFonts w:ascii="Times New Roman" w:hAnsi="Times New Roman" w:cs="Times New Roman"/>
          <w:sz w:val="22"/>
          <w:szCs w:val="22"/>
        </w:rPr>
        <w:t>The value of such trade was not asked for the New Zealand sample.</w:t>
      </w:r>
    </w:p>
  </w:footnote>
  <w:footnote w:id="14">
    <w:p w:rsidR="00B01E56" w:rsidRPr="00FD139B" w:rsidRDefault="00B01E56" w:rsidP="00FD139B">
      <w:pPr>
        <w:pStyle w:val="FootnoteText"/>
        <w:ind w:left="284" w:hanging="284"/>
        <w:jc w:val="both"/>
        <w:rPr>
          <w:rFonts w:ascii="Times New Roman" w:hAnsi="Times New Roman" w:cs="Times New Roman"/>
          <w:sz w:val="22"/>
          <w:szCs w:val="22"/>
        </w:rPr>
      </w:pPr>
      <w:r w:rsidRPr="00FD139B">
        <w:rPr>
          <w:rStyle w:val="FootnoteReference"/>
          <w:rFonts w:ascii="Times New Roman" w:hAnsi="Times New Roman" w:cs="Times New Roman"/>
          <w:sz w:val="22"/>
          <w:szCs w:val="22"/>
        </w:rPr>
        <w:footnoteRef/>
      </w:r>
      <w:r w:rsidRPr="00FD139B">
        <w:rPr>
          <w:rFonts w:ascii="Times New Roman" w:hAnsi="Times New Roman" w:cs="Times New Roman"/>
          <w:sz w:val="22"/>
          <w:szCs w:val="22"/>
        </w:rPr>
        <w:t xml:space="preserve"> </w:t>
      </w:r>
      <w:r w:rsidR="00FD139B">
        <w:rPr>
          <w:rFonts w:ascii="Times New Roman" w:hAnsi="Times New Roman" w:cs="Times New Roman"/>
          <w:sz w:val="22"/>
          <w:szCs w:val="22"/>
        </w:rPr>
        <w:tab/>
      </w:r>
      <w:r w:rsidRPr="00FD139B">
        <w:rPr>
          <w:rFonts w:ascii="Times New Roman" w:hAnsi="Times New Roman" w:cs="Times New Roman"/>
          <w:sz w:val="22"/>
          <w:szCs w:val="22"/>
        </w:rPr>
        <w:t>Nyarko (2010) shows the typical annual cost per student in tertiary education is approximately 2 times per capita income. So for Ghana, the cost of funding four years of tertiary education would be approximately 8*670 = US$5360 – or just slightly more than one year’s taxes at the mean for these top students in our sample. The ongoing tax revenues lost by absence are therefore far more important for this group than the initial costs of funding their education.</w:t>
      </w:r>
    </w:p>
  </w:footnote>
  <w:footnote w:id="15">
    <w:p w:rsidR="00B01E56" w:rsidRPr="00FD139B" w:rsidRDefault="00B01E56" w:rsidP="00FD139B">
      <w:pPr>
        <w:pStyle w:val="FootnoteText"/>
        <w:ind w:left="284" w:hanging="284"/>
        <w:rPr>
          <w:rFonts w:ascii="Times New Roman" w:hAnsi="Times New Roman" w:cs="Times New Roman"/>
          <w:sz w:val="22"/>
          <w:szCs w:val="22"/>
        </w:rPr>
      </w:pPr>
      <w:r w:rsidRPr="00FD139B">
        <w:rPr>
          <w:rStyle w:val="FootnoteReference"/>
          <w:rFonts w:ascii="Times New Roman" w:hAnsi="Times New Roman" w:cs="Times New Roman"/>
          <w:sz w:val="22"/>
          <w:szCs w:val="22"/>
        </w:rPr>
        <w:footnoteRef/>
      </w:r>
      <w:r w:rsidRPr="00FD139B">
        <w:rPr>
          <w:rFonts w:ascii="Times New Roman" w:hAnsi="Times New Roman" w:cs="Times New Roman"/>
          <w:sz w:val="22"/>
          <w:szCs w:val="22"/>
        </w:rPr>
        <w:t xml:space="preserve"> </w:t>
      </w:r>
      <w:r w:rsidR="00FD139B">
        <w:rPr>
          <w:rFonts w:ascii="Times New Roman" w:hAnsi="Times New Roman" w:cs="Times New Roman"/>
          <w:sz w:val="22"/>
          <w:szCs w:val="22"/>
        </w:rPr>
        <w:tab/>
      </w:r>
      <w:r w:rsidRPr="00FD139B">
        <w:rPr>
          <w:rFonts w:ascii="Times New Roman" w:hAnsi="Times New Roman" w:cs="Times New Roman"/>
          <w:sz w:val="22"/>
          <w:szCs w:val="22"/>
        </w:rPr>
        <w:t>‘Utoikamanu (2006) ‘Consumption tax: The Tongan experience’ http://archives.pireport.org/archive/2007/July/07-27-rp.htm.</w:t>
      </w:r>
    </w:p>
  </w:footnote>
  <w:footnote w:id="16">
    <w:p w:rsidR="00B01E56" w:rsidRPr="00FD139B" w:rsidRDefault="00B01E56" w:rsidP="00FD139B">
      <w:pPr>
        <w:pStyle w:val="FootnoteText"/>
        <w:ind w:left="284" w:hanging="284"/>
        <w:rPr>
          <w:rFonts w:ascii="Times New Roman" w:hAnsi="Times New Roman" w:cs="Times New Roman"/>
          <w:sz w:val="22"/>
          <w:szCs w:val="22"/>
        </w:rPr>
      </w:pPr>
      <w:r w:rsidRPr="00FD139B">
        <w:rPr>
          <w:rStyle w:val="FootnoteReference"/>
          <w:rFonts w:ascii="Times New Roman" w:hAnsi="Times New Roman" w:cs="Times New Roman"/>
          <w:sz w:val="22"/>
          <w:szCs w:val="22"/>
        </w:rPr>
        <w:footnoteRef/>
      </w:r>
      <w:r w:rsidRPr="00FD139B">
        <w:rPr>
          <w:rFonts w:ascii="Times New Roman" w:hAnsi="Times New Roman" w:cs="Times New Roman"/>
          <w:sz w:val="22"/>
          <w:szCs w:val="22"/>
        </w:rPr>
        <w:t xml:space="preserve"> </w:t>
      </w:r>
      <w:r w:rsidR="00FD139B">
        <w:rPr>
          <w:rFonts w:ascii="Times New Roman" w:hAnsi="Times New Roman" w:cs="Times New Roman"/>
          <w:sz w:val="22"/>
          <w:szCs w:val="22"/>
        </w:rPr>
        <w:tab/>
      </w:r>
      <w:r w:rsidRPr="00FD139B">
        <w:rPr>
          <w:rFonts w:ascii="Times New Roman" w:hAnsi="Times New Roman" w:cs="Times New Roman"/>
          <w:sz w:val="22"/>
          <w:szCs w:val="22"/>
        </w:rPr>
        <w:t xml:space="preserve">Statistics New Zealand estimates that G.S.T. applies to 91 percent of the CPI.  </w:t>
      </w:r>
    </w:p>
  </w:footnote>
  <w:footnote w:id="17">
    <w:p w:rsidR="00B01E56" w:rsidRPr="00301EB2" w:rsidRDefault="00B01E56" w:rsidP="00FD139B">
      <w:pPr>
        <w:pStyle w:val="FootnoteText"/>
        <w:ind w:left="284" w:hanging="284"/>
        <w:jc w:val="both"/>
        <w:rPr>
          <w:rFonts w:ascii="Times New Roman" w:hAnsi="Times New Roman" w:cs="Times New Roman"/>
          <w:lang w:val="en-NZ"/>
        </w:rPr>
      </w:pPr>
      <w:r w:rsidRPr="009858D8">
        <w:rPr>
          <w:rStyle w:val="FootnoteReference"/>
          <w:rFonts w:ascii="Times New Roman" w:hAnsi="Times New Roman" w:cs="Times New Roman"/>
        </w:rPr>
        <w:footnoteRef/>
      </w:r>
      <w:r w:rsidRPr="009858D8">
        <w:rPr>
          <w:rFonts w:ascii="Times New Roman" w:hAnsi="Times New Roman" w:cs="Times New Roman"/>
        </w:rPr>
        <w:t xml:space="preserve"> </w:t>
      </w:r>
      <w:r w:rsidR="00FD139B">
        <w:rPr>
          <w:rFonts w:ascii="Times New Roman" w:hAnsi="Times New Roman" w:cs="Times New Roman"/>
        </w:rPr>
        <w:tab/>
      </w:r>
      <w:r w:rsidRPr="009858D8">
        <w:rPr>
          <w:rFonts w:ascii="Times New Roman" w:hAnsi="Times New Roman" w:cs="Times New Roman"/>
          <w:lang w:val="en-NZ"/>
        </w:rPr>
        <w:t>In particular, it is an implicit assumption that taxes collected from non-migrants and return migrants would be unchanged i</w:t>
      </w:r>
      <w:r>
        <w:rPr>
          <w:rFonts w:ascii="Times New Roman" w:hAnsi="Times New Roman" w:cs="Times New Roman"/>
          <w:lang w:val="en-NZ"/>
        </w:rPr>
        <w:t>f</w:t>
      </w:r>
      <w:r w:rsidRPr="009858D8">
        <w:rPr>
          <w:rFonts w:ascii="Times New Roman" w:hAnsi="Times New Roman" w:cs="Times New Roman"/>
          <w:lang w:val="en-NZ"/>
        </w:rPr>
        <w:t xml:space="preserve"> a current migrant had not migrated. But in small countries with limited opportunities to utilise specialised skills the labour demand curve may be quite steeply sloped. Hence if emigrants returned or had never left there may be lower earnings for other workers and a l</w:t>
      </w:r>
      <w:r>
        <w:rPr>
          <w:rFonts w:ascii="Times New Roman" w:hAnsi="Times New Roman" w:cs="Times New Roman"/>
          <w:lang w:val="en-NZ"/>
        </w:rPr>
        <w:t xml:space="preserve">ower tax take. Our estimate </w:t>
      </w:r>
      <w:r w:rsidRPr="009858D8">
        <w:rPr>
          <w:rFonts w:ascii="Times New Roman" w:hAnsi="Times New Roman" w:cs="Times New Roman"/>
          <w:lang w:val="en-NZ"/>
        </w:rPr>
        <w:t>net fiscal costs of emigration are therefore likely to be an upper bound.</w:t>
      </w:r>
    </w:p>
  </w:footnote>
  <w:footnote w:id="18">
    <w:p w:rsidR="00B01E56" w:rsidRPr="00301EB2" w:rsidRDefault="00B01E56" w:rsidP="00FD139B">
      <w:pPr>
        <w:pStyle w:val="FootnoteText"/>
        <w:ind w:left="284" w:hanging="284"/>
        <w:jc w:val="both"/>
        <w:rPr>
          <w:rFonts w:ascii="Times New Roman" w:hAnsi="Times New Roman" w:cs="Times New Roman"/>
        </w:rPr>
      </w:pPr>
      <w:r w:rsidRPr="009858D8">
        <w:rPr>
          <w:rStyle w:val="FootnoteReference"/>
          <w:rFonts w:ascii="Times New Roman" w:hAnsi="Times New Roman" w:cs="Times New Roman"/>
        </w:rPr>
        <w:footnoteRef/>
      </w:r>
      <w:r w:rsidRPr="009858D8">
        <w:rPr>
          <w:rFonts w:ascii="Times New Roman" w:hAnsi="Times New Roman" w:cs="Times New Roman"/>
        </w:rPr>
        <w:t xml:space="preserve"> </w:t>
      </w:r>
      <w:r w:rsidR="00FD139B">
        <w:rPr>
          <w:rFonts w:ascii="Times New Roman" w:hAnsi="Times New Roman" w:cs="Times New Roman"/>
        </w:rPr>
        <w:tab/>
      </w:r>
      <w:r w:rsidRPr="009858D8">
        <w:rPr>
          <w:rFonts w:ascii="Times New Roman" w:hAnsi="Times New Roman" w:cs="Times New Roman"/>
        </w:rPr>
        <w:t>There are of course a large number of social impacts from migration, such as changes in access to cultural and travel opportunities, in access to amenities, in opportunities to consume certain products, and in impacts on relationships with family and friends. We do not attempt to value these factors in this paper, but acknowledge their importance in driving migration decisions.</w:t>
      </w:r>
    </w:p>
  </w:footnote>
  <w:footnote w:id="19">
    <w:p w:rsidR="00B01E56" w:rsidRPr="00FD139B" w:rsidRDefault="00B01E56" w:rsidP="00FD139B">
      <w:pPr>
        <w:pStyle w:val="FootnoteText"/>
        <w:ind w:left="284" w:hanging="284"/>
        <w:jc w:val="both"/>
        <w:rPr>
          <w:sz w:val="22"/>
          <w:szCs w:val="22"/>
          <w:lang w:val="en-NZ"/>
        </w:rPr>
      </w:pPr>
      <w:r w:rsidRPr="00FD139B">
        <w:rPr>
          <w:rStyle w:val="FootnoteReference"/>
          <w:rFonts w:ascii="Times New Roman" w:hAnsi="Times New Roman" w:cs="Times New Roman"/>
          <w:sz w:val="22"/>
          <w:szCs w:val="22"/>
        </w:rPr>
        <w:footnoteRef/>
      </w:r>
      <w:r w:rsidRPr="00FD139B">
        <w:rPr>
          <w:rFonts w:ascii="Times New Roman" w:hAnsi="Times New Roman" w:cs="Times New Roman"/>
          <w:sz w:val="22"/>
          <w:szCs w:val="22"/>
        </w:rPr>
        <w:t xml:space="preserve"> </w:t>
      </w:r>
      <w:r w:rsidR="00FD139B">
        <w:rPr>
          <w:rFonts w:ascii="Times New Roman" w:hAnsi="Times New Roman" w:cs="Times New Roman"/>
          <w:sz w:val="22"/>
          <w:szCs w:val="22"/>
        </w:rPr>
        <w:tab/>
      </w:r>
      <w:r w:rsidRPr="00FD139B">
        <w:rPr>
          <w:rFonts w:ascii="Times New Roman" w:hAnsi="Times New Roman" w:cs="Times New Roman"/>
          <w:sz w:val="22"/>
          <w:szCs w:val="22"/>
          <w:lang w:val="en-NZ"/>
        </w:rPr>
        <w:t>The average cost per finally achieved sample member was approximately US$200 (excluding our own time contributions), but was considerably higher for respondents who took more iterations to track and obtain their survey response</w:t>
      </w:r>
      <w:r w:rsidRPr="00FD139B">
        <w:rPr>
          <w:sz w:val="22"/>
          <w:szCs w:val="22"/>
          <w:lang w:val="en-NZ"/>
        </w:rPr>
        <w:t>.</w:t>
      </w:r>
    </w:p>
  </w:footnote>
  <w:footnote w:id="20">
    <w:p w:rsidR="00B01E56" w:rsidRPr="00FD139B" w:rsidRDefault="00B01E56" w:rsidP="00FD139B">
      <w:pPr>
        <w:pStyle w:val="FootnoteText"/>
        <w:ind w:left="284" w:hanging="284"/>
        <w:jc w:val="both"/>
        <w:rPr>
          <w:rFonts w:ascii="Times New Roman" w:hAnsi="Times New Roman" w:cs="Times New Roman"/>
          <w:sz w:val="22"/>
          <w:szCs w:val="22"/>
        </w:rPr>
      </w:pPr>
      <w:r w:rsidRPr="00FD139B">
        <w:rPr>
          <w:rStyle w:val="FootnoteReference"/>
          <w:rFonts w:ascii="Times New Roman" w:hAnsi="Times New Roman" w:cs="Times New Roman"/>
          <w:sz w:val="22"/>
          <w:szCs w:val="22"/>
        </w:rPr>
        <w:footnoteRef/>
      </w:r>
      <w:r w:rsidRPr="00FD139B">
        <w:rPr>
          <w:rFonts w:ascii="Times New Roman" w:hAnsi="Times New Roman" w:cs="Times New Roman"/>
          <w:sz w:val="22"/>
          <w:szCs w:val="22"/>
        </w:rPr>
        <w:t xml:space="preserve"> </w:t>
      </w:r>
      <w:r w:rsidR="00FD139B">
        <w:rPr>
          <w:rFonts w:ascii="Times New Roman" w:hAnsi="Times New Roman" w:cs="Times New Roman"/>
          <w:sz w:val="22"/>
          <w:szCs w:val="22"/>
        </w:rPr>
        <w:tab/>
      </w:r>
      <w:r w:rsidRPr="00FD139B">
        <w:rPr>
          <w:rFonts w:ascii="Times New Roman" w:hAnsi="Times New Roman" w:cs="Times New Roman"/>
          <w:sz w:val="22"/>
          <w:szCs w:val="22"/>
        </w:rPr>
        <w:t>The specific outcomes examined here are some of the more important ones for our study. Given the extremely low number of individuals participating in trade and FDI, we do not attempt to look at these outcomes in smaller subsamples.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D38E4"/>
    <w:multiLevelType w:val="hybridMultilevel"/>
    <w:tmpl w:val="B516A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D252AB"/>
    <w:multiLevelType w:val="hybridMultilevel"/>
    <w:tmpl w:val="AC9C49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CC957DA"/>
    <w:multiLevelType w:val="hybridMultilevel"/>
    <w:tmpl w:val="B8C25FC2"/>
    <w:lvl w:ilvl="0" w:tplc="C1C2AE42">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F300558"/>
    <w:multiLevelType w:val="hybridMultilevel"/>
    <w:tmpl w:val="3FC6F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B7F71"/>
    <w:rsid w:val="000054F9"/>
    <w:rsid w:val="00005FC0"/>
    <w:rsid w:val="000114EC"/>
    <w:rsid w:val="00011E9C"/>
    <w:rsid w:val="0001295C"/>
    <w:rsid w:val="00020C52"/>
    <w:rsid w:val="00031CFA"/>
    <w:rsid w:val="00034FE1"/>
    <w:rsid w:val="00037E2A"/>
    <w:rsid w:val="00040DEA"/>
    <w:rsid w:val="00042E87"/>
    <w:rsid w:val="00043699"/>
    <w:rsid w:val="000533A0"/>
    <w:rsid w:val="000539CD"/>
    <w:rsid w:val="0007104B"/>
    <w:rsid w:val="00074792"/>
    <w:rsid w:val="000774DD"/>
    <w:rsid w:val="000A3E52"/>
    <w:rsid w:val="000A6492"/>
    <w:rsid w:val="000B5641"/>
    <w:rsid w:val="000B68E9"/>
    <w:rsid w:val="000B7FC8"/>
    <w:rsid w:val="000C7215"/>
    <w:rsid w:val="000D001C"/>
    <w:rsid w:val="000D3E1D"/>
    <w:rsid w:val="000E64BF"/>
    <w:rsid w:val="000F5D33"/>
    <w:rsid w:val="00101E2A"/>
    <w:rsid w:val="0012150D"/>
    <w:rsid w:val="001265D4"/>
    <w:rsid w:val="00135B67"/>
    <w:rsid w:val="001423B9"/>
    <w:rsid w:val="00142FDB"/>
    <w:rsid w:val="00150262"/>
    <w:rsid w:val="00155CFD"/>
    <w:rsid w:val="00157A2A"/>
    <w:rsid w:val="00157ED6"/>
    <w:rsid w:val="0016267C"/>
    <w:rsid w:val="00170D70"/>
    <w:rsid w:val="0017167E"/>
    <w:rsid w:val="0017684D"/>
    <w:rsid w:val="001837B0"/>
    <w:rsid w:val="00187156"/>
    <w:rsid w:val="001B0303"/>
    <w:rsid w:val="001B38AA"/>
    <w:rsid w:val="001B4563"/>
    <w:rsid w:val="001B76C7"/>
    <w:rsid w:val="001C6FE4"/>
    <w:rsid w:val="001D1B4E"/>
    <w:rsid w:val="001D53CA"/>
    <w:rsid w:val="001D6D5E"/>
    <w:rsid w:val="001E6106"/>
    <w:rsid w:val="001F2E69"/>
    <w:rsid w:val="001F78C3"/>
    <w:rsid w:val="00200088"/>
    <w:rsid w:val="00201CEC"/>
    <w:rsid w:val="00203913"/>
    <w:rsid w:val="002102CA"/>
    <w:rsid w:val="002127A3"/>
    <w:rsid w:val="00226BE8"/>
    <w:rsid w:val="00240ED5"/>
    <w:rsid w:val="0024162F"/>
    <w:rsid w:val="002435C2"/>
    <w:rsid w:val="00246B26"/>
    <w:rsid w:val="00251599"/>
    <w:rsid w:val="002527E4"/>
    <w:rsid w:val="0027174A"/>
    <w:rsid w:val="00284846"/>
    <w:rsid w:val="002851CB"/>
    <w:rsid w:val="00285672"/>
    <w:rsid w:val="00286826"/>
    <w:rsid w:val="002906D3"/>
    <w:rsid w:val="002909C1"/>
    <w:rsid w:val="002933F2"/>
    <w:rsid w:val="00295B71"/>
    <w:rsid w:val="00296D52"/>
    <w:rsid w:val="002972DE"/>
    <w:rsid w:val="00297684"/>
    <w:rsid w:val="002A1F42"/>
    <w:rsid w:val="002A247D"/>
    <w:rsid w:val="002B1D90"/>
    <w:rsid w:val="002B2A5D"/>
    <w:rsid w:val="002B3A30"/>
    <w:rsid w:val="002B5AB6"/>
    <w:rsid w:val="002C5F31"/>
    <w:rsid w:val="002D19C8"/>
    <w:rsid w:val="002E1EF6"/>
    <w:rsid w:val="002F16DE"/>
    <w:rsid w:val="002F554F"/>
    <w:rsid w:val="00301EB2"/>
    <w:rsid w:val="003125FA"/>
    <w:rsid w:val="0032473D"/>
    <w:rsid w:val="00332D5F"/>
    <w:rsid w:val="00346133"/>
    <w:rsid w:val="003573CE"/>
    <w:rsid w:val="0036026E"/>
    <w:rsid w:val="00363209"/>
    <w:rsid w:val="00371D58"/>
    <w:rsid w:val="00383116"/>
    <w:rsid w:val="00383B87"/>
    <w:rsid w:val="00387D0F"/>
    <w:rsid w:val="0039633D"/>
    <w:rsid w:val="003A0FD0"/>
    <w:rsid w:val="003A269D"/>
    <w:rsid w:val="003A4B80"/>
    <w:rsid w:val="003B0919"/>
    <w:rsid w:val="003B71B3"/>
    <w:rsid w:val="003C0E19"/>
    <w:rsid w:val="003D0AF8"/>
    <w:rsid w:val="003E0096"/>
    <w:rsid w:val="003F0303"/>
    <w:rsid w:val="003F25AD"/>
    <w:rsid w:val="00402AEB"/>
    <w:rsid w:val="00410B0A"/>
    <w:rsid w:val="00420F3D"/>
    <w:rsid w:val="00421A47"/>
    <w:rsid w:val="00422E75"/>
    <w:rsid w:val="0043240D"/>
    <w:rsid w:val="00433765"/>
    <w:rsid w:val="004429B0"/>
    <w:rsid w:val="00446CFF"/>
    <w:rsid w:val="0045783F"/>
    <w:rsid w:val="00465953"/>
    <w:rsid w:val="00474C91"/>
    <w:rsid w:val="00476F8F"/>
    <w:rsid w:val="00481D02"/>
    <w:rsid w:val="004851F3"/>
    <w:rsid w:val="004866F8"/>
    <w:rsid w:val="004A0806"/>
    <w:rsid w:val="004A56CE"/>
    <w:rsid w:val="004A5952"/>
    <w:rsid w:val="004B198F"/>
    <w:rsid w:val="004B5793"/>
    <w:rsid w:val="004C3F92"/>
    <w:rsid w:val="004C7CED"/>
    <w:rsid w:val="004E0235"/>
    <w:rsid w:val="004E232C"/>
    <w:rsid w:val="004F0E61"/>
    <w:rsid w:val="00505262"/>
    <w:rsid w:val="00523AB1"/>
    <w:rsid w:val="00530A57"/>
    <w:rsid w:val="00532208"/>
    <w:rsid w:val="00547BA0"/>
    <w:rsid w:val="00551B41"/>
    <w:rsid w:val="0055356A"/>
    <w:rsid w:val="00565FF2"/>
    <w:rsid w:val="005704B7"/>
    <w:rsid w:val="00572879"/>
    <w:rsid w:val="00574905"/>
    <w:rsid w:val="005803B4"/>
    <w:rsid w:val="005840CC"/>
    <w:rsid w:val="00585AE2"/>
    <w:rsid w:val="00591F16"/>
    <w:rsid w:val="00592D17"/>
    <w:rsid w:val="00594BCD"/>
    <w:rsid w:val="005A7A60"/>
    <w:rsid w:val="005C56AF"/>
    <w:rsid w:val="005D5051"/>
    <w:rsid w:val="005E132B"/>
    <w:rsid w:val="005F3709"/>
    <w:rsid w:val="006014CF"/>
    <w:rsid w:val="006066C4"/>
    <w:rsid w:val="006102DB"/>
    <w:rsid w:val="00621AEC"/>
    <w:rsid w:val="00623195"/>
    <w:rsid w:val="00630C95"/>
    <w:rsid w:val="00630D2C"/>
    <w:rsid w:val="0063740C"/>
    <w:rsid w:val="00641829"/>
    <w:rsid w:val="006452FC"/>
    <w:rsid w:val="00646A20"/>
    <w:rsid w:val="00661050"/>
    <w:rsid w:val="00663FE8"/>
    <w:rsid w:val="00665A96"/>
    <w:rsid w:val="00670020"/>
    <w:rsid w:val="006855BE"/>
    <w:rsid w:val="0069346D"/>
    <w:rsid w:val="00697DC2"/>
    <w:rsid w:val="006A1AE1"/>
    <w:rsid w:val="006A5413"/>
    <w:rsid w:val="006B73BF"/>
    <w:rsid w:val="006E2ECA"/>
    <w:rsid w:val="006E753D"/>
    <w:rsid w:val="00700A73"/>
    <w:rsid w:val="00711112"/>
    <w:rsid w:val="0072748E"/>
    <w:rsid w:val="00752583"/>
    <w:rsid w:val="00754482"/>
    <w:rsid w:val="00757822"/>
    <w:rsid w:val="00762A75"/>
    <w:rsid w:val="00771E8D"/>
    <w:rsid w:val="007760C1"/>
    <w:rsid w:val="007765A7"/>
    <w:rsid w:val="007814B3"/>
    <w:rsid w:val="00794BDC"/>
    <w:rsid w:val="00795FC0"/>
    <w:rsid w:val="007B42FB"/>
    <w:rsid w:val="007B7F71"/>
    <w:rsid w:val="007C2DA7"/>
    <w:rsid w:val="007C7685"/>
    <w:rsid w:val="007D0DEF"/>
    <w:rsid w:val="007D1BF6"/>
    <w:rsid w:val="007D22CC"/>
    <w:rsid w:val="007D434D"/>
    <w:rsid w:val="00803E8C"/>
    <w:rsid w:val="0080494C"/>
    <w:rsid w:val="00815E43"/>
    <w:rsid w:val="00820205"/>
    <w:rsid w:val="00820A05"/>
    <w:rsid w:val="00822D2E"/>
    <w:rsid w:val="008303A0"/>
    <w:rsid w:val="00833CB9"/>
    <w:rsid w:val="00836D24"/>
    <w:rsid w:val="00840E5E"/>
    <w:rsid w:val="00842BB4"/>
    <w:rsid w:val="0085279C"/>
    <w:rsid w:val="00855278"/>
    <w:rsid w:val="00874A88"/>
    <w:rsid w:val="0087561D"/>
    <w:rsid w:val="00875E9A"/>
    <w:rsid w:val="0088626B"/>
    <w:rsid w:val="0089565D"/>
    <w:rsid w:val="008A7B9E"/>
    <w:rsid w:val="008B0CFF"/>
    <w:rsid w:val="008B5559"/>
    <w:rsid w:val="008C3877"/>
    <w:rsid w:val="008C767D"/>
    <w:rsid w:val="008D7F0E"/>
    <w:rsid w:val="008E149E"/>
    <w:rsid w:val="008E5387"/>
    <w:rsid w:val="008E6493"/>
    <w:rsid w:val="008F66D1"/>
    <w:rsid w:val="008F7D8F"/>
    <w:rsid w:val="00921A0F"/>
    <w:rsid w:val="00923146"/>
    <w:rsid w:val="00924957"/>
    <w:rsid w:val="00926B7A"/>
    <w:rsid w:val="00937931"/>
    <w:rsid w:val="0094711F"/>
    <w:rsid w:val="00955C05"/>
    <w:rsid w:val="00956ED3"/>
    <w:rsid w:val="009606F9"/>
    <w:rsid w:val="00970715"/>
    <w:rsid w:val="00974CCC"/>
    <w:rsid w:val="009858D8"/>
    <w:rsid w:val="009937A5"/>
    <w:rsid w:val="00993C1C"/>
    <w:rsid w:val="009962A0"/>
    <w:rsid w:val="009A52F7"/>
    <w:rsid w:val="009B79C8"/>
    <w:rsid w:val="009C34BE"/>
    <w:rsid w:val="009C498B"/>
    <w:rsid w:val="009D4E1C"/>
    <w:rsid w:val="009D7100"/>
    <w:rsid w:val="009D73CD"/>
    <w:rsid w:val="009F1B42"/>
    <w:rsid w:val="00A14D11"/>
    <w:rsid w:val="00A15BD4"/>
    <w:rsid w:val="00A16C24"/>
    <w:rsid w:val="00A21A3F"/>
    <w:rsid w:val="00A23447"/>
    <w:rsid w:val="00A27734"/>
    <w:rsid w:val="00A3126B"/>
    <w:rsid w:val="00A33C42"/>
    <w:rsid w:val="00A35B94"/>
    <w:rsid w:val="00A41352"/>
    <w:rsid w:val="00A44B5F"/>
    <w:rsid w:val="00A45D06"/>
    <w:rsid w:val="00A4614C"/>
    <w:rsid w:val="00A475C6"/>
    <w:rsid w:val="00A476C7"/>
    <w:rsid w:val="00A514FD"/>
    <w:rsid w:val="00A662AB"/>
    <w:rsid w:val="00A710EB"/>
    <w:rsid w:val="00A725CF"/>
    <w:rsid w:val="00A73CB5"/>
    <w:rsid w:val="00A92559"/>
    <w:rsid w:val="00A937E3"/>
    <w:rsid w:val="00AB211F"/>
    <w:rsid w:val="00AB4EBC"/>
    <w:rsid w:val="00AC036F"/>
    <w:rsid w:val="00AC553C"/>
    <w:rsid w:val="00AD03A9"/>
    <w:rsid w:val="00AD3FF1"/>
    <w:rsid w:val="00AD50DE"/>
    <w:rsid w:val="00AE0B24"/>
    <w:rsid w:val="00AE0E0A"/>
    <w:rsid w:val="00AE197B"/>
    <w:rsid w:val="00AF40F3"/>
    <w:rsid w:val="00AF4598"/>
    <w:rsid w:val="00AF4718"/>
    <w:rsid w:val="00AF7E3B"/>
    <w:rsid w:val="00B00BCC"/>
    <w:rsid w:val="00B00FCA"/>
    <w:rsid w:val="00B01E56"/>
    <w:rsid w:val="00B03F5A"/>
    <w:rsid w:val="00B0450B"/>
    <w:rsid w:val="00B06F3D"/>
    <w:rsid w:val="00B14BEB"/>
    <w:rsid w:val="00B21885"/>
    <w:rsid w:val="00B26F96"/>
    <w:rsid w:val="00B40F8B"/>
    <w:rsid w:val="00B502D4"/>
    <w:rsid w:val="00B51576"/>
    <w:rsid w:val="00B67C2F"/>
    <w:rsid w:val="00B855D6"/>
    <w:rsid w:val="00B92A59"/>
    <w:rsid w:val="00B93F1C"/>
    <w:rsid w:val="00BA3DD1"/>
    <w:rsid w:val="00BA4820"/>
    <w:rsid w:val="00BA5718"/>
    <w:rsid w:val="00BA6CAA"/>
    <w:rsid w:val="00BA7F67"/>
    <w:rsid w:val="00BB1697"/>
    <w:rsid w:val="00BB3368"/>
    <w:rsid w:val="00BB36C0"/>
    <w:rsid w:val="00BC0EC8"/>
    <w:rsid w:val="00BC14FC"/>
    <w:rsid w:val="00BC5DBF"/>
    <w:rsid w:val="00BC6E20"/>
    <w:rsid w:val="00BD0864"/>
    <w:rsid w:val="00BD3FCD"/>
    <w:rsid w:val="00BE2DA0"/>
    <w:rsid w:val="00BE474B"/>
    <w:rsid w:val="00BE7747"/>
    <w:rsid w:val="00BE7B1F"/>
    <w:rsid w:val="00BF1E87"/>
    <w:rsid w:val="00BF5032"/>
    <w:rsid w:val="00BF616F"/>
    <w:rsid w:val="00C00232"/>
    <w:rsid w:val="00C014F9"/>
    <w:rsid w:val="00C016FC"/>
    <w:rsid w:val="00C01B63"/>
    <w:rsid w:val="00C033E8"/>
    <w:rsid w:val="00C04E99"/>
    <w:rsid w:val="00C171D2"/>
    <w:rsid w:val="00C210E6"/>
    <w:rsid w:val="00C237AC"/>
    <w:rsid w:val="00C246F9"/>
    <w:rsid w:val="00C32667"/>
    <w:rsid w:val="00C35522"/>
    <w:rsid w:val="00C51FD1"/>
    <w:rsid w:val="00C56EC8"/>
    <w:rsid w:val="00C76474"/>
    <w:rsid w:val="00C769BE"/>
    <w:rsid w:val="00C76D78"/>
    <w:rsid w:val="00C8520D"/>
    <w:rsid w:val="00C85DEB"/>
    <w:rsid w:val="00C90536"/>
    <w:rsid w:val="00CB4E95"/>
    <w:rsid w:val="00CB67BD"/>
    <w:rsid w:val="00CC676C"/>
    <w:rsid w:val="00CC7C29"/>
    <w:rsid w:val="00CD17C5"/>
    <w:rsid w:val="00CD4E3A"/>
    <w:rsid w:val="00CD6988"/>
    <w:rsid w:val="00CE7612"/>
    <w:rsid w:val="00CF0F28"/>
    <w:rsid w:val="00CF12B9"/>
    <w:rsid w:val="00D000EE"/>
    <w:rsid w:val="00D00CA2"/>
    <w:rsid w:val="00D02950"/>
    <w:rsid w:val="00D139ED"/>
    <w:rsid w:val="00D201F4"/>
    <w:rsid w:val="00D21579"/>
    <w:rsid w:val="00D228A9"/>
    <w:rsid w:val="00D27AF6"/>
    <w:rsid w:val="00D406A3"/>
    <w:rsid w:val="00D43F95"/>
    <w:rsid w:val="00D504FB"/>
    <w:rsid w:val="00D51336"/>
    <w:rsid w:val="00D67010"/>
    <w:rsid w:val="00D92104"/>
    <w:rsid w:val="00D931CF"/>
    <w:rsid w:val="00DA6E7D"/>
    <w:rsid w:val="00DC25B0"/>
    <w:rsid w:val="00DD5D39"/>
    <w:rsid w:val="00DD783B"/>
    <w:rsid w:val="00DE1F91"/>
    <w:rsid w:val="00DE5013"/>
    <w:rsid w:val="00DF1398"/>
    <w:rsid w:val="00DF2493"/>
    <w:rsid w:val="00DF5285"/>
    <w:rsid w:val="00DF5E32"/>
    <w:rsid w:val="00E065D7"/>
    <w:rsid w:val="00E103ED"/>
    <w:rsid w:val="00E157C2"/>
    <w:rsid w:val="00E22D7C"/>
    <w:rsid w:val="00E24605"/>
    <w:rsid w:val="00E25EE1"/>
    <w:rsid w:val="00E26CCD"/>
    <w:rsid w:val="00E318AF"/>
    <w:rsid w:val="00E3789A"/>
    <w:rsid w:val="00E476F9"/>
    <w:rsid w:val="00E5313E"/>
    <w:rsid w:val="00E64BEE"/>
    <w:rsid w:val="00E7332E"/>
    <w:rsid w:val="00E7403F"/>
    <w:rsid w:val="00E76583"/>
    <w:rsid w:val="00E76E58"/>
    <w:rsid w:val="00E77F57"/>
    <w:rsid w:val="00E806B9"/>
    <w:rsid w:val="00E82D96"/>
    <w:rsid w:val="00E84F50"/>
    <w:rsid w:val="00E857F0"/>
    <w:rsid w:val="00E869D7"/>
    <w:rsid w:val="00E87801"/>
    <w:rsid w:val="00E9124E"/>
    <w:rsid w:val="00E9178F"/>
    <w:rsid w:val="00E92662"/>
    <w:rsid w:val="00E96D35"/>
    <w:rsid w:val="00EA5639"/>
    <w:rsid w:val="00EB1047"/>
    <w:rsid w:val="00EB1242"/>
    <w:rsid w:val="00EB29B6"/>
    <w:rsid w:val="00EC103C"/>
    <w:rsid w:val="00EC29EC"/>
    <w:rsid w:val="00EC4445"/>
    <w:rsid w:val="00ED4469"/>
    <w:rsid w:val="00EF006C"/>
    <w:rsid w:val="00EF329D"/>
    <w:rsid w:val="00F00F68"/>
    <w:rsid w:val="00F01B6A"/>
    <w:rsid w:val="00F064D7"/>
    <w:rsid w:val="00F107C6"/>
    <w:rsid w:val="00F14ED0"/>
    <w:rsid w:val="00F200B7"/>
    <w:rsid w:val="00F20927"/>
    <w:rsid w:val="00F24FA0"/>
    <w:rsid w:val="00F26704"/>
    <w:rsid w:val="00F327B7"/>
    <w:rsid w:val="00F33224"/>
    <w:rsid w:val="00F37FE6"/>
    <w:rsid w:val="00F4374F"/>
    <w:rsid w:val="00F516CC"/>
    <w:rsid w:val="00F551BC"/>
    <w:rsid w:val="00F57738"/>
    <w:rsid w:val="00F6242C"/>
    <w:rsid w:val="00F67DBA"/>
    <w:rsid w:val="00F75FB4"/>
    <w:rsid w:val="00F8042F"/>
    <w:rsid w:val="00F832C6"/>
    <w:rsid w:val="00F832F5"/>
    <w:rsid w:val="00F861B3"/>
    <w:rsid w:val="00F87C00"/>
    <w:rsid w:val="00F96714"/>
    <w:rsid w:val="00FA2683"/>
    <w:rsid w:val="00FA2AD0"/>
    <w:rsid w:val="00FA5044"/>
    <w:rsid w:val="00FA5626"/>
    <w:rsid w:val="00FB44C7"/>
    <w:rsid w:val="00FB668C"/>
    <w:rsid w:val="00FC13C8"/>
    <w:rsid w:val="00FC2020"/>
    <w:rsid w:val="00FC4D98"/>
    <w:rsid w:val="00FC7A32"/>
    <w:rsid w:val="00FD0F14"/>
    <w:rsid w:val="00FD139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1D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1D90"/>
  </w:style>
  <w:style w:type="paragraph" w:styleId="Footer">
    <w:name w:val="footer"/>
    <w:basedOn w:val="Normal"/>
    <w:link w:val="FooterChar"/>
    <w:uiPriority w:val="99"/>
    <w:unhideWhenUsed/>
    <w:rsid w:val="002B1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D90"/>
  </w:style>
  <w:style w:type="paragraph" w:styleId="FootnoteText">
    <w:name w:val="footnote text"/>
    <w:basedOn w:val="Normal"/>
    <w:link w:val="FootnoteTextChar"/>
    <w:semiHidden/>
    <w:unhideWhenUsed/>
    <w:rsid w:val="002B1D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1D90"/>
    <w:rPr>
      <w:sz w:val="20"/>
      <w:szCs w:val="20"/>
    </w:rPr>
  </w:style>
  <w:style w:type="character" w:styleId="FootnoteReference">
    <w:name w:val="footnote reference"/>
    <w:basedOn w:val="DefaultParagraphFont"/>
    <w:semiHidden/>
    <w:unhideWhenUsed/>
    <w:rsid w:val="002B1D90"/>
    <w:rPr>
      <w:vertAlign w:val="superscript"/>
    </w:rPr>
  </w:style>
  <w:style w:type="paragraph" w:styleId="ListParagraph">
    <w:name w:val="List Paragraph"/>
    <w:basedOn w:val="Normal"/>
    <w:uiPriority w:val="34"/>
    <w:qFormat/>
    <w:rsid w:val="00572879"/>
    <w:pPr>
      <w:ind w:left="720"/>
      <w:contextualSpacing/>
    </w:pPr>
  </w:style>
  <w:style w:type="paragraph" w:styleId="BalloonText">
    <w:name w:val="Balloon Text"/>
    <w:basedOn w:val="Normal"/>
    <w:link w:val="BalloonTextChar"/>
    <w:uiPriority w:val="99"/>
    <w:semiHidden/>
    <w:unhideWhenUsed/>
    <w:rsid w:val="008B5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559"/>
    <w:rPr>
      <w:rFonts w:ascii="Tahoma" w:hAnsi="Tahoma" w:cs="Tahoma"/>
      <w:sz w:val="16"/>
      <w:szCs w:val="16"/>
    </w:rPr>
  </w:style>
  <w:style w:type="character" w:styleId="PlaceholderText">
    <w:name w:val="Placeholder Text"/>
    <w:basedOn w:val="DefaultParagraphFont"/>
    <w:uiPriority w:val="99"/>
    <w:semiHidden/>
    <w:rsid w:val="00DA6E7D"/>
    <w:rPr>
      <w:color w:val="808080"/>
    </w:rPr>
  </w:style>
  <w:style w:type="character" w:styleId="HTMLTypewriter">
    <w:name w:val="HTML Typewriter"/>
    <w:basedOn w:val="DefaultParagraphFont"/>
    <w:uiPriority w:val="99"/>
    <w:semiHidden/>
    <w:unhideWhenUsed/>
    <w:rsid w:val="007814B3"/>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9937A5"/>
    <w:rPr>
      <w:sz w:val="16"/>
      <w:szCs w:val="16"/>
    </w:rPr>
  </w:style>
  <w:style w:type="paragraph" w:styleId="CommentText">
    <w:name w:val="annotation text"/>
    <w:basedOn w:val="Normal"/>
    <w:link w:val="CommentTextChar"/>
    <w:uiPriority w:val="99"/>
    <w:semiHidden/>
    <w:unhideWhenUsed/>
    <w:rsid w:val="009937A5"/>
    <w:pPr>
      <w:spacing w:line="240" w:lineRule="auto"/>
    </w:pPr>
    <w:rPr>
      <w:sz w:val="20"/>
      <w:szCs w:val="20"/>
    </w:rPr>
  </w:style>
  <w:style w:type="character" w:customStyle="1" w:styleId="CommentTextChar">
    <w:name w:val="Comment Text Char"/>
    <w:basedOn w:val="DefaultParagraphFont"/>
    <w:link w:val="CommentText"/>
    <w:uiPriority w:val="99"/>
    <w:semiHidden/>
    <w:rsid w:val="009937A5"/>
    <w:rPr>
      <w:sz w:val="20"/>
      <w:szCs w:val="20"/>
    </w:rPr>
  </w:style>
  <w:style w:type="paragraph" w:styleId="CommentSubject">
    <w:name w:val="annotation subject"/>
    <w:basedOn w:val="CommentText"/>
    <w:next w:val="CommentText"/>
    <w:link w:val="CommentSubjectChar"/>
    <w:uiPriority w:val="99"/>
    <w:semiHidden/>
    <w:unhideWhenUsed/>
    <w:rsid w:val="009937A5"/>
    <w:rPr>
      <w:b/>
      <w:bCs/>
    </w:rPr>
  </w:style>
  <w:style w:type="character" w:customStyle="1" w:styleId="CommentSubjectChar">
    <w:name w:val="Comment Subject Char"/>
    <w:basedOn w:val="CommentTextChar"/>
    <w:link w:val="CommentSubject"/>
    <w:uiPriority w:val="99"/>
    <w:semiHidden/>
    <w:rsid w:val="009937A5"/>
    <w:rPr>
      <w:b/>
      <w:bCs/>
    </w:rPr>
  </w:style>
  <w:style w:type="character" w:styleId="Hyperlink">
    <w:name w:val="Hyperlink"/>
    <w:basedOn w:val="DefaultParagraphFont"/>
    <w:uiPriority w:val="99"/>
    <w:unhideWhenUsed/>
    <w:rsid w:val="0032473D"/>
    <w:rPr>
      <w:color w:val="0000FF" w:themeColor="hyperlink"/>
      <w:u w:val="single"/>
    </w:rPr>
  </w:style>
  <w:style w:type="paragraph" w:styleId="PlainText">
    <w:name w:val="Plain Text"/>
    <w:basedOn w:val="Normal"/>
    <w:link w:val="PlainTextChar"/>
    <w:semiHidden/>
    <w:rsid w:val="00EC103C"/>
    <w:pPr>
      <w:spacing w:after="0" w:line="240" w:lineRule="auto"/>
    </w:pPr>
    <w:rPr>
      <w:rFonts w:ascii="Courier New" w:eastAsia="Times New Roman" w:hAnsi="Courier New" w:cs="Times New Roman"/>
      <w:sz w:val="20"/>
      <w:szCs w:val="20"/>
      <w:lang w:val="en-NZ"/>
    </w:rPr>
  </w:style>
  <w:style w:type="character" w:customStyle="1" w:styleId="PlainTextChar">
    <w:name w:val="Plain Text Char"/>
    <w:basedOn w:val="DefaultParagraphFont"/>
    <w:link w:val="PlainText"/>
    <w:semiHidden/>
    <w:rsid w:val="00EC103C"/>
    <w:rPr>
      <w:rFonts w:ascii="Courier New" w:eastAsia="Times New Roman" w:hAnsi="Courier New" w:cs="Times New Roman"/>
      <w:sz w:val="20"/>
      <w:szCs w:val="20"/>
      <w:lang w:val="en-NZ"/>
    </w:rPr>
  </w:style>
  <w:style w:type="paragraph" w:styleId="NormalWeb">
    <w:name w:val="Normal (Web)"/>
    <w:basedOn w:val="Normal"/>
    <w:rsid w:val="00EC103C"/>
    <w:pPr>
      <w:spacing w:before="100" w:beforeAutospacing="1" w:after="100" w:afterAutospacing="1" w:line="240" w:lineRule="auto"/>
    </w:pPr>
    <w:rPr>
      <w:rFonts w:ascii="Times New Roman" w:eastAsia="SimSun" w:hAnsi="Times New Roman" w:cs="Times New Roman"/>
      <w:sz w:val="24"/>
      <w:szCs w:val="24"/>
      <w:lang w:val="en-GB" w:eastAsia="en-GB"/>
    </w:rPr>
  </w:style>
  <w:style w:type="paragraph" w:customStyle="1" w:styleId="Default">
    <w:name w:val="Default"/>
    <w:rsid w:val="00EC10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EC103C"/>
    <w:pPr>
      <w:widowControl w:val="0"/>
      <w:tabs>
        <w:tab w:val="center" w:pos="5040"/>
      </w:tabs>
      <w:spacing w:after="0" w:line="240" w:lineRule="auto"/>
      <w:jc w:val="center"/>
    </w:pPr>
    <w:rPr>
      <w:rFonts w:ascii="CG Times" w:eastAsia="Times New Roman" w:hAnsi="CG Times" w:cs="Times New Roman"/>
      <w:b/>
      <w:snapToGrid w:val="0"/>
      <w:sz w:val="56"/>
      <w:szCs w:val="20"/>
    </w:rPr>
  </w:style>
  <w:style w:type="character" w:customStyle="1" w:styleId="TitleChar">
    <w:name w:val="Title Char"/>
    <w:basedOn w:val="DefaultParagraphFont"/>
    <w:link w:val="Title"/>
    <w:rsid w:val="00EC103C"/>
    <w:rPr>
      <w:rFonts w:ascii="CG Times" w:eastAsia="Times New Roman" w:hAnsi="CG Times" w:cs="Times New Roman"/>
      <w:b/>
      <w:snapToGrid w:val="0"/>
      <w:sz w:val="56"/>
      <w:szCs w:val="20"/>
    </w:rPr>
  </w:style>
  <w:style w:type="paragraph" w:customStyle="1" w:styleId="CM1">
    <w:name w:val="CM1"/>
    <w:basedOn w:val="Default"/>
    <w:next w:val="Default"/>
    <w:rsid w:val="00EC103C"/>
    <w:pPr>
      <w:widowControl w:val="0"/>
      <w:spacing w:line="323" w:lineRule="atLeast"/>
    </w:pPr>
    <w:rPr>
      <w:rFonts w:eastAsia="Times New Roman"/>
      <w:color w:val="auto"/>
    </w:rPr>
  </w:style>
  <w:style w:type="paragraph" w:customStyle="1" w:styleId="CM20">
    <w:name w:val="CM20"/>
    <w:basedOn w:val="Default"/>
    <w:next w:val="Default"/>
    <w:rsid w:val="00EC103C"/>
    <w:pPr>
      <w:widowControl w:val="0"/>
      <w:spacing w:after="1503"/>
    </w:pPr>
    <w:rPr>
      <w:rFonts w:eastAsia="Times New Roman"/>
      <w:color w:val="auto"/>
    </w:rPr>
  </w:style>
  <w:style w:type="paragraph" w:customStyle="1" w:styleId="CM3">
    <w:name w:val="CM3"/>
    <w:basedOn w:val="Default"/>
    <w:next w:val="Default"/>
    <w:rsid w:val="00EC103C"/>
    <w:pPr>
      <w:widowControl w:val="0"/>
    </w:pPr>
    <w:rPr>
      <w:rFonts w:eastAsia="Times New Roman"/>
      <w:color w:val="auto"/>
    </w:rPr>
  </w:style>
  <w:style w:type="paragraph" w:customStyle="1" w:styleId="CM21">
    <w:name w:val="CM21"/>
    <w:basedOn w:val="Default"/>
    <w:next w:val="Default"/>
    <w:rsid w:val="00EC103C"/>
    <w:pPr>
      <w:widowControl w:val="0"/>
      <w:spacing w:after="513"/>
    </w:pPr>
    <w:rPr>
      <w:rFonts w:eastAsia="Times New Roman"/>
      <w:color w:val="auto"/>
    </w:rPr>
  </w:style>
  <w:style w:type="paragraph" w:customStyle="1" w:styleId="CM22">
    <w:name w:val="CM22"/>
    <w:basedOn w:val="Default"/>
    <w:next w:val="Default"/>
    <w:rsid w:val="00EC103C"/>
    <w:pPr>
      <w:widowControl w:val="0"/>
      <w:spacing w:after="65"/>
    </w:pPr>
    <w:rPr>
      <w:rFonts w:eastAsia="Times New Roman"/>
      <w:color w:val="auto"/>
    </w:rPr>
  </w:style>
  <w:style w:type="paragraph" w:customStyle="1" w:styleId="CM4">
    <w:name w:val="CM4"/>
    <w:basedOn w:val="Default"/>
    <w:next w:val="Default"/>
    <w:rsid w:val="00EC103C"/>
    <w:pPr>
      <w:widowControl w:val="0"/>
      <w:spacing w:line="253" w:lineRule="atLeast"/>
    </w:pPr>
    <w:rPr>
      <w:rFonts w:eastAsia="Times New Roman"/>
      <w:color w:val="auto"/>
    </w:rPr>
  </w:style>
  <w:style w:type="paragraph" w:customStyle="1" w:styleId="CM23">
    <w:name w:val="CM23"/>
    <w:basedOn w:val="Default"/>
    <w:next w:val="Default"/>
    <w:rsid w:val="00EC103C"/>
    <w:pPr>
      <w:widowControl w:val="0"/>
      <w:spacing w:after="233"/>
    </w:pPr>
    <w:rPr>
      <w:rFonts w:eastAsia="Times New Roman"/>
      <w:color w:val="auto"/>
    </w:rPr>
  </w:style>
  <w:style w:type="paragraph" w:customStyle="1" w:styleId="CM6">
    <w:name w:val="CM6"/>
    <w:basedOn w:val="Default"/>
    <w:next w:val="Default"/>
    <w:rsid w:val="00EC103C"/>
    <w:pPr>
      <w:widowControl w:val="0"/>
      <w:spacing w:line="413" w:lineRule="atLeast"/>
    </w:pPr>
    <w:rPr>
      <w:rFonts w:eastAsia="Times New Roman"/>
      <w:color w:val="auto"/>
    </w:rPr>
  </w:style>
  <w:style w:type="paragraph" w:customStyle="1" w:styleId="CM7">
    <w:name w:val="CM7"/>
    <w:basedOn w:val="Default"/>
    <w:next w:val="Default"/>
    <w:rsid w:val="00EC103C"/>
    <w:pPr>
      <w:widowControl w:val="0"/>
      <w:spacing w:line="276" w:lineRule="atLeast"/>
    </w:pPr>
    <w:rPr>
      <w:rFonts w:eastAsia="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er.org/confer/2010/ADSs10/Nyark0.pdf" TargetMode="External"/><Relationship Id="rId13" Type="http://schemas.openxmlformats.org/officeDocument/2006/relationships/image" Target="media/image3.wmf"/><Relationship Id="rId18" Type="http://schemas.openxmlformats.org/officeDocument/2006/relationships/image" Target="media/image8.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fricaalmanac.com/top20highschools.html" TargetMode="Externa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A5162-7F55-40A5-AC51-12D215312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38</Pages>
  <Words>13752</Words>
  <Characters>78389</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91958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dmckenzie</dc:creator>
  <cp:lastModifiedBy>Brian Silverstone</cp:lastModifiedBy>
  <cp:revision>9</cp:revision>
  <cp:lastPrinted>2010-08-02T11:14:00Z</cp:lastPrinted>
  <dcterms:created xsi:type="dcterms:W3CDTF">2010-08-05T00:40:00Z</dcterms:created>
  <dcterms:modified xsi:type="dcterms:W3CDTF">2010-08-05T01:38:00Z</dcterms:modified>
</cp:coreProperties>
</file>