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22" w:rsidRPr="00F8146D" w:rsidRDefault="00C14C22" w:rsidP="00C14C22">
      <w:pPr>
        <w:spacing w:line="300" w:lineRule="auto"/>
        <w:jc w:val="both"/>
        <w:rPr>
          <w:color w:val="000000"/>
        </w:rPr>
      </w:pPr>
    </w:p>
    <w:p w:rsidR="00520756" w:rsidRDefault="00520756" w:rsidP="00C14C22">
      <w:pPr>
        <w:pStyle w:val="PlainText"/>
        <w:tabs>
          <w:tab w:val="left" w:pos="284"/>
        </w:tabs>
        <w:jc w:val="center"/>
        <w:rPr>
          <w:rFonts w:ascii="Times New Roman" w:hAnsi="Times New Roman"/>
          <w:b/>
          <w:sz w:val="28"/>
        </w:rPr>
      </w:pPr>
    </w:p>
    <w:p w:rsidR="00520756" w:rsidRDefault="00520756" w:rsidP="00C14C22">
      <w:pPr>
        <w:pStyle w:val="PlainText"/>
        <w:tabs>
          <w:tab w:val="left" w:pos="284"/>
        </w:tabs>
        <w:jc w:val="center"/>
        <w:rPr>
          <w:rFonts w:ascii="Times New Roman" w:hAnsi="Times New Roman"/>
          <w:b/>
          <w:sz w:val="28"/>
        </w:rPr>
      </w:pPr>
    </w:p>
    <w:p w:rsidR="00147850" w:rsidRDefault="00147850" w:rsidP="00C14C22">
      <w:pPr>
        <w:pStyle w:val="PlainText"/>
        <w:tabs>
          <w:tab w:val="left" w:pos="284"/>
        </w:tabs>
        <w:jc w:val="center"/>
        <w:rPr>
          <w:rFonts w:ascii="Times New Roman" w:hAnsi="Times New Roman"/>
          <w:b/>
          <w:sz w:val="28"/>
        </w:rPr>
      </w:pPr>
    </w:p>
    <w:p w:rsidR="00147850" w:rsidRDefault="00147850" w:rsidP="00C14C22">
      <w:pPr>
        <w:pStyle w:val="PlainText"/>
        <w:tabs>
          <w:tab w:val="left" w:pos="284"/>
        </w:tabs>
        <w:jc w:val="center"/>
        <w:rPr>
          <w:rFonts w:ascii="Times New Roman" w:hAnsi="Times New Roman"/>
          <w:b/>
          <w:sz w:val="28"/>
        </w:rPr>
      </w:pPr>
    </w:p>
    <w:p w:rsidR="00C14C22" w:rsidRDefault="00C14C22" w:rsidP="00C14C22">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C14C22" w:rsidRDefault="00C14C22" w:rsidP="00C14C22">
      <w:pPr>
        <w:pStyle w:val="PlainText"/>
        <w:tabs>
          <w:tab w:val="left" w:pos="284"/>
        </w:tabs>
        <w:jc w:val="center"/>
        <w:rPr>
          <w:rFonts w:ascii="Times New Roman" w:hAnsi="Times New Roman"/>
          <w:b/>
          <w:sz w:val="28"/>
        </w:rPr>
      </w:pPr>
    </w:p>
    <w:p w:rsidR="00C14C22" w:rsidRDefault="00C14C22" w:rsidP="00C14C22">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C14C22" w:rsidRDefault="00C14C22" w:rsidP="00C14C22">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C14C22" w:rsidRDefault="00C14C22" w:rsidP="00C14C22">
      <w:pPr>
        <w:pStyle w:val="PlainText"/>
        <w:tabs>
          <w:tab w:val="left" w:pos="284"/>
        </w:tabs>
        <w:jc w:val="center"/>
        <w:rPr>
          <w:rFonts w:ascii="Times New Roman" w:hAnsi="Times New Roman"/>
          <w:b/>
          <w:sz w:val="28"/>
        </w:rPr>
      </w:pPr>
    </w:p>
    <w:p w:rsidR="00C14C22" w:rsidRDefault="00C14C22" w:rsidP="00C14C22">
      <w:pPr>
        <w:pStyle w:val="PlainText"/>
        <w:tabs>
          <w:tab w:val="left" w:pos="284"/>
        </w:tabs>
        <w:jc w:val="center"/>
        <w:rPr>
          <w:rFonts w:ascii="Times New Roman" w:hAnsi="Times New Roman"/>
          <w:b/>
          <w:sz w:val="28"/>
        </w:rPr>
      </w:pPr>
    </w:p>
    <w:p w:rsidR="00C14C22" w:rsidRPr="005804D1" w:rsidRDefault="00C14C22" w:rsidP="00C14C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C14C22" w:rsidRDefault="00C14C22" w:rsidP="00C14C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r>
        <w:rPr>
          <w:rFonts w:ascii="Times New Roman" w:hAnsi="Times New Roman"/>
          <w:b/>
          <w:sz w:val="28"/>
          <w:szCs w:val="28"/>
          <w:lang w:val="en-NZ"/>
        </w:rPr>
        <w:t>Rising Regional Income Inequality in China:</w:t>
      </w:r>
    </w:p>
    <w:p w:rsidR="00C14C22" w:rsidRDefault="00C14C22" w:rsidP="00C14C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proofErr w:type="gramStart"/>
      <w:r>
        <w:rPr>
          <w:rFonts w:ascii="Times New Roman" w:hAnsi="Times New Roman"/>
          <w:b/>
          <w:sz w:val="28"/>
          <w:szCs w:val="28"/>
          <w:lang w:val="en-NZ"/>
        </w:rPr>
        <w:t>Fact or Artefact?</w:t>
      </w:r>
      <w:proofErr w:type="gramEnd"/>
    </w:p>
    <w:p w:rsidR="00C14C22" w:rsidRPr="00BD1746" w:rsidRDefault="00C14C22" w:rsidP="00C14C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lang w:val="en-NZ"/>
        </w:rPr>
      </w:pPr>
      <w:r>
        <w:rPr>
          <w:rFonts w:ascii="Times New Roman" w:hAnsi="Times New Roman"/>
          <w:b/>
          <w:sz w:val="28"/>
          <w:szCs w:val="28"/>
          <w:lang w:val="en-NZ"/>
        </w:rPr>
        <w:t xml:space="preserve"> </w:t>
      </w:r>
    </w:p>
    <w:p w:rsidR="00C14C22" w:rsidRDefault="00C14C22" w:rsidP="00C14C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Chao Li and John Gibson </w:t>
      </w:r>
    </w:p>
    <w:p w:rsidR="00C14C22" w:rsidRDefault="00C14C22" w:rsidP="00C14C2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C14C22" w:rsidRDefault="00C14C22" w:rsidP="00C14C22">
      <w:pPr>
        <w:pStyle w:val="PlainText"/>
        <w:tabs>
          <w:tab w:val="left" w:pos="284"/>
        </w:tabs>
        <w:jc w:val="both"/>
        <w:rPr>
          <w:rFonts w:ascii="Times New Roman" w:hAnsi="Times New Roman"/>
          <w:b/>
          <w:sz w:val="28"/>
        </w:rPr>
      </w:pPr>
    </w:p>
    <w:p w:rsidR="00C14C22" w:rsidRDefault="00C14C22" w:rsidP="00C14C22">
      <w:pPr>
        <w:pStyle w:val="PlainText"/>
        <w:tabs>
          <w:tab w:val="left" w:pos="284"/>
        </w:tabs>
        <w:jc w:val="both"/>
        <w:rPr>
          <w:rFonts w:ascii="Times New Roman" w:hAnsi="Times New Roman"/>
          <w:b/>
          <w:sz w:val="28"/>
        </w:rPr>
      </w:pPr>
    </w:p>
    <w:p w:rsidR="00C14C22" w:rsidRDefault="00C14C22" w:rsidP="00C14C22">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C14C22" w:rsidRDefault="00C14C22" w:rsidP="00C14C22">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w:t>
      </w:r>
      <w:r w:rsidR="00520756">
        <w:rPr>
          <w:rFonts w:ascii="Times New Roman" w:hAnsi="Times New Roman"/>
          <w:b/>
          <w:bCs/>
          <w:sz w:val="28"/>
        </w:rPr>
        <w:t>aper in Economics 09/12</w:t>
      </w:r>
    </w:p>
    <w:p w:rsidR="00C14C22" w:rsidRDefault="00520756" w:rsidP="00C14C22">
      <w:pPr>
        <w:pStyle w:val="PlainText"/>
        <w:tabs>
          <w:tab w:val="left" w:pos="284"/>
        </w:tabs>
        <w:spacing w:before="100" w:line="360" w:lineRule="auto"/>
        <w:jc w:val="center"/>
        <w:rPr>
          <w:rFonts w:ascii="Times New Roman" w:hAnsi="Times New Roman"/>
          <w:sz w:val="28"/>
        </w:rPr>
      </w:pPr>
      <w:r>
        <w:rPr>
          <w:rFonts w:ascii="Times New Roman" w:hAnsi="Times New Roman"/>
          <w:sz w:val="28"/>
        </w:rPr>
        <w:t>July 2012</w:t>
      </w:r>
    </w:p>
    <w:p w:rsidR="00C14C22" w:rsidRDefault="00C14C22" w:rsidP="00C14C22">
      <w:pPr>
        <w:pStyle w:val="PlainText"/>
        <w:tabs>
          <w:tab w:val="left" w:pos="284"/>
        </w:tabs>
        <w:spacing w:before="100" w:line="360" w:lineRule="auto"/>
        <w:jc w:val="center"/>
        <w:rPr>
          <w:rFonts w:ascii="Times New Roman" w:hAnsi="Times New Roman"/>
          <w:sz w:val="28"/>
        </w:rPr>
      </w:pPr>
    </w:p>
    <w:tbl>
      <w:tblPr>
        <w:tblW w:w="0" w:type="auto"/>
        <w:tblLook w:val="04A0"/>
      </w:tblPr>
      <w:tblGrid>
        <w:gridCol w:w="4621"/>
        <w:gridCol w:w="4621"/>
      </w:tblGrid>
      <w:tr w:rsidR="00C14C22" w:rsidRPr="00AF2BCD" w:rsidTr="00520756">
        <w:tc>
          <w:tcPr>
            <w:tcW w:w="4621" w:type="dxa"/>
          </w:tcPr>
          <w:p w:rsidR="00C14C22" w:rsidRPr="00F11504" w:rsidRDefault="00C14C22" w:rsidP="00520756">
            <w:pPr>
              <w:pStyle w:val="CM4"/>
              <w:spacing w:line="240" w:lineRule="auto"/>
              <w:jc w:val="center"/>
              <w:rPr>
                <w:b/>
                <w:bCs/>
                <w:i/>
                <w:sz w:val="22"/>
                <w:szCs w:val="22"/>
              </w:rPr>
            </w:pPr>
            <w:r w:rsidRPr="00F11504">
              <w:rPr>
                <w:b/>
                <w:bCs/>
                <w:i/>
                <w:sz w:val="22"/>
                <w:szCs w:val="22"/>
              </w:rPr>
              <w:t>Corresponding Author</w:t>
            </w:r>
          </w:p>
          <w:p w:rsidR="00C14C22" w:rsidRPr="00F11504" w:rsidRDefault="00C14C22" w:rsidP="00520756">
            <w:pPr>
              <w:pStyle w:val="CM4"/>
              <w:spacing w:line="240" w:lineRule="auto"/>
              <w:jc w:val="center"/>
              <w:rPr>
                <w:b/>
                <w:bCs/>
                <w:sz w:val="8"/>
                <w:szCs w:val="8"/>
              </w:rPr>
            </w:pPr>
          </w:p>
          <w:p w:rsidR="00C14C22" w:rsidRPr="00976543" w:rsidRDefault="00C14C22" w:rsidP="00520756">
            <w:pPr>
              <w:pStyle w:val="CM4"/>
              <w:spacing w:line="240" w:lineRule="auto"/>
              <w:jc w:val="center"/>
            </w:pPr>
            <w:r>
              <w:rPr>
                <w:b/>
                <w:bCs/>
              </w:rPr>
              <w:t>John Gibson</w:t>
            </w:r>
          </w:p>
          <w:p w:rsidR="00C14C22" w:rsidRPr="00F11504" w:rsidRDefault="00C14C22" w:rsidP="00520756">
            <w:pPr>
              <w:pStyle w:val="CM23"/>
              <w:spacing w:after="0"/>
              <w:jc w:val="center"/>
              <w:rPr>
                <w:sz w:val="12"/>
                <w:szCs w:val="12"/>
              </w:rPr>
            </w:pPr>
          </w:p>
          <w:p w:rsidR="00C14C22" w:rsidRPr="00976543" w:rsidRDefault="00C14C22" w:rsidP="00520756">
            <w:pPr>
              <w:pStyle w:val="CM23"/>
              <w:spacing w:after="0"/>
              <w:jc w:val="center"/>
            </w:pPr>
            <w:r>
              <w:t>Economics Department</w:t>
            </w:r>
          </w:p>
          <w:p w:rsidR="00C14C22" w:rsidRDefault="00C14C22" w:rsidP="00520756">
            <w:pPr>
              <w:pStyle w:val="CM23"/>
              <w:spacing w:after="0"/>
              <w:jc w:val="center"/>
            </w:pPr>
            <w:r w:rsidRPr="00976543">
              <w:t>University of Waikato</w:t>
            </w:r>
          </w:p>
          <w:p w:rsidR="00C14C22" w:rsidRDefault="00C14C22" w:rsidP="00520756">
            <w:pPr>
              <w:pStyle w:val="CM23"/>
              <w:spacing w:after="0"/>
              <w:jc w:val="center"/>
            </w:pPr>
            <w:r w:rsidRPr="00976543">
              <w:t>Private Bag 3105</w:t>
            </w:r>
          </w:p>
          <w:p w:rsidR="00C14C22" w:rsidRPr="00976543" w:rsidRDefault="00C14C22" w:rsidP="00520756">
            <w:pPr>
              <w:pStyle w:val="CM23"/>
              <w:spacing w:after="0"/>
              <w:jc w:val="center"/>
            </w:pPr>
            <w:r w:rsidRPr="00976543">
              <w:t xml:space="preserve">Hamilton, New Zealand </w:t>
            </w:r>
          </w:p>
          <w:p w:rsidR="00C14C22" w:rsidRPr="00976543" w:rsidRDefault="00C14C22" w:rsidP="00520756">
            <w:pPr>
              <w:pStyle w:val="Default"/>
            </w:pPr>
          </w:p>
          <w:p w:rsidR="00C14C22" w:rsidRPr="00976543" w:rsidRDefault="00C14C22" w:rsidP="00520756">
            <w:pPr>
              <w:pStyle w:val="Default"/>
              <w:jc w:val="center"/>
            </w:pPr>
            <w:r w:rsidRPr="00976543">
              <w:t>Tel: +64 (7) 838 4045</w:t>
            </w:r>
          </w:p>
          <w:p w:rsidR="00C14C22" w:rsidRPr="00F11504" w:rsidRDefault="00C14C22" w:rsidP="00520756">
            <w:pPr>
              <w:pStyle w:val="CM3"/>
              <w:jc w:val="center"/>
              <w:rPr>
                <w:bCs/>
                <w:sz w:val="12"/>
                <w:szCs w:val="12"/>
              </w:rPr>
            </w:pPr>
          </w:p>
          <w:p w:rsidR="00C14C22" w:rsidRPr="00F11504" w:rsidRDefault="00C14C22" w:rsidP="00520756">
            <w:pPr>
              <w:pStyle w:val="CM3"/>
              <w:jc w:val="center"/>
              <w:rPr>
                <w:bCs/>
              </w:rPr>
            </w:pPr>
            <w:r>
              <w:rPr>
                <w:bCs/>
              </w:rPr>
              <w:t>Email: jkgibson</w:t>
            </w:r>
            <w:r w:rsidRPr="00F11504">
              <w:rPr>
                <w:bCs/>
              </w:rPr>
              <w:t>@waikato.ac.nz</w:t>
            </w:r>
          </w:p>
          <w:p w:rsidR="00C14C22" w:rsidRDefault="00C14C22" w:rsidP="00520756">
            <w:pPr>
              <w:pStyle w:val="Default"/>
              <w:jc w:val="center"/>
            </w:pPr>
          </w:p>
        </w:tc>
        <w:tc>
          <w:tcPr>
            <w:tcW w:w="4621" w:type="dxa"/>
          </w:tcPr>
          <w:p w:rsidR="00C14C22" w:rsidRPr="00F11504" w:rsidRDefault="00C14C22" w:rsidP="00520756">
            <w:pPr>
              <w:pStyle w:val="Default"/>
              <w:jc w:val="center"/>
              <w:rPr>
                <w:b/>
              </w:rPr>
            </w:pPr>
          </w:p>
          <w:p w:rsidR="00C14C22" w:rsidRPr="00012426" w:rsidRDefault="00C14C22" w:rsidP="00520756">
            <w:pPr>
              <w:pStyle w:val="CM23"/>
              <w:spacing w:after="0"/>
              <w:jc w:val="center"/>
              <w:rPr>
                <w:b/>
              </w:rPr>
            </w:pPr>
            <w:r>
              <w:rPr>
                <w:b/>
              </w:rPr>
              <w:t>Chao Li</w:t>
            </w:r>
          </w:p>
          <w:p w:rsidR="00C14C22" w:rsidRPr="00012426" w:rsidRDefault="00C14C22" w:rsidP="00520756">
            <w:pPr>
              <w:pStyle w:val="CM23"/>
              <w:spacing w:after="0"/>
              <w:jc w:val="center"/>
              <w:rPr>
                <w:sz w:val="12"/>
                <w:szCs w:val="12"/>
              </w:rPr>
            </w:pPr>
          </w:p>
          <w:p w:rsidR="00C14C22" w:rsidRPr="00544CAB" w:rsidRDefault="00C14C22" w:rsidP="00520756">
            <w:pPr>
              <w:pStyle w:val="CM23"/>
              <w:spacing w:after="0"/>
              <w:jc w:val="center"/>
            </w:pPr>
            <w:r w:rsidRPr="00544CAB">
              <w:t>Economics Department</w:t>
            </w:r>
          </w:p>
          <w:p w:rsidR="00C14C22" w:rsidRDefault="00C14C22" w:rsidP="00C14C22">
            <w:pPr>
              <w:pStyle w:val="CM23"/>
              <w:spacing w:after="0"/>
              <w:jc w:val="center"/>
            </w:pPr>
            <w:r w:rsidRPr="00976543">
              <w:t>University of Waikato</w:t>
            </w:r>
          </w:p>
          <w:p w:rsidR="00C14C22" w:rsidRDefault="00C14C22" w:rsidP="00C14C22">
            <w:pPr>
              <w:pStyle w:val="CM23"/>
              <w:spacing w:after="0"/>
              <w:jc w:val="center"/>
            </w:pPr>
            <w:r w:rsidRPr="00976543">
              <w:t>Private Bag 3105</w:t>
            </w:r>
          </w:p>
          <w:p w:rsidR="00C14C22" w:rsidRPr="00976543" w:rsidRDefault="00C14C22" w:rsidP="00C14C22">
            <w:pPr>
              <w:pStyle w:val="CM23"/>
              <w:spacing w:after="0"/>
              <w:jc w:val="center"/>
            </w:pPr>
            <w:r w:rsidRPr="00976543">
              <w:t xml:space="preserve">Hamilton, New Zealand </w:t>
            </w:r>
          </w:p>
          <w:p w:rsidR="00C14C22" w:rsidRPr="00544CAB" w:rsidRDefault="00C14C22" w:rsidP="00520756">
            <w:pPr>
              <w:pStyle w:val="CM3"/>
              <w:jc w:val="center"/>
              <w:rPr>
                <w:bCs/>
              </w:rPr>
            </w:pPr>
          </w:p>
          <w:p w:rsidR="00520756" w:rsidRPr="00147850" w:rsidRDefault="00520756" w:rsidP="00520756">
            <w:pPr>
              <w:pStyle w:val="CM3"/>
              <w:jc w:val="center"/>
              <w:rPr>
                <w:bCs/>
                <w:color w:val="000000" w:themeColor="text1"/>
              </w:rPr>
            </w:pPr>
            <w:r>
              <w:rPr>
                <w:bCs/>
              </w:rPr>
              <w:t xml:space="preserve">Email: </w:t>
            </w:r>
            <w:hyperlink r:id="rId8" w:history="1">
              <w:r w:rsidR="00147850" w:rsidRPr="00147850">
                <w:rPr>
                  <w:rStyle w:val="Hyperlink"/>
                  <w:color w:val="000000" w:themeColor="text1"/>
                  <w:u w:val="none"/>
                </w:rPr>
                <w:t>cl95@waikato.ac.nz</w:t>
              </w:r>
            </w:hyperlink>
          </w:p>
          <w:p w:rsidR="00C14C22" w:rsidRPr="00F11504" w:rsidRDefault="00C14C22" w:rsidP="00520756">
            <w:pPr>
              <w:pStyle w:val="CM3"/>
              <w:jc w:val="center"/>
              <w:rPr>
                <w:b/>
              </w:rPr>
            </w:pPr>
          </w:p>
        </w:tc>
      </w:tr>
    </w:tbl>
    <w:p w:rsidR="00C14C22" w:rsidRPr="006F3DEB" w:rsidRDefault="00C14C22" w:rsidP="00C14C22">
      <w:pPr>
        <w:tabs>
          <w:tab w:val="left" w:pos="284"/>
        </w:tabs>
        <w:jc w:val="center"/>
        <w:rPr>
          <w:i/>
        </w:rPr>
      </w:pPr>
    </w:p>
    <w:p w:rsidR="00C14C22" w:rsidRDefault="00C14C22" w:rsidP="00C14C22">
      <w:pPr>
        <w:rPr>
          <w:b/>
          <w:color w:val="000000"/>
          <w:lang w:eastAsia="ko-KR"/>
        </w:rPr>
      </w:pPr>
      <w:r>
        <w:rPr>
          <w:b/>
          <w:color w:val="000000"/>
          <w:lang w:eastAsia="ko-KR"/>
        </w:rPr>
        <w:br w:type="page"/>
      </w:r>
    </w:p>
    <w:p w:rsidR="00C14C22" w:rsidRDefault="00C14C22" w:rsidP="00C14C22">
      <w:pPr>
        <w:spacing w:line="300" w:lineRule="auto"/>
        <w:jc w:val="center"/>
        <w:rPr>
          <w:b/>
          <w:color w:val="000000"/>
          <w:lang w:eastAsia="ko-KR"/>
        </w:rPr>
      </w:pPr>
    </w:p>
    <w:p w:rsidR="00C14C22" w:rsidRDefault="00C14C22" w:rsidP="00C14C22">
      <w:pPr>
        <w:spacing w:line="300" w:lineRule="auto"/>
        <w:jc w:val="center"/>
        <w:rPr>
          <w:b/>
          <w:color w:val="000000"/>
          <w:lang w:eastAsia="ko-KR"/>
        </w:rPr>
      </w:pPr>
    </w:p>
    <w:p w:rsidR="00C14C22" w:rsidRDefault="00C14C22" w:rsidP="00C14C22">
      <w:pPr>
        <w:spacing w:line="300" w:lineRule="auto"/>
        <w:jc w:val="center"/>
        <w:rPr>
          <w:b/>
          <w:color w:val="000000"/>
          <w:lang w:eastAsia="ko-KR"/>
        </w:rPr>
      </w:pPr>
    </w:p>
    <w:p w:rsidR="00C14C22" w:rsidRDefault="00C14C22" w:rsidP="00C14C22">
      <w:pPr>
        <w:spacing w:line="300" w:lineRule="auto"/>
        <w:jc w:val="center"/>
        <w:rPr>
          <w:b/>
          <w:color w:val="000000"/>
          <w:lang w:eastAsia="ko-KR"/>
        </w:rPr>
      </w:pPr>
    </w:p>
    <w:p w:rsidR="00147850" w:rsidRDefault="00147850" w:rsidP="00C14C22">
      <w:pPr>
        <w:spacing w:line="300" w:lineRule="auto"/>
        <w:jc w:val="center"/>
        <w:rPr>
          <w:b/>
          <w:color w:val="000000"/>
          <w:lang w:eastAsia="ko-KR"/>
        </w:rPr>
      </w:pPr>
    </w:p>
    <w:p w:rsidR="00C14C22" w:rsidRDefault="00C14C22" w:rsidP="00C14C22">
      <w:pPr>
        <w:spacing w:line="300" w:lineRule="auto"/>
        <w:jc w:val="center"/>
        <w:rPr>
          <w:b/>
          <w:color w:val="000000"/>
          <w:lang w:eastAsia="ko-KR"/>
        </w:rPr>
      </w:pPr>
      <w:r w:rsidRPr="00F8146D">
        <w:rPr>
          <w:rFonts w:hint="eastAsia"/>
          <w:b/>
          <w:color w:val="000000"/>
          <w:lang w:eastAsia="ko-KR"/>
        </w:rPr>
        <w:t>A</w:t>
      </w:r>
      <w:r>
        <w:rPr>
          <w:rFonts w:hint="eastAsia"/>
          <w:b/>
          <w:color w:val="000000"/>
          <w:lang w:eastAsia="ko-KR"/>
        </w:rPr>
        <w:t>bstract</w:t>
      </w:r>
    </w:p>
    <w:p w:rsidR="00C14C22" w:rsidRPr="00C14C22" w:rsidRDefault="00C14C22" w:rsidP="00C14C22">
      <w:pPr>
        <w:spacing w:line="300" w:lineRule="auto"/>
        <w:jc w:val="center"/>
        <w:rPr>
          <w:b/>
          <w:color w:val="000000"/>
          <w:sz w:val="12"/>
          <w:szCs w:val="12"/>
          <w:lang w:eastAsia="ko-KR"/>
        </w:rPr>
      </w:pPr>
    </w:p>
    <w:p w:rsidR="00C14C22" w:rsidRDefault="00C14C22" w:rsidP="00C14C22">
      <w:pPr>
        <w:spacing w:line="360" w:lineRule="auto"/>
        <w:jc w:val="both"/>
      </w:pPr>
      <w:r>
        <w:t xml:space="preserve">China’s local populations can be counted in two ways; by how many people have </w:t>
      </w:r>
      <w:proofErr w:type="spellStart"/>
      <w:r>
        <w:rPr>
          <w:i/>
        </w:rPr>
        <w:t>hukou</w:t>
      </w:r>
      <w:proofErr w:type="spellEnd"/>
      <w:r>
        <w:t xml:space="preserve"> household registration from each place and by how many people actually reside in each place. The counts differ by the non-</w:t>
      </w:r>
      <w:proofErr w:type="spellStart"/>
      <w:r>
        <w:rPr>
          <w:i/>
        </w:rPr>
        <w:t>hukou</w:t>
      </w:r>
      <w:proofErr w:type="spellEnd"/>
      <w:r>
        <w:t xml:space="preserve"> migrants – people </w:t>
      </w:r>
      <w:r>
        <w:rPr>
          <w:bCs/>
        </w:rPr>
        <w:t xml:space="preserve">that move from their place of registration – who have grown from fewer than five million when reform began in 1978 to over 200 million by 2010. For most of the first three decades of the reform era, the </w:t>
      </w:r>
      <w:proofErr w:type="spellStart"/>
      <w:r>
        <w:rPr>
          <w:bCs/>
          <w:i/>
        </w:rPr>
        <w:t>hukou</w:t>
      </w:r>
      <w:proofErr w:type="spellEnd"/>
      <w:r>
        <w:rPr>
          <w:bCs/>
          <w:i/>
        </w:rPr>
        <w:t xml:space="preserve"> </w:t>
      </w:r>
      <w:r>
        <w:rPr>
          <w:bCs/>
        </w:rPr>
        <w:t xml:space="preserve">count was used to produce </w:t>
      </w:r>
      <w:r>
        <w:rPr>
          <w:bCs/>
          <w:i/>
        </w:rPr>
        <w:t xml:space="preserve">per capita </w:t>
      </w:r>
      <w:r>
        <w:rPr>
          <w:bCs/>
        </w:rPr>
        <w:t xml:space="preserve">GDP figures. </w:t>
      </w:r>
      <w:r>
        <w:t xml:space="preserve">In coastal provinces the resident count is many millions more than the </w:t>
      </w:r>
      <w:proofErr w:type="spellStart"/>
      <w:r>
        <w:rPr>
          <w:i/>
        </w:rPr>
        <w:t>hukou</w:t>
      </w:r>
      <w:proofErr w:type="spellEnd"/>
      <w:r>
        <w:rPr>
          <w:i/>
        </w:rPr>
        <w:t xml:space="preserve"> </w:t>
      </w:r>
      <w:r>
        <w:t xml:space="preserve">count, while for migrant-sending provinces it is the reverse, creating a systematic and time-varying distortion in provincial GDP </w:t>
      </w:r>
      <w:r w:rsidRPr="00DB7E5C">
        <w:rPr>
          <w:i/>
        </w:rPr>
        <w:t>per capita</w:t>
      </w:r>
      <w:r>
        <w:t xml:space="preserve">. Moreover, </w:t>
      </w:r>
      <w:r>
        <w:rPr>
          <w:bCs/>
        </w:rPr>
        <w:t xml:space="preserve">a sharp discontinuity occurred when provinces recently switched from the </w:t>
      </w:r>
      <w:proofErr w:type="spellStart"/>
      <w:r w:rsidRPr="008909EA">
        <w:rPr>
          <w:bCs/>
          <w:i/>
        </w:rPr>
        <w:t>hukou</w:t>
      </w:r>
      <w:proofErr w:type="spellEnd"/>
      <w:r>
        <w:rPr>
          <w:bCs/>
        </w:rPr>
        <w:t xml:space="preserve"> count to the resident count when reporting GDP </w:t>
      </w:r>
      <w:r w:rsidRPr="001060A4">
        <w:rPr>
          <w:bCs/>
          <w:i/>
        </w:rPr>
        <w:t>per capita</w:t>
      </w:r>
      <w:r>
        <w:rPr>
          <w:bCs/>
        </w:rPr>
        <w:t xml:space="preserve">. A double-count also resulted because some provinces switched before others and initial resident counts were incomplete. </w:t>
      </w:r>
      <w:r>
        <w:t xml:space="preserve">This paper describes the changing definition of provincial populations in China and their impact on inequality in provincial GDP </w:t>
      </w:r>
      <w:r w:rsidRPr="008909EA">
        <w:rPr>
          <w:i/>
        </w:rPr>
        <w:t>per capita</w:t>
      </w:r>
      <w:r>
        <w:t>. We show that much of the apparent increase in inter-provincial inequality disappears once a consistent series of GDP per resident is used.</w:t>
      </w:r>
    </w:p>
    <w:p w:rsidR="00C14C22" w:rsidRPr="00F8146D" w:rsidRDefault="00C14C22" w:rsidP="00C14C22">
      <w:pPr>
        <w:pStyle w:val="Footer"/>
        <w:spacing w:line="300" w:lineRule="auto"/>
        <w:jc w:val="both"/>
        <w:rPr>
          <w:color w:val="000000"/>
          <w:lang w:eastAsia="ko-KR"/>
        </w:rPr>
      </w:pPr>
    </w:p>
    <w:p w:rsidR="00C14C22" w:rsidRDefault="00C14C22" w:rsidP="00C14C22">
      <w:pPr>
        <w:spacing w:line="300" w:lineRule="auto"/>
        <w:jc w:val="center"/>
        <w:rPr>
          <w:b/>
          <w:color w:val="000000"/>
        </w:rPr>
      </w:pPr>
      <w:r w:rsidRPr="00F8146D">
        <w:rPr>
          <w:b/>
          <w:color w:val="000000"/>
        </w:rPr>
        <w:t>Keywords</w:t>
      </w:r>
    </w:p>
    <w:p w:rsidR="00C14C22" w:rsidRPr="00C14C22" w:rsidRDefault="00C14C22" w:rsidP="00C14C22">
      <w:pPr>
        <w:spacing w:line="300" w:lineRule="auto"/>
        <w:jc w:val="center"/>
        <w:rPr>
          <w:b/>
          <w:color w:val="000000"/>
          <w:sz w:val="12"/>
          <w:szCs w:val="12"/>
        </w:rPr>
      </w:pPr>
    </w:p>
    <w:p w:rsidR="00C14C22" w:rsidRDefault="00C14C22" w:rsidP="00C14C22">
      <w:pPr>
        <w:spacing w:line="276" w:lineRule="auto"/>
        <w:jc w:val="center"/>
        <w:rPr>
          <w:bCs/>
        </w:rPr>
      </w:pPr>
      <w:r>
        <w:rPr>
          <w:bCs/>
        </w:rPr>
        <w:t>inequality</w:t>
      </w:r>
    </w:p>
    <w:p w:rsidR="00C14C22" w:rsidRDefault="00C14C22" w:rsidP="00C14C22">
      <w:pPr>
        <w:spacing w:line="276" w:lineRule="auto"/>
        <w:jc w:val="center"/>
        <w:rPr>
          <w:bCs/>
        </w:rPr>
      </w:pPr>
      <w:r>
        <w:rPr>
          <w:bCs/>
        </w:rPr>
        <w:t>growth</w:t>
      </w:r>
    </w:p>
    <w:p w:rsidR="00C14C22" w:rsidRDefault="00C14C22" w:rsidP="00C14C22">
      <w:pPr>
        <w:spacing w:line="276" w:lineRule="auto"/>
        <w:jc w:val="center"/>
        <w:rPr>
          <w:bCs/>
        </w:rPr>
      </w:pPr>
      <w:r>
        <w:rPr>
          <w:bCs/>
        </w:rPr>
        <w:t>regional development</w:t>
      </w:r>
    </w:p>
    <w:p w:rsidR="00C14C22" w:rsidRDefault="00C14C22" w:rsidP="00C14C22">
      <w:pPr>
        <w:spacing w:line="276" w:lineRule="auto"/>
        <w:jc w:val="center"/>
        <w:rPr>
          <w:bCs/>
        </w:rPr>
      </w:pPr>
      <w:r>
        <w:rPr>
          <w:bCs/>
        </w:rPr>
        <w:t>population</w:t>
      </w:r>
    </w:p>
    <w:p w:rsidR="00C14C22" w:rsidRDefault="00C14C22" w:rsidP="00C14C22">
      <w:pPr>
        <w:spacing w:line="276" w:lineRule="auto"/>
        <w:jc w:val="center"/>
        <w:rPr>
          <w:bCs/>
        </w:rPr>
      </w:pPr>
      <w:r>
        <w:rPr>
          <w:bCs/>
        </w:rPr>
        <w:t>China</w:t>
      </w:r>
    </w:p>
    <w:p w:rsidR="00C14C22" w:rsidRDefault="00C14C22" w:rsidP="00C14C22">
      <w:pPr>
        <w:spacing w:line="300" w:lineRule="auto"/>
        <w:rPr>
          <w:b/>
          <w:color w:val="000000"/>
          <w:lang w:eastAsia="ko-KR"/>
        </w:rPr>
      </w:pPr>
    </w:p>
    <w:p w:rsidR="00147850" w:rsidRDefault="00147850" w:rsidP="00C14C22">
      <w:pPr>
        <w:spacing w:line="300" w:lineRule="auto"/>
        <w:rPr>
          <w:b/>
          <w:color w:val="000000"/>
          <w:lang w:eastAsia="ko-KR"/>
        </w:rPr>
      </w:pPr>
    </w:p>
    <w:p w:rsidR="00C14C22" w:rsidRDefault="00147850" w:rsidP="00147850">
      <w:pPr>
        <w:spacing w:line="300" w:lineRule="auto"/>
        <w:jc w:val="center"/>
        <w:rPr>
          <w:b/>
          <w:color w:val="000000"/>
          <w:lang w:eastAsia="ko-KR"/>
        </w:rPr>
      </w:pPr>
      <w:r>
        <w:rPr>
          <w:b/>
          <w:color w:val="000000"/>
          <w:lang w:eastAsia="ko-KR"/>
        </w:rPr>
        <w:t>JEL Classification</w:t>
      </w:r>
    </w:p>
    <w:p w:rsidR="00147850" w:rsidRPr="00147850" w:rsidRDefault="00147850" w:rsidP="00147850">
      <w:pPr>
        <w:spacing w:line="276" w:lineRule="auto"/>
        <w:jc w:val="center"/>
        <w:rPr>
          <w:bCs/>
        </w:rPr>
      </w:pPr>
      <w:r w:rsidRPr="00147850">
        <w:rPr>
          <w:bCs/>
        </w:rPr>
        <w:t>O15</w:t>
      </w:r>
    </w:p>
    <w:p w:rsidR="00147850" w:rsidRDefault="00147850" w:rsidP="00147850">
      <w:pPr>
        <w:spacing w:line="276" w:lineRule="auto"/>
        <w:jc w:val="center"/>
        <w:rPr>
          <w:b/>
          <w:bCs/>
        </w:rPr>
      </w:pPr>
      <w:r>
        <w:rPr>
          <w:b/>
          <w:bCs/>
        </w:rPr>
        <w:br/>
      </w:r>
    </w:p>
    <w:p w:rsidR="00147850" w:rsidRDefault="00147850">
      <w:pPr>
        <w:rPr>
          <w:b/>
          <w:bCs/>
        </w:rPr>
      </w:pPr>
      <w:r>
        <w:rPr>
          <w:b/>
          <w:bCs/>
        </w:rPr>
        <w:br w:type="page"/>
      </w:r>
    </w:p>
    <w:p w:rsidR="008E0879" w:rsidRDefault="00792904" w:rsidP="007A7BC1">
      <w:pPr>
        <w:spacing w:line="276" w:lineRule="auto"/>
        <w:rPr>
          <w:b/>
          <w:bCs/>
        </w:rPr>
      </w:pPr>
      <w:r>
        <w:rPr>
          <w:b/>
          <w:bCs/>
        </w:rPr>
        <w:lastRenderedPageBreak/>
        <w:t xml:space="preserve">1.  </w:t>
      </w:r>
      <w:r w:rsidR="00F60775" w:rsidRPr="00F60775">
        <w:rPr>
          <w:b/>
          <w:bCs/>
        </w:rPr>
        <w:t>Introduction</w:t>
      </w:r>
    </w:p>
    <w:p w:rsidR="00AA06B8" w:rsidRDefault="00AA06B8" w:rsidP="007A7BC1">
      <w:pPr>
        <w:spacing w:line="276" w:lineRule="auto"/>
        <w:jc w:val="both"/>
        <w:rPr>
          <w:bCs/>
        </w:rPr>
      </w:pPr>
    </w:p>
    <w:p w:rsidR="001B1B6D" w:rsidRDefault="00D068D7" w:rsidP="007A7BC1">
      <w:pPr>
        <w:spacing w:line="276" w:lineRule="auto"/>
        <w:jc w:val="both"/>
        <w:rPr>
          <w:bCs/>
        </w:rPr>
      </w:pPr>
      <w:r>
        <w:rPr>
          <w:bCs/>
        </w:rPr>
        <w:t xml:space="preserve">Nobel Prize winner </w:t>
      </w:r>
      <w:proofErr w:type="spellStart"/>
      <w:r>
        <w:rPr>
          <w:bCs/>
        </w:rPr>
        <w:t>Amartya</w:t>
      </w:r>
      <w:proofErr w:type="spellEnd"/>
      <w:r>
        <w:rPr>
          <w:bCs/>
        </w:rPr>
        <w:t xml:space="preserve"> </w:t>
      </w:r>
      <w:proofErr w:type="spellStart"/>
      <w:r>
        <w:rPr>
          <w:bCs/>
        </w:rPr>
        <w:t>Sen</w:t>
      </w:r>
      <w:proofErr w:type="spellEnd"/>
      <w:r w:rsidR="00F60775">
        <w:rPr>
          <w:bCs/>
        </w:rPr>
        <w:t xml:space="preserve"> recounts </w:t>
      </w:r>
      <w:r>
        <w:rPr>
          <w:bCs/>
        </w:rPr>
        <w:t>how, as a nine-year-old boy, he saw</w:t>
      </w:r>
      <w:r w:rsidR="00F60775">
        <w:rPr>
          <w:bCs/>
        </w:rPr>
        <w:t xml:space="preserve"> unbelievably emaciated people dying in the streets </w:t>
      </w:r>
      <w:r>
        <w:rPr>
          <w:bCs/>
        </w:rPr>
        <w:t>during the 1943 Bengal famine (</w:t>
      </w:r>
      <w:proofErr w:type="spellStart"/>
      <w:r>
        <w:rPr>
          <w:bCs/>
        </w:rPr>
        <w:t>Sen</w:t>
      </w:r>
      <w:proofErr w:type="spellEnd"/>
      <w:r>
        <w:rPr>
          <w:bCs/>
        </w:rPr>
        <w:t xml:space="preserve">, 1995). </w:t>
      </w:r>
      <w:r w:rsidR="00F60775">
        <w:rPr>
          <w:bCs/>
        </w:rPr>
        <w:t xml:space="preserve"> These were </w:t>
      </w:r>
      <w:r>
        <w:rPr>
          <w:bCs/>
        </w:rPr>
        <w:t xml:space="preserve">the </w:t>
      </w:r>
      <w:r w:rsidR="00F60775">
        <w:rPr>
          <w:bCs/>
        </w:rPr>
        <w:t>rural destitute</w:t>
      </w:r>
      <w:r>
        <w:rPr>
          <w:bCs/>
        </w:rPr>
        <w:t>,</w:t>
      </w:r>
      <w:r w:rsidR="00F60775">
        <w:rPr>
          <w:bCs/>
        </w:rPr>
        <w:t xml:space="preserve"> who had trekked from t</w:t>
      </w:r>
      <w:r>
        <w:rPr>
          <w:bCs/>
        </w:rPr>
        <w:t xml:space="preserve">he countryside into the cities </w:t>
      </w:r>
      <w:r w:rsidR="00F60775">
        <w:rPr>
          <w:bCs/>
        </w:rPr>
        <w:t>in search of food</w:t>
      </w:r>
      <w:r>
        <w:rPr>
          <w:bCs/>
        </w:rPr>
        <w:t>; by one estimate they numbered at least 100</w:t>
      </w:r>
      <w:r w:rsidR="00B50147">
        <w:rPr>
          <w:bCs/>
        </w:rPr>
        <w:t>,000 in Calcutta alone (</w:t>
      </w:r>
      <w:proofErr w:type="spellStart"/>
      <w:r w:rsidR="00B50147">
        <w:rPr>
          <w:bCs/>
        </w:rPr>
        <w:t>Sen</w:t>
      </w:r>
      <w:proofErr w:type="spellEnd"/>
      <w:r w:rsidR="00B50147">
        <w:rPr>
          <w:bCs/>
        </w:rPr>
        <w:t>, 198</w:t>
      </w:r>
      <w:r>
        <w:rPr>
          <w:bCs/>
        </w:rPr>
        <w:t>1). Yet</w:t>
      </w:r>
      <w:r w:rsidR="004019C1">
        <w:rPr>
          <w:bCs/>
        </w:rPr>
        <w:t xml:space="preserve"> just 15 years later</w:t>
      </w:r>
      <w:r>
        <w:rPr>
          <w:bCs/>
        </w:rPr>
        <w:t xml:space="preserve"> </w:t>
      </w:r>
      <w:r w:rsidR="00544B8E">
        <w:rPr>
          <w:bCs/>
        </w:rPr>
        <w:t>in the Great Leap f</w:t>
      </w:r>
      <w:r>
        <w:rPr>
          <w:bCs/>
        </w:rPr>
        <w:t>amine in China</w:t>
      </w:r>
      <w:r w:rsidR="00544B8E">
        <w:rPr>
          <w:bCs/>
        </w:rPr>
        <w:t>, which</w:t>
      </w:r>
      <w:r>
        <w:rPr>
          <w:bCs/>
        </w:rPr>
        <w:t xml:space="preserve"> killed </w:t>
      </w:r>
      <w:r w:rsidR="001B1B6D">
        <w:rPr>
          <w:bCs/>
        </w:rPr>
        <w:t>at least 30 million</w:t>
      </w:r>
      <w:r w:rsidR="00544B8E">
        <w:rPr>
          <w:bCs/>
        </w:rPr>
        <w:t xml:space="preserve"> people,</w:t>
      </w:r>
      <w:r w:rsidR="00544B8E">
        <w:rPr>
          <w:rStyle w:val="FootnoteReference"/>
          <w:bCs/>
        </w:rPr>
        <w:footnoteReference w:id="1"/>
      </w:r>
      <w:r w:rsidR="00544B8E">
        <w:rPr>
          <w:bCs/>
        </w:rPr>
        <w:t xml:space="preserve"> there was</w:t>
      </w:r>
      <w:r>
        <w:rPr>
          <w:bCs/>
        </w:rPr>
        <w:t xml:space="preserve"> no similar </w:t>
      </w:r>
      <w:r w:rsidR="00F141FA">
        <w:rPr>
          <w:bCs/>
        </w:rPr>
        <w:t xml:space="preserve">trek </w:t>
      </w:r>
      <w:r w:rsidR="003C5D76">
        <w:rPr>
          <w:bCs/>
        </w:rPr>
        <w:t>by</w:t>
      </w:r>
      <w:r w:rsidR="00544B8E">
        <w:rPr>
          <w:bCs/>
        </w:rPr>
        <w:t xml:space="preserve"> </w:t>
      </w:r>
      <w:r>
        <w:rPr>
          <w:bCs/>
        </w:rPr>
        <w:t xml:space="preserve">desperately hungry </w:t>
      </w:r>
      <w:r w:rsidR="00544B8E">
        <w:rPr>
          <w:bCs/>
        </w:rPr>
        <w:t xml:space="preserve">villagers seeking food in the </w:t>
      </w:r>
      <w:r>
        <w:rPr>
          <w:bCs/>
        </w:rPr>
        <w:t>cities</w:t>
      </w:r>
      <w:r w:rsidR="00544B8E">
        <w:rPr>
          <w:bCs/>
        </w:rPr>
        <w:t>.</w:t>
      </w:r>
      <w:r w:rsidR="005325AA">
        <w:rPr>
          <w:bCs/>
        </w:rPr>
        <w:t xml:space="preserve"> Instead,</w:t>
      </w:r>
      <w:r w:rsidR="001B1B6D">
        <w:rPr>
          <w:bCs/>
        </w:rPr>
        <w:t xml:space="preserve"> the strict controls on </w:t>
      </w:r>
      <w:r w:rsidR="00F141FA">
        <w:rPr>
          <w:bCs/>
        </w:rPr>
        <w:t xml:space="preserve">mobility </w:t>
      </w:r>
      <w:r w:rsidR="004019C1">
        <w:rPr>
          <w:bCs/>
        </w:rPr>
        <w:t>in China</w:t>
      </w:r>
      <w:r w:rsidR="001B1B6D">
        <w:rPr>
          <w:bCs/>
        </w:rPr>
        <w:t xml:space="preserve"> under the </w:t>
      </w:r>
      <w:proofErr w:type="spellStart"/>
      <w:r w:rsidR="00AC0293">
        <w:rPr>
          <w:bCs/>
          <w:i/>
        </w:rPr>
        <w:t>h</w:t>
      </w:r>
      <w:r w:rsidR="001B1B6D" w:rsidRPr="001B1B6D">
        <w:rPr>
          <w:bCs/>
          <w:i/>
        </w:rPr>
        <w:t>ukou</w:t>
      </w:r>
      <w:proofErr w:type="spellEnd"/>
      <w:r w:rsidR="001B1B6D">
        <w:rPr>
          <w:bCs/>
        </w:rPr>
        <w:t xml:space="preserve"> </w:t>
      </w:r>
      <w:r w:rsidR="004019C1">
        <w:rPr>
          <w:bCs/>
        </w:rPr>
        <w:t xml:space="preserve">household registration system </w:t>
      </w:r>
      <w:r w:rsidR="001B1B6D">
        <w:rPr>
          <w:bCs/>
        </w:rPr>
        <w:t>prevented the mass movement of people in search of food.</w:t>
      </w:r>
      <w:r w:rsidR="005325AA">
        <w:rPr>
          <w:bCs/>
        </w:rPr>
        <w:t xml:space="preserve"> </w:t>
      </w:r>
      <w:r w:rsidR="00D83C7D">
        <w:rPr>
          <w:bCs/>
        </w:rPr>
        <w:t>S</w:t>
      </w:r>
      <w:r w:rsidR="004019C1">
        <w:rPr>
          <w:bCs/>
        </w:rPr>
        <w:t xml:space="preserve">o </w:t>
      </w:r>
      <w:r w:rsidR="005325AA">
        <w:rPr>
          <w:bCs/>
        </w:rPr>
        <w:t xml:space="preserve">limited </w:t>
      </w:r>
      <w:r w:rsidR="00D83C7D">
        <w:rPr>
          <w:bCs/>
        </w:rPr>
        <w:t xml:space="preserve">was </w:t>
      </w:r>
      <w:r w:rsidR="005332F7">
        <w:rPr>
          <w:bCs/>
        </w:rPr>
        <w:t>movement</w:t>
      </w:r>
      <w:r w:rsidR="00F141FA">
        <w:rPr>
          <w:bCs/>
        </w:rPr>
        <w:t xml:space="preserve"> </w:t>
      </w:r>
      <w:r w:rsidR="001B1B6D">
        <w:rPr>
          <w:bCs/>
        </w:rPr>
        <w:t xml:space="preserve">that </w:t>
      </w:r>
      <w:r w:rsidR="004019C1">
        <w:rPr>
          <w:bCs/>
        </w:rPr>
        <w:t xml:space="preserve">the </w:t>
      </w:r>
      <w:r w:rsidR="005325AA">
        <w:rPr>
          <w:bCs/>
        </w:rPr>
        <w:t xml:space="preserve">excess </w:t>
      </w:r>
      <w:r w:rsidR="004019C1">
        <w:rPr>
          <w:bCs/>
        </w:rPr>
        <w:t xml:space="preserve">mortality </w:t>
      </w:r>
      <w:r w:rsidR="005325AA">
        <w:rPr>
          <w:bCs/>
        </w:rPr>
        <w:t xml:space="preserve">rate </w:t>
      </w:r>
      <w:r w:rsidR="004019C1">
        <w:rPr>
          <w:bCs/>
        </w:rPr>
        <w:t xml:space="preserve">in one province – Anhui – was </w:t>
      </w:r>
      <w:r w:rsidR="005325AA">
        <w:rPr>
          <w:bCs/>
        </w:rPr>
        <w:t>17</w:t>
      </w:r>
      <w:r w:rsidR="004019C1">
        <w:rPr>
          <w:bCs/>
        </w:rPr>
        <w:t xml:space="preserve"> times </w:t>
      </w:r>
      <w:r w:rsidR="005325AA">
        <w:rPr>
          <w:bCs/>
        </w:rPr>
        <w:t>higher</w:t>
      </w:r>
      <w:r w:rsidR="00D83C7D">
        <w:rPr>
          <w:bCs/>
        </w:rPr>
        <w:t xml:space="preserve"> than that of a neighboring province</w:t>
      </w:r>
      <w:r w:rsidR="005325AA">
        <w:rPr>
          <w:bCs/>
        </w:rPr>
        <w:t xml:space="preserve">, </w:t>
      </w:r>
      <w:r w:rsidR="008054F8">
        <w:rPr>
          <w:bCs/>
        </w:rPr>
        <w:t xml:space="preserve">adding up to </w:t>
      </w:r>
      <w:r w:rsidR="00D83C7D">
        <w:rPr>
          <w:bCs/>
        </w:rPr>
        <w:t>a difference of over six million excess deaths in Anhui</w:t>
      </w:r>
      <w:r w:rsidR="005325AA">
        <w:rPr>
          <w:bCs/>
        </w:rPr>
        <w:t xml:space="preserve"> between 1958 and 1961</w:t>
      </w:r>
      <w:r w:rsidR="00D83C7D">
        <w:rPr>
          <w:bCs/>
        </w:rPr>
        <w:t>.</w:t>
      </w:r>
      <w:r w:rsidR="007211DB">
        <w:rPr>
          <w:rStyle w:val="FootnoteReference"/>
          <w:bCs/>
        </w:rPr>
        <w:footnoteReference w:id="2"/>
      </w:r>
    </w:p>
    <w:p w:rsidR="001B1B6D" w:rsidRDefault="001B1B6D" w:rsidP="007A7BC1">
      <w:pPr>
        <w:spacing w:line="276" w:lineRule="auto"/>
        <w:jc w:val="both"/>
        <w:rPr>
          <w:bCs/>
        </w:rPr>
      </w:pPr>
    </w:p>
    <w:p w:rsidR="00F60775" w:rsidRPr="00AC0293" w:rsidRDefault="007A7BC1" w:rsidP="007A7BC1">
      <w:pPr>
        <w:spacing w:line="276" w:lineRule="auto"/>
        <w:jc w:val="both"/>
        <w:rPr>
          <w:bCs/>
        </w:rPr>
      </w:pPr>
      <w:r>
        <w:rPr>
          <w:bCs/>
        </w:rPr>
        <w:tab/>
      </w:r>
      <w:r w:rsidR="001B1B6D">
        <w:rPr>
          <w:bCs/>
        </w:rPr>
        <w:t xml:space="preserve">Fast forward two decades to the beginning of China’s economic reform and the </w:t>
      </w:r>
      <w:proofErr w:type="spellStart"/>
      <w:r w:rsidR="00AC0293">
        <w:rPr>
          <w:bCs/>
          <w:i/>
        </w:rPr>
        <w:t>h</w:t>
      </w:r>
      <w:r w:rsidR="001B1B6D">
        <w:rPr>
          <w:bCs/>
          <w:i/>
        </w:rPr>
        <w:t>ukou</w:t>
      </w:r>
      <w:proofErr w:type="spellEnd"/>
      <w:r w:rsidR="001B1B6D">
        <w:rPr>
          <w:bCs/>
          <w:i/>
        </w:rPr>
        <w:t xml:space="preserve"> </w:t>
      </w:r>
      <w:r w:rsidR="001B1B6D">
        <w:rPr>
          <w:bCs/>
        </w:rPr>
        <w:t xml:space="preserve">system </w:t>
      </w:r>
      <w:r w:rsidR="008054F8">
        <w:rPr>
          <w:bCs/>
        </w:rPr>
        <w:t xml:space="preserve">was </w:t>
      </w:r>
      <w:r w:rsidR="001B1B6D">
        <w:rPr>
          <w:bCs/>
        </w:rPr>
        <w:t>largely intact.</w:t>
      </w:r>
      <w:r w:rsidR="00AC0293">
        <w:rPr>
          <w:bCs/>
        </w:rPr>
        <w:t xml:space="preserve"> E</w:t>
      </w:r>
      <w:r w:rsidR="007C5D97">
        <w:rPr>
          <w:bCs/>
        </w:rPr>
        <w:t xml:space="preserve">very person in China </w:t>
      </w:r>
      <w:r w:rsidR="00852234">
        <w:rPr>
          <w:bCs/>
        </w:rPr>
        <w:t xml:space="preserve">in 1958 had been </w:t>
      </w:r>
      <w:r w:rsidR="007C5D97">
        <w:rPr>
          <w:bCs/>
        </w:rPr>
        <w:t xml:space="preserve">given either </w:t>
      </w:r>
      <w:r w:rsidR="007C5D97" w:rsidRPr="00852234">
        <w:rPr>
          <w:szCs w:val="20"/>
          <w:lang w:val="en-NZ" w:eastAsia="en-NZ"/>
        </w:rPr>
        <w:t>“agricultural” (</w:t>
      </w:r>
      <w:proofErr w:type="spellStart"/>
      <w:r w:rsidR="007C5D97" w:rsidRPr="00852234">
        <w:rPr>
          <w:i/>
          <w:iCs/>
          <w:szCs w:val="20"/>
          <w:lang w:val="en-NZ" w:eastAsia="en-NZ"/>
        </w:rPr>
        <w:t>nongye</w:t>
      </w:r>
      <w:proofErr w:type="spellEnd"/>
      <w:r w:rsidR="007C5D97" w:rsidRPr="00852234">
        <w:rPr>
          <w:szCs w:val="20"/>
          <w:lang w:val="en-NZ" w:eastAsia="en-NZ"/>
        </w:rPr>
        <w:t>) or “non-agricultural” (</w:t>
      </w:r>
      <w:proofErr w:type="spellStart"/>
      <w:r w:rsidR="007C5D97" w:rsidRPr="00852234">
        <w:rPr>
          <w:i/>
          <w:iCs/>
          <w:szCs w:val="20"/>
          <w:lang w:val="en-NZ" w:eastAsia="en-NZ"/>
        </w:rPr>
        <w:t>fei</w:t>
      </w:r>
      <w:proofErr w:type="spellEnd"/>
      <w:r w:rsidR="007C5D97" w:rsidRPr="00852234">
        <w:rPr>
          <w:i/>
          <w:iCs/>
          <w:szCs w:val="20"/>
          <w:lang w:val="en-NZ" w:eastAsia="en-NZ"/>
        </w:rPr>
        <w:t xml:space="preserve"> </w:t>
      </w:r>
      <w:proofErr w:type="spellStart"/>
      <w:r w:rsidR="007C5D97" w:rsidRPr="00852234">
        <w:rPr>
          <w:i/>
          <w:iCs/>
          <w:szCs w:val="20"/>
          <w:lang w:val="en-NZ" w:eastAsia="en-NZ"/>
        </w:rPr>
        <w:t>nongye</w:t>
      </w:r>
      <w:proofErr w:type="spellEnd"/>
      <w:r w:rsidR="007C5D97" w:rsidRPr="00852234">
        <w:rPr>
          <w:szCs w:val="20"/>
          <w:lang w:val="en-NZ" w:eastAsia="en-NZ"/>
        </w:rPr>
        <w:t xml:space="preserve">) </w:t>
      </w:r>
      <w:proofErr w:type="spellStart"/>
      <w:r w:rsidR="00AC0293">
        <w:rPr>
          <w:i/>
          <w:iCs/>
          <w:szCs w:val="20"/>
          <w:lang w:val="en-NZ" w:eastAsia="en-NZ"/>
        </w:rPr>
        <w:t>h</w:t>
      </w:r>
      <w:r w:rsidR="007C5D97" w:rsidRPr="00852234">
        <w:rPr>
          <w:i/>
          <w:iCs/>
          <w:szCs w:val="20"/>
          <w:lang w:val="en-NZ" w:eastAsia="en-NZ"/>
        </w:rPr>
        <w:t>ukou</w:t>
      </w:r>
      <w:proofErr w:type="spellEnd"/>
      <w:r w:rsidR="007C5D97" w:rsidRPr="00852234">
        <w:rPr>
          <w:iCs/>
          <w:szCs w:val="20"/>
          <w:lang w:val="en-NZ" w:eastAsia="en-NZ"/>
        </w:rPr>
        <w:t xml:space="preserve">, </w:t>
      </w:r>
      <w:r w:rsidR="00AC0293">
        <w:rPr>
          <w:iCs/>
          <w:szCs w:val="20"/>
          <w:lang w:val="en-NZ" w:eastAsia="en-NZ"/>
        </w:rPr>
        <w:t xml:space="preserve">to </w:t>
      </w:r>
      <w:r w:rsidR="007C5D97" w:rsidRPr="00852234">
        <w:rPr>
          <w:iCs/>
          <w:szCs w:val="20"/>
          <w:lang w:val="en-NZ" w:eastAsia="en-NZ"/>
        </w:rPr>
        <w:t xml:space="preserve">determine </w:t>
      </w:r>
      <w:r w:rsidR="007C5D97" w:rsidRPr="00852234">
        <w:rPr>
          <w:szCs w:val="20"/>
          <w:lang w:val="en-NZ" w:eastAsia="en-NZ"/>
        </w:rPr>
        <w:t>entitlements to state-provided goods and se</w:t>
      </w:r>
      <w:r w:rsidR="007C5D97" w:rsidRPr="00AC0293">
        <w:rPr>
          <w:lang w:val="en-NZ" w:eastAsia="en-NZ"/>
        </w:rPr>
        <w:t>rvices</w:t>
      </w:r>
      <w:r w:rsidR="00852234" w:rsidRPr="00AC0293">
        <w:rPr>
          <w:lang w:val="en-NZ" w:eastAsia="en-NZ"/>
        </w:rPr>
        <w:t xml:space="preserve"> </w:t>
      </w:r>
      <w:r w:rsidR="00AC0293">
        <w:rPr>
          <w:lang w:val="en-NZ" w:eastAsia="en-NZ"/>
        </w:rPr>
        <w:t>(regardless</w:t>
      </w:r>
      <w:r w:rsidR="00852234" w:rsidRPr="00AC0293">
        <w:rPr>
          <w:lang w:val="en-NZ" w:eastAsia="en-NZ"/>
        </w:rPr>
        <w:t xml:space="preserve"> of location)</w:t>
      </w:r>
      <w:r w:rsidR="00AC0293">
        <w:rPr>
          <w:lang w:val="en-NZ" w:eastAsia="en-NZ"/>
        </w:rPr>
        <w:t>, which</w:t>
      </w:r>
      <w:r w:rsidR="00852234" w:rsidRPr="00AC0293">
        <w:rPr>
          <w:lang w:val="en-NZ" w:eastAsia="en-NZ"/>
        </w:rPr>
        <w:t xml:space="preserve"> thereafter passed from mothers to children</w:t>
      </w:r>
      <w:r w:rsidR="007C5D97" w:rsidRPr="00AC0293">
        <w:rPr>
          <w:lang w:val="en-NZ" w:eastAsia="en-NZ"/>
        </w:rPr>
        <w:t xml:space="preserve">. </w:t>
      </w:r>
      <w:r w:rsidR="00852234" w:rsidRPr="00AC0293">
        <w:rPr>
          <w:lang w:val="en-NZ" w:eastAsia="en-NZ"/>
        </w:rPr>
        <w:t xml:space="preserve">In addition to </w:t>
      </w:r>
      <w:proofErr w:type="spellStart"/>
      <w:r w:rsidR="00852234" w:rsidRPr="00AC0293">
        <w:rPr>
          <w:i/>
          <w:iCs/>
          <w:lang w:val="en-NZ" w:eastAsia="en-NZ"/>
        </w:rPr>
        <w:t>hukou</w:t>
      </w:r>
      <w:proofErr w:type="spellEnd"/>
      <w:r w:rsidR="00852234" w:rsidRPr="00AC0293">
        <w:rPr>
          <w:i/>
          <w:iCs/>
          <w:lang w:val="en-NZ" w:eastAsia="en-NZ"/>
        </w:rPr>
        <w:t xml:space="preserve"> </w:t>
      </w:r>
      <w:r w:rsidR="00852234" w:rsidRPr="00AC0293">
        <w:rPr>
          <w:lang w:val="en-NZ" w:eastAsia="en-NZ"/>
        </w:rPr>
        <w:t xml:space="preserve">type, each person was categorized </w:t>
      </w:r>
      <w:r w:rsidR="00AC0293">
        <w:rPr>
          <w:lang w:val="en-NZ" w:eastAsia="en-NZ"/>
        </w:rPr>
        <w:t xml:space="preserve">by their </w:t>
      </w:r>
      <w:r w:rsidR="00852234" w:rsidRPr="00AC0293">
        <w:rPr>
          <w:lang w:val="en-NZ" w:eastAsia="en-NZ"/>
        </w:rPr>
        <w:t xml:space="preserve">place of </w:t>
      </w:r>
      <w:proofErr w:type="spellStart"/>
      <w:r w:rsidR="00852234" w:rsidRPr="00AC0293">
        <w:rPr>
          <w:i/>
          <w:iCs/>
          <w:lang w:val="en-NZ" w:eastAsia="en-NZ"/>
        </w:rPr>
        <w:t>hukou</w:t>
      </w:r>
      <w:proofErr w:type="spellEnd"/>
      <w:r w:rsidR="00852234" w:rsidRPr="00AC0293">
        <w:rPr>
          <w:i/>
          <w:iCs/>
          <w:lang w:val="en-NZ" w:eastAsia="en-NZ"/>
        </w:rPr>
        <w:t xml:space="preserve"> </w:t>
      </w:r>
      <w:r w:rsidR="00852234" w:rsidRPr="00AC0293">
        <w:rPr>
          <w:lang w:val="en-NZ" w:eastAsia="en-NZ"/>
        </w:rPr>
        <w:t>registration (</w:t>
      </w:r>
      <w:proofErr w:type="spellStart"/>
      <w:r w:rsidR="00852234" w:rsidRPr="00AC0293">
        <w:rPr>
          <w:i/>
          <w:iCs/>
          <w:lang w:val="en-NZ" w:eastAsia="en-NZ"/>
        </w:rPr>
        <w:t>hukou</w:t>
      </w:r>
      <w:proofErr w:type="spellEnd"/>
      <w:r w:rsidR="00852234" w:rsidRPr="00AC0293">
        <w:rPr>
          <w:i/>
          <w:iCs/>
          <w:lang w:val="en-NZ" w:eastAsia="en-NZ"/>
        </w:rPr>
        <w:t xml:space="preserve"> </w:t>
      </w:r>
      <w:proofErr w:type="spellStart"/>
      <w:r w:rsidR="00852234" w:rsidRPr="00AC0293">
        <w:rPr>
          <w:i/>
          <w:iCs/>
          <w:lang w:val="en-NZ" w:eastAsia="en-NZ"/>
        </w:rPr>
        <w:t>suozaidi</w:t>
      </w:r>
      <w:proofErr w:type="spellEnd"/>
      <w:r w:rsidR="00852234" w:rsidRPr="00AC0293">
        <w:rPr>
          <w:lang w:val="en-NZ" w:eastAsia="en-NZ"/>
        </w:rPr>
        <w:t xml:space="preserve">), which was their official and permanent residence in the eyes of the state (Chan, </w:t>
      </w:r>
      <w:r w:rsidR="00AC0293" w:rsidRPr="00AC0293">
        <w:rPr>
          <w:lang w:val="en-NZ" w:eastAsia="en-NZ"/>
        </w:rPr>
        <w:t>2009).</w:t>
      </w:r>
      <w:r w:rsidR="00AC0293">
        <w:rPr>
          <w:lang w:val="en-NZ" w:eastAsia="en-NZ"/>
        </w:rPr>
        <w:t xml:space="preserve"> In the pre-reform era there was no freed</w:t>
      </w:r>
      <w:r w:rsidR="00AC0293" w:rsidRPr="00AC0293">
        <w:rPr>
          <w:lang w:val="en-NZ" w:eastAsia="en-NZ"/>
        </w:rPr>
        <w:t xml:space="preserve">om of movement, with </w:t>
      </w:r>
      <w:r w:rsidR="007C5D97" w:rsidRPr="00AC0293">
        <w:rPr>
          <w:lang w:val="en-NZ" w:eastAsia="en-NZ"/>
        </w:rPr>
        <w:t>all internal migration subject to appr</w:t>
      </w:r>
      <w:r w:rsidR="008D0AD0">
        <w:rPr>
          <w:lang w:val="en-NZ" w:eastAsia="en-NZ"/>
        </w:rPr>
        <w:t>oval</w:t>
      </w:r>
      <w:r w:rsidR="007C5D97" w:rsidRPr="00AC0293">
        <w:rPr>
          <w:lang w:val="en-NZ" w:eastAsia="en-NZ"/>
        </w:rPr>
        <w:t xml:space="preserve"> from authorities at the destination</w:t>
      </w:r>
      <w:r w:rsidR="00AC0293" w:rsidRPr="00AC0293">
        <w:rPr>
          <w:lang w:val="en-NZ" w:eastAsia="en-NZ"/>
        </w:rPr>
        <w:t>, so the</w:t>
      </w:r>
      <w:r w:rsidR="00AC0293">
        <w:rPr>
          <w:bCs/>
          <w:i/>
        </w:rPr>
        <w:t xml:space="preserve"> </w:t>
      </w:r>
      <w:proofErr w:type="spellStart"/>
      <w:r w:rsidR="00AC0293">
        <w:rPr>
          <w:bCs/>
          <w:i/>
        </w:rPr>
        <w:t>h</w:t>
      </w:r>
      <w:r w:rsidR="008054F8">
        <w:rPr>
          <w:bCs/>
          <w:i/>
        </w:rPr>
        <w:t>ukou</w:t>
      </w:r>
      <w:proofErr w:type="spellEnd"/>
      <w:r w:rsidR="008054F8">
        <w:rPr>
          <w:bCs/>
          <w:i/>
        </w:rPr>
        <w:t xml:space="preserve"> </w:t>
      </w:r>
      <w:r w:rsidR="00715650">
        <w:rPr>
          <w:bCs/>
        </w:rPr>
        <w:t>operated much like a</w:t>
      </w:r>
      <w:r w:rsidR="007C5D97">
        <w:rPr>
          <w:bCs/>
        </w:rPr>
        <w:t>n internal</w:t>
      </w:r>
      <w:r w:rsidR="00715650">
        <w:rPr>
          <w:bCs/>
        </w:rPr>
        <w:t xml:space="preserve"> passport system (Chan and Zhang, 1999).</w:t>
      </w:r>
      <w:r w:rsidR="00AC0293">
        <w:rPr>
          <w:bCs/>
        </w:rPr>
        <w:t xml:space="preserve"> But</w:t>
      </w:r>
      <w:r w:rsidR="001B1B6D">
        <w:rPr>
          <w:bCs/>
        </w:rPr>
        <w:t xml:space="preserve"> China’s population was maladjusted for the needs of a market economy, with too many people in the inter</w:t>
      </w:r>
      <w:r w:rsidR="008054F8">
        <w:rPr>
          <w:bCs/>
        </w:rPr>
        <w:t xml:space="preserve">ior, and </w:t>
      </w:r>
      <w:r w:rsidR="00AC0293">
        <w:rPr>
          <w:bCs/>
        </w:rPr>
        <w:t xml:space="preserve">too few </w:t>
      </w:r>
      <w:r w:rsidR="008054F8">
        <w:rPr>
          <w:bCs/>
        </w:rPr>
        <w:t>in the soon-to-be-</w:t>
      </w:r>
      <w:r w:rsidR="001B1B6D">
        <w:rPr>
          <w:bCs/>
        </w:rPr>
        <w:t xml:space="preserve">booming coastal cities. </w:t>
      </w:r>
      <w:r w:rsidR="00AC0293">
        <w:rPr>
          <w:bCs/>
        </w:rPr>
        <w:t>So the non-</w:t>
      </w:r>
      <w:proofErr w:type="spellStart"/>
      <w:r w:rsidR="00AC0293">
        <w:rPr>
          <w:bCs/>
          <w:i/>
        </w:rPr>
        <w:t>hukou</w:t>
      </w:r>
      <w:proofErr w:type="spellEnd"/>
      <w:r w:rsidR="00AC0293">
        <w:rPr>
          <w:bCs/>
          <w:i/>
        </w:rPr>
        <w:t xml:space="preserve"> </w:t>
      </w:r>
      <w:r w:rsidR="00AC0293">
        <w:rPr>
          <w:bCs/>
        </w:rPr>
        <w:t>migrants emerged</w:t>
      </w:r>
      <w:r w:rsidR="008F6721">
        <w:rPr>
          <w:bCs/>
        </w:rPr>
        <w:t xml:space="preserve">, </w:t>
      </w:r>
      <w:r w:rsidR="00DB7E5C">
        <w:rPr>
          <w:bCs/>
        </w:rPr>
        <w:t xml:space="preserve">people who moved to live and work somewhere other than their place of </w:t>
      </w:r>
      <w:proofErr w:type="spellStart"/>
      <w:r w:rsidR="00DB7E5C" w:rsidRPr="00DB7E5C">
        <w:rPr>
          <w:bCs/>
          <w:i/>
        </w:rPr>
        <w:t>hukou</w:t>
      </w:r>
      <w:proofErr w:type="spellEnd"/>
      <w:r w:rsidR="00DB7E5C">
        <w:rPr>
          <w:bCs/>
        </w:rPr>
        <w:t xml:space="preserve"> registration – often hundreds of miles away. </w:t>
      </w:r>
    </w:p>
    <w:p w:rsidR="00F60775" w:rsidRDefault="00F60775" w:rsidP="007A7BC1">
      <w:pPr>
        <w:spacing w:line="276" w:lineRule="auto"/>
        <w:jc w:val="both"/>
        <w:rPr>
          <w:bCs/>
        </w:rPr>
      </w:pPr>
    </w:p>
    <w:p w:rsidR="007A66CF" w:rsidRPr="007A66CF" w:rsidRDefault="007A7BC1" w:rsidP="007A7BC1">
      <w:pPr>
        <w:spacing w:line="276" w:lineRule="auto"/>
        <w:jc w:val="both"/>
      </w:pPr>
      <w:r>
        <w:rPr>
          <w:bCs/>
        </w:rPr>
        <w:tab/>
      </w:r>
      <w:r w:rsidR="004B075E">
        <w:rPr>
          <w:bCs/>
        </w:rPr>
        <w:t xml:space="preserve">China’s statistical </w:t>
      </w:r>
      <w:r w:rsidR="008F6721">
        <w:rPr>
          <w:bCs/>
        </w:rPr>
        <w:t xml:space="preserve">system </w:t>
      </w:r>
      <w:r w:rsidR="004B075E">
        <w:rPr>
          <w:bCs/>
        </w:rPr>
        <w:t>had no way to deal with the non-</w:t>
      </w:r>
      <w:proofErr w:type="spellStart"/>
      <w:r w:rsidR="004B075E" w:rsidRPr="008F6721">
        <w:rPr>
          <w:bCs/>
          <w:i/>
        </w:rPr>
        <w:t>hukou</w:t>
      </w:r>
      <w:proofErr w:type="spellEnd"/>
      <w:r w:rsidR="004B075E">
        <w:rPr>
          <w:bCs/>
        </w:rPr>
        <w:t xml:space="preserve"> migrants</w:t>
      </w:r>
      <w:r w:rsidR="00F141FA">
        <w:rPr>
          <w:bCs/>
        </w:rPr>
        <w:t>, so for most</w:t>
      </w:r>
      <w:r w:rsidR="008F6721">
        <w:rPr>
          <w:bCs/>
        </w:rPr>
        <w:t xml:space="preserve"> of the first three decades of the reform era, local GDP was divided by </w:t>
      </w:r>
      <w:r w:rsidR="008F6721">
        <w:rPr>
          <w:bCs/>
          <w:i/>
        </w:rPr>
        <w:t>registered</w:t>
      </w:r>
      <w:r w:rsidR="008F6721">
        <w:rPr>
          <w:bCs/>
        </w:rPr>
        <w:t xml:space="preserve"> population rather than by </w:t>
      </w:r>
      <w:r w:rsidR="008F6721">
        <w:rPr>
          <w:bCs/>
          <w:i/>
        </w:rPr>
        <w:t>resident</w:t>
      </w:r>
      <w:r w:rsidR="008F6721">
        <w:rPr>
          <w:bCs/>
        </w:rPr>
        <w:t xml:space="preserve"> population</w:t>
      </w:r>
      <w:r w:rsidR="006A191B">
        <w:rPr>
          <w:bCs/>
        </w:rPr>
        <w:t xml:space="preserve"> whenever</w:t>
      </w:r>
      <w:r w:rsidR="008F6721">
        <w:rPr>
          <w:bCs/>
        </w:rPr>
        <w:t xml:space="preserve"> </w:t>
      </w:r>
      <w:r w:rsidR="008F6721">
        <w:rPr>
          <w:bCs/>
          <w:i/>
        </w:rPr>
        <w:t xml:space="preserve">per capita </w:t>
      </w:r>
      <w:r w:rsidR="008F6721">
        <w:rPr>
          <w:bCs/>
        </w:rPr>
        <w:t>figures were</w:t>
      </w:r>
      <w:r w:rsidR="006A191B">
        <w:rPr>
          <w:bCs/>
        </w:rPr>
        <w:t xml:space="preserve"> reported</w:t>
      </w:r>
      <w:r w:rsidR="008F6721">
        <w:rPr>
          <w:bCs/>
        </w:rPr>
        <w:t xml:space="preserve">. </w:t>
      </w:r>
      <w:r w:rsidR="00DB7E5C">
        <w:t xml:space="preserve">In other words, official data on provincial GDP </w:t>
      </w:r>
      <w:r w:rsidR="00DB7E5C" w:rsidRPr="00DB7E5C">
        <w:rPr>
          <w:i/>
        </w:rPr>
        <w:t>per capita</w:t>
      </w:r>
      <w:r w:rsidR="00DB7E5C">
        <w:t xml:space="preserve"> (and also </w:t>
      </w:r>
      <w:r w:rsidR="00044406">
        <w:t xml:space="preserve">for </w:t>
      </w:r>
      <w:r w:rsidR="00DB7E5C">
        <w:t>prefecture</w:t>
      </w:r>
      <w:r w:rsidR="00044406">
        <w:t>s, counties and cities</w:t>
      </w:r>
      <w:r w:rsidR="00DB7E5C">
        <w:t xml:space="preserve">) were not based on the average number of residents but instead, </w:t>
      </w:r>
      <w:r w:rsidR="00C92CD7">
        <w:t xml:space="preserve">on </w:t>
      </w:r>
      <w:r w:rsidR="00DB7E5C">
        <w:t xml:space="preserve">the household registered population. </w:t>
      </w:r>
      <w:r w:rsidR="00044406">
        <w:t>In coastal provinces t</w:t>
      </w:r>
      <w:r w:rsidR="00DB7E5C">
        <w:t>he hou</w:t>
      </w:r>
      <w:r w:rsidR="007A66CF">
        <w:t xml:space="preserve">sehold registered population is </w:t>
      </w:r>
      <w:r w:rsidR="00A549B6">
        <w:t xml:space="preserve">many </w:t>
      </w:r>
      <w:r w:rsidR="00C92CD7">
        <w:t>millions less than the</w:t>
      </w:r>
      <w:r w:rsidR="00DB7E5C">
        <w:t xml:space="preserve"> resident population, while the reverse is true for migrant-sending inland provinces, </w:t>
      </w:r>
      <w:r w:rsidR="007A66CF">
        <w:t xml:space="preserve">so </w:t>
      </w:r>
      <w:r w:rsidR="00DB7E5C">
        <w:t xml:space="preserve">a systematic and time-varying distortion in provincial GDP </w:t>
      </w:r>
      <w:r w:rsidR="00DB7E5C" w:rsidRPr="00DB7E5C">
        <w:rPr>
          <w:i/>
        </w:rPr>
        <w:t>per capita</w:t>
      </w:r>
      <w:r w:rsidR="00DB7E5C">
        <w:t xml:space="preserve"> data was created. </w:t>
      </w:r>
      <w:r w:rsidR="007A66CF">
        <w:rPr>
          <w:bCs/>
        </w:rPr>
        <w:t>For example, at the time of the 2000 census</w:t>
      </w:r>
      <w:r w:rsidR="00170EB9">
        <w:rPr>
          <w:bCs/>
        </w:rPr>
        <w:t>,</w:t>
      </w:r>
      <w:r w:rsidR="007A66CF">
        <w:rPr>
          <w:bCs/>
        </w:rPr>
        <w:t xml:space="preserve"> Guangdong</w:t>
      </w:r>
      <w:r w:rsidR="000243C6">
        <w:rPr>
          <w:bCs/>
        </w:rPr>
        <w:t xml:space="preserve"> province had a</w:t>
      </w:r>
      <w:r w:rsidR="007A66CF">
        <w:rPr>
          <w:bCs/>
        </w:rPr>
        <w:t xml:space="preserve"> registered population </w:t>
      </w:r>
      <w:r w:rsidR="000243C6">
        <w:rPr>
          <w:bCs/>
        </w:rPr>
        <w:t>of</w:t>
      </w:r>
      <w:r w:rsidR="007A66CF">
        <w:rPr>
          <w:bCs/>
        </w:rPr>
        <w:t xml:space="preserve"> 75 million but</w:t>
      </w:r>
      <w:r w:rsidR="00044406">
        <w:rPr>
          <w:bCs/>
        </w:rPr>
        <w:t xml:space="preserve"> </w:t>
      </w:r>
      <w:r w:rsidR="007A66CF">
        <w:rPr>
          <w:bCs/>
        </w:rPr>
        <w:t>resident</w:t>
      </w:r>
      <w:r w:rsidR="00044406">
        <w:rPr>
          <w:bCs/>
        </w:rPr>
        <w:t>s</w:t>
      </w:r>
      <w:r w:rsidR="007A66CF">
        <w:rPr>
          <w:bCs/>
        </w:rPr>
        <w:t xml:space="preserve"> </w:t>
      </w:r>
      <w:r w:rsidR="00044406">
        <w:rPr>
          <w:bCs/>
        </w:rPr>
        <w:t>numbered</w:t>
      </w:r>
      <w:r w:rsidR="000258D8">
        <w:rPr>
          <w:bCs/>
        </w:rPr>
        <w:t xml:space="preserve"> 86 </w:t>
      </w:r>
      <w:r w:rsidR="007A66CF">
        <w:rPr>
          <w:bCs/>
        </w:rPr>
        <w:t xml:space="preserve">million, so using registered population to </w:t>
      </w:r>
      <w:r w:rsidR="007A66CF">
        <w:rPr>
          <w:bCs/>
        </w:rPr>
        <w:lastRenderedPageBreak/>
        <w:t xml:space="preserve">calculate GDP </w:t>
      </w:r>
      <w:r w:rsidR="007A66CF">
        <w:rPr>
          <w:bCs/>
          <w:i/>
        </w:rPr>
        <w:t>per capita</w:t>
      </w:r>
      <w:r w:rsidR="007A66CF">
        <w:rPr>
          <w:bCs/>
        </w:rPr>
        <w:t xml:space="preserve"> </w:t>
      </w:r>
      <w:r w:rsidR="000243C6">
        <w:rPr>
          <w:bCs/>
        </w:rPr>
        <w:t>gives</w:t>
      </w:r>
      <w:r w:rsidR="00044406">
        <w:rPr>
          <w:bCs/>
        </w:rPr>
        <w:t xml:space="preserve"> </w:t>
      </w:r>
      <w:r w:rsidR="000243C6">
        <w:rPr>
          <w:bCs/>
        </w:rPr>
        <w:t>a 15 </w:t>
      </w:r>
      <w:r w:rsidR="007A66CF">
        <w:rPr>
          <w:bCs/>
        </w:rPr>
        <w:t xml:space="preserve">percent overstatement. At finer spatial scales, such as for individual counties and cities, the error is </w:t>
      </w:r>
      <w:r w:rsidR="00965D1C">
        <w:rPr>
          <w:bCs/>
        </w:rPr>
        <w:t xml:space="preserve">much </w:t>
      </w:r>
      <w:r w:rsidR="007A66CF">
        <w:rPr>
          <w:bCs/>
        </w:rPr>
        <w:t xml:space="preserve">larger. The city of Shenzhen provides an outstanding example; its registered population was just over one million by the time of the 2000 census but its residents numbered seven million, so </w:t>
      </w:r>
      <w:r w:rsidR="007A66CF">
        <w:rPr>
          <w:bCs/>
          <w:i/>
        </w:rPr>
        <w:t>per capita</w:t>
      </w:r>
      <w:r w:rsidR="007A66CF">
        <w:rPr>
          <w:bCs/>
        </w:rPr>
        <w:t xml:space="preserve"> GDP was overstated by almost 600 percent in the official data of the time (Chan, 2009</w:t>
      </w:r>
      <w:r w:rsidR="00F33C3E">
        <w:rPr>
          <w:bCs/>
        </w:rPr>
        <w:t>a</w:t>
      </w:r>
      <w:r w:rsidR="007A66CF">
        <w:rPr>
          <w:bCs/>
        </w:rPr>
        <w:t>).</w:t>
      </w:r>
    </w:p>
    <w:p w:rsidR="007A66CF" w:rsidRDefault="007A66CF" w:rsidP="007A7BC1">
      <w:pPr>
        <w:spacing w:line="276" w:lineRule="auto"/>
        <w:jc w:val="both"/>
      </w:pPr>
    </w:p>
    <w:p w:rsidR="006A191B" w:rsidRPr="008F6721" w:rsidRDefault="007A7BC1" w:rsidP="007A7BC1">
      <w:pPr>
        <w:spacing w:line="276" w:lineRule="auto"/>
        <w:jc w:val="both"/>
        <w:rPr>
          <w:bCs/>
        </w:rPr>
      </w:pPr>
      <w:r>
        <w:rPr>
          <w:bCs/>
        </w:rPr>
        <w:tab/>
      </w:r>
      <w:r w:rsidR="0018667E">
        <w:rPr>
          <w:bCs/>
        </w:rPr>
        <w:t xml:space="preserve">Every year an avalanche of data comes out of China’s statistical system, with </w:t>
      </w:r>
      <w:r w:rsidR="00604E72">
        <w:rPr>
          <w:bCs/>
        </w:rPr>
        <w:t>yearbooks for each province and</w:t>
      </w:r>
      <w:r w:rsidR="0018667E">
        <w:rPr>
          <w:bCs/>
        </w:rPr>
        <w:t xml:space="preserve"> </w:t>
      </w:r>
      <w:r w:rsidR="000243C6">
        <w:rPr>
          <w:bCs/>
        </w:rPr>
        <w:t>for topics such as</w:t>
      </w:r>
      <w:r w:rsidR="00604E72">
        <w:rPr>
          <w:bCs/>
        </w:rPr>
        <w:t xml:space="preserve"> population</w:t>
      </w:r>
      <w:r w:rsidR="00044406">
        <w:rPr>
          <w:bCs/>
        </w:rPr>
        <w:t>, urbanization</w:t>
      </w:r>
      <w:r w:rsidR="000243C6">
        <w:rPr>
          <w:bCs/>
        </w:rPr>
        <w:t xml:space="preserve"> and the economy</w:t>
      </w:r>
      <w:r w:rsidR="00604E72">
        <w:rPr>
          <w:bCs/>
        </w:rPr>
        <w:t xml:space="preserve">. </w:t>
      </w:r>
      <w:r w:rsidR="0018667E">
        <w:rPr>
          <w:bCs/>
        </w:rPr>
        <w:t>The fac</w:t>
      </w:r>
      <w:r w:rsidR="00604E72">
        <w:rPr>
          <w:bCs/>
        </w:rPr>
        <w:t>t that these yearbooks regularly</w:t>
      </w:r>
      <w:r w:rsidR="0018667E">
        <w:rPr>
          <w:bCs/>
        </w:rPr>
        <w:t xml:space="preserve"> reported economic output </w:t>
      </w:r>
      <w:r w:rsidR="003C5D76">
        <w:rPr>
          <w:bCs/>
        </w:rPr>
        <w:t xml:space="preserve">of </w:t>
      </w:r>
      <w:r w:rsidR="0018667E">
        <w:rPr>
          <w:bCs/>
        </w:rPr>
        <w:t xml:space="preserve">each province or sub-provincial area divided by a population concept </w:t>
      </w:r>
      <w:r w:rsidR="00604E72">
        <w:rPr>
          <w:bCs/>
        </w:rPr>
        <w:t xml:space="preserve">that had </w:t>
      </w:r>
      <w:r w:rsidR="0018667E">
        <w:rPr>
          <w:bCs/>
        </w:rPr>
        <w:t xml:space="preserve">no bearing </w:t>
      </w:r>
      <w:r w:rsidR="000258D8">
        <w:rPr>
          <w:bCs/>
        </w:rPr>
        <w:t>t</w:t>
      </w:r>
      <w:r w:rsidR="0018667E">
        <w:rPr>
          <w:bCs/>
        </w:rPr>
        <w:t xml:space="preserve">o the </w:t>
      </w:r>
      <w:r w:rsidR="00604E72">
        <w:rPr>
          <w:bCs/>
        </w:rPr>
        <w:t xml:space="preserve">actual </w:t>
      </w:r>
      <w:r w:rsidR="0018667E">
        <w:rPr>
          <w:bCs/>
        </w:rPr>
        <w:t>number of people living in those areas</w:t>
      </w:r>
      <w:r w:rsidR="00DB7E5C">
        <w:rPr>
          <w:bCs/>
        </w:rPr>
        <w:t xml:space="preserve"> has been routinely ignored by economists. </w:t>
      </w:r>
      <w:r w:rsidR="0018667E">
        <w:rPr>
          <w:bCs/>
        </w:rPr>
        <w:t xml:space="preserve">As noted a decade ago by </w:t>
      </w:r>
      <w:proofErr w:type="spellStart"/>
      <w:r w:rsidR="0018667E">
        <w:rPr>
          <w:bCs/>
        </w:rPr>
        <w:t>Rawski</w:t>
      </w:r>
      <w:proofErr w:type="spellEnd"/>
      <w:r w:rsidR="0018667E">
        <w:rPr>
          <w:bCs/>
        </w:rPr>
        <w:t xml:space="preserve"> and Xiao (2001), few economists hesitated to utilize these standard y</w:t>
      </w:r>
      <w:r w:rsidR="000243C6">
        <w:rPr>
          <w:bCs/>
        </w:rPr>
        <w:t>earbook data for their research.</w:t>
      </w:r>
      <w:r w:rsidR="0018667E">
        <w:rPr>
          <w:bCs/>
        </w:rPr>
        <w:t xml:space="preserve"> </w:t>
      </w:r>
      <w:r w:rsidR="00044406">
        <w:rPr>
          <w:bCs/>
        </w:rPr>
        <w:t xml:space="preserve">Instead, most </w:t>
      </w:r>
      <w:r w:rsidR="003C5D76">
        <w:rPr>
          <w:bCs/>
        </w:rPr>
        <w:t xml:space="preserve">debate </w:t>
      </w:r>
      <w:r w:rsidR="00044406">
        <w:rPr>
          <w:bCs/>
        </w:rPr>
        <w:t xml:space="preserve">by economists about economic statistics </w:t>
      </w:r>
      <w:r w:rsidR="003C5D76">
        <w:rPr>
          <w:bCs/>
        </w:rPr>
        <w:t>concerns</w:t>
      </w:r>
      <w:r w:rsidR="00044406">
        <w:rPr>
          <w:bCs/>
        </w:rPr>
        <w:t xml:space="preserve"> </w:t>
      </w:r>
      <w:r w:rsidR="006A191B">
        <w:rPr>
          <w:bCs/>
        </w:rPr>
        <w:t xml:space="preserve">the </w:t>
      </w:r>
      <w:r w:rsidR="00044406">
        <w:rPr>
          <w:bCs/>
        </w:rPr>
        <w:t xml:space="preserve">possible falsification </w:t>
      </w:r>
      <w:r w:rsidR="006A191B">
        <w:rPr>
          <w:bCs/>
        </w:rPr>
        <w:t>of China’s GDP growth figures (</w:t>
      </w:r>
      <w:proofErr w:type="spellStart"/>
      <w:r w:rsidR="006A191B">
        <w:rPr>
          <w:bCs/>
        </w:rPr>
        <w:t>Rawski</w:t>
      </w:r>
      <w:proofErr w:type="spellEnd"/>
      <w:r w:rsidR="006A191B">
        <w:rPr>
          <w:bCs/>
        </w:rPr>
        <w:t>, 2001</w:t>
      </w:r>
      <w:r w:rsidR="003C5D76">
        <w:rPr>
          <w:bCs/>
        </w:rPr>
        <w:t>, Chow, 2006</w:t>
      </w:r>
      <w:r w:rsidR="006A191B">
        <w:rPr>
          <w:bCs/>
        </w:rPr>
        <w:t>)</w:t>
      </w:r>
      <w:r w:rsidR="003C5D76">
        <w:rPr>
          <w:bCs/>
        </w:rPr>
        <w:t xml:space="preserve"> and the </w:t>
      </w:r>
      <w:r w:rsidR="008672B9">
        <w:rPr>
          <w:bCs/>
        </w:rPr>
        <w:t>threat to time series comparisons from varying rules for constructing consumption data (</w:t>
      </w:r>
      <w:proofErr w:type="spellStart"/>
      <w:r w:rsidR="008672B9">
        <w:rPr>
          <w:bCs/>
        </w:rPr>
        <w:t>Holz</w:t>
      </w:r>
      <w:proofErr w:type="spellEnd"/>
      <w:r w:rsidR="008672B9">
        <w:rPr>
          <w:bCs/>
        </w:rPr>
        <w:t>, 2004). M</w:t>
      </w:r>
      <w:r w:rsidR="00997FCF">
        <w:rPr>
          <w:bCs/>
        </w:rPr>
        <w:t xml:space="preserve">uch less attention </w:t>
      </w:r>
      <w:r w:rsidR="008672B9">
        <w:rPr>
          <w:bCs/>
        </w:rPr>
        <w:t xml:space="preserve">is </w:t>
      </w:r>
      <w:r w:rsidR="00997FCF">
        <w:rPr>
          <w:bCs/>
        </w:rPr>
        <w:t xml:space="preserve">paid to the simpler issue of how to count China’s </w:t>
      </w:r>
      <w:r w:rsidR="00044406">
        <w:rPr>
          <w:bCs/>
        </w:rPr>
        <w:t xml:space="preserve">local </w:t>
      </w:r>
      <w:r w:rsidR="00997FCF">
        <w:rPr>
          <w:bCs/>
        </w:rPr>
        <w:t>population</w:t>
      </w:r>
      <w:r w:rsidR="00044406">
        <w:rPr>
          <w:bCs/>
        </w:rPr>
        <w:t>s</w:t>
      </w:r>
      <w:r w:rsidR="00997FCF">
        <w:rPr>
          <w:bCs/>
        </w:rPr>
        <w:t xml:space="preserve">, </w:t>
      </w:r>
      <w:r w:rsidR="000243C6">
        <w:rPr>
          <w:bCs/>
        </w:rPr>
        <w:t xml:space="preserve">despite the systematic distortion of </w:t>
      </w:r>
      <w:r w:rsidR="000243C6" w:rsidRPr="0018667E">
        <w:rPr>
          <w:bCs/>
          <w:i/>
        </w:rPr>
        <w:t>per capita</w:t>
      </w:r>
      <w:r w:rsidR="000243C6">
        <w:rPr>
          <w:bCs/>
        </w:rPr>
        <w:t xml:space="preserve"> </w:t>
      </w:r>
      <w:r w:rsidR="00E8177E">
        <w:rPr>
          <w:bCs/>
        </w:rPr>
        <w:t xml:space="preserve">data </w:t>
      </w:r>
      <w:r w:rsidR="000243C6">
        <w:rPr>
          <w:bCs/>
        </w:rPr>
        <w:t xml:space="preserve">created </w:t>
      </w:r>
      <w:r w:rsidR="00E8177E">
        <w:rPr>
          <w:bCs/>
        </w:rPr>
        <w:t>by using</w:t>
      </w:r>
      <w:r w:rsidR="000243C6">
        <w:rPr>
          <w:bCs/>
        </w:rPr>
        <w:t xml:space="preserve"> the wrong population</w:t>
      </w:r>
      <w:r w:rsidR="00E8177E">
        <w:rPr>
          <w:bCs/>
        </w:rPr>
        <w:t xml:space="preserve"> figures.</w:t>
      </w:r>
    </w:p>
    <w:p w:rsidR="0014463E" w:rsidRDefault="0014463E" w:rsidP="007A7BC1">
      <w:pPr>
        <w:spacing w:line="276" w:lineRule="auto"/>
        <w:jc w:val="both"/>
        <w:rPr>
          <w:bCs/>
        </w:rPr>
      </w:pPr>
    </w:p>
    <w:p w:rsidR="00044406" w:rsidRDefault="007A7BC1" w:rsidP="007A7BC1">
      <w:pPr>
        <w:spacing w:line="276" w:lineRule="auto"/>
        <w:jc w:val="both"/>
        <w:rPr>
          <w:bCs/>
        </w:rPr>
      </w:pPr>
      <w:r>
        <w:rPr>
          <w:bCs/>
        </w:rPr>
        <w:tab/>
      </w:r>
      <w:r w:rsidR="00044406">
        <w:rPr>
          <w:bCs/>
        </w:rPr>
        <w:t xml:space="preserve">In this paper we document </w:t>
      </w:r>
      <w:r w:rsidR="00F141FA">
        <w:rPr>
          <w:bCs/>
        </w:rPr>
        <w:t xml:space="preserve">these problems with China’s population data and highlight some </w:t>
      </w:r>
      <w:r w:rsidR="00C92CD7">
        <w:rPr>
          <w:bCs/>
        </w:rPr>
        <w:t>implications</w:t>
      </w:r>
      <w:r w:rsidR="00F141FA">
        <w:rPr>
          <w:bCs/>
        </w:rPr>
        <w:t>, especially for the literature</w:t>
      </w:r>
      <w:r w:rsidR="00C92CD7">
        <w:rPr>
          <w:bCs/>
        </w:rPr>
        <w:t xml:space="preserve"> </w:t>
      </w:r>
      <w:r w:rsidR="00C92CD7" w:rsidRPr="00C92CD7">
        <w:rPr>
          <w:bCs/>
        </w:rPr>
        <w:t xml:space="preserve">on inter-provincial and inter-regional (coastal-inland) inequality. A general finding is that inequality </w:t>
      </w:r>
      <w:r w:rsidR="00C92CD7">
        <w:rPr>
          <w:bCs/>
        </w:rPr>
        <w:t xml:space="preserve">rose </w:t>
      </w:r>
      <w:r w:rsidR="00C92CD7" w:rsidRPr="00C92CD7">
        <w:rPr>
          <w:bCs/>
        </w:rPr>
        <w:t xml:space="preserve">sharply in the reform </w:t>
      </w:r>
      <w:r w:rsidR="00C92CD7">
        <w:rPr>
          <w:bCs/>
        </w:rPr>
        <w:t xml:space="preserve">era </w:t>
      </w:r>
      <w:r w:rsidR="00C92CD7" w:rsidRPr="00C92CD7">
        <w:rPr>
          <w:bCs/>
        </w:rPr>
        <w:t>(e.g. Fan, 1995; Chen and</w:t>
      </w:r>
      <w:r w:rsidR="00E8177E">
        <w:rPr>
          <w:bCs/>
        </w:rPr>
        <w:t xml:space="preserve"> Fleisher, 1996; Huang et al.</w:t>
      </w:r>
      <w:r w:rsidR="00C92CD7" w:rsidRPr="00C92CD7">
        <w:rPr>
          <w:bCs/>
        </w:rPr>
        <w:t>, 2003</w:t>
      </w:r>
      <w:r w:rsidR="008672B9">
        <w:rPr>
          <w:bCs/>
        </w:rPr>
        <w:t>; Fan and Sun, 2008</w:t>
      </w:r>
      <w:r w:rsidR="000013FE">
        <w:rPr>
          <w:bCs/>
        </w:rPr>
        <w:t>; Li and Wei, 2010</w:t>
      </w:r>
      <w:r w:rsidR="00C92CD7" w:rsidRPr="00C92CD7">
        <w:rPr>
          <w:bCs/>
        </w:rPr>
        <w:t xml:space="preserve">) but this may be a statistical </w:t>
      </w:r>
      <w:proofErr w:type="spellStart"/>
      <w:r w:rsidR="00C92CD7" w:rsidRPr="00C92CD7">
        <w:rPr>
          <w:bCs/>
        </w:rPr>
        <w:t>artefact</w:t>
      </w:r>
      <w:proofErr w:type="spellEnd"/>
      <w:r w:rsidR="00C92CD7" w:rsidRPr="00C92CD7">
        <w:rPr>
          <w:bCs/>
        </w:rPr>
        <w:t xml:space="preserve"> caused by the unusual way that China has calculated GDP </w:t>
      </w:r>
      <w:r w:rsidR="00C92CD7" w:rsidRPr="00C92CD7">
        <w:rPr>
          <w:bCs/>
          <w:i/>
        </w:rPr>
        <w:t>per capita</w:t>
      </w:r>
      <w:r w:rsidR="00C92CD7" w:rsidRPr="00C92CD7">
        <w:rPr>
          <w:bCs/>
        </w:rPr>
        <w:t>.</w:t>
      </w:r>
      <w:r w:rsidR="00044406">
        <w:rPr>
          <w:bCs/>
        </w:rPr>
        <w:t xml:space="preserve"> </w:t>
      </w:r>
      <w:r w:rsidR="00C92CD7">
        <w:rPr>
          <w:bCs/>
        </w:rPr>
        <w:t xml:space="preserve">We also explore two problems related to the issue of </w:t>
      </w:r>
      <w:r w:rsidR="00044406">
        <w:rPr>
          <w:bCs/>
        </w:rPr>
        <w:t xml:space="preserve">the wrong population being used for </w:t>
      </w:r>
      <w:r w:rsidR="00044406" w:rsidRPr="00C92CD7">
        <w:rPr>
          <w:bCs/>
          <w:i/>
        </w:rPr>
        <w:t>per capita</w:t>
      </w:r>
      <w:r w:rsidR="00044406" w:rsidRPr="00C92CD7">
        <w:rPr>
          <w:bCs/>
        </w:rPr>
        <w:t xml:space="preserve"> </w:t>
      </w:r>
      <w:r w:rsidR="00C92CD7">
        <w:rPr>
          <w:bCs/>
        </w:rPr>
        <w:t>statistics</w:t>
      </w:r>
      <w:r w:rsidR="00044406">
        <w:rPr>
          <w:bCs/>
        </w:rPr>
        <w:t xml:space="preserve">. First, a sharp discontinuity </w:t>
      </w:r>
      <w:r w:rsidR="00571835">
        <w:rPr>
          <w:bCs/>
        </w:rPr>
        <w:t xml:space="preserve">occurred </w:t>
      </w:r>
      <w:r w:rsidR="00044406">
        <w:rPr>
          <w:bCs/>
        </w:rPr>
        <w:t xml:space="preserve">when </w:t>
      </w:r>
      <w:r w:rsidR="00620EF1">
        <w:rPr>
          <w:bCs/>
        </w:rPr>
        <w:t xml:space="preserve">some </w:t>
      </w:r>
      <w:r w:rsidR="00044406">
        <w:rPr>
          <w:bCs/>
        </w:rPr>
        <w:t xml:space="preserve">provinces </w:t>
      </w:r>
      <w:r w:rsidR="00C92CD7">
        <w:rPr>
          <w:bCs/>
        </w:rPr>
        <w:t xml:space="preserve">recently </w:t>
      </w:r>
      <w:r w:rsidR="00044406">
        <w:rPr>
          <w:bCs/>
        </w:rPr>
        <w:t>switched from reporting GDP per registered population to GDP per resident</w:t>
      </w:r>
      <w:r w:rsidR="00C92CD7">
        <w:rPr>
          <w:bCs/>
        </w:rPr>
        <w:t xml:space="preserve">. We show that this discontinuity </w:t>
      </w:r>
      <w:r w:rsidR="00044406">
        <w:rPr>
          <w:bCs/>
        </w:rPr>
        <w:t xml:space="preserve">causes a spurious </w:t>
      </w:r>
      <w:r w:rsidR="000243C6">
        <w:rPr>
          <w:bCs/>
        </w:rPr>
        <w:t xml:space="preserve">trend </w:t>
      </w:r>
      <w:r w:rsidR="00044406">
        <w:rPr>
          <w:bCs/>
        </w:rPr>
        <w:t>change for measures of inter-provincial inequality</w:t>
      </w:r>
      <w:r w:rsidR="00C92CD7">
        <w:rPr>
          <w:bCs/>
        </w:rPr>
        <w:t>,</w:t>
      </w:r>
      <w:r w:rsidR="00620EF1">
        <w:rPr>
          <w:bCs/>
        </w:rPr>
        <w:t xml:space="preserve"> which </w:t>
      </w:r>
      <w:r w:rsidR="008672B9">
        <w:rPr>
          <w:bCs/>
        </w:rPr>
        <w:t>coincides</w:t>
      </w:r>
      <w:r w:rsidR="00620EF1">
        <w:rPr>
          <w:bCs/>
        </w:rPr>
        <w:t xml:space="preserve"> with initiatives to reduce inequality</w:t>
      </w:r>
      <w:r w:rsidR="00C92CD7">
        <w:rPr>
          <w:bCs/>
        </w:rPr>
        <w:t xml:space="preserve"> such as </w:t>
      </w:r>
      <w:r w:rsidR="00C92CD7" w:rsidRPr="00C92CD7">
        <w:rPr>
          <w:bCs/>
        </w:rPr>
        <w:t xml:space="preserve">the West China Development Project (Fan and Sun, 2008), the Northeast China Revitalization Campaign (Zhang, 2008) and the Rise of Central China Plan (Lai, 2007). </w:t>
      </w:r>
      <w:r w:rsidR="00044406">
        <w:rPr>
          <w:bCs/>
        </w:rPr>
        <w:t>Second, there was a double-counting problem, since some provinces switched to reporting output per resident several years before other</w:t>
      </w:r>
      <w:r w:rsidR="000243C6">
        <w:rPr>
          <w:bCs/>
        </w:rPr>
        <w:t>s</w:t>
      </w:r>
      <w:r w:rsidR="00044406">
        <w:rPr>
          <w:bCs/>
        </w:rPr>
        <w:t xml:space="preserve">. Hence, the same person may have been </w:t>
      </w:r>
      <w:r w:rsidR="00571835">
        <w:rPr>
          <w:bCs/>
        </w:rPr>
        <w:t xml:space="preserve">in </w:t>
      </w:r>
      <w:r w:rsidR="00044406">
        <w:rPr>
          <w:bCs/>
        </w:rPr>
        <w:t xml:space="preserve">the denominator of GDP </w:t>
      </w:r>
      <w:r w:rsidR="00044406" w:rsidRPr="00C92CD7">
        <w:rPr>
          <w:bCs/>
          <w:i/>
        </w:rPr>
        <w:t>per capita</w:t>
      </w:r>
      <w:r w:rsidR="00044406">
        <w:rPr>
          <w:bCs/>
        </w:rPr>
        <w:t xml:space="preserve"> for two different </w:t>
      </w:r>
      <w:r w:rsidR="00571835">
        <w:rPr>
          <w:bCs/>
        </w:rPr>
        <w:t xml:space="preserve">places </w:t>
      </w:r>
      <w:r w:rsidR="00044406">
        <w:rPr>
          <w:bCs/>
        </w:rPr>
        <w:t>at the same</w:t>
      </w:r>
      <w:r w:rsidR="00571835">
        <w:rPr>
          <w:bCs/>
        </w:rPr>
        <w:t xml:space="preserve"> time; as a resident of one province and in the registered population of </w:t>
      </w:r>
      <w:r w:rsidR="000013FE">
        <w:rPr>
          <w:bCs/>
        </w:rPr>
        <w:t xml:space="preserve">a </w:t>
      </w:r>
      <w:r w:rsidR="00571835">
        <w:rPr>
          <w:bCs/>
        </w:rPr>
        <w:t>province that was slow to switch to reporting output per res</w:t>
      </w:r>
      <w:r w:rsidR="008556A3">
        <w:rPr>
          <w:bCs/>
        </w:rPr>
        <w:t>ident. We estimate that up to 26</w:t>
      </w:r>
      <w:r w:rsidR="00044406">
        <w:rPr>
          <w:bCs/>
        </w:rPr>
        <w:t xml:space="preserve"> million people were included in this double-count.</w:t>
      </w:r>
    </w:p>
    <w:p w:rsidR="007A7BC1" w:rsidRDefault="007A7BC1" w:rsidP="007A7BC1">
      <w:pPr>
        <w:spacing w:line="276" w:lineRule="auto"/>
        <w:jc w:val="both"/>
        <w:rPr>
          <w:bCs/>
        </w:rPr>
      </w:pPr>
    </w:p>
    <w:p w:rsidR="0014463E" w:rsidRPr="00EC780D" w:rsidRDefault="007A7BC1" w:rsidP="007A7BC1">
      <w:pPr>
        <w:spacing w:line="276" w:lineRule="auto"/>
        <w:jc w:val="both"/>
        <w:rPr>
          <w:bCs/>
        </w:rPr>
      </w:pPr>
      <w:r>
        <w:rPr>
          <w:bCs/>
        </w:rPr>
        <w:tab/>
      </w:r>
      <w:r w:rsidR="00D65185">
        <w:rPr>
          <w:bCs/>
        </w:rPr>
        <w:t xml:space="preserve">These population errors and their impact on GDP </w:t>
      </w:r>
      <w:r w:rsidR="00D65185">
        <w:rPr>
          <w:bCs/>
          <w:i/>
        </w:rPr>
        <w:t>per capita</w:t>
      </w:r>
      <w:r w:rsidR="00D65185">
        <w:rPr>
          <w:bCs/>
        </w:rPr>
        <w:t xml:space="preserve"> figures have been discussed in the geography literature for some time (Chan, 2007). But economists have largely ignored them, with just a single working paper devoted to this issue (Hoshino, 2011). In contrast to that previous study, we </w:t>
      </w:r>
      <w:r w:rsidR="000258D8">
        <w:rPr>
          <w:bCs/>
        </w:rPr>
        <w:t xml:space="preserve">explore all of the problems with China’s local population data while </w:t>
      </w:r>
      <w:proofErr w:type="spellStart"/>
      <w:r w:rsidR="000258D8">
        <w:rPr>
          <w:bCs/>
        </w:rPr>
        <w:t>Hoshinojust</w:t>
      </w:r>
      <w:proofErr w:type="spellEnd"/>
      <w:r w:rsidR="000258D8">
        <w:rPr>
          <w:bCs/>
        </w:rPr>
        <w:t xml:space="preserve"> examines the problem of using GDP per registered </w:t>
      </w:r>
      <w:r w:rsidR="000258D8">
        <w:rPr>
          <w:bCs/>
        </w:rPr>
        <w:lastRenderedPageBreak/>
        <w:t>population</w:t>
      </w:r>
      <w:r w:rsidR="00D65185">
        <w:rPr>
          <w:bCs/>
        </w:rPr>
        <w:t>.</w:t>
      </w:r>
      <w:r w:rsidR="000258D8">
        <w:rPr>
          <w:rStyle w:val="FootnoteReference"/>
          <w:bCs/>
        </w:rPr>
        <w:footnoteReference w:id="3"/>
      </w:r>
      <w:r w:rsidR="00D65185">
        <w:rPr>
          <w:bCs/>
        </w:rPr>
        <w:t xml:space="preserve"> Furthermore, a common thread of much recent applied research on China has been to use data from sub-provincial levels, such as prefectures (</w:t>
      </w:r>
      <w:r w:rsidR="00EC780D">
        <w:rPr>
          <w:bCs/>
        </w:rPr>
        <w:t>Roberts et al, 2012</w:t>
      </w:r>
      <w:r w:rsidR="00D65185">
        <w:rPr>
          <w:bCs/>
        </w:rPr>
        <w:t>) or counties (</w:t>
      </w:r>
      <w:proofErr w:type="spellStart"/>
      <w:r w:rsidR="00D65185">
        <w:rPr>
          <w:bCs/>
        </w:rPr>
        <w:t>Banerjee</w:t>
      </w:r>
      <w:proofErr w:type="spellEnd"/>
      <w:r w:rsidR="00D65185">
        <w:rPr>
          <w:bCs/>
        </w:rPr>
        <w:t xml:space="preserve">, </w:t>
      </w:r>
      <w:proofErr w:type="spellStart"/>
      <w:r w:rsidR="00D65185">
        <w:rPr>
          <w:bCs/>
        </w:rPr>
        <w:t>Duflo</w:t>
      </w:r>
      <w:proofErr w:type="spellEnd"/>
      <w:r w:rsidR="00D65185">
        <w:rPr>
          <w:bCs/>
        </w:rPr>
        <w:t xml:space="preserve"> and </w:t>
      </w:r>
      <w:proofErr w:type="spellStart"/>
      <w:r w:rsidR="00D65185">
        <w:rPr>
          <w:bCs/>
        </w:rPr>
        <w:t>Qian</w:t>
      </w:r>
      <w:proofErr w:type="spellEnd"/>
      <w:r w:rsidR="00D65185">
        <w:rPr>
          <w:bCs/>
        </w:rPr>
        <w:t xml:space="preserve">, 2012). </w:t>
      </w:r>
      <w:r w:rsidR="00EC780D">
        <w:rPr>
          <w:bCs/>
        </w:rPr>
        <w:t xml:space="preserve">Yet the problem of using the wrong population in </w:t>
      </w:r>
      <w:r w:rsidR="00EC780D" w:rsidRPr="00EC780D">
        <w:rPr>
          <w:bCs/>
          <w:i/>
        </w:rPr>
        <w:t>per capita</w:t>
      </w:r>
      <w:r w:rsidR="00EC780D">
        <w:rPr>
          <w:bCs/>
        </w:rPr>
        <w:t xml:space="preserve"> GDP statistics is much </w:t>
      </w:r>
      <w:r w:rsidR="00C92CD7">
        <w:rPr>
          <w:bCs/>
        </w:rPr>
        <w:t xml:space="preserve">worse </w:t>
      </w:r>
      <w:r w:rsidR="00EC780D">
        <w:rPr>
          <w:bCs/>
        </w:rPr>
        <w:t xml:space="preserve">for smaller jurisdictions like counties, because </w:t>
      </w:r>
      <w:r w:rsidR="005963A3">
        <w:rPr>
          <w:bCs/>
        </w:rPr>
        <w:t xml:space="preserve">many more people are defined as </w:t>
      </w:r>
      <w:r w:rsidR="00EC780D">
        <w:rPr>
          <w:bCs/>
        </w:rPr>
        <w:t>non-</w:t>
      </w:r>
      <w:proofErr w:type="spellStart"/>
      <w:r w:rsidR="00EC780D" w:rsidRPr="00EC780D">
        <w:rPr>
          <w:bCs/>
          <w:i/>
        </w:rPr>
        <w:t>hukou</w:t>
      </w:r>
      <w:proofErr w:type="spellEnd"/>
      <w:r w:rsidR="00EC780D">
        <w:rPr>
          <w:bCs/>
        </w:rPr>
        <w:t xml:space="preserve"> migrants when working with smaller geographic units (Chan, 2012). Moreover, </w:t>
      </w:r>
      <w:proofErr w:type="spellStart"/>
      <w:r w:rsidR="00EC780D">
        <w:rPr>
          <w:bCs/>
        </w:rPr>
        <w:t>intercensal</w:t>
      </w:r>
      <w:proofErr w:type="spellEnd"/>
      <w:r w:rsidR="00EC780D">
        <w:rPr>
          <w:bCs/>
        </w:rPr>
        <w:t xml:space="preserve"> population figures for lower-level units only refer to </w:t>
      </w:r>
      <w:r w:rsidR="005963A3">
        <w:rPr>
          <w:bCs/>
        </w:rPr>
        <w:t xml:space="preserve">the </w:t>
      </w:r>
      <w:proofErr w:type="spellStart"/>
      <w:r w:rsidR="00EC780D" w:rsidRPr="005963A3">
        <w:rPr>
          <w:bCs/>
          <w:i/>
        </w:rPr>
        <w:t>hukou</w:t>
      </w:r>
      <w:proofErr w:type="spellEnd"/>
      <w:r w:rsidR="00571835">
        <w:rPr>
          <w:bCs/>
        </w:rPr>
        <w:t xml:space="preserve"> registered population</w:t>
      </w:r>
      <w:r w:rsidR="00EC780D">
        <w:rPr>
          <w:bCs/>
        </w:rPr>
        <w:t xml:space="preserve"> (</w:t>
      </w:r>
      <w:proofErr w:type="spellStart"/>
      <w:r w:rsidR="00EC780D">
        <w:rPr>
          <w:bCs/>
        </w:rPr>
        <w:t>Scharping</w:t>
      </w:r>
      <w:proofErr w:type="spellEnd"/>
      <w:r w:rsidR="00EC780D">
        <w:rPr>
          <w:bCs/>
        </w:rPr>
        <w:t>, 2001)</w:t>
      </w:r>
      <w:r w:rsidR="005963A3">
        <w:rPr>
          <w:bCs/>
        </w:rPr>
        <w:t>. Consequently,</w:t>
      </w:r>
      <w:r w:rsidR="00EC780D">
        <w:rPr>
          <w:bCs/>
        </w:rPr>
        <w:t xml:space="preserve"> there are no annual estimates of the </w:t>
      </w:r>
      <w:r w:rsidR="00EC780D">
        <w:rPr>
          <w:bCs/>
          <w:i/>
        </w:rPr>
        <w:t>resident</w:t>
      </w:r>
      <w:r w:rsidR="00EC780D">
        <w:rPr>
          <w:bCs/>
        </w:rPr>
        <w:t xml:space="preserve"> population of small units like counties</w:t>
      </w:r>
      <w:r w:rsidR="005963A3">
        <w:rPr>
          <w:bCs/>
        </w:rPr>
        <w:t>,</w:t>
      </w:r>
      <w:r w:rsidR="00EC780D">
        <w:rPr>
          <w:bCs/>
        </w:rPr>
        <w:t xml:space="preserve"> so </w:t>
      </w:r>
      <w:r w:rsidR="00EC780D">
        <w:rPr>
          <w:bCs/>
          <w:i/>
        </w:rPr>
        <w:t>per capita</w:t>
      </w:r>
      <w:r w:rsidR="00EC780D">
        <w:rPr>
          <w:bCs/>
        </w:rPr>
        <w:t xml:space="preserve"> GDP estimates </w:t>
      </w:r>
      <w:r w:rsidR="005963A3">
        <w:rPr>
          <w:bCs/>
        </w:rPr>
        <w:t xml:space="preserve">for those small areas </w:t>
      </w:r>
      <w:r w:rsidR="00EC780D">
        <w:rPr>
          <w:bCs/>
        </w:rPr>
        <w:t>continue to be based on the wrong concept of local population.</w:t>
      </w:r>
    </w:p>
    <w:p w:rsidR="00D65185" w:rsidRDefault="00D65185" w:rsidP="007A7BC1">
      <w:pPr>
        <w:spacing w:line="276" w:lineRule="auto"/>
        <w:jc w:val="both"/>
        <w:rPr>
          <w:bCs/>
        </w:rPr>
      </w:pPr>
    </w:p>
    <w:p w:rsidR="00AA06B8" w:rsidRDefault="00AA06B8" w:rsidP="007A7BC1">
      <w:pPr>
        <w:spacing w:line="276" w:lineRule="auto"/>
        <w:jc w:val="both"/>
        <w:rPr>
          <w:bCs/>
        </w:rPr>
      </w:pPr>
    </w:p>
    <w:p w:rsidR="0014463E" w:rsidRDefault="00792904" w:rsidP="007A7BC1">
      <w:pPr>
        <w:spacing w:line="276" w:lineRule="auto"/>
        <w:jc w:val="both"/>
        <w:rPr>
          <w:b/>
          <w:bCs/>
        </w:rPr>
      </w:pPr>
      <w:r>
        <w:rPr>
          <w:b/>
          <w:bCs/>
        </w:rPr>
        <w:t xml:space="preserve">2.  </w:t>
      </w:r>
      <w:r w:rsidR="00FC342F" w:rsidRPr="00FC342F">
        <w:rPr>
          <w:b/>
          <w:bCs/>
        </w:rPr>
        <w:t>Impacts</w:t>
      </w:r>
      <w:r w:rsidR="00FC342F">
        <w:rPr>
          <w:b/>
          <w:bCs/>
        </w:rPr>
        <w:t xml:space="preserve"> on GDP </w:t>
      </w:r>
      <w:r w:rsidR="00FC342F" w:rsidRPr="00FC342F">
        <w:rPr>
          <w:b/>
          <w:bCs/>
          <w:i/>
        </w:rPr>
        <w:t>per capita</w:t>
      </w:r>
      <w:r w:rsidR="00FC342F">
        <w:rPr>
          <w:b/>
          <w:bCs/>
        </w:rPr>
        <w:t xml:space="preserve"> f</w:t>
      </w:r>
      <w:r w:rsidR="00FC342F" w:rsidRPr="00FC342F">
        <w:rPr>
          <w:b/>
          <w:bCs/>
        </w:rPr>
        <w:t>rom Using the Wrong Population</w:t>
      </w:r>
      <w:r w:rsidR="00FC342F">
        <w:rPr>
          <w:b/>
          <w:bCs/>
        </w:rPr>
        <w:t xml:space="preserve"> Concept</w:t>
      </w:r>
    </w:p>
    <w:p w:rsidR="007A7BC1" w:rsidRPr="007A7BC1" w:rsidRDefault="007A7BC1" w:rsidP="007A7BC1">
      <w:pPr>
        <w:spacing w:line="276" w:lineRule="auto"/>
        <w:jc w:val="both"/>
        <w:rPr>
          <w:b/>
          <w:bCs/>
          <w:sz w:val="12"/>
          <w:szCs w:val="12"/>
        </w:rPr>
      </w:pPr>
    </w:p>
    <w:p w:rsidR="004B5AE3" w:rsidRDefault="0014463E" w:rsidP="007A7BC1">
      <w:pPr>
        <w:spacing w:line="276" w:lineRule="auto"/>
        <w:jc w:val="both"/>
        <w:rPr>
          <w:bCs/>
        </w:rPr>
      </w:pPr>
      <w:r>
        <w:rPr>
          <w:bCs/>
        </w:rPr>
        <w:t>The discrepancy between registered and resident population caused by the non-</w:t>
      </w:r>
      <w:proofErr w:type="spellStart"/>
      <w:r w:rsidRPr="00D65185">
        <w:rPr>
          <w:bCs/>
          <w:i/>
        </w:rPr>
        <w:t>hukou</w:t>
      </w:r>
      <w:proofErr w:type="spellEnd"/>
      <w:r>
        <w:rPr>
          <w:bCs/>
        </w:rPr>
        <w:t xml:space="preserve"> migrants can only be clearly observed in years with either a </w:t>
      </w:r>
      <w:proofErr w:type="spellStart"/>
      <w:r>
        <w:rPr>
          <w:bCs/>
        </w:rPr>
        <w:t>microcensus</w:t>
      </w:r>
      <w:proofErr w:type="spellEnd"/>
      <w:r>
        <w:rPr>
          <w:bCs/>
        </w:rPr>
        <w:t xml:space="preserve"> or a full population census. </w:t>
      </w:r>
      <w:r w:rsidR="000243C6">
        <w:rPr>
          <w:bCs/>
        </w:rPr>
        <w:t xml:space="preserve">The </w:t>
      </w:r>
      <w:proofErr w:type="spellStart"/>
      <w:r w:rsidR="000243C6">
        <w:rPr>
          <w:bCs/>
        </w:rPr>
        <w:t>intercens</w:t>
      </w:r>
      <w:r w:rsidR="004E08E7">
        <w:rPr>
          <w:bCs/>
        </w:rPr>
        <w:t>al</w:t>
      </w:r>
      <w:proofErr w:type="spellEnd"/>
      <w:r w:rsidR="004E08E7">
        <w:rPr>
          <w:bCs/>
        </w:rPr>
        <w:t xml:space="preserve"> population </w:t>
      </w:r>
      <w:r w:rsidR="00DB7E5C">
        <w:rPr>
          <w:bCs/>
        </w:rPr>
        <w:t xml:space="preserve">data </w:t>
      </w:r>
      <w:r w:rsidR="00DB7E5C">
        <w:t>rely on the annual National Sample Survey on Population Changes</w:t>
      </w:r>
      <w:r w:rsidR="004E08E7">
        <w:rPr>
          <w:bCs/>
        </w:rPr>
        <w:t xml:space="preserve">, which appears to </w:t>
      </w:r>
      <w:r w:rsidR="00FC342F">
        <w:rPr>
          <w:bCs/>
        </w:rPr>
        <w:t xml:space="preserve">have </w:t>
      </w:r>
      <w:r w:rsidR="004E08E7">
        <w:rPr>
          <w:bCs/>
        </w:rPr>
        <w:t>understate</w:t>
      </w:r>
      <w:r w:rsidR="00FC342F">
        <w:rPr>
          <w:bCs/>
        </w:rPr>
        <w:t>d</w:t>
      </w:r>
      <w:r w:rsidR="004E08E7">
        <w:rPr>
          <w:bCs/>
        </w:rPr>
        <w:t xml:space="preserve"> non-</w:t>
      </w:r>
      <w:proofErr w:type="spellStart"/>
      <w:r w:rsidR="004E08E7" w:rsidRPr="004E08E7">
        <w:rPr>
          <w:bCs/>
          <w:i/>
        </w:rPr>
        <w:t>hukou</w:t>
      </w:r>
      <w:proofErr w:type="spellEnd"/>
      <w:r w:rsidR="004E08E7">
        <w:rPr>
          <w:bCs/>
        </w:rPr>
        <w:t xml:space="preserve"> migrants, as we show below.  In terms of the years with more reliable data, </w:t>
      </w:r>
      <w:r>
        <w:rPr>
          <w:bCs/>
        </w:rPr>
        <w:t xml:space="preserve">China has carried out a national census in 1982, 1990, 2000 and 2010, with a </w:t>
      </w:r>
      <w:r w:rsidR="00D65185">
        <w:rPr>
          <w:bCs/>
        </w:rPr>
        <w:t xml:space="preserve">one percent </w:t>
      </w:r>
      <w:proofErr w:type="spellStart"/>
      <w:r>
        <w:rPr>
          <w:bCs/>
        </w:rPr>
        <w:t>microcensus</w:t>
      </w:r>
      <w:proofErr w:type="spellEnd"/>
      <w:r>
        <w:rPr>
          <w:bCs/>
        </w:rPr>
        <w:t xml:space="preserve"> in </w:t>
      </w:r>
      <w:r w:rsidR="00D65185">
        <w:rPr>
          <w:bCs/>
        </w:rPr>
        <w:t xml:space="preserve">each of </w:t>
      </w:r>
      <w:r>
        <w:rPr>
          <w:bCs/>
        </w:rPr>
        <w:t>1987, 1995 and 2005.</w:t>
      </w:r>
      <w:r w:rsidR="004E08E7">
        <w:rPr>
          <w:bCs/>
        </w:rPr>
        <w:t xml:space="preserve"> But e</w:t>
      </w:r>
      <w:r>
        <w:rPr>
          <w:bCs/>
        </w:rPr>
        <w:t xml:space="preserve">ven the time-trend </w:t>
      </w:r>
      <w:r w:rsidR="009F17BB">
        <w:rPr>
          <w:bCs/>
        </w:rPr>
        <w:t xml:space="preserve">from </w:t>
      </w:r>
      <w:r>
        <w:rPr>
          <w:bCs/>
        </w:rPr>
        <w:t xml:space="preserve">census and </w:t>
      </w:r>
      <w:proofErr w:type="spellStart"/>
      <w:r>
        <w:rPr>
          <w:bCs/>
        </w:rPr>
        <w:t>microcensus</w:t>
      </w:r>
      <w:proofErr w:type="spellEnd"/>
      <w:r>
        <w:rPr>
          <w:bCs/>
        </w:rPr>
        <w:t xml:space="preserve"> data </w:t>
      </w:r>
      <w:r w:rsidR="004E08E7">
        <w:rPr>
          <w:bCs/>
        </w:rPr>
        <w:t xml:space="preserve">is not </w:t>
      </w:r>
      <w:r>
        <w:rPr>
          <w:bCs/>
        </w:rPr>
        <w:t xml:space="preserve">fully consistent since the </w:t>
      </w:r>
      <w:r w:rsidR="009F17BB">
        <w:rPr>
          <w:bCs/>
        </w:rPr>
        <w:t xml:space="preserve">duration required </w:t>
      </w:r>
      <w:r>
        <w:rPr>
          <w:bCs/>
        </w:rPr>
        <w:t>to be defined as a resident changed</w:t>
      </w:r>
      <w:r w:rsidR="009F17BB">
        <w:rPr>
          <w:bCs/>
        </w:rPr>
        <w:t xml:space="preserve"> (</w:t>
      </w:r>
      <w:proofErr w:type="spellStart"/>
      <w:r w:rsidR="009F17BB">
        <w:rPr>
          <w:bCs/>
        </w:rPr>
        <w:t>Scharping</w:t>
      </w:r>
      <w:proofErr w:type="spellEnd"/>
      <w:r w:rsidR="009F17BB">
        <w:rPr>
          <w:bCs/>
        </w:rPr>
        <w:t>, 2001)</w:t>
      </w:r>
      <w:r>
        <w:rPr>
          <w:bCs/>
        </w:rPr>
        <w:t xml:space="preserve">. The </w:t>
      </w:r>
      <w:r w:rsidR="004E08E7">
        <w:rPr>
          <w:bCs/>
        </w:rPr>
        <w:t xml:space="preserve">1982 and </w:t>
      </w:r>
      <w:r>
        <w:rPr>
          <w:bCs/>
        </w:rPr>
        <w:t>1990 census counted non-</w:t>
      </w:r>
      <w:proofErr w:type="spellStart"/>
      <w:r>
        <w:rPr>
          <w:bCs/>
          <w:i/>
        </w:rPr>
        <w:t>hukou</w:t>
      </w:r>
      <w:proofErr w:type="spellEnd"/>
      <w:r>
        <w:rPr>
          <w:bCs/>
        </w:rPr>
        <w:t xml:space="preserve"> migrants as residents at their place of in-migration if they had </w:t>
      </w:r>
      <w:r w:rsidR="009F17BB">
        <w:rPr>
          <w:bCs/>
        </w:rPr>
        <w:t xml:space="preserve">lived </w:t>
      </w:r>
      <w:r>
        <w:rPr>
          <w:bCs/>
        </w:rPr>
        <w:t xml:space="preserve">there for more than one year, but each </w:t>
      </w:r>
      <w:proofErr w:type="spellStart"/>
      <w:r>
        <w:rPr>
          <w:bCs/>
        </w:rPr>
        <w:t>microcensus</w:t>
      </w:r>
      <w:proofErr w:type="spellEnd"/>
      <w:r>
        <w:rPr>
          <w:bCs/>
        </w:rPr>
        <w:t xml:space="preserve"> and </w:t>
      </w:r>
      <w:r w:rsidR="004E08E7">
        <w:rPr>
          <w:bCs/>
        </w:rPr>
        <w:t xml:space="preserve">the </w:t>
      </w:r>
      <w:r w:rsidR="009F17BB">
        <w:rPr>
          <w:bCs/>
        </w:rPr>
        <w:t xml:space="preserve">census </w:t>
      </w:r>
      <w:r w:rsidR="004E08E7">
        <w:rPr>
          <w:bCs/>
        </w:rPr>
        <w:t xml:space="preserve">in 2000 and 2010 used </w:t>
      </w:r>
      <w:r w:rsidR="009F17BB">
        <w:rPr>
          <w:bCs/>
        </w:rPr>
        <w:t xml:space="preserve">a six-month stay for someone to be defined as a </w:t>
      </w:r>
      <w:r w:rsidR="009F17BB">
        <w:rPr>
          <w:bCs/>
          <w:i/>
        </w:rPr>
        <w:t xml:space="preserve">de facto </w:t>
      </w:r>
      <w:r w:rsidR="009F17BB">
        <w:rPr>
          <w:bCs/>
        </w:rPr>
        <w:t>resident.</w:t>
      </w:r>
      <w:r w:rsidR="000831C0">
        <w:rPr>
          <w:rStyle w:val="FootnoteReference"/>
          <w:bCs/>
        </w:rPr>
        <w:footnoteReference w:id="4"/>
      </w:r>
      <w:r w:rsidR="009F17BB">
        <w:rPr>
          <w:bCs/>
        </w:rPr>
        <w:t xml:space="preserve"> </w:t>
      </w:r>
    </w:p>
    <w:p w:rsidR="004B5AE3" w:rsidRDefault="004B5AE3" w:rsidP="007A7BC1">
      <w:pPr>
        <w:spacing w:line="276" w:lineRule="auto"/>
        <w:jc w:val="both"/>
        <w:rPr>
          <w:bCs/>
        </w:rPr>
      </w:pPr>
    </w:p>
    <w:p w:rsidR="0014463E" w:rsidRDefault="007A7BC1" w:rsidP="007A7BC1">
      <w:pPr>
        <w:spacing w:line="276" w:lineRule="auto"/>
        <w:jc w:val="both"/>
        <w:rPr>
          <w:bCs/>
        </w:rPr>
      </w:pPr>
      <w:r>
        <w:rPr>
          <w:bCs/>
        </w:rPr>
        <w:tab/>
      </w:r>
      <w:r w:rsidR="004B5AE3">
        <w:rPr>
          <w:bCs/>
        </w:rPr>
        <w:t xml:space="preserve">This inconsistency means that </w:t>
      </w:r>
      <w:r w:rsidR="009F17BB">
        <w:rPr>
          <w:bCs/>
        </w:rPr>
        <w:t>the number of non-</w:t>
      </w:r>
      <w:proofErr w:type="spellStart"/>
      <w:r w:rsidR="009F17BB">
        <w:rPr>
          <w:bCs/>
          <w:i/>
        </w:rPr>
        <w:t>hukou</w:t>
      </w:r>
      <w:proofErr w:type="spellEnd"/>
      <w:r w:rsidR="009F17BB">
        <w:rPr>
          <w:bCs/>
        </w:rPr>
        <w:t xml:space="preserve"> migrants will be understated in </w:t>
      </w:r>
      <w:r w:rsidR="004E08E7">
        <w:rPr>
          <w:bCs/>
        </w:rPr>
        <w:t xml:space="preserve">earlier years and </w:t>
      </w:r>
      <w:r w:rsidR="009F17BB">
        <w:rPr>
          <w:bCs/>
        </w:rPr>
        <w:t>the gap between GDP per resident and GDP per registered population will be smaller than if a consistent definition had been used.</w:t>
      </w:r>
      <w:r w:rsidR="004E08E7">
        <w:rPr>
          <w:bCs/>
        </w:rPr>
        <w:t xml:space="preserve"> </w:t>
      </w:r>
      <w:r w:rsidR="004B5AE3">
        <w:rPr>
          <w:bCs/>
        </w:rPr>
        <w:t xml:space="preserve">However our main point is not much undermined by this </w:t>
      </w:r>
      <w:r w:rsidR="004E08E7">
        <w:rPr>
          <w:bCs/>
        </w:rPr>
        <w:t>inconsistency, since the non-</w:t>
      </w:r>
      <w:proofErr w:type="spellStart"/>
      <w:r w:rsidR="004E08E7">
        <w:rPr>
          <w:bCs/>
          <w:i/>
        </w:rPr>
        <w:t>hukou</w:t>
      </w:r>
      <w:proofErr w:type="spellEnd"/>
      <w:r w:rsidR="004E08E7">
        <w:rPr>
          <w:bCs/>
        </w:rPr>
        <w:t xml:space="preserve"> migrants were a much smaller group in the 1980s, increasing by just 15 million (from 6.6 million in 1982 to 21.6 million in 1990</w:t>
      </w:r>
      <w:r w:rsidR="004B5AE3">
        <w:rPr>
          <w:bCs/>
        </w:rPr>
        <w:t xml:space="preserve"> – both figures on a one year residency definition</w:t>
      </w:r>
      <w:r w:rsidR="004E08E7">
        <w:rPr>
          <w:bCs/>
        </w:rPr>
        <w:t>).</w:t>
      </w:r>
      <w:r w:rsidR="00590812">
        <w:rPr>
          <w:bCs/>
        </w:rPr>
        <w:t xml:space="preserve"> In contrast, Chan (2012) report</w:t>
      </w:r>
      <w:r w:rsidR="004B5AE3">
        <w:rPr>
          <w:bCs/>
        </w:rPr>
        <w:t>s that the number of non-</w:t>
      </w:r>
      <w:proofErr w:type="spellStart"/>
      <w:r w:rsidR="004B5AE3" w:rsidRPr="004B5AE3">
        <w:rPr>
          <w:bCs/>
          <w:i/>
        </w:rPr>
        <w:t>hukou</w:t>
      </w:r>
      <w:proofErr w:type="spellEnd"/>
      <w:r w:rsidR="004B5AE3">
        <w:rPr>
          <w:bCs/>
        </w:rPr>
        <w:t xml:space="preserve"> migrants increased by almost 100 million between the 1995 </w:t>
      </w:r>
      <w:proofErr w:type="spellStart"/>
      <w:r w:rsidR="004B5AE3">
        <w:rPr>
          <w:bCs/>
        </w:rPr>
        <w:t>microcensus</w:t>
      </w:r>
      <w:proofErr w:type="spellEnd"/>
      <w:r w:rsidR="004B5AE3">
        <w:rPr>
          <w:bCs/>
        </w:rPr>
        <w:t xml:space="preserve"> and the 2000 census (both on a six month definition). So it is in the 1990s</w:t>
      </w:r>
      <w:r w:rsidR="00590812">
        <w:rPr>
          <w:bCs/>
        </w:rPr>
        <w:t>,</w:t>
      </w:r>
      <w:r w:rsidR="004B5AE3">
        <w:rPr>
          <w:bCs/>
        </w:rPr>
        <w:t xml:space="preserve"> and subsequently</w:t>
      </w:r>
      <w:r w:rsidR="00590812">
        <w:rPr>
          <w:bCs/>
        </w:rPr>
        <w:t>,</w:t>
      </w:r>
      <w:r w:rsidR="004B5AE3">
        <w:rPr>
          <w:bCs/>
        </w:rPr>
        <w:t xml:space="preserve"> that the trends in GDP </w:t>
      </w:r>
      <w:r w:rsidR="004B5AE3" w:rsidRPr="00590812">
        <w:rPr>
          <w:bCs/>
          <w:i/>
        </w:rPr>
        <w:t>per capita</w:t>
      </w:r>
      <w:r w:rsidR="004B5AE3">
        <w:rPr>
          <w:bCs/>
        </w:rPr>
        <w:t xml:space="preserve"> are </w:t>
      </w:r>
      <w:r w:rsidR="00DB7E5C">
        <w:rPr>
          <w:bCs/>
        </w:rPr>
        <w:t xml:space="preserve">most </w:t>
      </w:r>
      <w:r w:rsidR="004B5AE3">
        <w:rPr>
          <w:bCs/>
        </w:rPr>
        <w:t>affected by the discrepancy between registered and resident population.</w:t>
      </w:r>
    </w:p>
    <w:p w:rsidR="00BA433C" w:rsidRDefault="00BA433C" w:rsidP="007A7BC1">
      <w:pPr>
        <w:spacing w:line="276" w:lineRule="auto"/>
        <w:jc w:val="both"/>
        <w:rPr>
          <w:bCs/>
        </w:rPr>
      </w:pPr>
    </w:p>
    <w:p w:rsidR="005E57D9" w:rsidRDefault="007A7BC1" w:rsidP="007A7BC1">
      <w:pPr>
        <w:spacing w:line="276" w:lineRule="auto"/>
        <w:jc w:val="both"/>
        <w:rPr>
          <w:bCs/>
        </w:rPr>
      </w:pPr>
      <w:r>
        <w:rPr>
          <w:bCs/>
        </w:rPr>
        <w:lastRenderedPageBreak/>
        <w:tab/>
      </w:r>
      <w:r w:rsidR="00B60AA7">
        <w:rPr>
          <w:bCs/>
        </w:rPr>
        <w:t>In Figure 1 we illustrate</w:t>
      </w:r>
      <w:r w:rsidR="009802FA">
        <w:rPr>
          <w:bCs/>
        </w:rPr>
        <w:t xml:space="preserve"> the trends in GDP </w:t>
      </w:r>
      <w:r w:rsidR="009802FA" w:rsidRPr="00B5092E">
        <w:rPr>
          <w:bCs/>
          <w:i/>
        </w:rPr>
        <w:t>per capita</w:t>
      </w:r>
      <w:r w:rsidR="009802FA">
        <w:rPr>
          <w:bCs/>
        </w:rPr>
        <w:t xml:space="preserve"> for six provinces, three migrant-se</w:t>
      </w:r>
      <w:r w:rsidR="00B5092E">
        <w:rPr>
          <w:bCs/>
        </w:rPr>
        <w:t xml:space="preserve">nders in the left </w:t>
      </w:r>
      <w:r w:rsidR="009802FA">
        <w:rPr>
          <w:bCs/>
        </w:rPr>
        <w:t>column and three migrant-receivers in the right.</w:t>
      </w:r>
      <w:r w:rsidR="00B5092E" w:rsidRPr="00B5092E">
        <w:rPr>
          <w:rStyle w:val="FootnoteReference"/>
          <w:bCs/>
        </w:rPr>
        <w:t xml:space="preserve"> </w:t>
      </w:r>
      <w:r w:rsidR="00B5092E">
        <w:rPr>
          <w:rStyle w:val="FootnoteReference"/>
          <w:bCs/>
        </w:rPr>
        <w:footnoteReference w:id="5"/>
      </w:r>
      <w:r w:rsidR="009802FA">
        <w:rPr>
          <w:bCs/>
        </w:rPr>
        <w:t xml:space="preserve"> The solid </w:t>
      </w:r>
      <w:r w:rsidR="00B5092E">
        <w:rPr>
          <w:bCs/>
        </w:rPr>
        <w:t>line</w:t>
      </w:r>
      <w:r w:rsidR="009802FA">
        <w:rPr>
          <w:bCs/>
        </w:rPr>
        <w:t xml:space="preserve"> </w:t>
      </w:r>
      <w:r w:rsidR="00B5092E">
        <w:rPr>
          <w:bCs/>
        </w:rPr>
        <w:t xml:space="preserve">is </w:t>
      </w:r>
      <w:r w:rsidR="009802FA">
        <w:rPr>
          <w:bCs/>
        </w:rPr>
        <w:t xml:space="preserve">the ratio of provincial GDP (in 2010 prices) to the population with </w:t>
      </w:r>
      <w:proofErr w:type="spellStart"/>
      <w:r w:rsidR="00B5092E">
        <w:rPr>
          <w:bCs/>
          <w:i/>
        </w:rPr>
        <w:t>hukou</w:t>
      </w:r>
      <w:proofErr w:type="spellEnd"/>
      <w:r w:rsidR="00B5092E">
        <w:rPr>
          <w:bCs/>
          <w:i/>
        </w:rPr>
        <w:t xml:space="preserve"> </w:t>
      </w:r>
      <w:r w:rsidR="009802FA">
        <w:rPr>
          <w:bCs/>
        </w:rPr>
        <w:t>for that province. The</w:t>
      </w:r>
      <w:r w:rsidR="00B5092E">
        <w:rPr>
          <w:bCs/>
        </w:rPr>
        <w:t xml:space="preserve"> dashed line</w:t>
      </w:r>
      <w:r w:rsidR="009802FA">
        <w:rPr>
          <w:bCs/>
        </w:rPr>
        <w:t xml:space="preserve"> show</w:t>
      </w:r>
      <w:r w:rsidR="00B5092E">
        <w:rPr>
          <w:bCs/>
        </w:rPr>
        <w:t>s</w:t>
      </w:r>
      <w:r w:rsidR="009802FA">
        <w:rPr>
          <w:bCs/>
        </w:rPr>
        <w:t xml:space="preserve"> GDP divided by the local resident population, as counted in the census or </w:t>
      </w:r>
      <w:proofErr w:type="spellStart"/>
      <w:r w:rsidR="009802FA">
        <w:rPr>
          <w:bCs/>
        </w:rPr>
        <w:t>microcensus</w:t>
      </w:r>
      <w:proofErr w:type="spellEnd"/>
      <w:r w:rsidR="00012EA1">
        <w:rPr>
          <w:bCs/>
        </w:rPr>
        <w:t xml:space="preserve"> (</w:t>
      </w:r>
      <w:r w:rsidR="000108E2">
        <w:rPr>
          <w:bCs/>
        </w:rPr>
        <w:t>six-month residency criteria</w:t>
      </w:r>
      <w:r w:rsidR="00012EA1">
        <w:rPr>
          <w:bCs/>
        </w:rPr>
        <w:t>)</w:t>
      </w:r>
      <w:r w:rsidR="009802FA">
        <w:rPr>
          <w:bCs/>
        </w:rPr>
        <w:t>.</w:t>
      </w:r>
      <w:r w:rsidR="009802FA">
        <w:rPr>
          <w:rStyle w:val="FootnoteReference"/>
          <w:bCs/>
        </w:rPr>
        <w:footnoteReference w:id="6"/>
      </w:r>
      <w:r w:rsidR="00B5092E">
        <w:rPr>
          <w:bCs/>
        </w:rPr>
        <w:t xml:space="preserve"> The GDP per resident of the migrant-sending provinces is about seven percent higher than GDP per regis</w:t>
      </w:r>
      <w:r w:rsidR="00995FD2">
        <w:rPr>
          <w:bCs/>
        </w:rPr>
        <w:t xml:space="preserve">tered population in 2005, and </w:t>
      </w:r>
      <w:r w:rsidR="005963A3">
        <w:rPr>
          <w:bCs/>
        </w:rPr>
        <w:t xml:space="preserve">about 15 percent higher in </w:t>
      </w:r>
      <w:r w:rsidR="00B5092E">
        <w:rPr>
          <w:bCs/>
        </w:rPr>
        <w:t>2010</w:t>
      </w:r>
      <w:r w:rsidR="005963A3">
        <w:rPr>
          <w:bCs/>
        </w:rPr>
        <w:t>.</w:t>
      </w:r>
      <w:r w:rsidR="00995FD2">
        <w:rPr>
          <w:bCs/>
        </w:rPr>
        <w:t xml:space="preserve"> </w:t>
      </w:r>
      <w:r w:rsidR="005E57D9">
        <w:rPr>
          <w:bCs/>
        </w:rPr>
        <w:t xml:space="preserve">The reason for the gap is that the </w:t>
      </w:r>
      <w:r w:rsidR="00012EA1">
        <w:rPr>
          <w:bCs/>
        </w:rPr>
        <w:t xml:space="preserve">permanent </w:t>
      </w:r>
      <w:r w:rsidR="005E57D9">
        <w:rPr>
          <w:bCs/>
        </w:rPr>
        <w:t>residents</w:t>
      </w:r>
      <w:r w:rsidR="00012EA1">
        <w:rPr>
          <w:bCs/>
        </w:rPr>
        <w:t xml:space="preserve"> </w:t>
      </w:r>
      <w:r w:rsidR="005E57D9">
        <w:rPr>
          <w:bCs/>
        </w:rPr>
        <w:t xml:space="preserve">of the migrant-sending provinces are far fewer than the number of people with </w:t>
      </w:r>
      <w:proofErr w:type="spellStart"/>
      <w:r w:rsidR="005E57D9">
        <w:rPr>
          <w:bCs/>
          <w:i/>
        </w:rPr>
        <w:t>hukou</w:t>
      </w:r>
      <w:proofErr w:type="spellEnd"/>
      <w:r w:rsidR="005E57D9">
        <w:rPr>
          <w:bCs/>
        </w:rPr>
        <w:t xml:space="preserve"> registration </w:t>
      </w:r>
      <w:r w:rsidR="005963A3">
        <w:rPr>
          <w:bCs/>
        </w:rPr>
        <w:t xml:space="preserve">for these </w:t>
      </w:r>
      <w:r w:rsidR="005E57D9">
        <w:rPr>
          <w:bCs/>
        </w:rPr>
        <w:t>province</w:t>
      </w:r>
      <w:r w:rsidR="005963A3">
        <w:rPr>
          <w:bCs/>
        </w:rPr>
        <w:t>s</w:t>
      </w:r>
      <w:r w:rsidR="005E57D9">
        <w:rPr>
          <w:bCs/>
        </w:rPr>
        <w:t xml:space="preserve">. In the case of Sichuan (including Chongqing) the difference in the two population counts is almost 15 million people by 2010, which is the number who left that province to live elsewhere – typically in the coastal cities. Yet for most of the economic reform period the officially reported GDP </w:t>
      </w:r>
      <w:r w:rsidR="005E57D9" w:rsidRPr="005963A3">
        <w:rPr>
          <w:bCs/>
          <w:i/>
        </w:rPr>
        <w:t>per capita</w:t>
      </w:r>
      <w:r w:rsidR="005E57D9">
        <w:rPr>
          <w:bCs/>
        </w:rPr>
        <w:t xml:space="preserve"> figures for </w:t>
      </w:r>
      <w:r w:rsidR="005963A3">
        <w:rPr>
          <w:bCs/>
        </w:rPr>
        <w:t>these inland provinces have included the</w:t>
      </w:r>
      <w:r w:rsidR="00170EB9">
        <w:rPr>
          <w:bCs/>
        </w:rPr>
        <w:t>se</w:t>
      </w:r>
      <w:r w:rsidR="005963A3">
        <w:rPr>
          <w:bCs/>
        </w:rPr>
        <w:t xml:space="preserve"> missing people in their denominator.</w:t>
      </w:r>
    </w:p>
    <w:tbl>
      <w:tblPr>
        <w:tblStyle w:val="TableGrid"/>
        <w:tblW w:w="0" w:type="auto"/>
        <w:tblInd w:w="108" w:type="dxa"/>
        <w:tblLook w:val="04A0"/>
      </w:tblPr>
      <w:tblGrid>
        <w:gridCol w:w="4558"/>
        <w:gridCol w:w="4577"/>
      </w:tblGrid>
      <w:tr w:rsidR="0057647B" w:rsidTr="00520756">
        <w:tc>
          <w:tcPr>
            <w:tcW w:w="9468" w:type="dxa"/>
            <w:gridSpan w:val="2"/>
            <w:tcBorders>
              <w:top w:val="nil"/>
              <w:left w:val="nil"/>
              <w:bottom w:val="nil"/>
              <w:right w:val="nil"/>
            </w:tcBorders>
          </w:tcPr>
          <w:p w:rsidR="007A7BC1" w:rsidRDefault="007A7BC1" w:rsidP="007A7BC1">
            <w:pPr>
              <w:spacing w:line="276" w:lineRule="auto"/>
              <w:ind w:left="-108"/>
              <w:jc w:val="both"/>
              <w:rPr>
                <w:bCs/>
              </w:rPr>
            </w:pPr>
          </w:p>
          <w:p w:rsidR="007A7BC1" w:rsidRDefault="007A7BC1" w:rsidP="007A7BC1">
            <w:pPr>
              <w:spacing w:line="276" w:lineRule="auto"/>
              <w:ind w:left="-108"/>
              <w:jc w:val="both"/>
              <w:rPr>
                <w:bCs/>
              </w:rPr>
            </w:pPr>
            <w:r>
              <w:rPr>
                <w:bCs/>
              </w:rPr>
              <w:t xml:space="preserve">      The discrepancy between GDP per resident and GDP per registered population is much larger for the three migrant-receiving provinces shown in the right column of Figure 1. This reflects the funneling of migrants from many source provinces into just a few destinations, along the coast between Shanghai and Guangdong, and into the Beijing-Tianjin conurbation. For example, the registered and resident populations for Shanghai were 13.2 million and 16.7 million in the 2000 census, so dividing GDP just by the registered population results in a 27 percent upward bias in the </w:t>
            </w:r>
            <w:r>
              <w:rPr>
                <w:bCs/>
                <w:i/>
              </w:rPr>
              <w:t>per capita</w:t>
            </w:r>
            <w:r>
              <w:rPr>
                <w:bCs/>
              </w:rPr>
              <w:t xml:space="preserve"> estimates. The gaps are even larger in 2010, at 55 percent for Beijing, 23 percent for Guangdong and 63 percent for Shanghai. In terms of annual trend growth rates in GDP </w:t>
            </w:r>
            <w:r w:rsidRPr="00012EA1">
              <w:rPr>
                <w:bCs/>
                <w:i/>
              </w:rPr>
              <w:t>per capita</w:t>
            </w:r>
            <w:r>
              <w:rPr>
                <w:bCs/>
              </w:rPr>
              <w:t xml:space="preserve">, wrongly using the GDP per registered population would overstate growth rates for Beijing and Shanghai by about two percentage points per year. Since there is an understated growth rate for all the migrant sending provinces, the scope for distorted findings from studies that use uncorrected provincial GDP </w:t>
            </w:r>
            <w:r w:rsidRPr="00012EA1">
              <w:rPr>
                <w:bCs/>
                <w:i/>
              </w:rPr>
              <w:t>per capita</w:t>
            </w:r>
            <w:r>
              <w:rPr>
                <w:bCs/>
              </w:rPr>
              <w:t xml:space="preserve"> figures should be apparent.</w:t>
            </w:r>
          </w:p>
          <w:p w:rsidR="0057647B" w:rsidRDefault="0057647B" w:rsidP="007A7BC1">
            <w:pPr>
              <w:spacing w:line="276" w:lineRule="auto"/>
              <w:ind w:left="-108"/>
              <w:jc w:val="center"/>
              <w:rPr>
                <w:bCs/>
              </w:rPr>
            </w:pPr>
          </w:p>
          <w:p w:rsidR="007A7BC1" w:rsidRDefault="007A7BC1" w:rsidP="007A7BC1">
            <w:pPr>
              <w:spacing w:line="276" w:lineRule="auto"/>
              <w:ind w:left="-108"/>
              <w:jc w:val="center"/>
              <w:rPr>
                <w:bCs/>
              </w:rPr>
            </w:pPr>
          </w:p>
          <w:p w:rsidR="007A7BC1" w:rsidRDefault="007A7BC1" w:rsidP="007A7BC1">
            <w:pPr>
              <w:spacing w:line="276" w:lineRule="auto"/>
              <w:ind w:left="-108"/>
              <w:jc w:val="center"/>
              <w:rPr>
                <w:bCs/>
              </w:rPr>
            </w:pPr>
          </w:p>
          <w:p w:rsidR="007A7BC1" w:rsidRDefault="007A7BC1" w:rsidP="007A7BC1">
            <w:pPr>
              <w:spacing w:line="276" w:lineRule="auto"/>
              <w:ind w:left="-108"/>
              <w:jc w:val="center"/>
              <w:rPr>
                <w:bCs/>
              </w:rPr>
            </w:pPr>
          </w:p>
          <w:p w:rsidR="007A7BC1" w:rsidRDefault="007A7BC1" w:rsidP="007A7BC1">
            <w:pPr>
              <w:spacing w:line="276" w:lineRule="auto"/>
              <w:ind w:left="-108"/>
              <w:jc w:val="center"/>
              <w:rPr>
                <w:bCs/>
              </w:rPr>
            </w:pPr>
          </w:p>
          <w:p w:rsidR="007A7BC1" w:rsidRDefault="007A7BC1" w:rsidP="007A7BC1">
            <w:pPr>
              <w:spacing w:line="276" w:lineRule="auto"/>
              <w:ind w:left="-108"/>
              <w:jc w:val="center"/>
              <w:rPr>
                <w:bCs/>
              </w:rPr>
            </w:pPr>
          </w:p>
          <w:p w:rsidR="00520756" w:rsidRDefault="00520756" w:rsidP="007A7BC1">
            <w:pPr>
              <w:ind w:left="-108"/>
              <w:jc w:val="center"/>
              <w:rPr>
                <w:b/>
                <w:bCs/>
                <w:sz w:val="22"/>
                <w:szCs w:val="22"/>
              </w:rPr>
            </w:pPr>
            <w:r>
              <w:rPr>
                <w:b/>
                <w:bCs/>
                <w:sz w:val="22"/>
                <w:szCs w:val="22"/>
              </w:rPr>
              <w:br/>
            </w:r>
            <w:r>
              <w:rPr>
                <w:b/>
                <w:bCs/>
                <w:sz w:val="22"/>
                <w:szCs w:val="22"/>
              </w:rPr>
              <w:br/>
            </w:r>
          </w:p>
          <w:p w:rsidR="00792904" w:rsidRDefault="0057647B" w:rsidP="007A7BC1">
            <w:pPr>
              <w:ind w:left="-108"/>
              <w:jc w:val="center"/>
              <w:rPr>
                <w:b/>
                <w:bCs/>
              </w:rPr>
            </w:pPr>
            <w:r w:rsidRPr="00792904">
              <w:rPr>
                <w:b/>
                <w:bCs/>
              </w:rPr>
              <w:lastRenderedPageBreak/>
              <w:t xml:space="preserve">Figure 1: Trends in GDP per Registered and per Resident Population: </w:t>
            </w:r>
          </w:p>
          <w:p w:rsidR="0057647B" w:rsidRPr="00792904" w:rsidRDefault="0057647B" w:rsidP="007A7BC1">
            <w:pPr>
              <w:ind w:left="-108"/>
              <w:jc w:val="center"/>
              <w:rPr>
                <w:b/>
                <w:bCs/>
              </w:rPr>
            </w:pPr>
            <w:r w:rsidRPr="00792904">
              <w:rPr>
                <w:b/>
                <w:bCs/>
              </w:rPr>
              <w:t>Selected Provinces</w:t>
            </w:r>
          </w:p>
        </w:tc>
      </w:tr>
      <w:tr w:rsidR="0057647B" w:rsidTr="00520756">
        <w:trPr>
          <w:trHeight w:val="170"/>
        </w:trPr>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lastRenderedPageBreak/>
              <w:drawing>
                <wp:inline distT="0" distB="0" distL="0" distR="0">
                  <wp:extent cx="2844800" cy="25911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47149" cy="2593295"/>
                          </a:xfrm>
                          <a:prstGeom prst="rect">
                            <a:avLst/>
                          </a:prstGeom>
                          <a:noFill/>
                          <a:ln w="9525">
                            <a:noFill/>
                            <a:miter lim="800000"/>
                            <a:headEnd/>
                            <a:tailEnd/>
                          </a:ln>
                        </pic:spPr>
                      </pic:pic>
                    </a:graphicData>
                  </a:graphic>
                </wp:inline>
              </w:drawing>
            </w:r>
          </w:p>
        </w:tc>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851150" cy="2596939"/>
                  <wp:effectExtent l="1905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56118" cy="2601464"/>
                          </a:xfrm>
                          <a:prstGeom prst="rect">
                            <a:avLst/>
                          </a:prstGeom>
                          <a:noFill/>
                          <a:ln w="9525">
                            <a:noFill/>
                            <a:miter lim="800000"/>
                            <a:headEnd/>
                            <a:tailEnd/>
                          </a:ln>
                        </pic:spPr>
                      </pic:pic>
                    </a:graphicData>
                  </a:graphic>
                </wp:inline>
              </w:drawing>
            </w:r>
          </w:p>
        </w:tc>
      </w:tr>
      <w:tr w:rsidR="0057647B" w:rsidRPr="00650A66" w:rsidTr="00520756">
        <w:trPr>
          <w:trHeight w:val="57"/>
        </w:trPr>
        <w:tc>
          <w:tcPr>
            <w:tcW w:w="4734" w:type="dxa"/>
            <w:tcBorders>
              <w:top w:val="nil"/>
              <w:left w:val="nil"/>
              <w:bottom w:val="nil"/>
              <w:right w:val="nil"/>
            </w:tcBorders>
          </w:tcPr>
          <w:p w:rsidR="0057647B" w:rsidRPr="00650A66" w:rsidRDefault="0057647B" w:rsidP="007A7BC1">
            <w:pPr>
              <w:spacing w:line="276" w:lineRule="auto"/>
              <w:rPr>
                <w:bCs/>
                <w:sz w:val="8"/>
                <w:szCs w:val="12"/>
              </w:rPr>
            </w:pPr>
          </w:p>
        </w:tc>
        <w:tc>
          <w:tcPr>
            <w:tcW w:w="4734" w:type="dxa"/>
            <w:tcBorders>
              <w:top w:val="nil"/>
              <w:left w:val="nil"/>
              <w:bottom w:val="nil"/>
              <w:right w:val="nil"/>
            </w:tcBorders>
          </w:tcPr>
          <w:p w:rsidR="0057647B" w:rsidRPr="00650A66" w:rsidRDefault="0057647B" w:rsidP="007A7BC1">
            <w:pPr>
              <w:spacing w:line="276" w:lineRule="auto"/>
              <w:rPr>
                <w:bCs/>
                <w:sz w:val="8"/>
                <w:szCs w:val="12"/>
              </w:rPr>
            </w:pPr>
          </w:p>
        </w:tc>
      </w:tr>
      <w:tr w:rsidR="0057647B" w:rsidTr="00520756">
        <w:trPr>
          <w:trHeight w:val="170"/>
        </w:trPr>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844800" cy="2591155"/>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844800" cy="2591155"/>
                          </a:xfrm>
                          <a:prstGeom prst="rect">
                            <a:avLst/>
                          </a:prstGeom>
                          <a:noFill/>
                          <a:ln w="9525">
                            <a:noFill/>
                            <a:miter lim="800000"/>
                            <a:headEnd/>
                            <a:tailEnd/>
                          </a:ln>
                        </pic:spPr>
                      </pic:pic>
                    </a:graphicData>
                  </a:graphic>
                </wp:inline>
              </w:drawing>
            </w:r>
          </w:p>
        </w:tc>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851150" cy="2596939"/>
                  <wp:effectExtent l="19050" t="0" r="635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856880" cy="2602158"/>
                          </a:xfrm>
                          <a:prstGeom prst="rect">
                            <a:avLst/>
                          </a:prstGeom>
                          <a:noFill/>
                          <a:ln w="9525">
                            <a:noFill/>
                            <a:miter lim="800000"/>
                            <a:headEnd/>
                            <a:tailEnd/>
                          </a:ln>
                        </pic:spPr>
                      </pic:pic>
                    </a:graphicData>
                  </a:graphic>
                </wp:inline>
              </w:drawing>
            </w:r>
          </w:p>
        </w:tc>
      </w:tr>
      <w:tr w:rsidR="0057647B" w:rsidRPr="00650A66" w:rsidTr="00520756">
        <w:trPr>
          <w:trHeight w:val="57"/>
        </w:trPr>
        <w:tc>
          <w:tcPr>
            <w:tcW w:w="4734" w:type="dxa"/>
            <w:tcBorders>
              <w:top w:val="nil"/>
              <w:left w:val="nil"/>
              <w:bottom w:val="nil"/>
              <w:right w:val="nil"/>
            </w:tcBorders>
          </w:tcPr>
          <w:p w:rsidR="0057647B" w:rsidRPr="00650A66" w:rsidRDefault="0057647B" w:rsidP="007A7BC1">
            <w:pPr>
              <w:spacing w:line="276" w:lineRule="auto"/>
              <w:rPr>
                <w:bCs/>
                <w:sz w:val="8"/>
                <w:szCs w:val="8"/>
              </w:rPr>
            </w:pPr>
          </w:p>
        </w:tc>
        <w:tc>
          <w:tcPr>
            <w:tcW w:w="4734" w:type="dxa"/>
            <w:tcBorders>
              <w:top w:val="nil"/>
              <w:left w:val="nil"/>
              <w:bottom w:val="nil"/>
              <w:right w:val="nil"/>
            </w:tcBorders>
          </w:tcPr>
          <w:p w:rsidR="0057647B" w:rsidRPr="00650A66" w:rsidRDefault="0057647B" w:rsidP="007A7BC1">
            <w:pPr>
              <w:spacing w:line="276" w:lineRule="auto"/>
              <w:rPr>
                <w:bCs/>
                <w:sz w:val="8"/>
                <w:szCs w:val="8"/>
              </w:rPr>
            </w:pPr>
          </w:p>
        </w:tc>
      </w:tr>
      <w:tr w:rsidR="0057647B" w:rsidTr="00520756">
        <w:trPr>
          <w:trHeight w:val="170"/>
        </w:trPr>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844800" cy="2591155"/>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847882" cy="2593963"/>
                          </a:xfrm>
                          <a:prstGeom prst="rect">
                            <a:avLst/>
                          </a:prstGeom>
                          <a:noFill/>
                          <a:ln w="9525">
                            <a:noFill/>
                            <a:miter lim="800000"/>
                            <a:headEnd/>
                            <a:tailEnd/>
                          </a:ln>
                        </pic:spPr>
                      </pic:pic>
                    </a:graphicData>
                  </a:graphic>
                </wp:inline>
              </w:drawing>
            </w:r>
          </w:p>
        </w:tc>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844410" cy="2590800"/>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845709" cy="2591983"/>
                          </a:xfrm>
                          <a:prstGeom prst="rect">
                            <a:avLst/>
                          </a:prstGeom>
                          <a:noFill/>
                          <a:ln w="9525">
                            <a:noFill/>
                            <a:miter lim="800000"/>
                            <a:headEnd/>
                            <a:tailEnd/>
                          </a:ln>
                        </pic:spPr>
                      </pic:pic>
                    </a:graphicData>
                  </a:graphic>
                </wp:inline>
              </w:drawing>
            </w:r>
          </w:p>
        </w:tc>
      </w:tr>
      <w:tr w:rsidR="0057647B" w:rsidTr="00520756">
        <w:tc>
          <w:tcPr>
            <w:tcW w:w="9468" w:type="dxa"/>
            <w:gridSpan w:val="2"/>
            <w:tcBorders>
              <w:top w:val="nil"/>
              <w:left w:val="nil"/>
              <w:bottom w:val="nil"/>
              <w:right w:val="nil"/>
            </w:tcBorders>
          </w:tcPr>
          <w:p w:rsidR="0057647B" w:rsidRPr="00147850" w:rsidRDefault="0057647B" w:rsidP="007A7BC1">
            <w:pPr>
              <w:rPr>
                <w:bCs/>
                <w:sz w:val="22"/>
                <w:szCs w:val="22"/>
              </w:rPr>
            </w:pPr>
            <w:r w:rsidRPr="00147850">
              <w:rPr>
                <w:bCs/>
                <w:i/>
                <w:sz w:val="22"/>
                <w:szCs w:val="22"/>
              </w:rPr>
              <w:t>Notes:</w:t>
            </w:r>
            <w:r w:rsidRPr="00147850">
              <w:rPr>
                <w:bCs/>
                <w:sz w:val="22"/>
                <w:szCs w:val="22"/>
              </w:rPr>
              <w:t xml:space="preserve"> Chongqing included in Sichuan since they were one province until 1997. Values are in 2010 prices using the GDP deflator for China provided by the World Bank.</w:t>
            </w:r>
          </w:p>
        </w:tc>
      </w:tr>
    </w:tbl>
    <w:p w:rsidR="0057647B" w:rsidRPr="0072338A" w:rsidRDefault="0057647B" w:rsidP="007A7BC1">
      <w:pPr>
        <w:spacing w:line="276" w:lineRule="auto"/>
        <w:ind w:left="720" w:hanging="720"/>
        <w:rPr>
          <w:bCs/>
          <w:sz w:val="4"/>
        </w:rPr>
      </w:pPr>
    </w:p>
    <w:p w:rsidR="00520756" w:rsidRDefault="007A7BC1" w:rsidP="007A7BC1">
      <w:pPr>
        <w:spacing w:line="276" w:lineRule="auto"/>
        <w:jc w:val="both"/>
        <w:rPr>
          <w:bCs/>
        </w:rPr>
      </w:pPr>
      <w:r>
        <w:rPr>
          <w:bCs/>
        </w:rPr>
        <w:tab/>
      </w:r>
    </w:p>
    <w:p w:rsidR="00520756" w:rsidRDefault="00520756" w:rsidP="007A7BC1">
      <w:pPr>
        <w:spacing w:line="276" w:lineRule="auto"/>
        <w:jc w:val="both"/>
        <w:rPr>
          <w:bCs/>
        </w:rPr>
      </w:pPr>
    </w:p>
    <w:p w:rsidR="00BB3D5D" w:rsidRDefault="00520756" w:rsidP="007A7BC1">
      <w:pPr>
        <w:spacing w:line="276" w:lineRule="auto"/>
        <w:jc w:val="both"/>
        <w:rPr>
          <w:bCs/>
        </w:rPr>
      </w:pPr>
      <w:r>
        <w:rPr>
          <w:bCs/>
        </w:rPr>
        <w:lastRenderedPageBreak/>
        <w:tab/>
      </w:r>
      <w:r w:rsidR="00012EA1">
        <w:rPr>
          <w:bCs/>
        </w:rPr>
        <w:t>To illustrate the situation more generall</w:t>
      </w:r>
      <w:r w:rsidR="000108E2">
        <w:rPr>
          <w:bCs/>
        </w:rPr>
        <w:t xml:space="preserve">y across all provinces, the </w:t>
      </w:r>
      <w:r w:rsidR="00590A76">
        <w:rPr>
          <w:bCs/>
        </w:rPr>
        <w:t>percentage understatement or overstatement</w:t>
      </w:r>
      <w:r w:rsidR="000108E2">
        <w:rPr>
          <w:bCs/>
        </w:rPr>
        <w:t xml:space="preserve"> of </w:t>
      </w:r>
      <w:r w:rsidR="000108E2" w:rsidRPr="000108E2">
        <w:rPr>
          <w:bCs/>
          <w:i/>
        </w:rPr>
        <w:t>per capita</w:t>
      </w:r>
      <w:r w:rsidR="000108E2">
        <w:rPr>
          <w:bCs/>
        </w:rPr>
        <w:t xml:space="preserve"> GDP at the time of the 2005 </w:t>
      </w:r>
      <w:proofErr w:type="spellStart"/>
      <w:r w:rsidR="000108E2">
        <w:rPr>
          <w:bCs/>
        </w:rPr>
        <w:t>microcensus</w:t>
      </w:r>
      <w:proofErr w:type="spellEnd"/>
      <w:r w:rsidR="000108E2">
        <w:rPr>
          <w:bCs/>
        </w:rPr>
        <w:t xml:space="preserve"> </w:t>
      </w:r>
      <w:r w:rsidR="00012EA1">
        <w:rPr>
          <w:bCs/>
        </w:rPr>
        <w:t>is mapped in Figure 2.</w:t>
      </w:r>
      <w:r w:rsidR="000108E2">
        <w:rPr>
          <w:bCs/>
        </w:rPr>
        <w:t xml:space="preserve"> For the </w:t>
      </w:r>
      <w:r w:rsidR="00BB3D5D">
        <w:rPr>
          <w:bCs/>
        </w:rPr>
        <w:t xml:space="preserve">six provinces in the </w:t>
      </w:r>
      <w:r w:rsidR="000108E2">
        <w:rPr>
          <w:bCs/>
        </w:rPr>
        <w:t>central interior of China</w:t>
      </w:r>
      <w:r w:rsidR="00BB3D5D">
        <w:rPr>
          <w:bCs/>
        </w:rPr>
        <w:t xml:space="preserve"> with the largest </w:t>
      </w:r>
      <w:r w:rsidR="00590A76">
        <w:rPr>
          <w:bCs/>
        </w:rPr>
        <w:t>understatement</w:t>
      </w:r>
      <w:r w:rsidR="00BB3D5D">
        <w:rPr>
          <w:bCs/>
        </w:rPr>
        <w:t>, on average</w:t>
      </w:r>
      <w:r w:rsidR="000108E2">
        <w:rPr>
          <w:bCs/>
        </w:rPr>
        <w:t xml:space="preserve"> </w:t>
      </w:r>
      <w:r w:rsidR="00B918CB">
        <w:rPr>
          <w:bCs/>
        </w:rPr>
        <w:t xml:space="preserve">GDP </w:t>
      </w:r>
      <w:r w:rsidR="000108E2" w:rsidRPr="00BB3D5D">
        <w:rPr>
          <w:bCs/>
          <w:i/>
        </w:rPr>
        <w:t>per capita</w:t>
      </w:r>
      <w:r w:rsidR="00BB3D5D">
        <w:rPr>
          <w:bCs/>
        </w:rPr>
        <w:t xml:space="preserve"> </w:t>
      </w:r>
      <w:r w:rsidR="000108E2">
        <w:rPr>
          <w:bCs/>
        </w:rPr>
        <w:t xml:space="preserve">was </w:t>
      </w:r>
      <w:r w:rsidR="00BB3D5D">
        <w:rPr>
          <w:bCs/>
        </w:rPr>
        <w:t xml:space="preserve">seven percent lower using registered rather than resident population. </w:t>
      </w:r>
      <w:r w:rsidR="00DC388B">
        <w:rPr>
          <w:bCs/>
        </w:rPr>
        <w:t>A</w:t>
      </w:r>
      <w:r w:rsidR="00B918CB">
        <w:rPr>
          <w:bCs/>
        </w:rPr>
        <w:t xml:space="preserve"> group of six adjacent (but still interior) provinces had lower rates of understatement, </w:t>
      </w:r>
      <w:r w:rsidR="00CF1458">
        <w:rPr>
          <w:bCs/>
        </w:rPr>
        <w:t>averaging</w:t>
      </w:r>
      <w:r w:rsidR="00B918CB">
        <w:rPr>
          <w:bCs/>
        </w:rPr>
        <w:t xml:space="preserve"> two percent. </w:t>
      </w:r>
      <w:r w:rsidR="00BB3D5D">
        <w:rPr>
          <w:bCs/>
        </w:rPr>
        <w:t>The next group of 13 provinces forms a band around the western, northern and northeastern periphery where a very slight</w:t>
      </w:r>
      <w:r w:rsidR="00B918CB">
        <w:rPr>
          <w:bCs/>
        </w:rPr>
        <w:t xml:space="preserve"> upward bias</w:t>
      </w:r>
      <w:r w:rsidR="00BB3D5D">
        <w:rPr>
          <w:bCs/>
        </w:rPr>
        <w:t xml:space="preserve">, averaging just two percent, </w:t>
      </w:r>
      <w:r w:rsidR="00E23A77">
        <w:rPr>
          <w:bCs/>
        </w:rPr>
        <w:t>results</w:t>
      </w:r>
      <w:r w:rsidR="00B918CB">
        <w:rPr>
          <w:bCs/>
        </w:rPr>
        <w:t xml:space="preserve"> </w:t>
      </w:r>
      <w:r w:rsidR="00BB3D5D">
        <w:rPr>
          <w:bCs/>
        </w:rPr>
        <w:t xml:space="preserve">from dividing </w:t>
      </w:r>
      <w:r w:rsidR="00CF1458">
        <w:rPr>
          <w:bCs/>
        </w:rPr>
        <w:t xml:space="preserve">GDP </w:t>
      </w:r>
      <w:r w:rsidR="00BB3D5D">
        <w:rPr>
          <w:bCs/>
        </w:rPr>
        <w:t xml:space="preserve">by the registered population. These provinces are neither </w:t>
      </w:r>
      <w:r w:rsidR="00B918CB">
        <w:rPr>
          <w:bCs/>
        </w:rPr>
        <w:t xml:space="preserve">important </w:t>
      </w:r>
      <w:r w:rsidR="00BB3D5D">
        <w:rPr>
          <w:bCs/>
        </w:rPr>
        <w:t>sources nor destinations for non-</w:t>
      </w:r>
      <w:proofErr w:type="spellStart"/>
      <w:r w:rsidR="00BB3D5D" w:rsidRPr="00BB3D5D">
        <w:rPr>
          <w:bCs/>
          <w:i/>
        </w:rPr>
        <w:t>hukou</w:t>
      </w:r>
      <w:proofErr w:type="spellEnd"/>
      <w:r w:rsidR="00BB3D5D">
        <w:rPr>
          <w:bCs/>
        </w:rPr>
        <w:t xml:space="preserve"> migrants. </w:t>
      </w:r>
      <w:r w:rsidR="00B918CB">
        <w:rPr>
          <w:bCs/>
        </w:rPr>
        <w:t xml:space="preserve">The final </w:t>
      </w:r>
      <w:r w:rsidR="00CF1458">
        <w:rPr>
          <w:bCs/>
        </w:rPr>
        <w:t xml:space="preserve">six provinces are all </w:t>
      </w:r>
      <w:r w:rsidR="00590A76">
        <w:rPr>
          <w:bCs/>
        </w:rPr>
        <w:t xml:space="preserve">main </w:t>
      </w:r>
      <w:r w:rsidR="00B918CB">
        <w:rPr>
          <w:bCs/>
        </w:rPr>
        <w:t>destinations for non-</w:t>
      </w:r>
      <w:proofErr w:type="spellStart"/>
      <w:r w:rsidR="00B918CB">
        <w:rPr>
          <w:bCs/>
          <w:i/>
        </w:rPr>
        <w:t>hukou</w:t>
      </w:r>
      <w:proofErr w:type="spellEnd"/>
      <w:r w:rsidR="00B918CB">
        <w:rPr>
          <w:bCs/>
        </w:rPr>
        <w:t xml:space="preserve"> migrants, with </w:t>
      </w:r>
      <w:r w:rsidR="00B918CB" w:rsidRPr="00590A76">
        <w:rPr>
          <w:bCs/>
          <w:i/>
        </w:rPr>
        <w:t>per capita</w:t>
      </w:r>
      <w:r w:rsidR="00B918CB">
        <w:rPr>
          <w:bCs/>
        </w:rPr>
        <w:t xml:space="preserve"> GDP </w:t>
      </w:r>
      <w:r w:rsidR="00590A76">
        <w:rPr>
          <w:bCs/>
        </w:rPr>
        <w:t xml:space="preserve">overstated </w:t>
      </w:r>
      <w:r w:rsidR="002D55DB">
        <w:rPr>
          <w:bCs/>
        </w:rPr>
        <w:t xml:space="preserve">by </w:t>
      </w:r>
      <w:r w:rsidR="00B918CB">
        <w:rPr>
          <w:bCs/>
        </w:rPr>
        <w:t xml:space="preserve">at least five percent (and averaging </w:t>
      </w:r>
      <w:r w:rsidR="00CF1458">
        <w:rPr>
          <w:bCs/>
        </w:rPr>
        <w:t>15</w:t>
      </w:r>
      <w:r w:rsidR="00F521B7">
        <w:rPr>
          <w:bCs/>
        </w:rPr>
        <w:t> </w:t>
      </w:r>
      <w:r w:rsidR="00CF1458">
        <w:rPr>
          <w:bCs/>
        </w:rPr>
        <w:t>percent). This final group of provinces include</w:t>
      </w:r>
      <w:r w:rsidR="00590A76">
        <w:rPr>
          <w:bCs/>
        </w:rPr>
        <w:t>s</w:t>
      </w:r>
      <w:r w:rsidR="00CF1458">
        <w:rPr>
          <w:bCs/>
        </w:rPr>
        <w:t xml:space="preserve"> those on the southeast coast (Shanghai, Zhejiang, Fujian and Guangdong) and the Beijing-Tianjin conurbation.</w:t>
      </w:r>
    </w:p>
    <w:p w:rsidR="0057647B" w:rsidRDefault="0057647B" w:rsidP="007A7BC1">
      <w:pPr>
        <w:spacing w:line="276" w:lineRule="auto"/>
        <w:jc w:val="both"/>
        <w:rPr>
          <w:bCs/>
        </w:rPr>
      </w:pPr>
    </w:p>
    <w:p w:rsidR="00147850" w:rsidRDefault="0057647B" w:rsidP="007A7BC1">
      <w:pPr>
        <w:jc w:val="center"/>
        <w:rPr>
          <w:b/>
          <w:bCs/>
        </w:rPr>
      </w:pPr>
      <w:r w:rsidRPr="00147850">
        <w:rPr>
          <w:b/>
          <w:bCs/>
        </w:rPr>
        <w:t xml:space="preserve">Figure 2: Percentage Difference in GDP per Registered </w:t>
      </w:r>
    </w:p>
    <w:p w:rsidR="0057647B" w:rsidRPr="00147850" w:rsidRDefault="0057647B" w:rsidP="007A7BC1">
      <w:pPr>
        <w:jc w:val="center"/>
        <w:rPr>
          <w:b/>
          <w:bCs/>
        </w:rPr>
      </w:pPr>
      <w:r w:rsidRPr="00147850">
        <w:rPr>
          <w:b/>
          <w:bCs/>
        </w:rPr>
        <w:t>and per Resident Population: 2005</w:t>
      </w:r>
    </w:p>
    <w:p w:rsidR="0057647B" w:rsidRDefault="0057647B" w:rsidP="00147850">
      <w:pPr>
        <w:spacing w:line="276" w:lineRule="auto"/>
        <w:jc w:val="center"/>
        <w:rPr>
          <w:bCs/>
        </w:rPr>
      </w:pPr>
      <w:r>
        <w:rPr>
          <w:bCs/>
          <w:noProof/>
          <w:lang w:val="en-NZ" w:eastAsia="en-NZ"/>
        </w:rPr>
        <w:drawing>
          <wp:inline distT="0" distB="0" distL="0" distR="0">
            <wp:extent cx="5943600" cy="4201795"/>
            <wp:effectExtent l="19050" t="0" r="0" b="0"/>
            <wp:docPr id="66" name="Picture 1" descr="GDPerrors2border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errors2borderless.jpg"/>
                    <pic:cNvPicPr/>
                  </pic:nvPicPr>
                  <pic:blipFill>
                    <a:blip r:embed="rId15" cstate="print"/>
                    <a:stretch>
                      <a:fillRect/>
                    </a:stretch>
                  </pic:blipFill>
                  <pic:spPr>
                    <a:xfrm>
                      <a:off x="0" y="0"/>
                      <a:ext cx="5943600" cy="4201795"/>
                    </a:xfrm>
                    <a:prstGeom prst="rect">
                      <a:avLst/>
                    </a:prstGeom>
                  </pic:spPr>
                </pic:pic>
              </a:graphicData>
            </a:graphic>
          </wp:inline>
        </w:drawing>
      </w:r>
    </w:p>
    <w:p w:rsidR="007A7BC1" w:rsidRDefault="007A7BC1" w:rsidP="007A7BC1">
      <w:pPr>
        <w:spacing w:line="276" w:lineRule="auto"/>
        <w:rPr>
          <w:bCs/>
        </w:rPr>
      </w:pPr>
    </w:p>
    <w:p w:rsidR="00520756" w:rsidRDefault="007A7BC1" w:rsidP="00147850">
      <w:pPr>
        <w:spacing w:line="276" w:lineRule="auto"/>
        <w:rPr>
          <w:b/>
          <w:bCs/>
        </w:rPr>
      </w:pPr>
      <w:r>
        <w:rPr>
          <w:bCs/>
        </w:rPr>
        <w:tab/>
      </w:r>
      <w:r w:rsidR="00E23A77">
        <w:rPr>
          <w:bCs/>
        </w:rPr>
        <w:t xml:space="preserve">If the map in Figure 2 was redrawn for 2010 the patterns would be the same but the rates of over- and under-statement would be larger. Such a map could be considered misleading, however, because by 2009 all provinces in China had, finally, switched to reporting </w:t>
      </w:r>
      <w:r w:rsidR="00E23A77">
        <w:rPr>
          <w:bCs/>
          <w:i/>
        </w:rPr>
        <w:t>per capita</w:t>
      </w:r>
      <w:r w:rsidR="00E23A77">
        <w:rPr>
          <w:bCs/>
        </w:rPr>
        <w:t xml:space="preserve"> GDP on a resident basis rather than using the misleading </w:t>
      </w:r>
      <w:proofErr w:type="spellStart"/>
      <w:r w:rsidR="00E23A77" w:rsidRPr="00E23A77">
        <w:rPr>
          <w:bCs/>
          <w:i/>
        </w:rPr>
        <w:t>hukou</w:t>
      </w:r>
      <w:proofErr w:type="spellEnd"/>
      <w:r w:rsidR="00E23A77">
        <w:rPr>
          <w:bCs/>
        </w:rPr>
        <w:t xml:space="preserve">-registered population as the denominator. But the way in which this switch was implemented introduced a further set of problems with China’s local population data, which we describe in </w:t>
      </w:r>
      <w:proofErr w:type="gramStart"/>
      <w:r w:rsidR="00E23A77">
        <w:rPr>
          <w:bCs/>
        </w:rPr>
        <w:t>the next section.</w:t>
      </w:r>
      <w:proofErr w:type="gramEnd"/>
      <w:r w:rsidR="00520756">
        <w:rPr>
          <w:b/>
          <w:bCs/>
        </w:rPr>
        <w:br w:type="page"/>
      </w:r>
    </w:p>
    <w:p w:rsidR="00F33C3E" w:rsidRDefault="00792904" w:rsidP="007A7BC1">
      <w:pPr>
        <w:spacing w:line="276" w:lineRule="auto"/>
        <w:jc w:val="both"/>
        <w:rPr>
          <w:b/>
          <w:bCs/>
        </w:rPr>
      </w:pPr>
      <w:r>
        <w:rPr>
          <w:b/>
          <w:bCs/>
        </w:rPr>
        <w:lastRenderedPageBreak/>
        <w:t xml:space="preserve">3.  </w:t>
      </w:r>
      <w:r w:rsidR="00E23A77">
        <w:rPr>
          <w:b/>
          <w:bCs/>
        </w:rPr>
        <w:t>Discontinuities and Double-Counts</w:t>
      </w:r>
    </w:p>
    <w:p w:rsidR="00AA06B8" w:rsidRPr="00AA06B8" w:rsidRDefault="00AA06B8" w:rsidP="007A7BC1">
      <w:pPr>
        <w:spacing w:line="276" w:lineRule="auto"/>
        <w:jc w:val="both"/>
        <w:rPr>
          <w:bCs/>
          <w:sz w:val="12"/>
          <w:szCs w:val="12"/>
        </w:rPr>
      </w:pPr>
    </w:p>
    <w:p w:rsidR="00E23A77" w:rsidRPr="00E23A77" w:rsidRDefault="00D95167" w:rsidP="007A7BC1">
      <w:pPr>
        <w:spacing w:line="276" w:lineRule="auto"/>
        <w:jc w:val="both"/>
        <w:rPr>
          <w:bCs/>
        </w:rPr>
      </w:pPr>
      <w:r>
        <w:rPr>
          <w:bCs/>
        </w:rPr>
        <w:t xml:space="preserve">The population denominator </w:t>
      </w:r>
      <w:r w:rsidR="00543595">
        <w:rPr>
          <w:bCs/>
        </w:rPr>
        <w:t xml:space="preserve">used </w:t>
      </w:r>
      <w:r>
        <w:rPr>
          <w:bCs/>
        </w:rPr>
        <w:t xml:space="preserve">for </w:t>
      </w:r>
      <w:r w:rsidRPr="00FC421D">
        <w:rPr>
          <w:bCs/>
          <w:i/>
        </w:rPr>
        <w:t>per capita</w:t>
      </w:r>
      <w:r>
        <w:rPr>
          <w:bCs/>
        </w:rPr>
        <w:t xml:space="preserve"> economic statistics of many provinces switched abruptly from a registered population basis to a resident population basis.</w:t>
      </w:r>
      <w:r w:rsidR="00FC421D">
        <w:rPr>
          <w:bCs/>
        </w:rPr>
        <w:t xml:space="preserve"> </w:t>
      </w:r>
      <w:r w:rsidR="00FC421D">
        <w:t>This change in st</w:t>
      </w:r>
      <w:r w:rsidR="000258D8">
        <w:t>atistical procedures occurred around</w:t>
      </w:r>
      <w:r w:rsidR="00FC421D">
        <w:t xml:space="preserve"> 2005 for the largest migrant-senders and receivers, </w:t>
      </w:r>
      <w:r w:rsidR="0043259C">
        <w:t xml:space="preserve">but </w:t>
      </w:r>
      <w:r w:rsidR="00DC388B">
        <w:t xml:space="preserve">the </w:t>
      </w:r>
      <w:r w:rsidR="00FC421D">
        <w:t>swi</w:t>
      </w:r>
      <w:r w:rsidR="00DC388B">
        <w:t>tchover date varied for</w:t>
      </w:r>
      <w:r w:rsidR="00FC421D">
        <w:t xml:space="preserve"> other provinces. This switch in the denominator for GDP </w:t>
      </w:r>
      <w:r w:rsidR="00FC421D" w:rsidRPr="00FC421D">
        <w:rPr>
          <w:i/>
        </w:rPr>
        <w:t>per capita</w:t>
      </w:r>
      <w:r w:rsidR="00FC421D">
        <w:t xml:space="preserve"> statistics raises the apparent living standards in inland provinces while lowering it for coastal provinces, since it involves (correctly) accounting for the inter-provincial non-</w:t>
      </w:r>
      <w:proofErr w:type="spellStart"/>
      <w:r w:rsidR="00FC421D" w:rsidRPr="00177216">
        <w:rPr>
          <w:i/>
        </w:rPr>
        <w:t>hukou</w:t>
      </w:r>
      <w:proofErr w:type="spellEnd"/>
      <w:r w:rsidR="000C0D4D">
        <w:t xml:space="preserve"> migrants. But the sudden </w:t>
      </w:r>
      <w:r w:rsidR="00FC421D">
        <w:t xml:space="preserve">switch made by the provinces </w:t>
      </w:r>
      <w:r w:rsidR="000258D8">
        <w:t xml:space="preserve">with the largest migrant in-flows and out-flows </w:t>
      </w:r>
      <w:r w:rsidR="000C0D4D">
        <w:t xml:space="preserve">creates </w:t>
      </w:r>
      <w:r w:rsidR="00FC421D">
        <w:t xml:space="preserve">a </w:t>
      </w:r>
      <w:r w:rsidR="000C0D4D">
        <w:t>discontinuity in</w:t>
      </w:r>
      <w:r w:rsidR="00FC421D">
        <w:t xml:space="preserve"> estimates of inter-provincial and coas</w:t>
      </w:r>
      <w:r w:rsidR="00DC388B">
        <w:t>tal-inland inequality, at about</w:t>
      </w:r>
      <w:r w:rsidR="00FC421D">
        <w:t xml:space="preserve"> the time that many government-led initiatives to reduce regional inequality were </w:t>
      </w:r>
      <w:r w:rsidR="00DC388B">
        <w:t>at their peak</w:t>
      </w:r>
      <w:r w:rsidR="00FC421D">
        <w:t xml:space="preserve">. It </w:t>
      </w:r>
      <w:r w:rsidR="000258D8">
        <w:t xml:space="preserve">is likely </w:t>
      </w:r>
      <w:r w:rsidR="00FC421D">
        <w:t xml:space="preserve">that at least </w:t>
      </w:r>
      <w:r w:rsidR="000C0D4D">
        <w:t>part of the</w:t>
      </w:r>
      <w:r w:rsidR="00FC421D">
        <w:t xml:space="preserve"> claimed success </w:t>
      </w:r>
      <w:r w:rsidR="002D55DB">
        <w:t xml:space="preserve">from </w:t>
      </w:r>
      <w:r w:rsidR="000C0D4D">
        <w:t xml:space="preserve">investment </w:t>
      </w:r>
      <w:r w:rsidR="00FC421D">
        <w:t xml:space="preserve">in central and western China </w:t>
      </w:r>
      <w:r w:rsidR="00F521B7">
        <w:t xml:space="preserve">in </w:t>
      </w:r>
      <w:r w:rsidR="000258D8">
        <w:t>reducing</w:t>
      </w:r>
      <w:r w:rsidR="000C0D4D">
        <w:t xml:space="preserve"> the coastal-inland gap </w:t>
      </w:r>
      <w:r w:rsidR="000258D8" w:rsidRPr="00B50147">
        <w:t>(</w:t>
      </w:r>
      <w:r w:rsidR="00B50147" w:rsidRPr="00B50147">
        <w:t>Fan et al, 2011</w:t>
      </w:r>
      <w:r w:rsidR="000013FE" w:rsidRPr="00B50147">
        <w:t xml:space="preserve">) </w:t>
      </w:r>
      <w:r w:rsidR="000C0D4D" w:rsidRPr="00B50147">
        <w:t>w</w:t>
      </w:r>
      <w:r w:rsidR="000C0D4D">
        <w:t xml:space="preserve">as simply due to the </w:t>
      </w:r>
      <w:r w:rsidR="002D55DB">
        <w:t xml:space="preserve">timing of the </w:t>
      </w:r>
      <w:r w:rsidR="000C0D4D">
        <w:t xml:space="preserve">change in the way that China’s economic statistics counted local populations. </w:t>
      </w:r>
    </w:p>
    <w:p w:rsidR="004B5AE3" w:rsidRDefault="004B5AE3" w:rsidP="007A7BC1">
      <w:pPr>
        <w:spacing w:line="276" w:lineRule="auto"/>
        <w:jc w:val="both"/>
        <w:rPr>
          <w:bCs/>
        </w:rPr>
      </w:pPr>
    </w:p>
    <w:p w:rsidR="000C0D4D" w:rsidRPr="007848D4" w:rsidRDefault="00BA433C" w:rsidP="007A7BC1">
      <w:pPr>
        <w:spacing w:line="276" w:lineRule="auto"/>
        <w:jc w:val="both"/>
        <w:rPr>
          <w:bCs/>
        </w:rPr>
      </w:pPr>
      <w:r>
        <w:rPr>
          <w:bCs/>
        </w:rPr>
        <w:tab/>
      </w:r>
      <w:r w:rsidR="000C0D4D">
        <w:rPr>
          <w:bCs/>
        </w:rPr>
        <w:t xml:space="preserve">In order to illustrate the sudden switch in the denominator of official GDP </w:t>
      </w:r>
      <w:r w:rsidR="000C0D4D">
        <w:rPr>
          <w:bCs/>
          <w:i/>
        </w:rPr>
        <w:t>per capita</w:t>
      </w:r>
      <w:r w:rsidR="000C0D4D">
        <w:rPr>
          <w:bCs/>
        </w:rPr>
        <w:t xml:space="preserve"> estimates we chart time series of population</w:t>
      </w:r>
      <w:r w:rsidR="007848D4">
        <w:rPr>
          <w:bCs/>
        </w:rPr>
        <w:t>s</w:t>
      </w:r>
      <w:r w:rsidR="000C0D4D">
        <w:rPr>
          <w:bCs/>
        </w:rPr>
        <w:t xml:space="preserve"> for the six provinces used in Figure 1. Two other features of China’s provincial population data are also highlighted by this exercise; first, the reports of the resident population in the </w:t>
      </w:r>
      <w:r w:rsidR="000C0D4D">
        <w:rPr>
          <w:bCs/>
          <w:i/>
        </w:rPr>
        <w:t>Statistical Yearbooks</w:t>
      </w:r>
      <w:r w:rsidR="002D55DB">
        <w:rPr>
          <w:bCs/>
        </w:rPr>
        <w:t xml:space="preserve"> appear</w:t>
      </w:r>
      <w:r w:rsidR="000C0D4D">
        <w:rPr>
          <w:bCs/>
        </w:rPr>
        <w:t xml:space="preserve"> unreliable for most years, and second, the most plausible time series of </w:t>
      </w:r>
      <w:r w:rsidR="00170EB9">
        <w:rPr>
          <w:bCs/>
        </w:rPr>
        <w:t>resident population</w:t>
      </w:r>
      <w:r w:rsidR="000C0D4D">
        <w:rPr>
          <w:bCs/>
        </w:rPr>
        <w:t xml:space="preserve"> for each provinc</w:t>
      </w:r>
      <w:r w:rsidR="007848D4">
        <w:rPr>
          <w:bCs/>
        </w:rPr>
        <w:t>e have</w:t>
      </w:r>
      <w:r w:rsidR="000C0D4D">
        <w:rPr>
          <w:bCs/>
        </w:rPr>
        <w:t xml:space="preserve"> only been available since 2011. Consequently, research that uses </w:t>
      </w:r>
      <w:r w:rsidR="007848D4">
        <w:rPr>
          <w:bCs/>
        </w:rPr>
        <w:t xml:space="preserve">provincial </w:t>
      </w:r>
      <w:r w:rsidR="000C0D4D">
        <w:rPr>
          <w:bCs/>
        </w:rPr>
        <w:t xml:space="preserve">population estimates </w:t>
      </w:r>
      <w:r w:rsidR="007848D4">
        <w:rPr>
          <w:bCs/>
        </w:rPr>
        <w:t xml:space="preserve">that were published before 2011 and which relies on a concept of </w:t>
      </w:r>
      <w:r w:rsidR="007848D4">
        <w:rPr>
          <w:bCs/>
          <w:i/>
        </w:rPr>
        <w:t>resident</w:t>
      </w:r>
      <w:r w:rsidR="007848D4">
        <w:rPr>
          <w:bCs/>
        </w:rPr>
        <w:t xml:space="preserve"> population – as most </w:t>
      </w:r>
      <w:r w:rsidR="007848D4">
        <w:rPr>
          <w:bCs/>
          <w:i/>
        </w:rPr>
        <w:t>per capita</w:t>
      </w:r>
      <w:r w:rsidR="007848D4">
        <w:rPr>
          <w:bCs/>
        </w:rPr>
        <w:t xml:space="preserve"> economic statistics should – is likely to be distorted.</w:t>
      </w:r>
    </w:p>
    <w:p w:rsidR="001B353F" w:rsidRDefault="001B353F" w:rsidP="007A7BC1">
      <w:pPr>
        <w:spacing w:line="276" w:lineRule="auto"/>
        <w:jc w:val="both"/>
        <w:rPr>
          <w:bCs/>
        </w:rPr>
      </w:pPr>
    </w:p>
    <w:p w:rsidR="007848D4" w:rsidRDefault="007848D4" w:rsidP="007A7BC1">
      <w:pPr>
        <w:spacing w:line="276" w:lineRule="auto"/>
        <w:jc w:val="both"/>
        <w:rPr>
          <w:bCs/>
        </w:rPr>
      </w:pPr>
      <w:r>
        <w:rPr>
          <w:bCs/>
        </w:rPr>
        <w:t xml:space="preserve">To explain each of these points fully, four time series </w:t>
      </w:r>
      <w:r w:rsidR="00B835A5">
        <w:rPr>
          <w:bCs/>
        </w:rPr>
        <w:t>are needed for each province:</w:t>
      </w:r>
    </w:p>
    <w:p w:rsidR="00BA433C" w:rsidRPr="00BA433C" w:rsidRDefault="00BA433C" w:rsidP="007A7BC1">
      <w:pPr>
        <w:spacing w:line="276" w:lineRule="auto"/>
        <w:jc w:val="both"/>
        <w:rPr>
          <w:bCs/>
          <w:sz w:val="12"/>
          <w:szCs w:val="12"/>
        </w:rPr>
      </w:pPr>
    </w:p>
    <w:p w:rsidR="001B353F" w:rsidRDefault="001B353F" w:rsidP="00BA433C">
      <w:pPr>
        <w:pStyle w:val="ListParagraph"/>
        <w:numPr>
          <w:ilvl w:val="0"/>
          <w:numId w:val="11"/>
        </w:numPr>
        <w:spacing w:line="276" w:lineRule="auto"/>
        <w:ind w:left="284" w:hanging="284"/>
        <w:jc w:val="both"/>
      </w:pPr>
      <w:r>
        <w:t xml:space="preserve">GDP </w:t>
      </w:r>
      <w:r w:rsidR="00B835A5">
        <w:t xml:space="preserve">implied </w:t>
      </w:r>
      <w:r>
        <w:t xml:space="preserve">population - the population values underlying reported </w:t>
      </w:r>
      <w:r w:rsidR="00B835A5">
        <w:t xml:space="preserve">GDP </w:t>
      </w:r>
      <w:r w:rsidRPr="00B835A5">
        <w:rPr>
          <w:i/>
        </w:rPr>
        <w:t>per capita</w:t>
      </w:r>
      <w:r>
        <w:t xml:space="preserve"> figures. We derived these annual average population estimates by dividing </w:t>
      </w:r>
      <w:r w:rsidR="000013FE">
        <w:t xml:space="preserve">current </w:t>
      </w:r>
      <w:r>
        <w:t xml:space="preserve">reported provincial GDP by </w:t>
      </w:r>
      <w:r w:rsidR="000013FE">
        <w:t xml:space="preserve">current </w:t>
      </w:r>
      <w:r>
        <w:t xml:space="preserve">reported provincial GDP </w:t>
      </w:r>
      <w:r w:rsidRPr="00B835A5">
        <w:rPr>
          <w:i/>
        </w:rPr>
        <w:t>per capit</w:t>
      </w:r>
      <w:r w:rsidR="000013FE">
        <w:rPr>
          <w:i/>
        </w:rPr>
        <w:t>a</w:t>
      </w:r>
      <w:r w:rsidR="000013FE" w:rsidRPr="000013FE">
        <w:t>.</w:t>
      </w:r>
      <w:r w:rsidRPr="000013FE">
        <w:rPr>
          <w:rStyle w:val="FootnoteReference"/>
        </w:rPr>
        <w:footnoteReference w:id="7"/>
      </w:r>
      <w:r>
        <w:t xml:space="preserve"> </w:t>
      </w:r>
    </w:p>
    <w:p w:rsidR="001B353F" w:rsidRDefault="001B353F" w:rsidP="00BA433C">
      <w:pPr>
        <w:pStyle w:val="ListParagraph"/>
        <w:numPr>
          <w:ilvl w:val="0"/>
          <w:numId w:val="11"/>
        </w:numPr>
        <w:spacing w:line="276" w:lineRule="auto"/>
        <w:ind w:left="284" w:hanging="284"/>
        <w:jc w:val="both"/>
      </w:pPr>
      <w:r>
        <w:t>Registered population - the year-end registered population (</w:t>
      </w:r>
      <w:proofErr w:type="spellStart"/>
      <w:r w:rsidRPr="001B353F">
        <w:rPr>
          <w:i/>
        </w:rPr>
        <w:t>hukou</w:t>
      </w:r>
      <w:proofErr w:type="spellEnd"/>
      <w:r w:rsidRPr="001B353F">
        <w:rPr>
          <w:i/>
        </w:rPr>
        <w:t xml:space="preserve"> </w:t>
      </w:r>
      <w:proofErr w:type="spellStart"/>
      <w:r w:rsidRPr="001B353F">
        <w:rPr>
          <w:i/>
        </w:rPr>
        <w:t>suozaidi</w:t>
      </w:r>
      <w:proofErr w:type="spellEnd"/>
      <w:r>
        <w:t xml:space="preserve">) for each province, as reported in </w:t>
      </w:r>
      <w:r w:rsidRPr="001B353F">
        <w:rPr>
          <w:i/>
        </w:rPr>
        <w:t>China Population Statistical Yearbook</w:t>
      </w:r>
      <w:r>
        <w:t xml:space="preserve"> 1991-2006, </w:t>
      </w:r>
      <w:r w:rsidRPr="001B353F">
        <w:rPr>
          <w:i/>
        </w:rPr>
        <w:t>China Population and Employment Statistical Yearbook</w:t>
      </w:r>
      <w:r>
        <w:t xml:space="preserve"> 2007-2010, and </w:t>
      </w:r>
      <w:r w:rsidRPr="001B353F">
        <w:rPr>
          <w:i/>
        </w:rPr>
        <w:t xml:space="preserve">China Health Statistical Yearbook </w:t>
      </w:r>
      <w:r>
        <w:t>2011.</w:t>
      </w:r>
    </w:p>
    <w:p w:rsidR="001B353F" w:rsidRDefault="001B353F" w:rsidP="00BA433C">
      <w:pPr>
        <w:pStyle w:val="ListParagraph"/>
        <w:numPr>
          <w:ilvl w:val="0"/>
          <w:numId w:val="11"/>
        </w:numPr>
        <w:spacing w:line="276" w:lineRule="auto"/>
        <w:ind w:left="284" w:hanging="284"/>
        <w:jc w:val="both"/>
      </w:pPr>
      <w:r>
        <w:t>Resident (initial) population - the estimate</w:t>
      </w:r>
      <w:r w:rsidR="00543595">
        <w:t>d</w:t>
      </w:r>
      <w:r>
        <w:t xml:space="preserve"> year-end resident population, reported each year in </w:t>
      </w:r>
      <w:r w:rsidRPr="001B353F">
        <w:rPr>
          <w:i/>
        </w:rPr>
        <w:t>China Population Statistical Yearbook</w:t>
      </w:r>
      <w:r>
        <w:t xml:space="preserve"> 1991-2006, </w:t>
      </w:r>
      <w:r w:rsidRPr="001B353F">
        <w:rPr>
          <w:i/>
        </w:rPr>
        <w:t xml:space="preserve">China Population and Employment Statistical Yearbook </w:t>
      </w:r>
      <w:r>
        <w:t xml:space="preserve">2007-2010, and </w:t>
      </w:r>
      <w:r w:rsidRPr="001B353F">
        <w:rPr>
          <w:i/>
        </w:rPr>
        <w:t xml:space="preserve">China Statistical Yearbook </w:t>
      </w:r>
      <w:r>
        <w:t>2011</w:t>
      </w:r>
      <w:r w:rsidR="00B835A5">
        <w:t xml:space="preserve">. In years without a census or </w:t>
      </w:r>
      <w:proofErr w:type="spellStart"/>
      <w:r w:rsidR="00B835A5">
        <w:t>microcensus</w:t>
      </w:r>
      <w:proofErr w:type="spellEnd"/>
      <w:r w:rsidR="00B835A5">
        <w:t>, this resident count comes from the annual National Sample Survey on Population Changes and from the census data otherwise.</w:t>
      </w:r>
    </w:p>
    <w:p w:rsidR="001B353F" w:rsidRDefault="001B353F" w:rsidP="00BA433C">
      <w:pPr>
        <w:pStyle w:val="ListParagraph"/>
        <w:numPr>
          <w:ilvl w:val="0"/>
          <w:numId w:val="11"/>
        </w:numPr>
        <w:spacing w:line="276" w:lineRule="auto"/>
        <w:ind w:left="284" w:hanging="284"/>
        <w:jc w:val="both"/>
      </w:pPr>
      <w:r>
        <w:t xml:space="preserve">Resident (revised) population - the </w:t>
      </w:r>
      <w:r w:rsidR="000013FE">
        <w:t xml:space="preserve">annual average </w:t>
      </w:r>
      <w:r w:rsidR="00E8177E">
        <w:t xml:space="preserve">of the resident </w:t>
      </w:r>
      <w:r w:rsidR="000013FE">
        <w:t xml:space="preserve">population </w:t>
      </w:r>
      <w:r>
        <w:t xml:space="preserve">in previous years back to 1990 that </w:t>
      </w:r>
      <w:r w:rsidR="00543595">
        <w:t xml:space="preserve">was released by </w:t>
      </w:r>
      <w:r>
        <w:t>NBS in 2011</w:t>
      </w:r>
      <w:r w:rsidR="000013FE">
        <w:t xml:space="preserve">in the statistical yearbooks for each </w:t>
      </w:r>
      <w:r w:rsidR="000013FE">
        <w:lastRenderedPageBreak/>
        <w:t xml:space="preserve">province, derived by dividing current reported provincial GDP by current reported provincial GDP </w:t>
      </w:r>
      <w:r w:rsidR="000013FE" w:rsidRPr="00B835A5">
        <w:rPr>
          <w:i/>
        </w:rPr>
        <w:t>per capit</w:t>
      </w:r>
      <w:r w:rsidR="000013FE">
        <w:rPr>
          <w:i/>
        </w:rPr>
        <w:t>a</w:t>
      </w:r>
      <w:r w:rsidR="000013FE" w:rsidRPr="000013FE">
        <w:t>.</w:t>
      </w:r>
      <w:r w:rsidR="000013FE">
        <w:t xml:space="preserve"> </w:t>
      </w:r>
      <w:r w:rsidR="00B835A5">
        <w:t xml:space="preserve">This revision uses </w:t>
      </w:r>
      <w:r>
        <w:t>the results from the 2010 census</w:t>
      </w:r>
      <w:bookmarkStart w:id="0" w:name="_GoBack"/>
      <w:bookmarkEnd w:id="0"/>
      <w:r w:rsidR="00B835A5">
        <w:t xml:space="preserve"> and attempts to smooth out discrepancies in the time series of resident population.</w:t>
      </w:r>
    </w:p>
    <w:p w:rsidR="00543595" w:rsidRDefault="00543595" w:rsidP="007A7BC1">
      <w:pPr>
        <w:pStyle w:val="ListParagraph"/>
        <w:spacing w:line="276" w:lineRule="auto"/>
      </w:pPr>
    </w:p>
    <w:p w:rsidR="001B353F" w:rsidRDefault="00E435E9" w:rsidP="007A7BC1">
      <w:pPr>
        <w:spacing w:line="276" w:lineRule="auto"/>
        <w:jc w:val="both"/>
        <w:rPr>
          <w:bCs/>
        </w:rPr>
      </w:pPr>
      <w:r>
        <w:rPr>
          <w:bCs/>
        </w:rPr>
        <w:tab/>
      </w:r>
      <w:r w:rsidR="00543595">
        <w:rPr>
          <w:bCs/>
        </w:rPr>
        <w:t xml:space="preserve">For each of the six provinces shown in Figure 3, the GDP implied population tracks very closely with the registered population for the province </w:t>
      </w:r>
      <w:r w:rsidR="001548BE">
        <w:rPr>
          <w:bCs/>
        </w:rPr>
        <w:t xml:space="preserve">from </w:t>
      </w:r>
      <w:r w:rsidR="00543595">
        <w:rPr>
          <w:bCs/>
        </w:rPr>
        <w:t xml:space="preserve">1990 </w:t>
      </w:r>
      <w:r w:rsidR="001548BE">
        <w:rPr>
          <w:bCs/>
        </w:rPr>
        <w:t xml:space="preserve">to </w:t>
      </w:r>
      <w:r w:rsidR="00543595">
        <w:rPr>
          <w:bCs/>
        </w:rPr>
        <w:t xml:space="preserve">2004 (Beijing and Shanghai) or </w:t>
      </w:r>
      <w:r w:rsidR="001548BE">
        <w:rPr>
          <w:bCs/>
        </w:rPr>
        <w:t xml:space="preserve">to </w:t>
      </w:r>
      <w:r w:rsidR="00543595">
        <w:rPr>
          <w:bCs/>
        </w:rPr>
        <w:t xml:space="preserve">slightly earlier (Guangdong and Sichuan – 2003; Henan – 2002; Anhui – 2001). There is then a sharp upward jump in the implied population in Beijing and Shanghai and a sharp downward drop in the implied population for the three migrant-sending provinces. </w:t>
      </w:r>
      <w:r w:rsidR="00836A68">
        <w:rPr>
          <w:bCs/>
        </w:rPr>
        <w:t xml:space="preserve">For Beijing and Shanghai the population </w:t>
      </w:r>
      <w:r w:rsidR="002D55DB">
        <w:rPr>
          <w:bCs/>
        </w:rPr>
        <w:t xml:space="preserve">jump </w:t>
      </w:r>
      <w:r w:rsidR="00836A68">
        <w:rPr>
          <w:bCs/>
        </w:rPr>
        <w:t xml:space="preserve">is equivalent to over 30 percent of the </w:t>
      </w:r>
      <w:r w:rsidR="00380679">
        <w:rPr>
          <w:bCs/>
        </w:rPr>
        <w:t>previous</w:t>
      </w:r>
      <w:r w:rsidR="00836A68">
        <w:rPr>
          <w:bCs/>
        </w:rPr>
        <w:t xml:space="preserve"> year population, </w:t>
      </w:r>
      <w:r w:rsidR="00380679">
        <w:rPr>
          <w:bCs/>
        </w:rPr>
        <w:t xml:space="preserve">while for the three provinces shedding population the decline is equivalent to four percent of the previous year population. </w:t>
      </w:r>
      <w:r w:rsidR="001548BE">
        <w:rPr>
          <w:bCs/>
        </w:rPr>
        <w:t xml:space="preserve">After this abrupt change the implied population then closely tracks either or both of the two resident population time series. </w:t>
      </w:r>
      <w:r w:rsidR="00836A68">
        <w:rPr>
          <w:bCs/>
        </w:rPr>
        <w:t xml:space="preserve">The only province where the </w:t>
      </w:r>
      <w:r w:rsidR="00380679">
        <w:rPr>
          <w:bCs/>
        </w:rPr>
        <w:t xml:space="preserve">switch </w:t>
      </w:r>
      <w:r w:rsidR="00836A68">
        <w:rPr>
          <w:bCs/>
        </w:rPr>
        <w:t xml:space="preserve">from registered </w:t>
      </w:r>
      <w:r w:rsidR="00380679">
        <w:rPr>
          <w:bCs/>
        </w:rPr>
        <w:t xml:space="preserve">to </w:t>
      </w:r>
      <w:r w:rsidR="00836A68">
        <w:rPr>
          <w:bCs/>
        </w:rPr>
        <w:t xml:space="preserve">resident </w:t>
      </w:r>
      <w:r w:rsidR="00380679">
        <w:rPr>
          <w:bCs/>
        </w:rPr>
        <w:t xml:space="preserve">population time series </w:t>
      </w:r>
      <w:r w:rsidR="00836A68">
        <w:rPr>
          <w:bCs/>
        </w:rPr>
        <w:t xml:space="preserve">takes more than one year is Guangdong, where it is spread over the years from 2001 to 2005. </w:t>
      </w:r>
    </w:p>
    <w:p w:rsidR="0057647B" w:rsidRDefault="0057647B" w:rsidP="007A7BC1">
      <w:pPr>
        <w:spacing w:line="276" w:lineRule="auto"/>
        <w:jc w:val="both"/>
        <w:rPr>
          <w:bCs/>
        </w:rPr>
      </w:pPr>
    </w:p>
    <w:p w:rsidR="007A7BC1" w:rsidRDefault="007A7BC1" w:rsidP="007A7BC1">
      <w:pPr>
        <w:spacing w:line="276" w:lineRule="auto"/>
        <w:jc w:val="both"/>
      </w:pPr>
      <w:r>
        <w:rPr>
          <w:bCs/>
        </w:rPr>
        <w:tab/>
        <w:t xml:space="preserve">The next feature of the provincial population data shown in Figure 3 is the volatility of the time series of initial estimates of the resident population. The three migrant-sending provinces all show sharp dips in the time series in 2000 and then sharp declines in 2005 that are not reversed. For the migrant-receivers, the estimated number of residents spikes in 2000 and shows rapid rises again in 2010, and also in 2005 for Guangdong. For each province the year(s) that do not fit with the trend for the surrounding years, or that mark a shift to a different time trend all correspond with the timing of either a census or </w:t>
      </w:r>
      <w:proofErr w:type="spellStart"/>
      <w:r>
        <w:rPr>
          <w:bCs/>
        </w:rPr>
        <w:t>microcensus</w:t>
      </w:r>
      <w:proofErr w:type="spellEnd"/>
      <w:r>
        <w:rPr>
          <w:bCs/>
        </w:rPr>
        <w:t xml:space="preserve">. For the </w:t>
      </w:r>
      <w:proofErr w:type="spellStart"/>
      <w:r>
        <w:rPr>
          <w:bCs/>
        </w:rPr>
        <w:t>intercensal</w:t>
      </w:r>
      <w:proofErr w:type="spellEnd"/>
      <w:r>
        <w:rPr>
          <w:bCs/>
        </w:rPr>
        <w:t xml:space="preserve"> years the resident population count comes from the </w:t>
      </w:r>
      <w:r>
        <w:t>National Sample Survey on Population Changes, which is just a 0.1 percent sample. It appears that this sample is not able to adequately cover non-</w:t>
      </w:r>
      <w:proofErr w:type="spellStart"/>
      <w:r w:rsidRPr="002D55DB">
        <w:rPr>
          <w:i/>
        </w:rPr>
        <w:t>hukou</w:t>
      </w:r>
      <w:proofErr w:type="spellEnd"/>
      <w:r>
        <w:t xml:space="preserve"> migrants, compared with the more extensive efforts of the census and </w:t>
      </w:r>
      <w:proofErr w:type="spellStart"/>
      <w:r>
        <w:t>microcensus</w:t>
      </w:r>
      <w:proofErr w:type="spellEnd"/>
      <w:r>
        <w:t xml:space="preserve">. </w:t>
      </w:r>
    </w:p>
    <w:p w:rsidR="007A7BC1" w:rsidRDefault="007A7BC1" w:rsidP="007A7BC1">
      <w:pPr>
        <w:spacing w:line="276" w:lineRule="auto"/>
        <w:jc w:val="both"/>
        <w:rPr>
          <w:bCs/>
        </w:rPr>
      </w:pPr>
    </w:p>
    <w:p w:rsidR="00520756" w:rsidRDefault="00520756" w:rsidP="007A7BC1">
      <w:pPr>
        <w:spacing w:line="276" w:lineRule="auto"/>
        <w:jc w:val="both"/>
        <w:rPr>
          <w:bCs/>
        </w:rPr>
      </w:pPr>
    </w:p>
    <w:tbl>
      <w:tblPr>
        <w:tblStyle w:val="TableGrid"/>
        <w:tblW w:w="0" w:type="auto"/>
        <w:tblInd w:w="108" w:type="dxa"/>
        <w:tblLook w:val="04A0"/>
      </w:tblPr>
      <w:tblGrid>
        <w:gridCol w:w="4522"/>
        <w:gridCol w:w="4613"/>
      </w:tblGrid>
      <w:tr w:rsidR="0057647B" w:rsidTr="00520756">
        <w:tc>
          <w:tcPr>
            <w:tcW w:w="9468" w:type="dxa"/>
            <w:gridSpan w:val="2"/>
            <w:tcBorders>
              <w:top w:val="nil"/>
              <w:left w:val="nil"/>
              <w:bottom w:val="nil"/>
              <w:right w:val="nil"/>
            </w:tcBorders>
          </w:tcPr>
          <w:p w:rsidR="0057647B" w:rsidRPr="00147850" w:rsidRDefault="0057647B" w:rsidP="007A7BC1">
            <w:pPr>
              <w:spacing w:line="276" w:lineRule="auto"/>
              <w:jc w:val="center"/>
              <w:rPr>
                <w:b/>
                <w:bCs/>
              </w:rPr>
            </w:pPr>
            <w:r w:rsidRPr="00147850">
              <w:rPr>
                <w:b/>
                <w:bCs/>
              </w:rPr>
              <w:t xml:space="preserve">Figure 3: Trends in Implied, Registered and Resident Population: Selected Provinces </w:t>
            </w:r>
          </w:p>
        </w:tc>
      </w:tr>
      <w:tr w:rsidR="0057647B" w:rsidTr="00520756">
        <w:trPr>
          <w:trHeight w:val="170"/>
        </w:trPr>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895440" cy="2476500"/>
                  <wp:effectExtent l="19050" t="0" r="16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895440" cy="2476500"/>
                          </a:xfrm>
                          <a:prstGeom prst="rect">
                            <a:avLst/>
                          </a:prstGeom>
                          <a:noFill/>
                          <a:ln w="9525">
                            <a:noFill/>
                            <a:miter lim="800000"/>
                            <a:headEnd/>
                            <a:tailEnd/>
                          </a:ln>
                        </pic:spPr>
                      </pic:pic>
                    </a:graphicData>
                  </a:graphic>
                </wp:inline>
              </w:drawing>
            </w:r>
          </w:p>
        </w:tc>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957106" cy="2477361"/>
                  <wp:effectExtent l="1905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957106" cy="2477361"/>
                          </a:xfrm>
                          <a:prstGeom prst="rect">
                            <a:avLst/>
                          </a:prstGeom>
                          <a:noFill/>
                          <a:ln w="9525">
                            <a:noFill/>
                            <a:miter lim="800000"/>
                            <a:headEnd/>
                            <a:tailEnd/>
                          </a:ln>
                        </pic:spPr>
                      </pic:pic>
                    </a:graphicData>
                  </a:graphic>
                </wp:inline>
              </w:drawing>
            </w:r>
          </w:p>
        </w:tc>
      </w:tr>
      <w:tr w:rsidR="0057647B" w:rsidRPr="00650A66" w:rsidTr="00520756">
        <w:trPr>
          <w:trHeight w:val="57"/>
        </w:trPr>
        <w:tc>
          <w:tcPr>
            <w:tcW w:w="4734" w:type="dxa"/>
            <w:tcBorders>
              <w:top w:val="nil"/>
              <w:left w:val="nil"/>
              <w:bottom w:val="nil"/>
              <w:right w:val="nil"/>
            </w:tcBorders>
          </w:tcPr>
          <w:p w:rsidR="0057647B" w:rsidRPr="00650A66" w:rsidRDefault="0057647B" w:rsidP="007A7BC1">
            <w:pPr>
              <w:spacing w:line="276" w:lineRule="auto"/>
              <w:rPr>
                <w:bCs/>
                <w:sz w:val="8"/>
                <w:szCs w:val="12"/>
              </w:rPr>
            </w:pPr>
          </w:p>
        </w:tc>
        <w:tc>
          <w:tcPr>
            <w:tcW w:w="4734" w:type="dxa"/>
            <w:tcBorders>
              <w:top w:val="nil"/>
              <w:left w:val="nil"/>
              <w:bottom w:val="nil"/>
              <w:right w:val="nil"/>
            </w:tcBorders>
          </w:tcPr>
          <w:p w:rsidR="0057647B" w:rsidRPr="00650A66" w:rsidRDefault="0057647B" w:rsidP="007A7BC1">
            <w:pPr>
              <w:spacing w:line="276" w:lineRule="auto"/>
              <w:rPr>
                <w:bCs/>
                <w:sz w:val="8"/>
                <w:szCs w:val="12"/>
              </w:rPr>
            </w:pPr>
          </w:p>
        </w:tc>
      </w:tr>
      <w:tr w:rsidR="0057647B" w:rsidTr="00520756">
        <w:trPr>
          <w:trHeight w:val="170"/>
        </w:trPr>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lastRenderedPageBreak/>
              <w:drawing>
                <wp:inline distT="0" distB="0" distL="0" distR="0">
                  <wp:extent cx="2870200" cy="2476500"/>
                  <wp:effectExtent l="19050" t="0" r="635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872699" cy="2478656"/>
                          </a:xfrm>
                          <a:prstGeom prst="rect">
                            <a:avLst/>
                          </a:prstGeom>
                          <a:noFill/>
                          <a:ln w="9525">
                            <a:noFill/>
                            <a:miter lim="800000"/>
                            <a:headEnd/>
                            <a:tailEnd/>
                          </a:ln>
                        </pic:spPr>
                      </pic:pic>
                    </a:graphicData>
                  </a:graphic>
                </wp:inline>
              </w:drawing>
            </w:r>
          </w:p>
        </w:tc>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952750" cy="2473716"/>
                  <wp:effectExtent l="1905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958129" cy="2478222"/>
                          </a:xfrm>
                          <a:prstGeom prst="rect">
                            <a:avLst/>
                          </a:prstGeom>
                          <a:noFill/>
                          <a:ln w="9525">
                            <a:noFill/>
                            <a:miter lim="800000"/>
                            <a:headEnd/>
                            <a:tailEnd/>
                          </a:ln>
                        </pic:spPr>
                      </pic:pic>
                    </a:graphicData>
                  </a:graphic>
                </wp:inline>
              </w:drawing>
            </w:r>
          </w:p>
        </w:tc>
      </w:tr>
      <w:tr w:rsidR="0057647B" w:rsidRPr="00650A66" w:rsidTr="00520756">
        <w:trPr>
          <w:trHeight w:val="57"/>
        </w:trPr>
        <w:tc>
          <w:tcPr>
            <w:tcW w:w="4734" w:type="dxa"/>
            <w:tcBorders>
              <w:top w:val="nil"/>
              <w:left w:val="nil"/>
              <w:bottom w:val="nil"/>
              <w:right w:val="nil"/>
            </w:tcBorders>
          </w:tcPr>
          <w:p w:rsidR="0057647B" w:rsidRPr="00650A66" w:rsidRDefault="0057647B" w:rsidP="007A7BC1">
            <w:pPr>
              <w:spacing w:line="276" w:lineRule="auto"/>
              <w:rPr>
                <w:bCs/>
                <w:sz w:val="8"/>
                <w:szCs w:val="8"/>
              </w:rPr>
            </w:pPr>
          </w:p>
        </w:tc>
        <w:tc>
          <w:tcPr>
            <w:tcW w:w="4734" w:type="dxa"/>
            <w:tcBorders>
              <w:top w:val="nil"/>
              <w:left w:val="nil"/>
              <w:bottom w:val="nil"/>
              <w:right w:val="nil"/>
            </w:tcBorders>
          </w:tcPr>
          <w:p w:rsidR="0057647B" w:rsidRPr="00650A66" w:rsidRDefault="0057647B" w:rsidP="007A7BC1">
            <w:pPr>
              <w:spacing w:line="276" w:lineRule="auto"/>
              <w:rPr>
                <w:bCs/>
                <w:sz w:val="8"/>
                <w:szCs w:val="8"/>
              </w:rPr>
            </w:pPr>
          </w:p>
        </w:tc>
      </w:tr>
      <w:tr w:rsidR="0057647B" w:rsidTr="00520756">
        <w:trPr>
          <w:trHeight w:val="170"/>
        </w:trPr>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895438" cy="2476500"/>
                  <wp:effectExtent l="19050" t="0" r="162"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895600" cy="2476639"/>
                          </a:xfrm>
                          <a:prstGeom prst="rect">
                            <a:avLst/>
                          </a:prstGeom>
                          <a:noFill/>
                          <a:ln w="9525">
                            <a:noFill/>
                            <a:miter lim="800000"/>
                            <a:headEnd/>
                            <a:tailEnd/>
                          </a:ln>
                        </pic:spPr>
                      </pic:pic>
                    </a:graphicData>
                  </a:graphic>
                </wp:inline>
              </w:drawing>
            </w:r>
          </w:p>
        </w:tc>
        <w:tc>
          <w:tcPr>
            <w:tcW w:w="4734" w:type="dxa"/>
            <w:tcBorders>
              <w:top w:val="nil"/>
              <w:left w:val="nil"/>
              <w:bottom w:val="nil"/>
              <w:right w:val="nil"/>
            </w:tcBorders>
          </w:tcPr>
          <w:p w:rsidR="0057647B" w:rsidRDefault="0057647B" w:rsidP="007A7BC1">
            <w:pPr>
              <w:spacing w:line="276" w:lineRule="auto"/>
              <w:rPr>
                <w:bCs/>
              </w:rPr>
            </w:pPr>
            <w:r>
              <w:rPr>
                <w:bCs/>
                <w:noProof/>
                <w:lang w:val="en-NZ" w:eastAsia="en-NZ"/>
              </w:rPr>
              <w:drawing>
                <wp:inline distT="0" distB="0" distL="0" distR="0">
                  <wp:extent cx="2957195" cy="2477437"/>
                  <wp:effectExtent l="19050" t="0" r="0" b="0"/>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958904" cy="2478869"/>
                          </a:xfrm>
                          <a:prstGeom prst="rect">
                            <a:avLst/>
                          </a:prstGeom>
                          <a:noFill/>
                          <a:ln w="9525">
                            <a:noFill/>
                            <a:miter lim="800000"/>
                            <a:headEnd/>
                            <a:tailEnd/>
                          </a:ln>
                        </pic:spPr>
                      </pic:pic>
                    </a:graphicData>
                  </a:graphic>
                </wp:inline>
              </w:drawing>
            </w:r>
          </w:p>
        </w:tc>
      </w:tr>
      <w:tr w:rsidR="0057647B" w:rsidRPr="0072338A" w:rsidTr="00520756">
        <w:tc>
          <w:tcPr>
            <w:tcW w:w="9468" w:type="dxa"/>
            <w:gridSpan w:val="2"/>
            <w:tcBorders>
              <w:top w:val="nil"/>
              <w:left w:val="nil"/>
              <w:bottom w:val="nil"/>
              <w:right w:val="nil"/>
            </w:tcBorders>
          </w:tcPr>
          <w:p w:rsidR="0057647B" w:rsidRPr="00147850" w:rsidRDefault="0057647B" w:rsidP="00147850">
            <w:pPr>
              <w:spacing w:before="100" w:line="276" w:lineRule="auto"/>
              <w:rPr>
                <w:bCs/>
                <w:sz w:val="22"/>
                <w:szCs w:val="22"/>
              </w:rPr>
            </w:pPr>
            <w:r w:rsidRPr="00147850">
              <w:rPr>
                <w:bCs/>
                <w:i/>
                <w:sz w:val="22"/>
                <w:szCs w:val="22"/>
              </w:rPr>
              <w:t>Source:</w:t>
            </w:r>
            <w:r w:rsidRPr="00147850">
              <w:rPr>
                <w:bCs/>
                <w:sz w:val="22"/>
                <w:szCs w:val="22"/>
              </w:rPr>
              <w:t xml:space="preserve"> Author’s calculations from the sources described in text. For other notes see Figure 1.</w:t>
            </w:r>
          </w:p>
        </w:tc>
      </w:tr>
    </w:tbl>
    <w:p w:rsidR="0057647B" w:rsidRDefault="0057647B" w:rsidP="007A7BC1">
      <w:pPr>
        <w:spacing w:line="276" w:lineRule="auto"/>
        <w:jc w:val="both"/>
        <w:rPr>
          <w:bCs/>
        </w:rPr>
      </w:pPr>
    </w:p>
    <w:p w:rsidR="002165D9" w:rsidRDefault="002165D9" w:rsidP="007A7BC1">
      <w:pPr>
        <w:spacing w:line="276" w:lineRule="auto"/>
        <w:jc w:val="both"/>
      </w:pPr>
    </w:p>
    <w:p w:rsidR="001C2F3E" w:rsidRDefault="007A7BC1" w:rsidP="007A7BC1">
      <w:pPr>
        <w:spacing w:line="276" w:lineRule="auto"/>
        <w:jc w:val="both"/>
        <w:rPr>
          <w:bCs/>
        </w:rPr>
      </w:pPr>
      <w:r>
        <w:rPr>
          <w:bCs/>
        </w:rPr>
        <w:tab/>
      </w:r>
      <w:r w:rsidR="002D55DB">
        <w:rPr>
          <w:bCs/>
        </w:rPr>
        <w:t xml:space="preserve">In order to test our contention that the initial estimates of resident population in the </w:t>
      </w:r>
      <w:r w:rsidR="002D55DB">
        <w:rPr>
          <w:bCs/>
          <w:i/>
        </w:rPr>
        <w:t>Statistical Yearbooks</w:t>
      </w:r>
      <w:r w:rsidR="002D55DB">
        <w:rPr>
          <w:bCs/>
        </w:rPr>
        <w:t xml:space="preserve"> understated non-</w:t>
      </w:r>
      <w:proofErr w:type="spellStart"/>
      <w:r w:rsidR="002D55DB">
        <w:rPr>
          <w:bCs/>
          <w:i/>
        </w:rPr>
        <w:t>hukou</w:t>
      </w:r>
      <w:proofErr w:type="spellEnd"/>
      <w:r w:rsidR="002D55DB">
        <w:rPr>
          <w:bCs/>
        </w:rPr>
        <w:t xml:space="preserve"> migrants, we compared the 2000 census counts with what the resident population would have been estimated as </w:t>
      </w:r>
      <w:r w:rsidR="00F521B7">
        <w:rPr>
          <w:bCs/>
        </w:rPr>
        <w:t xml:space="preserve">in that year </w:t>
      </w:r>
      <w:r w:rsidR="002D55DB">
        <w:rPr>
          <w:bCs/>
        </w:rPr>
        <w:t xml:space="preserve">from the trend for the two surrounding years. For example, in Anhui the census count of residents was 59.9 million but the trend </w:t>
      </w:r>
      <w:r w:rsidR="001C2F3E">
        <w:rPr>
          <w:bCs/>
        </w:rPr>
        <w:t xml:space="preserve">line joining </w:t>
      </w:r>
      <w:r w:rsidR="002D55DB">
        <w:rPr>
          <w:bCs/>
        </w:rPr>
        <w:t xml:space="preserve">the 1999 and 2001 </w:t>
      </w:r>
      <w:r w:rsidR="001C2F3E">
        <w:rPr>
          <w:bCs/>
          <w:i/>
        </w:rPr>
        <w:t xml:space="preserve">Yearbook </w:t>
      </w:r>
      <w:r w:rsidR="001C2F3E">
        <w:rPr>
          <w:bCs/>
        </w:rPr>
        <w:t>figures implies that there would have been 62.9 million residents</w:t>
      </w:r>
      <w:r w:rsidR="00F521B7">
        <w:rPr>
          <w:bCs/>
        </w:rPr>
        <w:t xml:space="preserve"> in 2000</w:t>
      </w:r>
      <w:r w:rsidR="001C2F3E">
        <w:rPr>
          <w:bCs/>
        </w:rPr>
        <w:t xml:space="preserve">, if estimated in the same way as in the surrounding years. We then </w:t>
      </w:r>
      <w:proofErr w:type="gramStart"/>
      <w:r w:rsidR="00170EB9">
        <w:rPr>
          <w:bCs/>
        </w:rPr>
        <w:t>regressed</w:t>
      </w:r>
      <w:proofErr w:type="gramEnd"/>
      <w:r w:rsidR="00170EB9">
        <w:rPr>
          <w:bCs/>
        </w:rPr>
        <w:t xml:space="preserve"> this imputed yearbook population for 2000 on the census count of the resident population in 2000</w:t>
      </w:r>
      <w:r w:rsidR="001C2F3E">
        <w:rPr>
          <w:bCs/>
        </w:rPr>
        <w:t>:</w:t>
      </w:r>
    </w:p>
    <w:p w:rsidR="00520756" w:rsidRDefault="00520756" w:rsidP="007A7BC1">
      <w:pPr>
        <w:spacing w:line="276" w:lineRule="auto"/>
        <w:jc w:val="both"/>
        <w:rPr>
          <w:bCs/>
        </w:rPr>
      </w:pPr>
    </w:p>
    <w:p w:rsidR="00B835A5" w:rsidRDefault="001C2F3E" w:rsidP="007A7BC1">
      <w:pPr>
        <w:spacing w:line="276" w:lineRule="auto"/>
        <w:jc w:val="center"/>
      </w:pPr>
      <w:r>
        <w:t>yearbook = β</w:t>
      </w:r>
      <w:r>
        <w:rPr>
          <w:vertAlign w:val="subscript"/>
        </w:rPr>
        <w:t xml:space="preserve">0 </w:t>
      </w:r>
      <w:r>
        <w:t>+ β</w:t>
      </w:r>
      <w:r>
        <w:rPr>
          <w:vertAlign w:val="subscript"/>
        </w:rPr>
        <w:t>1</w:t>
      </w:r>
      <w:r>
        <w:t>census + ε</w:t>
      </w:r>
    </w:p>
    <w:p w:rsidR="00BA433C" w:rsidRPr="002D55DB" w:rsidRDefault="00BA433C" w:rsidP="007A7BC1">
      <w:pPr>
        <w:spacing w:line="276" w:lineRule="auto"/>
        <w:jc w:val="center"/>
        <w:rPr>
          <w:bCs/>
        </w:rPr>
      </w:pPr>
    </w:p>
    <w:p w:rsidR="00147850" w:rsidRDefault="001C2F3E" w:rsidP="007A7BC1">
      <w:pPr>
        <w:spacing w:line="276" w:lineRule="auto"/>
        <w:jc w:val="both"/>
        <w:rPr>
          <w:bCs/>
        </w:rPr>
      </w:pPr>
      <w:proofErr w:type="gramStart"/>
      <w:r>
        <w:rPr>
          <w:bCs/>
        </w:rPr>
        <w:t>separately for migrant-sending provinces and for migrant-receiving pr</w:t>
      </w:r>
      <w:r w:rsidR="00046FF1">
        <w:rPr>
          <w:bCs/>
        </w:rPr>
        <w:t>ovince</w:t>
      </w:r>
      <w:r>
        <w:rPr>
          <w:bCs/>
        </w:rPr>
        <w:t>s.</w:t>
      </w:r>
      <w:proofErr w:type="gramEnd"/>
      <w:r>
        <w:rPr>
          <w:bCs/>
        </w:rPr>
        <w:t xml:space="preserve"> </w:t>
      </w:r>
    </w:p>
    <w:p w:rsidR="00147850" w:rsidRDefault="00147850" w:rsidP="007A7BC1">
      <w:pPr>
        <w:spacing w:line="276" w:lineRule="auto"/>
        <w:jc w:val="both"/>
        <w:rPr>
          <w:bCs/>
        </w:rPr>
      </w:pPr>
    </w:p>
    <w:p w:rsidR="0014463E" w:rsidRDefault="00147850" w:rsidP="007A7BC1">
      <w:pPr>
        <w:spacing w:line="276" w:lineRule="auto"/>
        <w:jc w:val="both"/>
        <w:rPr>
          <w:color w:val="000000"/>
        </w:rPr>
      </w:pPr>
      <w:r>
        <w:rPr>
          <w:bCs/>
        </w:rPr>
        <w:tab/>
      </w:r>
      <w:r w:rsidR="00046FF1">
        <w:rPr>
          <w:bCs/>
        </w:rPr>
        <w:t xml:space="preserve">The results were </w:t>
      </w:r>
      <w:r w:rsidR="00046FF1" w:rsidRPr="00046FF1">
        <w:rPr>
          <w:bCs/>
        </w:rPr>
        <w:t xml:space="preserve">that </w:t>
      </w:r>
      <w:r w:rsidR="00046FF1" w:rsidRPr="00046FF1">
        <w:rPr>
          <w:color w:val="000000"/>
        </w:rPr>
        <w:t>β</w:t>
      </w:r>
      <w:r w:rsidR="00046FF1" w:rsidRPr="00046FF1">
        <w:rPr>
          <w:color w:val="000000"/>
          <w:vertAlign w:val="subscript"/>
        </w:rPr>
        <w:t>1</w:t>
      </w:r>
      <w:r w:rsidR="00046FF1" w:rsidRPr="00046FF1">
        <w:rPr>
          <w:color w:val="000000"/>
          <w:vertAlign w:val="superscript"/>
        </w:rPr>
        <w:t>senders</w:t>
      </w:r>
      <w:r w:rsidR="00046FF1" w:rsidRPr="00046FF1">
        <w:rPr>
          <w:color w:val="000000"/>
        </w:rPr>
        <w:t>=1.023 while β</w:t>
      </w:r>
      <w:r w:rsidR="00046FF1" w:rsidRPr="00046FF1">
        <w:rPr>
          <w:color w:val="000000"/>
          <w:vertAlign w:val="subscript"/>
        </w:rPr>
        <w:t>1</w:t>
      </w:r>
      <w:r w:rsidR="00046FF1">
        <w:rPr>
          <w:color w:val="000000"/>
          <w:vertAlign w:val="superscript"/>
        </w:rPr>
        <w:t>receiv</w:t>
      </w:r>
      <w:r w:rsidR="00046FF1" w:rsidRPr="00046FF1">
        <w:rPr>
          <w:color w:val="000000"/>
          <w:vertAlign w:val="superscript"/>
        </w:rPr>
        <w:t>ers</w:t>
      </w:r>
      <w:r w:rsidR="00046FF1" w:rsidRPr="00046FF1">
        <w:rPr>
          <w:color w:val="000000"/>
        </w:rPr>
        <w:t>=</w:t>
      </w:r>
      <w:r w:rsidR="00046FF1">
        <w:rPr>
          <w:color w:val="000000"/>
        </w:rPr>
        <w:t>0</w:t>
      </w:r>
      <w:r w:rsidR="00046FF1" w:rsidRPr="00046FF1">
        <w:rPr>
          <w:color w:val="000000"/>
        </w:rPr>
        <w:t>.</w:t>
      </w:r>
      <w:r w:rsidR="00046FF1">
        <w:rPr>
          <w:color w:val="000000"/>
        </w:rPr>
        <w:t>95</w:t>
      </w:r>
      <w:r w:rsidR="00046FF1" w:rsidRPr="00046FF1">
        <w:rPr>
          <w:color w:val="000000"/>
        </w:rPr>
        <w:t>3</w:t>
      </w:r>
      <w:r w:rsidR="00046FF1">
        <w:rPr>
          <w:color w:val="000000"/>
        </w:rPr>
        <w:t xml:space="preserve"> and the null hypothesis that these coefficients are equal is clearly rejected (</w:t>
      </w:r>
      <w:r w:rsidR="00046FF1">
        <w:rPr>
          <w:i/>
          <w:color w:val="000000"/>
        </w:rPr>
        <w:t>t</w:t>
      </w:r>
      <w:r w:rsidR="00046FF1">
        <w:rPr>
          <w:color w:val="000000"/>
        </w:rPr>
        <w:t xml:space="preserve">=2.20). In other words, the </w:t>
      </w:r>
      <w:r w:rsidR="00DC388B">
        <w:rPr>
          <w:color w:val="000000"/>
        </w:rPr>
        <w:t xml:space="preserve">method used to form </w:t>
      </w:r>
      <w:r w:rsidR="008C7CB3">
        <w:rPr>
          <w:color w:val="000000"/>
        </w:rPr>
        <w:t xml:space="preserve">the </w:t>
      </w:r>
      <w:r w:rsidR="00046FF1">
        <w:rPr>
          <w:color w:val="000000"/>
        </w:rPr>
        <w:t xml:space="preserve">estimates of resident population </w:t>
      </w:r>
      <w:r w:rsidR="00DC388B">
        <w:rPr>
          <w:color w:val="000000"/>
        </w:rPr>
        <w:t xml:space="preserve">that were </w:t>
      </w:r>
      <w:r w:rsidR="00046FF1">
        <w:rPr>
          <w:color w:val="000000"/>
        </w:rPr>
        <w:t xml:space="preserve">reported in the </w:t>
      </w:r>
      <w:r w:rsidR="00046FF1">
        <w:rPr>
          <w:i/>
          <w:color w:val="000000"/>
        </w:rPr>
        <w:t>Statistical Yearbooks</w:t>
      </w:r>
      <w:r w:rsidR="00046FF1">
        <w:rPr>
          <w:color w:val="000000"/>
        </w:rPr>
        <w:t xml:space="preserve"> for </w:t>
      </w:r>
      <w:r w:rsidR="00046FF1">
        <w:rPr>
          <w:color w:val="000000"/>
        </w:rPr>
        <w:lastRenderedPageBreak/>
        <w:t xml:space="preserve">non-census </w:t>
      </w:r>
      <w:r w:rsidR="00C047CE">
        <w:rPr>
          <w:color w:val="000000"/>
        </w:rPr>
        <w:t xml:space="preserve">years </w:t>
      </w:r>
      <w:r w:rsidR="00046FF1">
        <w:rPr>
          <w:color w:val="000000"/>
        </w:rPr>
        <w:t>overstate</w:t>
      </w:r>
      <w:r w:rsidR="00DC388B">
        <w:rPr>
          <w:color w:val="000000"/>
        </w:rPr>
        <w:t>s</w:t>
      </w:r>
      <w:r w:rsidR="00046FF1">
        <w:rPr>
          <w:color w:val="000000"/>
        </w:rPr>
        <w:t xml:space="preserve"> the population of migrant-sending provinces and understate</w:t>
      </w:r>
      <w:r w:rsidR="00DC388B">
        <w:rPr>
          <w:color w:val="000000"/>
        </w:rPr>
        <w:t>s</w:t>
      </w:r>
      <w:r w:rsidR="00046FF1">
        <w:rPr>
          <w:color w:val="000000"/>
        </w:rPr>
        <w:t xml:space="preserve"> it for receiving provinces. This pattern could only result from underestimating the number of non-</w:t>
      </w:r>
      <w:proofErr w:type="spellStart"/>
      <w:r w:rsidR="00046FF1">
        <w:rPr>
          <w:i/>
          <w:color w:val="000000"/>
        </w:rPr>
        <w:t>hukou</w:t>
      </w:r>
      <w:proofErr w:type="spellEnd"/>
      <w:r w:rsidR="00046FF1">
        <w:rPr>
          <w:i/>
          <w:color w:val="000000"/>
        </w:rPr>
        <w:t xml:space="preserve"> </w:t>
      </w:r>
      <w:r w:rsidR="00046FF1">
        <w:rPr>
          <w:color w:val="000000"/>
        </w:rPr>
        <w:t xml:space="preserve">migrants. Thus even if economists had been concerned that the official GDP </w:t>
      </w:r>
      <w:r w:rsidR="00046FF1">
        <w:rPr>
          <w:i/>
          <w:color w:val="000000"/>
        </w:rPr>
        <w:t>per capita</w:t>
      </w:r>
      <w:r w:rsidR="00046FF1">
        <w:rPr>
          <w:color w:val="000000"/>
        </w:rPr>
        <w:t xml:space="preserve"> figures relied on a</w:t>
      </w:r>
      <w:r w:rsidR="00F521B7">
        <w:rPr>
          <w:color w:val="000000"/>
        </w:rPr>
        <w:t xml:space="preserve"> conceptually</w:t>
      </w:r>
      <w:r w:rsidR="00C047CE">
        <w:rPr>
          <w:color w:val="000000"/>
        </w:rPr>
        <w:t xml:space="preserve"> incorrect denominator </w:t>
      </w:r>
      <w:r w:rsidR="00F521B7">
        <w:rPr>
          <w:color w:val="000000"/>
        </w:rPr>
        <w:t xml:space="preserve">– the </w:t>
      </w:r>
      <w:r w:rsidR="00046FF1">
        <w:rPr>
          <w:color w:val="000000"/>
        </w:rPr>
        <w:t>registered population</w:t>
      </w:r>
      <w:r w:rsidR="00F521B7">
        <w:rPr>
          <w:color w:val="000000"/>
        </w:rPr>
        <w:t xml:space="preserve"> – and </w:t>
      </w:r>
      <w:r w:rsidR="00046FF1">
        <w:rPr>
          <w:color w:val="000000"/>
        </w:rPr>
        <w:t>had attempted to adjust them by dividing by the reported resident population, the data available would not have allowed them to make a correct adjustment, except in census years.</w:t>
      </w:r>
    </w:p>
    <w:p w:rsidR="00046FF1" w:rsidRDefault="00046FF1" w:rsidP="007A7BC1">
      <w:pPr>
        <w:spacing w:line="276" w:lineRule="auto"/>
        <w:jc w:val="both"/>
        <w:rPr>
          <w:color w:val="000000"/>
        </w:rPr>
      </w:pPr>
    </w:p>
    <w:p w:rsidR="00046FF1" w:rsidRDefault="007A7BC1" w:rsidP="007A7BC1">
      <w:pPr>
        <w:spacing w:line="276" w:lineRule="auto"/>
        <w:jc w:val="both"/>
      </w:pPr>
      <w:r>
        <w:rPr>
          <w:bCs/>
        </w:rPr>
        <w:tab/>
      </w:r>
      <w:r w:rsidR="00046FF1">
        <w:rPr>
          <w:bCs/>
        </w:rPr>
        <w:t xml:space="preserve">The third feature of the provincial population data shown in Figure 3 is </w:t>
      </w:r>
      <w:r w:rsidR="00882B52">
        <w:rPr>
          <w:bCs/>
        </w:rPr>
        <w:t>that the most plausible tim</w:t>
      </w:r>
      <w:r w:rsidR="00170EB9">
        <w:rPr>
          <w:bCs/>
        </w:rPr>
        <w:t>e series of resident population</w:t>
      </w:r>
      <w:r w:rsidR="00882B52">
        <w:rPr>
          <w:bCs/>
        </w:rPr>
        <w:t xml:space="preserve"> for each province have only been available since 2011. These data are shown by the dashed line labeled “Resident (revised)” and they represent the attempt by the National Bureau of Statistics </w:t>
      </w:r>
      <w:r w:rsidR="00E3588B">
        <w:rPr>
          <w:bCs/>
        </w:rPr>
        <w:t xml:space="preserve">(NBS) </w:t>
      </w:r>
      <w:r w:rsidR="00882B52">
        <w:rPr>
          <w:bCs/>
        </w:rPr>
        <w:t xml:space="preserve">to use the </w:t>
      </w:r>
      <w:r w:rsidR="00E8177E">
        <w:rPr>
          <w:bCs/>
        </w:rPr>
        <w:t xml:space="preserve">latest </w:t>
      </w:r>
      <w:r w:rsidR="00882B52">
        <w:rPr>
          <w:bCs/>
        </w:rPr>
        <w:t>census counts to correct the initial estimates of the resident population in each province.</w:t>
      </w:r>
      <w:r w:rsidR="00DC388B">
        <w:rPr>
          <w:rStyle w:val="FootnoteReference"/>
          <w:bCs/>
        </w:rPr>
        <w:footnoteReference w:id="8"/>
      </w:r>
      <w:r w:rsidR="00882B52">
        <w:rPr>
          <w:bCs/>
        </w:rPr>
        <w:t xml:space="preserve"> In contrast to the </w:t>
      </w:r>
      <w:r w:rsidR="0038799A">
        <w:rPr>
          <w:bCs/>
        </w:rPr>
        <w:t xml:space="preserve">initial </w:t>
      </w:r>
      <w:r w:rsidR="00882B52">
        <w:rPr>
          <w:bCs/>
        </w:rPr>
        <w:t>estimates</w:t>
      </w:r>
      <w:r w:rsidR="00F83BF6">
        <w:rPr>
          <w:bCs/>
        </w:rPr>
        <w:t>,</w:t>
      </w:r>
      <w:r w:rsidR="00882B52">
        <w:rPr>
          <w:bCs/>
        </w:rPr>
        <w:t xml:space="preserve"> reported year-by-year in each province’s </w:t>
      </w:r>
      <w:r w:rsidR="00882B52">
        <w:rPr>
          <w:bCs/>
          <w:i/>
        </w:rPr>
        <w:t>Statistical Yearbook</w:t>
      </w:r>
      <w:r w:rsidR="00882B52">
        <w:rPr>
          <w:bCs/>
        </w:rPr>
        <w:t>,</w:t>
      </w:r>
      <w:r w:rsidR="001E68D9">
        <w:rPr>
          <w:bCs/>
        </w:rPr>
        <w:t xml:space="preserve"> which </w:t>
      </w:r>
      <w:r w:rsidR="00F83BF6">
        <w:rPr>
          <w:bCs/>
        </w:rPr>
        <w:t>a</w:t>
      </w:r>
      <w:r w:rsidR="0038799A">
        <w:rPr>
          <w:bCs/>
        </w:rPr>
        <w:t xml:space="preserve">re quite volatile between </w:t>
      </w:r>
      <w:r w:rsidR="00882B52">
        <w:rPr>
          <w:bCs/>
        </w:rPr>
        <w:t xml:space="preserve">census and non-census years, the revised estimates </w:t>
      </w:r>
      <w:r w:rsidR="00882B52">
        <w:t xml:space="preserve">smooth the time series. Nevertheless, we must stress that these are only estimates and </w:t>
      </w:r>
      <w:r w:rsidR="0038799A">
        <w:t xml:space="preserve">it will never be </w:t>
      </w:r>
      <w:r w:rsidR="007952C0">
        <w:t xml:space="preserve">known for </w:t>
      </w:r>
      <w:r w:rsidR="00882B52">
        <w:t xml:space="preserve">certain what the </w:t>
      </w:r>
      <w:r w:rsidR="0038799A">
        <w:t xml:space="preserve">annual </w:t>
      </w:r>
      <w:r w:rsidR="00882B52">
        <w:t xml:space="preserve">resident population of China’s provinces </w:t>
      </w:r>
      <w:r w:rsidR="0038799A">
        <w:t xml:space="preserve">was </w:t>
      </w:r>
      <w:r w:rsidR="00882B52">
        <w:t xml:space="preserve">for most of the first three decades of economic reform. </w:t>
      </w:r>
    </w:p>
    <w:p w:rsidR="0038799A" w:rsidRDefault="0038799A" w:rsidP="007A7BC1">
      <w:pPr>
        <w:spacing w:line="276" w:lineRule="auto"/>
        <w:jc w:val="both"/>
      </w:pPr>
    </w:p>
    <w:p w:rsidR="008556A3" w:rsidRPr="00BE5313" w:rsidRDefault="007A7BC1" w:rsidP="007A7BC1">
      <w:pPr>
        <w:spacing w:line="276" w:lineRule="auto"/>
        <w:jc w:val="both"/>
        <w:rPr>
          <w:bCs/>
        </w:rPr>
      </w:pPr>
      <w:r>
        <w:tab/>
      </w:r>
      <w:r w:rsidR="0038799A">
        <w:t>The final idiosyncratic feature of China’s provincial population data</w:t>
      </w:r>
      <w:r w:rsidR="008556A3">
        <w:t>, which</w:t>
      </w:r>
      <w:r w:rsidR="0038799A">
        <w:t xml:space="preserve"> </w:t>
      </w:r>
      <w:r w:rsidR="008556A3">
        <w:t>is not apparent from Figure</w:t>
      </w:r>
      <w:r w:rsidR="00C047CE">
        <w:t xml:space="preserve"> 3, is that a few provinces had</w:t>
      </w:r>
      <w:r w:rsidR="008556A3">
        <w:t xml:space="preserve"> been reporting</w:t>
      </w:r>
      <w:r w:rsidR="008556A3">
        <w:rPr>
          <w:bCs/>
        </w:rPr>
        <w:t xml:space="preserve"> output per resident rather than output</w:t>
      </w:r>
      <w:r w:rsidR="00C047CE">
        <w:rPr>
          <w:bCs/>
        </w:rPr>
        <w:t xml:space="preserve"> per registered population from as far back as</w:t>
      </w:r>
      <w:r w:rsidR="00A669FE">
        <w:rPr>
          <w:bCs/>
        </w:rPr>
        <w:t xml:space="preserve"> 1990. T</w:t>
      </w:r>
      <w:r w:rsidR="008556A3">
        <w:rPr>
          <w:bCs/>
        </w:rPr>
        <w:t xml:space="preserve">he same person can be counted as a resident of one province and in the registered population of another province, </w:t>
      </w:r>
      <w:r w:rsidR="00A669FE">
        <w:rPr>
          <w:bCs/>
        </w:rPr>
        <w:t xml:space="preserve">so poor </w:t>
      </w:r>
      <w:r w:rsidR="008556A3">
        <w:rPr>
          <w:bCs/>
        </w:rPr>
        <w:t xml:space="preserve">coordination between provinces in when they switched to reporting output per resident creates scope for a double-counting problem. The year in which each province switched to reporting GDP </w:t>
      </w:r>
      <w:r w:rsidR="00E8177E">
        <w:rPr>
          <w:bCs/>
        </w:rPr>
        <w:t xml:space="preserve">per resident is shown in Table </w:t>
      </w:r>
      <w:r w:rsidR="00A669FE">
        <w:rPr>
          <w:bCs/>
        </w:rPr>
        <w:t>1.</w:t>
      </w:r>
      <w:r w:rsidR="008556A3">
        <w:rPr>
          <w:bCs/>
        </w:rPr>
        <w:t xml:space="preserve"> </w:t>
      </w:r>
      <w:r w:rsidR="00A669FE">
        <w:rPr>
          <w:bCs/>
        </w:rPr>
        <w:t>W</w:t>
      </w:r>
      <w:r w:rsidR="008556A3">
        <w:rPr>
          <w:bCs/>
        </w:rPr>
        <w:t>e determine this date using charts like those in Figure 1</w:t>
      </w:r>
      <w:r w:rsidR="00C047CE">
        <w:rPr>
          <w:bCs/>
        </w:rPr>
        <w:t>, but</w:t>
      </w:r>
      <w:r w:rsidR="008556A3">
        <w:rPr>
          <w:bCs/>
        </w:rPr>
        <w:t xml:space="preserve"> for all provinces, since t</w:t>
      </w:r>
      <w:r w:rsidR="00C047CE">
        <w:rPr>
          <w:bCs/>
        </w:rPr>
        <w:t>here i</w:t>
      </w:r>
      <w:r w:rsidR="008556A3">
        <w:rPr>
          <w:bCs/>
        </w:rPr>
        <w:t>s no explicit disc</w:t>
      </w:r>
      <w:r w:rsidR="00C047CE">
        <w:rPr>
          <w:bCs/>
        </w:rPr>
        <w:t xml:space="preserve">ussion of the (changing) population basis </w:t>
      </w:r>
      <w:r w:rsidR="008556A3">
        <w:rPr>
          <w:bCs/>
        </w:rPr>
        <w:t>f</w:t>
      </w:r>
      <w:r w:rsidR="00C047CE">
        <w:rPr>
          <w:bCs/>
        </w:rPr>
        <w:t>or</w:t>
      </w:r>
      <w:r w:rsidR="008556A3">
        <w:rPr>
          <w:bCs/>
        </w:rPr>
        <w:t xml:space="preserve"> GDP </w:t>
      </w:r>
      <w:r w:rsidR="008556A3" w:rsidRPr="008556A3">
        <w:rPr>
          <w:bCs/>
          <w:i/>
        </w:rPr>
        <w:t>per capita</w:t>
      </w:r>
      <w:r w:rsidR="008556A3">
        <w:rPr>
          <w:bCs/>
        </w:rPr>
        <w:t xml:space="preserve"> </w:t>
      </w:r>
      <w:r w:rsidR="00C047CE">
        <w:rPr>
          <w:bCs/>
        </w:rPr>
        <w:t xml:space="preserve">calculations in </w:t>
      </w:r>
      <w:r w:rsidR="00170EB9">
        <w:rPr>
          <w:bCs/>
        </w:rPr>
        <w:t xml:space="preserve">contemporary </w:t>
      </w:r>
      <w:r w:rsidR="00C047CE">
        <w:rPr>
          <w:bCs/>
        </w:rPr>
        <w:t>statistical documents</w:t>
      </w:r>
      <w:r w:rsidR="008556A3">
        <w:rPr>
          <w:bCs/>
        </w:rPr>
        <w:t>. The registered and resident population for each province, as counted in the 2010 census is also reported in Table 1, along with the number of non</w:t>
      </w:r>
      <w:r w:rsidR="008556A3">
        <w:rPr>
          <w:bCs/>
        </w:rPr>
        <w:softHyphen/>
        <w:t>-</w:t>
      </w:r>
      <w:proofErr w:type="spellStart"/>
      <w:r w:rsidR="008556A3">
        <w:rPr>
          <w:bCs/>
          <w:i/>
        </w:rPr>
        <w:t>hukou</w:t>
      </w:r>
      <w:proofErr w:type="spellEnd"/>
      <w:r w:rsidR="008556A3">
        <w:rPr>
          <w:bCs/>
        </w:rPr>
        <w:t xml:space="preserve"> migrants </w:t>
      </w:r>
      <w:r w:rsidR="00BE5313">
        <w:rPr>
          <w:bCs/>
        </w:rPr>
        <w:t xml:space="preserve">(positive for in-migrants and negative for out-migrants) </w:t>
      </w:r>
      <w:r w:rsidR="008556A3">
        <w:rPr>
          <w:bCs/>
        </w:rPr>
        <w:t xml:space="preserve">and </w:t>
      </w:r>
      <w:r w:rsidR="00BE5313">
        <w:rPr>
          <w:bCs/>
        </w:rPr>
        <w:t xml:space="preserve">this number as a </w:t>
      </w:r>
      <w:r w:rsidR="008556A3">
        <w:rPr>
          <w:bCs/>
        </w:rPr>
        <w:t>percentage of the resident population</w:t>
      </w:r>
      <w:r w:rsidR="00BE5313">
        <w:rPr>
          <w:bCs/>
        </w:rPr>
        <w:t xml:space="preserve">. In unreported regressions we examined whether the switch date for each province was related to whether they were a migrant-sender or receiver, </w:t>
      </w:r>
      <w:r w:rsidR="00C047CE">
        <w:rPr>
          <w:bCs/>
        </w:rPr>
        <w:t xml:space="preserve">to </w:t>
      </w:r>
      <w:r w:rsidR="00BE5313">
        <w:rPr>
          <w:bCs/>
        </w:rPr>
        <w:t>the number of their non-</w:t>
      </w:r>
      <w:proofErr w:type="spellStart"/>
      <w:r w:rsidR="00BE5313">
        <w:rPr>
          <w:bCs/>
          <w:i/>
        </w:rPr>
        <w:t>hukou</w:t>
      </w:r>
      <w:proofErr w:type="spellEnd"/>
      <w:r w:rsidR="00BE5313">
        <w:rPr>
          <w:bCs/>
        </w:rPr>
        <w:t xml:space="preserve"> migrants and </w:t>
      </w:r>
      <w:r w:rsidR="00C047CE">
        <w:rPr>
          <w:bCs/>
        </w:rPr>
        <w:t xml:space="preserve">to </w:t>
      </w:r>
      <w:r w:rsidR="00BE5313">
        <w:rPr>
          <w:bCs/>
        </w:rPr>
        <w:t xml:space="preserve">the size of their total population. There were no clear relationships to explain why the statistical authorities in some provinces switched to reporting GDP per resident much earlier than </w:t>
      </w:r>
      <w:r w:rsidR="00C047CE">
        <w:rPr>
          <w:bCs/>
        </w:rPr>
        <w:t xml:space="preserve">did </w:t>
      </w:r>
      <w:r w:rsidR="00BE5313">
        <w:rPr>
          <w:bCs/>
        </w:rPr>
        <w:t>the authorities in other provinces.</w:t>
      </w:r>
    </w:p>
    <w:p w:rsidR="008556A3" w:rsidRDefault="008556A3" w:rsidP="007A7BC1">
      <w:pPr>
        <w:spacing w:line="276" w:lineRule="auto"/>
        <w:jc w:val="both"/>
        <w:rPr>
          <w:bCs/>
        </w:rPr>
      </w:pPr>
    </w:p>
    <w:p w:rsidR="00187F46" w:rsidRDefault="00187F46">
      <w:pPr>
        <w:rPr>
          <w:bCs/>
        </w:rPr>
      </w:pPr>
      <w:r>
        <w:rPr>
          <w:bCs/>
        </w:rPr>
        <w:br w:type="page"/>
      </w:r>
    </w:p>
    <w:tbl>
      <w:tblPr>
        <w:tblStyle w:val="TableGrid"/>
        <w:tblW w:w="0" w:type="auto"/>
        <w:tblLook w:val="04A0"/>
      </w:tblPr>
      <w:tblGrid>
        <w:gridCol w:w="1890"/>
        <w:gridCol w:w="1486"/>
        <w:gridCol w:w="1486"/>
        <w:gridCol w:w="1457"/>
        <w:gridCol w:w="1465"/>
        <w:gridCol w:w="1459"/>
      </w:tblGrid>
      <w:tr w:rsidR="00187F46" w:rsidTr="00520756">
        <w:tc>
          <w:tcPr>
            <w:tcW w:w="9576" w:type="dxa"/>
            <w:gridSpan w:val="6"/>
            <w:tcBorders>
              <w:top w:val="nil"/>
              <w:left w:val="nil"/>
              <w:bottom w:val="single" w:sz="4" w:space="0" w:color="auto"/>
              <w:right w:val="nil"/>
            </w:tcBorders>
          </w:tcPr>
          <w:p w:rsidR="00187F46" w:rsidRPr="00147850" w:rsidRDefault="00187F46" w:rsidP="00520756">
            <w:pPr>
              <w:spacing w:line="276" w:lineRule="auto"/>
              <w:jc w:val="center"/>
              <w:rPr>
                <w:b/>
                <w:bCs/>
              </w:rPr>
            </w:pPr>
            <w:r>
              <w:rPr>
                <w:bCs/>
              </w:rPr>
              <w:lastRenderedPageBreak/>
              <w:br w:type="page"/>
            </w:r>
            <w:r w:rsidRPr="00147850">
              <w:rPr>
                <w:b/>
                <w:bCs/>
              </w:rPr>
              <w:t xml:space="preserve">Table 1: Year of First Using Resident Population in Official GDP </w:t>
            </w:r>
            <w:r w:rsidRPr="00147850">
              <w:rPr>
                <w:b/>
                <w:bCs/>
                <w:i/>
              </w:rPr>
              <w:t>per capita</w:t>
            </w:r>
            <w:r w:rsidRPr="00147850">
              <w:rPr>
                <w:b/>
                <w:bCs/>
              </w:rPr>
              <w:t xml:space="preserve"> Estimates</w:t>
            </w:r>
          </w:p>
        </w:tc>
      </w:tr>
      <w:tr w:rsidR="00187F46" w:rsidTr="00520756">
        <w:tc>
          <w:tcPr>
            <w:tcW w:w="1951" w:type="dxa"/>
            <w:tcBorders>
              <w:top w:val="single" w:sz="4" w:space="0" w:color="auto"/>
              <w:left w:val="nil"/>
              <w:bottom w:val="single" w:sz="4" w:space="0" w:color="auto"/>
              <w:right w:val="nil"/>
            </w:tcBorders>
          </w:tcPr>
          <w:p w:rsidR="00187F46" w:rsidRDefault="00187F46" w:rsidP="00520756">
            <w:pPr>
              <w:spacing w:line="276" w:lineRule="auto"/>
              <w:rPr>
                <w:bCs/>
              </w:rPr>
            </w:pPr>
          </w:p>
          <w:p w:rsidR="00187F46" w:rsidRDefault="00187F46" w:rsidP="00520756">
            <w:pPr>
              <w:spacing w:line="276" w:lineRule="auto"/>
              <w:rPr>
                <w:bCs/>
              </w:rPr>
            </w:pPr>
          </w:p>
          <w:p w:rsidR="00187F46" w:rsidRDefault="00187F46" w:rsidP="00520756">
            <w:pPr>
              <w:spacing w:line="276" w:lineRule="auto"/>
              <w:rPr>
                <w:bCs/>
              </w:rPr>
            </w:pPr>
            <w:r>
              <w:rPr>
                <w:bCs/>
              </w:rPr>
              <w:t>Province</w:t>
            </w:r>
          </w:p>
        </w:tc>
        <w:tc>
          <w:tcPr>
            <w:tcW w:w="1525" w:type="dxa"/>
            <w:tcBorders>
              <w:top w:val="single" w:sz="4" w:space="0" w:color="auto"/>
              <w:left w:val="nil"/>
              <w:bottom w:val="single" w:sz="4" w:space="0" w:color="auto"/>
              <w:right w:val="nil"/>
            </w:tcBorders>
          </w:tcPr>
          <w:p w:rsidR="00187F46" w:rsidRDefault="00187F46" w:rsidP="00520756">
            <w:pPr>
              <w:spacing w:line="276" w:lineRule="auto"/>
              <w:jc w:val="center"/>
              <w:rPr>
                <w:bCs/>
              </w:rPr>
            </w:pPr>
            <w:r>
              <w:rPr>
                <w:bCs/>
              </w:rPr>
              <w:t>Registered Population</w:t>
            </w:r>
          </w:p>
          <w:p w:rsidR="00187F46" w:rsidRDefault="00187F46" w:rsidP="00520756">
            <w:pPr>
              <w:spacing w:line="276" w:lineRule="auto"/>
              <w:jc w:val="center"/>
              <w:rPr>
                <w:bCs/>
              </w:rPr>
            </w:pPr>
            <w:r>
              <w:rPr>
                <w:bCs/>
              </w:rPr>
              <w:t>(2010 mil)</w:t>
            </w:r>
          </w:p>
        </w:tc>
        <w:tc>
          <w:tcPr>
            <w:tcW w:w="1525" w:type="dxa"/>
            <w:tcBorders>
              <w:top w:val="single" w:sz="4" w:space="0" w:color="auto"/>
              <w:left w:val="nil"/>
              <w:bottom w:val="single" w:sz="4" w:space="0" w:color="auto"/>
              <w:right w:val="nil"/>
            </w:tcBorders>
          </w:tcPr>
          <w:p w:rsidR="00187F46" w:rsidRDefault="00187F46" w:rsidP="00520756">
            <w:pPr>
              <w:spacing w:line="276" w:lineRule="auto"/>
              <w:jc w:val="center"/>
              <w:rPr>
                <w:bCs/>
              </w:rPr>
            </w:pPr>
            <w:r>
              <w:rPr>
                <w:bCs/>
              </w:rPr>
              <w:t>Resident Population</w:t>
            </w:r>
          </w:p>
          <w:p w:rsidR="00187F46" w:rsidRDefault="00187F46" w:rsidP="00520756">
            <w:pPr>
              <w:spacing w:line="276" w:lineRule="auto"/>
              <w:jc w:val="center"/>
              <w:rPr>
                <w:bCs/>
              </w:rPr>
            </w:pPr>
            <w:r>
              <w:rPr>
                <w:bCs/>
              </w:rPr>
              <w:t>(2010 mil)</w:t>
            </w:r>
          </w:p>
        </w:tc>
        <w:tc>
          <w:tcPr>
            <w:tcW w:w="1525" w:type="dxa"/>
            <w:tcBorders>
              <w:top w:val="single" w:sz="4" w:space="0" w:color="auto"/>
              <w:left w:val="nil"/>
              <w:bottom w:val="single" w:sz="4" w:space="0" w:color="auto"/>
              <w:right w:val="nil"/>
            </w:tcBorders>
          </w:tcPr>
          <w:p w:rsidR="00187F46" w:rsidRDefault="00187F46" w:rsidP="00520756">
            <w:pPr>
              <w:spacing w:line="276" w:lineRule="auto"/>
              <w:jc w:val="center"/>
              <w:rPr>
                <w:bCs/>
              </w:rPr>
            </w:pPr>
            <w:r>
              <w:rPr>
                <w:bCs/>
              </w:rPr>
              <w:t>Non-</w:t>
            </w:r>
            <w:proofErr w:type="spellStart"/>
            <w:r>
              <w:rPr>
                <w:bCs/>
                <w:i/>
              </w:rPr>
              <w:t>hukou</w:t>
            </w:r>
            <w:proofErr w:type="spellEnd"/>
            <w:r>
              <w:rPr>
                <w:bCs/>
              </w:rPr>
              <w:t xml:space="preserve"> migrants</w:t>
            </w:r>
          </w:p>
          <w:p w:rsidR="00187F46" w:rsidRPr="00515FF9" w:rsidRDefault="00187F46" w:rsidP="00520756">
            <w:pPr>
              <w:spacing w:line="276" w:lineRule="auto"/>
              <w:jc w:val="center"/>
              <w:rPr>
                <w:bCs/>
              </w:rPr>
            </w:pPr>
            <w:r>
              <w:rPr>
                <w:bCs/>
              </w:rPr>
              <w:t>(2010 mil)</w:t>
            </w:r>
          </w:p>
        </w:tc>
        <w:tc>
          <w:tcPr>
            <w:tcW w:w="1525" w:type="dxa"/>
            <w:tcBorders>
              <w:top w:val="single" w:sz="4" w:space="0" w:color="auto"/>
              <w:left w:val="nil"/>
              <w:bottom w:val="single" w:sz="4" w:space="0" w:color="auto"/>
              <w:right w:val="nil"/>
            </w:tcBorders>
          </w:tcPr>
          <w:p w:rsidR="00187F46" w:rsidRDefault="00187F46" w:rsidP="00520756">
            <w:pPr>
              <w:spacing w:line="276" w:lineRule="auto"/>
              <w:jc w:val="center"/>
              <w:rPr>
                <w:bCs/>
              </w:rPr>
            </w:pPr>
            <w:r>
              <w:rPr>
                <w:bCs/>
              </w:rPr>
              <w:t>Migrants as % of residents</w:t>
            </w:r>
          </w:p>
        </w:tc>
        <w:tc>
          <w:tcPr>
            <w:tcW w:w="1525" w:type="dxa"/>
            <w:tcBorders>
              <w:top w:val="single" w:sz="4" w:space="0" w:color="auto"/>
              <w:left w:val="nil"/>
              <w:bottom w:val="single" w:sz="4" w:space="0" w:color="auto"/>
              <w:right w:val="nil"/>
            </w:tcBorders>
          </w:tcPr>
          <w:p w:rsidR="00187F46" w:rsidRDefault="00187F46" w:rsidP="00520756">
            <w:pPr>
              <w:spacing w:line="276" w:lineRule="auto"/>
              <w:jc w:val="center"/>
              <w:rPr>
                <w:bCs/>
              </w:rPr>
            </w:pPr>
            <w:r>
              <w:rPr>
                <w:bCs/>
              </w:rPr>
              <w:t>Year of GDP switch to residents</w:t>
            </w:r>
          </w:p>
        </w:tc>
      </w:tr>
      <w:tr w:rsidR="00187F46" w:rsidTr="00520756">
        <w:tc>
          <w:tcPr>
            <w:tcW w:w="1951" w:type="dxa"/>
            <w:tcBorders>
              <w:top w:val="single" w:sz="4" w:space="0" w:color="auto"/>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Shanghai</w:t>
            </w:r>
          </w:p>
        </w:tc>
        <w:tc>
          <w:tcPr>
            <w:tcW w:w="1525" w:type="dxa"/>
            <w:tcBorders>
              <w:top w:val="single" w:sz="4" w:space="0" w:color="auto"/>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14.1</w:t>
            </w:r>
          </w:p>
        </w:tc>
        <w:tc>
          <w:tcPr>
            <w:tcW w:w="1525" w:type="dxa"/>
            <w:tcBorders>
              <w:top w:val="single" w:sz="4" w:space="0" w:color="auto"/>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23.0</w:t>
            </w:r>
          </w:p>
        </w:tc>
        <w:tc>
          <w:tcPr>
            <w:tcW w:w="1525" w:type="dxa"/>
            <w:tcBorders>
              <w:top w:val="single" w:sz="4" w:space="0" w:color="auto"/>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8.9</w:t>
            </w:r>
          </w:p>
        </w:tc>
        <w:tc>
          <w:tcPr>
            <w:tcW w:w="1525" w:type="dxa"/>
            <w:tcBorders>
              <w:top w:val="single" w:sz="4" w:space="0" w:color="auto"/>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39%</w:t>
            </w:r>
          </w:p>
        </w:tc>
        <w:tc>
          <w:tcPr>
            <w:tcW w:w="1525" w:type="dxa"/>
            <w:tcBorders>
              <w:top w:val="single" w:sz="4" w:space="0" w:color="auto"/>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2005</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Beijing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12.6</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19.6</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7.0</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36%</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2005</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Tianjin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9.9</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13.0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3.1</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24%</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2005</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Guangdong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85.2</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104.4</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19.2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18%</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Zhejiang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47.5</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54.5</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7.0</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13%</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Jiangsu</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74.7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78.7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4.0</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5%</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Fujian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35.3</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36.9</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1.6</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4%</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Shanxi</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34.7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35.7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1.0</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3%</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Liaoning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42.5</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43.7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3%</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Qinghai</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5.5</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5.6</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0.1</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2%</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Tibet</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2.9</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0.1</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2%</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Yunnan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45.3</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46.0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0.7</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2%</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Xinjiang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21.6</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21.9</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Jilin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27.2</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27.5</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1997</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Inner Mongolia</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24.5</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24.7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Shandong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95.4</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95.9</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0.5</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1997</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Heilongjiang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38.4</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38.3</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-0.1</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0%</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w:t>
            </w:r>
            <w:proofErr w:type="spellStart"/>
            <w:r w:rsidRPr="00465408">
              <w:rPr>
                <w:color w:val="000000"/>
                <w:szCs w:val="22"/>
              </w:rPr>
              <w:t>Hebei</w:t>
            </w:r>
            <w:proofErr w:type="spellEnd"/>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73.0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71.9</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-1.0</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Ningxia</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6.4</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6.3</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-0.1</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-2%</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Hainan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9.0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8.7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-0.3</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-3%</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2003</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Shaanxi</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38.7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37.4</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-1.4</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-4%</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1992</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Jiangxi</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46.9</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44.6</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-2.3</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-5%</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1990</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Gansu</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27.1</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25.6</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-1.5</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-6%</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1995</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Hubei</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61.5</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57.3</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-7%</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2005</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Hunan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70.7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65.7</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-5.0</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-8%</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2001</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Sichuan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90.0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80.4</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-9.6</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-12%</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2004</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Chongqing</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33.0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28.8</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-15%</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2004</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Anhui</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68.3</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59.6</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-8.7</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-15%</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2002</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Henan</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108.0</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94.1</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-13.9</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-15%</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2003</w:t>
            </w:r>
          </w:p>
        </w:tc>
      </w:tr>
      <w:tr w:rsidR="00187F46" w:rsidTr="00520756">
        <w:tc>
          <w:tcPr>
            <w:tcW w:w="1951" w:type="dxa"/>
            <w:tcBorders>
              <w:top w:val="nil"/>
              <w:left w:val="nil"/>
              <w:bottom w:val="nil"/>
              <w:right w:val="nil"/>
            </w:tcBorders>
            <w:vAlign w:val="bottom"/>
          </w:tcPr>
          <w:p w:rsidR="00187F46" w:rsidRPr="00465408" w:rsidRDefault="00187F46" w:rsidP="00520756">
            <w:pPr>
              <w:spacing w:line="276" w:lineRule="auto"/>
              <w:rPr>
                <w:color w:val="000000"/>
                <w:szCs w:val="22"/>
              </w:rPr>
            </w:pPr>
            <w:r w:rsidRPr="00465408">
              <w:rPr>
                <w:color w:val="000000"/>
                <w:szCs w:val="22"/>
              </w:rPr>
              <w:t> Guangxi</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53.3</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46.1</w:t>
            </w:r>
          </w:p>
        </w:tc>
        <w:tc>
          <w:tcPr>
            <w:tcW w:w="1525" w:type="dxa"/>
            <w:tcBorders>
              <w:top w:val="nil"/>
              <w:left w:val="nil"/>
              <w:bottom w:val="nil"/>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-7.2</w:t>
            </w:r>
          </w:p>
        </w:tc>
        <w:tc>
          <w:tcPr>
            <w:tcW w:w="1525" w:type="dxa"/>
            <w:tcBorders>
              <w:top w:val="nil"/>
              <w:left w:val="nil"/>
              <w:bottom w:val="nil"/>
              <w:right w:val="nil"/>
            </w:tcBorders>
            <w:vAlign w:val="bottom"/>
          </w:tcPr>
          <w:p w:rsidR="00187F46" w:rsidRPr="00515FF9" w:rsidRDefault="00187F46" w:rsidP="00520756">
            <w:pPr>
              <w:spacing w:line="276" w:lineRule="auto"/>
              <w:ind w:right="454"/>
              <w:jc w:val="right"/>
              <w:rPr>
                <w:color w:val="000000"/>
              </w:rPr>
            </w:pPr>
            <w:r w:rsidRPr="00515FF9">
              <w:rPr>
                <w:color w:val="000000"/>
              </w:rPr>
              <w:t>-16%</w:t>
            </w:r>
          </w:p>
        </w:tc>
        <w:tc>
          <w:tcPr>
            <w:tcW w:w="1525" w:type="dxa"/>
            <w:tcBorders>
              <w:top w:val="nil"/>
              <w:left w:val="nil"/>
              <w:bottom w:val="nil"/>
              <w:right w:val="nil"/>
            </w:tcBorders>
            <w:vAlign w:val="bottom"/>
          </w:tcPr>
          <w:p w:rsidR="00187F46" w:rsidRPr="00515FF9" w:rsidRDefault="00187F46" w:rsidP="00520756">
            <w:pPr>
              <w:spacing w:line="276" w:lineRule="auto"/>
              <w:jc w:val="center"/>
              <w:rPr>
                <w:color w:val="000000"/>
              </w:rPr>
            </w:pPr>
            <w:r w:rsidRPr="00515FF9">
              <w:rPr>
                <w:color w:val="000000"/>
              </w:rPr>
              <w:t>2003</w:t>
            </w:r>
          </w:p>
        </w:tc>
      </w:tr>
      <w:tr w:rsidR="00187F46" w:rsidTr="00520756">
        <w:tc>
          <w:tcPr>
            <w:tcW w:w="1951" w:type="dxa"/>
            <w:tcBorders>
              <w:top w:val="nil"/>
              <w:left w:val="nil"/>
              <w:bottom w:val="single" w:sz="4" w:space="0" w:color="auto"/>
              <w:right w:val="nil"/>
            </w:tcBorders>
            <w:vAlign w:val="bottom"/>
          </w:tcPr>
          <w:p w:rsidR="00187F46" w:rsidRPr="00465408" w:rsidRDefault="00187F46" w:rsidP="00520756">
            <w:pPr>
              <w:spacing w:line="276" w:lineRule="auto"/>
              <w:rPr>
                <w:color w:val="000000"/>
                <w:szCs w:val="22"/>
              </w:rPr>
            </w:pPr>
            <w:r w:rsidRPr="00465408">
              <w:rPr>
                <w:color w:val="000000"/>
                <w:szCs w:val="22"/>
              </w:rPr>
              <w:t> </w:t>
            </w:r>
            <w:proofErr w:type="spellStart"/>
            <w:r w:rsidRPr="00465408">
              <w:rPr>
                <w:color w:val="000000"/>
                <w:szCs w:val="22"/>
              </w:rPr>
              <w:t>Guizhou</w:t>
            </w:r>
            <w:proofErr w:type="spellEnd"/>
          </w:p>
        </w:tc>
        <w:tc>
          <w:tcPr>
            <w:tcW w:w="1525" w:type="dxa"/>
            <w:tcBorders>
              <w:top w:val="nil"/>
              <w:left w:val="nil"/>
              <w:bottom w:val="single" w:sz="4" w:space="0" w:color="auto"/>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41.9</w:t>
            </w:r>
          </w:p>
        </w:tc>
        <w:tc>
          <w:tcPr>
            <w:tcW w:w="1525" w:type="dxa"/>
            <w:tcBorders>
              <w:top w:val="nil"/>
              <w:left w:val="nil"/>
              <w:bottom w:val="single" w:sz="4" w:space="0" w:color="auto"/>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34.8</w:t>
            </w:r>
          </w:p>
        </w:tc>
        <w:tc>
          <w:tcPr>
            <w:tcW w:w="1525" w:type="dxa"/>
            <w:tcBorders>
              <w:top w:val="nil"/>
              <w:left w:val="nil"/>
              <w:bottom w:val="single" w:sz="4" w:space="0" w:color="auto"/>
              <w:right w:val="nil"/>
            </w:tcBorders>
            <w:vAlign w:val="bottom"/>
          </w:tcPr>
          <w:p w:rsidR="00187F46" w:rsidRPr="00515FF9" w:rsidRDefault="00187F46" w:rsidP="00520756">
            <w:pPr>
              <w:tabs>
                <w:tab w:val="decimal" w:pos="567"/>
              </w:tabs>
              <w:spacing w:line="276" w:lineRule="auto"/>
              <w:rPr>
                <w:color w:val="000000"/>
              </w:rPr>
            </w:pPr>
            <w:r w:rsidRPr="00515FF9">
              <w:rPr>
                <w:color w:val="000000"/>
              </w:rPr>
              <w:t>-7.1</w:t>
            </w:r>
          </w:p>
        </w:tc>
        <w:tc>
          <w:tcPr>
            <w:tcW w:w="1525" w:type="dxa"/>
            <w:tcBorders>
              <w:top w:val="nil"/>
              <w:left w:val="nil"/>
              <w:bottom w:val="single" w:sz="4" w:space="0" w:color="auto"/>
              <w:right w:val="nil"/>
            </w:tcBorders>
            <w:vAlign w:val="bottom"/>
          </w:tcPr>
          <w:p w:rsidR="00187F46" w:rsidRPr="00515FF9" w:rsidRDefault="00187F46" w:rsidP="00520756">
            <w:pPr>
              <w:spacing w:line="276" w:lineRule="auto"/>
              <w:ind w:right="454"/>
              <w:jc w:val="right"/>
              <w:rPr>
                <w:color w:val="000000"/>
              </w:rPr>
            </w:pPr>
            <w:r w:rsidRPr="00515FF9">
              <w:rPr>
                <w:color w:val="000000"/>
              </w:rPr>
              <w:t>-20%</w:t>
            </w:r>
          </w:p>
        </w:tc>
        <w:tc>
          <w:tcPr>
            <w:tcW w:w="1525" w:type="dxa"/>
            <w:tcBorders>
              <w:top w:val="nil"/>
              <w:left w:val="nil"/>
              <w:bottom w:val="single" w:sz="4" w:space="0" w:color="auto"/>
              <w:right w:val="nil"/>
            </w:tcBorders>
            <w:vAlign w:val="bottom"/>
          </w:tcPr>
          <w:p w:rsidR="00187F46" w:rsidRPr="00515FF9" w:rsidRDefault="00187F46" w:rsidP="00520756">
            <w:pPr>
              <w:spacing w:line="276" w:lineRule="auto"/>
              <w:jc w:val="center"/>
              <w:rPr>
                <w:color w:val="000000"/>
              </w:rPr>
            </w:pPr>
            <w:r w:rsidRPr="00515FF9">
              <w:rPr>
                <w:color w:val="000000"/>
              </w:rPr>
              <w:t>2008</w:t>
            </w:r>
          </w:p>
        </w:tc>
      </w:tr>
      <w:tr w:rsidR="00187F46" w:rsidTr="00520756">
        <w:tc>
          <w:tcPr>
            <w:tcW w:w="9576" w:type="dxa"/>
            <w:gridSpan w:val="6"/>
            <w:tcBorders>
              <w:top w:val="single" w:sz="4" w:space="0" w:color="auto"/>
              <w:left w:val="nil"/>
              <w:bottom w:val="nil"/>
              <w:right w:val="nil"/>
            </w:tcBorders>
            <w:vAlign w:val="bottom"/>
          </w:tcPr>
          <w:p w:rsidR="00187F46" w:rsidRPr="00147850" w:rsidRDefault="00187F46" w:rsidP="00147850">
            <w:pPr>
              <w:spacing w:line="276" w:lineRule="auto"/>
              <w:jc w:val="both"/>
              <w:rPr>
                <w:bCs/>
                <w:sz w:val="22"/>
                <w:szCs w:val="22"/>
              </w:rPr>
            </w:pPr>
            <w:r w:rsidRPr="00147850">
              <w:rPr>
                <w:bCs/>
                <w:i/>
                <w:sz w:val="22"/>
                <w:szCs w:val="22"/>
              </w:rPr>
              <w:t>Notes:</w:t>
            </w:r>
            <w:r w:rsidRPr="00147850">
              <w:rPr>
                <w:bCs/>
                <w:sz w:val="22"/>
                <w:szCs w:val="22"/>
              </w:rPr>
              <w:t xml:space="preserve"> Year of GDP switch to residents is the year in which official average population became resident population (before which it was registered population). Provinces are sorted according to the migrant percentage.</w:t>
            </w:r>
          </w:p>
        </w:tc>
      </w:tr>
    </w:tbl>
    <w:p w:rsidR="00187F46" w:rsidRDefault="00187F46" w:rsidP="007A7BC1">
      <w:pPr>
        <w:spacing w:line="276" w:lineRule="auto"/>
        <w:jc w:val="both"/>
        <w:rPr>
          <w:bCs/>
        </w:rPr>
      </w:pPr>
    </w:p>
    <w:p w:rsidR="00147850" w:rsidRDefault="00187F46" w:rsidP="007A7BC1">
      <w:pPr>
        <w:spacing w:line="276" w:lineRule="auto"/>
        <w:jc w:val="both"/>
        <w:rPr>
          <w:bCs/>
        </w:rPr>
      </w:pPr>
      <w:r>
        <w:rPr>
          <w:bCs/>
        </w:rPr>
        <w:tab/>
      </w:r>
    </w:p>
    <w:p w:rsidR="007952C0" w:rsidRDefault="00147850" w:rsidP="007A7BC1">
      <w:pPr>
        <w:spacing w:line="276" w:lineRule="auto"/>
        <w:jc w:val="both"/>
        <w:rPr>
          <w:bCs/>
        </w:rPr>
      </w:pPr>
      <w:r>
        <w:rPr>
          <w:bCs/>
        </w:rPr>
        <w:tab/>
      </w:r>
      <w:r w:rsidR="00BE5313">
        <w:rPr>
          <w:bCs/>
        </w:rPr>
        <w:t xml:space="preserve">In </w:t>
      </w:r>
      <w:r w:rsidR="007404E8">
        <w:rPr>
          <w:bCs/>
        </w:rPr>
        <w:t xml:space="preserve">Figure 4 we show the scope of this double-counting problem, by adding up the population of each province </w:t>
      </w:r>
      <w:r w:rsidR="007952C0">
        <w:rPr>
          <w:bCs/>
        </w:rPr>
        <w:t>for</w:t>
      </w:r>
      <w:r w:rsidR="007404E8">
        <w:rPr>
          <w:bCs/>
        </w:rPr>
        <w:t xml:space="preserve"> the 1990-2010 years. We note in advance that the national sum of the resident population should be less than the national sum of the </w:t>
      </w:r>
      <w:proofErr w:type="spellStart"/>
      <w:r w:rsidR="007404E8">
        <w:rPr>
          <w:bCs/>
          <w:i/>
        </w:rPr>
        <w:t>hukou</w:t>
      </w:r>
      <w:proofErr w:type="spellEnd"/>
      <w:r w:rsidR="007404E8">
        <w:rPr>
          <w:bCs/>
          <w:i/>
        </w:rPr>
        <w:t xml:space="preserve"> </w:t>
      </w:r>
      <w:r w:rsidR="007404E8">
        <w:rPr>
          <w:bCs/>
        </w:rPr>
        <w:t xml:space="preserve">registered population, since the </w:t>
      </w:r>
      <w:r w:rsidR="00061489">
        <w:rPr>
          <w:bCs/>
        </w:rPr>
        <w:t>People’s Liberation Army</w:t>
      </w:r>
      <w:r w:rsidR="007404E8">
        <w:rPr>
          <w:bCs/>
        </w:rPr>
        <w:t xml:space="preserve"> and any Chinese </w:t>
      </w:r>
      <w:r w:rsidR="00061489">
        <w:rPr>
          <w:bCs/>
        </w:rPr>
        <w:t xml:space="preserve">with </w:t>
      </w:r>
      <w:r w:rsidR="007404E8">
        <w:rPr>
          <w:bCs/>
        </w:rPr>
        <w:t xml:space="preserve">foreign permanent residency are not counted </w:t>
      </w:r>
      <w:r w:rsidR="007952C0">
        <w:rPr>
          <w:bCs/>
        </w:rPr>
        <w:t xml:space="preserve">as </w:t>
      </w:r>
      <w:r w:rsidR="007404E8">
        <w:rPr>
          <w:bCs/>
        </w:rPr>
        <w:t>resident</w:t>
      </w:r>
      <w:r w:rsidR="007952C0">
        <w:rPr>
          <w:bCs/>
        </w:rPr>
        <w:t>s</w:t>
      </w:r>
      <w:r w:rsidR="007404E8">
        <w:rPr>
          <w:bCs/>
        </w:rPr>
        <w:t xml:space="preserve"> but do have household registration status.</w:t>
      </w:r>
      <w:r w:rsidR="007952C0">
        <w:rPr>
          <w:bCs/>
        </w:rPr>
        <w:t xml:space="preserve"> Yet</w:t>
      </w:r>
      <w:r w:rsidR="007404E8">
        <w:rPr>
          <w:bCs/>
        </w:rPr>
        <w:t xml:space="preserve"> between </w:t>
      </w:r>
      <w:r w:rsidR="007404E8">
        <w:rPr>
          <w:bCs/>
        </w:rPr>
        <w:lastRenderedPageBreak/>
        <w:t xml:space="preserve">1990 and 2005 the resident population obtained by summing across all provinces </w:t>
      </w:r>
      <w:r w:rsidR="007952C0">
        <w:rPr>
          <w:bCs/>
        </w:rPr>
        <w:t xml:space="preserve">(shown by the solid line) </w:t>
      </w:r>
      <w:r w:rsidR="007404E8">
        <w:rPr>
          <w:bCs/>
        </w:rPr>
        <w:t>exceeded the registered population</w:t>
      </w:r>
      <w:r w:rsidR="007952C0">
        <w:rPr>
          <w:bCs/>
        </w:rPr>
        <w:t xml:space="preserve"> (shown by the dotted line). The excess number of people counted as residents was especially apparent between 2000 and 2004, when it averaged 24 million peo</w:t>
      </w:r>
      <w:r w:rsidR="00242C76">
        <w:rPr>
          <w:bCs/>
        </w:rPr>
        <w:t>ple</w:t>
      </w:r>
      <w:r w:rsidR="00F521B7">
        <w:rPr>
          <w:bCs/>
        </w:rPr>
        <w:t xml:space="preserve"> (with a maximum of 26 million)</w:t>
      </w:r>
      <w:r w:rsidR="00242C76">
        <w:rPr>
          <w:bCs/>
        </w:rPr>
        <w:t>. Th</w:t>
      </w:r>
      <w:r w:rsidR="00A669FE">
        <w:rPr>
          <w:bCs/>
        </w:rPr>
        <w:t>e source of th</w:t>
      </w:r>
      <w:r w:rsidR="00242C76">
        <w:rPr>
          <w:bCs/>
        </w:rPr>
        <w:t>is</w:t>
      </w:r>
      <w:r w:rsidR="007952C0">
        <w:rPr>
          <w:bCs/>
        </w:rPr>
        <w:t xml:space="preserve"> excess </w:t>
      </w:r>
      <w:r w:rsidR="00A669FE">
        <w:rPr>
          <w:bCs/>
        </w:rPr>
        <w:t xml:space="preserve">is </w:t>
      </w:r>
      <w:r w:rsidR="00242C76">
        <w:rPr>
          <w:bCs/>
        </w:rPr>
        <w:t xml:space="preserve">that </w:t>
      </w:r>
      <w:r w:rsidR="007952C0">
        <w:rPr>
          <w:bCs/>
        </w:rPr>
        <w:t>what was called ‘resident’ in many provinces was</w:t>
      </w:r>
      <w:r w:rsidR="00A669FE">
        <w:rPr>
          <w:bCs/>
        </w:rPr>
        <w:t>,</w:t>
      </w:r>
      <w:r w:rsidR="007952C0">
        <w:rPr>
          <w:bCs/>
        </w:rPr>
        <w:t xml:space="preserve"> in fact</w:t>
      </w:r>
      <w:r w:rsidR="00A669FE">
        <w:rPr>
          <w:bCs/>
        </w:rPr>
        <w:t>,</w:t>
      </w:r>
      <w:r w:rsidR="007952C0">
        <w:rPr>
          <w:bCs/>
        </w:rPr>
        <w:t xml:space="preserve"> regi</w:t>
      </w:r>
      <w:r w:rsidR="00A669FE">
        <w:rPr>
          <w:bCs/>
        </w:rPr>
        <w:t>stered population, which exceeded</w:t>
      </w:r>
      <w:r w:rsidR="007952C0">
        <w:rPr>
          <w:bCs/>
        </w:rPr>
        <w:t xml:space="preserve"> the</w:t>
      </w:r>
      <w:r w:rsidR="00A669FE">
        <w:rPr>
          <w:bCs/>
        </w:rPr>
        <w:t>ir</w:t>
      </w:r>
      <w:r w:rsidR="007952C0">
        <w:rPr>
          <w:bCs/>
        </w:rPr>
        <w:t xml:space="preserve"> true number of residents. </w:t>
      </w:r>
      <w:r w:rsidR="00170EB9">
        <w:rPr>
          <w:bCs/>
        </w:rPr>
        <w:t xml:space="preserve">In other words, some </w:t>
      </w:r>
      <w:r w:rsidR="007952C0">
        <w:rPr>
          <w:bCs/>
        </w:rPr>
        <w:t xml:space="preserve">people were counted as residents in the province </w:t>
      </w:r>
      <w:r w:rsidR="00242C76">
        <w:rPr>
          <w:bCs/>
        </w:rPr>
        <w:t xml:space="preserve">of </w:t>
      </w:r>
      <w:r w:rsidR="007952C0">
        <w:rPr>
          <w:bCs/>
        </w:rPr>
        <w:t xml:space="preserve">their </w:t>
      </w:r>
      <w:proofErr w:type="spellStart"/>
      <w:r w:rsidR="007952C0">
        <w:rPr>
          <w:bCs/>
          <w:i/>
        </w:rPr>
        <w:t>hukou</w:t>
      </w:r>
      <w:proofErr w:type="spellEnd"/>
      <w:r w:rsidR="007952C0">
        <w:rPr>
          <w:bCs/>
        </w:rPr>
        <w:t xml:space="preserve"> registration and </w:t>
      </w:r>
      <w:r w:rsidR="00242C76">
        <w:rPr>
          <w:bCs/>
        </w:rPr>
        <w:t xml:space="preserve">were counted again, </w:t>
      </w:r>
      <w:r w:rsidR="007952C0">
        <w:rPr>
          <w:bCs/>
        </w:rPr>
        <w:t>as residents in the provinc</w:t>
      </w:r>
      <w:r w:rsidR="00242C76">
        <w:rPr>
          <w:bCs/>
        </w:rPr>
        <w:t xml:space="preserve">es that they actually lived in. </w:t>
      </w:r>
      <w:r w:rsidR="007952C0">
        <w:rPr>
          <w:bCs/>
        </w:rPr>
        <w:t xml:space="preserve">Consequently it would have been no simple matter for economists to abandon the officially reported GDP per registered population and </w:t>
      </w:r>
      <w:r w:rsidR="00F46D41">
        <w:rPr>
          <w:bCs/>
        </w:rPr>
        <w:t>calculate their own estimates of GDP per resident, since the data on the resident population were so distorted.</w:t>
      </w:r>
    </w:p>
    <w:p w:rsidR="0057647B" w:rsidRDefault="0057647B" w:rsidP="007A7BC1">
      <w:pPr>
        <w:spacing w:line="276" w:lineRule="auto"/>
        <w:rPr>
          <w:bCs/>
        </w:rPr>
      </w:pPr>
    </w:p>
    <w:p w:rsidR="00BA433C" w:rsidRPr="00147850" w:rsidRDefault="00BA433C" w:rsidP="007A7BC1">
      <w:pPr>
        <w:spacing w:line="276" w:lineRule="auto"/>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57647B" w:rsidRPr="00147850" w:rsidTr="00520756">
        <w:tc>
          <w:tcPr>
            <w:tcW w:w="9576" w:type="dxa"/>
          </w:tcPr>
          <w:p w:rsidR="0057647B" w:rsidRPr="00147850" w:rsidRDefault="0057647B" w:rsidP="007A7BC1">
            <w:pPr>
              <w:spacing w:line="276" w:lineRule="auto"/>
              <w:jc w:val="center"/>
              <w:rPr>
                <w:b/>
                <w:bCs/>
              </w:rPr>
            </w:pPr>
            <w:r w:rsidRPr="00147850">
              <w:rPr>
                <w:b/>
                <w:bCs/>
              </w:rPr>
              <w:t>Figure 4: The Double-Count in Resident Population (Summation over all Provinces)</w:t>
            </w:r>
          </w:p>
        </w:tc>
      </w:tr>
      <w:tr w:rsidR="0057647B" w:rsidTr="00520756">
        <w:tc>
          <w:tcPr>
            <w:tcW w:w="9576" w:type="dxa"/>
          </w:tcPr>
          <w:p w:rsidR="0057647B" w:rsidRDefault="0057647B" w:rsidP="007A7BC1">
            <w:pPr>
              <w:spacing w:line="276" w:lineRule="auto"/>
              <w:rPr>
                <w:bCs/>
              </w:rPr>
            </w:pPr>
            <w:r>
              <w:rPr>
                <w:bCs/>
                <w:noProof/>
                <w:lang w:val="en-NZ" w:eastAsia="en-NZ"/>
              </w:rPr>
              <w:drawing>
                <wp:inline distT="0" distB="0" distL="0" distR="0">
                  <wp:extent cx="6078612" cy="3771900"/>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078612" cy="3771900"/>
                          </a:xfrm>
                          <a:prstGeom prst="rect">
                            <a:avLst/>
                          </a:prstGeom>
                          <a:noFill/>
                          <a:ln w="9525">
                            <a:noFill/>
                            <a:miter lim="800000"/>
                            <a:headEnd/>
                            <a:tailEnd/>
                          </a:ln>
                        </pic:spPr>
                      </pic:pic>
                    </a:graphicData>
                  </a:graphic>
                </wp:inline>
              </w:drawing>
            </w:r>
          </w:p>
        </w:tc>
      </w:tr>
      <w:tr w:rsidR="0057647B" w:rsidTr="00520756">
        <w:tc>
          <w:tcPr>
            <w:tcW w:w="9576" w:type="dxa"/>
          </w:tcPr>
          <w:p w:rsidR="0057647B" w:rsidRDefault="0057647B" w:rsidP="007A7BC1">
            <w:pPr>
              <w:spacing w:line="276" w:lineRule="auto"/>
              <w:rPr>
                <w:bCs/>
              </w:rPr>
            </w:pPr>
            <w:r>
              <w:rPr>
                <w:bCs/>
                <w:i/>
                <w:sz w:val="20"/>
              </w:rPr>
              <w:t>Source</w:t>
            </w:r>
            <w:r w:rsidRPr="00CD02A3">
              <w:rPr>
                <w:bCs/>
                <w:i/>
                <w:sz w:val="20"/>
              </w:rPr>
              <w:t>:</w:t>
            </w:r>
            <w:r>
              <w:rPr>
                <w:bCs/>
                <w:sz w:val="20"/>
              </w:rPr>
              <w:t xml:space="preserve"> Author’s calculations from the sources described in text.</w:t>
            </w:r>
          </w:p>
        </w:tc>
      </w:tr>
    </w:tbl>
    <w:p w:rsidR="00F46D41" w:rsidRDefault="00F46D41" w:rsidP="007A7BC1">
      <w:pPr>
        <w:spacing w:line="276" w:lineRule="auto"/>
        <w:jc w:val="both"/>
        <w:rPr>
          <w:bCs/>
        </w:rPr>
      </w:pPr>
    </w:p>
    <w:p w:rsidR="00BA433C" w:rsidRDefault="00BA433C" w:rsidP="007A7BC1">
      <w:pPr>
        <w:spacing w:line="276" w:lineRule="auto"/>
        <w:jc w:val="both"/>
        <w:rPr>
          <w:bCs/>
        </w:rPr>
      </w:pPr>
    </w:p>
    <w:p w:rsidR="00F83BF6" w:rsidRDefault="00187F46" w:rsidP="007A7BC1">
      <w:pPr>
        <w:spacing w:line="276" w:lineRule="auto"/>
        <w:jc w:val="both"/>
      </w:pPr>
      <w:r>
        <w:rPr>
          <w:bCs/>
        </w:rPr>
        <w:tab/>
      </w:r>
      <w:r w:rsidR="00BA45EA">
        <w:rPr>
          <w:bCs/>
        </w:rPr>
        <w:t>The final population time series shown in Figure 4 is for the sum of</w:t>
      </w:r>
      <w:r w:rsidR="00A669FE">
        <w:rPr>
          <w:bCs/>
        </w:rPr>
        <w:t xml:space="preserve"> each province’s revised resident population, shown by the dashed line. These revised counts use the results from the 2010 census to correct the initial estimates of resident population in each province. Specifically, the trend-deviation interpolation approach (described in footnote 8) was used by the NBS in 2011 to revise previous annual estimates of GDP and GDP </w:t>
      </w:r>
      <w:r w:rsidR="00A669FE" w:rsidRPr="00A669FE">
        <w:rPr>
          <w:bCs/>
          <w:i/>
        </w:rPr>
        <w:t>per capita</w:t>
      </w:r>
      <w:r w:rsidR="00A669FE">
        <w:rPr>
          <w:bCs/>
        </w:rPr>
        <w:t xml:space="preserve">, giving an implied annual average </w:t>
      </w:r>
      <w:r w:rsidR="00446D6E">
        <w:rPr>
          <w:bCs/>
        </w:rPr>
        <w:t xml:space="preserve">of the </w:t>
      </w:r>
      <w:r w:rsidR="00A669FE">
        <w:rPr>
          <w:bCs/>
        </w:rPr>
        <w:t xml:space="preserve">resident population for each province. For most provinces this revision </w:t>
      </w:r>
      <w:r w:rsidR="00F83BF6">
        <w:rPr>
          <w:bCs/>
        </w:rPr>
        <w:t xml:space="preserve">went </w:t>
      </w:r>
      <w:r w:rsidR="00A669FE">
        <w:rPr>
          <w:bCs/>
        </w:rPr>
        <w:t xml:space="preserve">back as far as 1990, but for nine provinces </w:t>
      </w:r>
      <w:r w:rsidR="00F83BF6">
        <w:rPr>
          <w:bCs/>
        </w:rPr>
        <w:t xml:space="preserve">only a shorter time </w:t>
      </w:r>
      <w:r w:rsidR="001E68D9">
        <w:rPr>
          <w:bCs/>
        </w:rPr>
        <w:t xml:space="preserve">series </w:t>
      </w:r>
      <w:r w:rsidR="00F83BF6">
        <w:rPr>
          <w:bCs/>
        </w:rPr>
        <w:t xml:space="preserve">was </w:t>
      </w:r>
      <w:r w:rsidR="00F83BF6">
        <w:rPr>
          <w:bCs/>
        </w:rPr>
        <w:lastRenderedPageBreak/>
        <w:t>revised</w:t>
      </w:r>
      <w:r w:rsidR="00A669FE">
        <w:rPr>
          <w:bCs/>
        </w:rPr>
        <w:t>.</w:t>
      </w:r>
      <w:r w:rsidR="00A669FE">
        <w:rPr>
          <w:rStyle w:val="FootnoteReference"/>
          <w:bCs/>
        </w:rPr>
        <w:footnoteReference w:id="9"/>
      </w:r>
      <w:r w:rsidR="001E68D9">
        <w:rPr>
          <w:bCs/>
        </w:rPr>
        <w:t xml:space="preserve"> Therefore, for those nine provinces we use the same approach as the NBS to backdate the revised counts of the resident population to 1990. It is the sum across provinces of these revised counts which are shown in Figure 4 and they almost completely eliminate the double-count problem. Whereas the double-count in the year-by-year initial estimates of resident population averaged 17 million over 1990 to 2005, in the revised series the average </w:t>
      </w:r>
      <w:r w:rsidR="00F521B7">
        <w:rPr>
          <w:bCs/>
        </w:rPr>
        <w:t xml:space="preserve">double-count </w:t>
      </w:r>
      <w:r w:rsidR="001E68D9">
        <w:rPr>
          <w:bCs/>
        </w:rPr>
        <w:t xml:space="preserve">is just </w:t>
      </w:r>
      <w:r w:rsidR="00D561E0">
        <w:rPr>
          <w:bCs/>
        </w:rPr>
        <w:t xml:space="preserve">one </w:t>
      </w:r>
      <w:r w:rsidR="001E68D9">
        <w:rPr>
          <w:bCs/>
        </w:rPr>
        <w:t>million.</w:t>
      </w:r>
      <w:r w:rsidR="00F83BF6">
        <w:rPr>
          <w:bCs/>
        </w:rPr>
        <w:t xml:space="preserve"> Still</w:t>
      </w:r>
      <w:r w:rsidR="001E68D9">
        <w:rPr>
          <w:bCs/>
        </w:rPr>
        <w:t>, even the revised series only obeys the expected pattern of being less than the sum of the registered counts since 2006</w:t>
      </w:r>
      <w:r w:rsidR="00D561E0">
        <w:rPr>
          <w:bCs/>
        </w:rPr>
        <w:t>,</w:t>
      </w:r>
      <w:r w:rsidR="00F83BF6">
        <w:rPr>
          <w:bCs/>
        </w:rPr>
        <w:t xml:space="preserve"> so it is only for the most recent years that there can be any great confidence in the estimates of the</w:t>
      </w:r>
      <w:r w:rsidR="00F83BF6">
        <w:t xml:space="preserve"> resident population of China’s provinces.</w:t>
      </w:r>
    </w:p>
    <w:p w:rsidR="00F83BF6" w:rsidRDefault="00F83BF6" w:rsidP="007A7BC1">
      <w:pPr>
        <w:spacing w:line="276" w:lineRule="auto"/>
        <w:jc w:val="both"/>
      </w:pPr>
    </w:p>
    <w:p w:rsidR="00F83BF6" w:rsidRDefault="00792904" w:rsidP="00792904">
      <w:pPr>
        <w:tabs>
          <w:tab w:val="left" w:pos="284"/>
        </w:tabs>
        <w:spacing w:line="276" w:lineRule="auto"/>
        <w:jc w:val="both"/>
        <w:rPr>
          <w:b/>
          <w:bCs/>
        </w:rPr>
      </w:pPr>
      <w:r>
        <w:rPr>
          <w:b/>
        </w:rPr>
        <w:t>4.</w:t>
      </w:r>
      <w:r>
        <w:rPr>
          <w:b/>
        </w:rPr>
        <w:tab/>
      </w:r>
      <w:r w:rsidR="00F83BF6">
        <w:rPr>
          <w:b/>
        </w:rPr>
        <w:t xml:space="preserve">Impacts of Population Errors on </w:t>
      </w:r>
      <w:r w:rsidR="00045968">
        <w:rPr>
          <w:b/>
        </w:rPr>
        <w:t xml:space="preserve">Trends in </w:t>
      </w:r>
      <w:r w:rsidR="00F83BF6" w:rsidRPr="00F83BF6">
        <w:rPr>
          <w:b/>
          <w:bCs/>
        </w:rPr>
        <w:t xml:space="preserve">Inter-provincial and Inter-regional </w:t>
      </w:r>
      <w:r>
        <w:rPr>
          <w:b/>
          <w:bCs/>
        </w:rPr>
        <w:tab/>
      </w:r>
      <w:r w:rsidR="00F83BF6" w:rsidRPr="00F83BF6">
        <w:rPr>
          <w:b/>
          <w:bCs/>
        </w:rPr>
        <w:t>Inequality</w:t>
      </w:r>
    </w:p>
    <w:p w:rsidR="00BA433C" w:rsidRPr="00BA433C" w:rsidRDefault="00BA433C" w:rsidP="007A7BC1">
      <w:pPr>
        <w:spacing w:line="276" w:lineRule="auto"/>
        <w:jc w:val="both"/>
        <w:rPr>
          <w:b/>
          <w:sz w:val="12"/>
          <w:szCs w:val="12"/>
        </w:rPr>
      </w:pPr>
    </w:p>
    <w:p w:rsidR="00F83BF6" w:rsidRDefault="00F83BF6" w:rsidP="007A7BC1">
      <w:pPr>
        <w:widowControl w:val="0"/>
        <w:spacing w:line="276" w:lineRule="auto"/>
        <w:jc w:val="both"/>
      </w:pPr>
      <w:r>
        <w:t xml:space="preserve">Despite the shaky foundations created by China’s official data using </w:t>
      </w:r>
      <w:r>
        <w:rPr>
          <w:bCs/>
        </w:rPr>
        <w:t xml:space="preserve">a population concept that had no bearing to the actual number of people living in each province, </w:t>
      </w:r>
      <w:r>
        <w:t xml:space="preserve">a large literature that </w:t>
      </w:r>
      <w:r w:rsidR="000D7A5B">
        <w:t>relies</w:t>
      </w:r>
      <w:r>
        <w:t xml:space="preserve"> on reports of provincial GDP </w:t>
      </w:r>
      <w:r w:rsidRPr="00F83BF6">
        <w:rPr>
          <w:i/>
        </w:rPr>
        <w:t>per capita</w:t>
      </w:r>
      <w:r>
        <w:t xml:space="preserve"> has already emerged. </w:t>
      </w:r>
      <w:r w:rsidR="00CB7887">
        <w:t>In this section we show how the population errors described above may have distorted some of the conclusions reached by one strand of this literature – that related to inter-provincial and inter-regional (coastal-inland) inequality.</w:t>
      </w:r>
      <w:r w:rsidR="007817DC">
        <w:t xml:space="preserve"> In Table 2 we survey studies published in the last 15 years that use provincial GDP </w:t>
      </w:r>
      <w:r w:rsidR="007817DC">
        <w:rPr>
          <w:i/>
        </w:rPr>
        <w:t>per capita</w:t>
      </w:r>
      <w:r w:rsidR="007817DC">
        <w:t xml:space="preserve"> as their</w:t>
      </w:r>
      <w:r w:rsidR="00C06901">
        <w:t xml:space="preserve"> economic indicator for analyzing</w:t>
      </w:r>
      <w:r w:rsidR="007817DC">
        <w:t xml:space="preserve"> trends </w:t>
      </w:r>
      <w:r w:rsidR="005F11D5">
        <w:t>in regional inequality. Only four</w:t>
      </w:r>
      <w:r w:rsidR="007817DC">
        <w:t xml:space="preserve"> of the 14 studies make any adjustment to the data from the </w:t>
      </w:r>
      <w:r w:rsidR="007817DC">
        <w:rPr>
          <w:i/>
        </w:rPr>
        <w:t>Statistical Yearbooks</w:t>
      </w:r>
      <w:r w:rsidR="007817DC">
        <w:t xml:space="preserve"> to account for the distortions from using registered population as the denominator.</w:t>
      </w:r>
      <w:r w:rsidR="007817DC">
        <w:rPr>
          <w:rStyle w:val="FootnoteReference"/>
        </w:rPr>
        <w:footnoteReference w:id="10"/>
      </w:r>
      <w:r w:rsidR="000D7A5B">
        <w:t xml:space="preserve"> </w:t>
      </w:r>
      <w:r w:rsidR="00C06901">
        <w:t>F</w:t>
      </w:r>
      <w:r w:rsidR="000D7A5B">
        <w:t>indings from the</w:t>
      </w:r>
      <w:r w:rsidR="007817DC">
        <w:t xml:space="preserve"> studies that rely on unadjusted data are potentially misleading, at least for the period since 1990 when the number of non-</w:t>
      </w:r>
      <w:proofErr w:type="spellStart"/>
      <w:r w:rsidR="007817DC">
        <w:rPr>
          <w:i/>
        </w:rPr>
        <w:t>hukou</w:t>
      </w:r>
      <w:proofErr w:type="spellEnd"/>
      <w:r w:rsidR="007817DC">
        <w:t xml:space="preserve"> migrants </w:t>
      </w:r>
      <w:r w:rsidR="00645F16">
        <w:t xml:space="preserve">greatly </w:t>
      </w:r>
      <w:r w:rsidR="007817DC">
        <w:t>increased.</w:t>
      </w:r>
      <w:r w:rsidR="00645F16">
        <w:t xml:space="preserve"> E</w:t>
      </w:r>
      <w:r w:rsidR="0066267A">
        <w:t xml:space="preserve">ven when the potential bias from using GDP per registered population is recognized, the </w:t>
      </w:r>
      <w:r w:rsidR="005F11D5">
        <w:t xml:space="preserve">adjustment </w:t>
      </w:r>
      <w:r w:rsidR="0066267A">
        <w:t xml:space="preserve">procedures can be questioned, not least because they all lacked the results from the latest 2010 census </w:t>
      </w:r>
      <w:r w:rsidR="000D7A5B">
        <w:t xml:space="preserve">that </w:t>
      </w:r>
      <w:r w:rsidR="00170EB9">
        <w:t xml:space="preserve">support </w:t>
      </w:r>
      <w:r w:rsidR="0066267A">
        <w:t>the most plausible revision</w:t>
      </w:r>
      <w:r w:rsidR="000D7A5B">
        <w:t>s</w:t>
      </w:r>
      <w:r w:rsidR="0066267A">
        <w:t xml:space="preserve"> of resident population</w:t>
      </w:r>
      <w:r w:rsidR="000D7A5B">
        <w:t xml:space="preserve"> estimates</w:t>
      </w:r>
      <w:r w:rsidR="0066267A">
        <w:t>.</w:t>
      </w:r>
      <w:r w:rsidR="0066267A">
        <w:rPr>
          <w:rStyle w:val="FootnoteReference"/>
        </w:rPr>
        <w:footnoteReference w:id="11"/>
      </w:r>
    </w:p>
    <w:p w:rsidR="008D6CFA" w:rsidRDefault="008D6CFA" w:rsidP="007A7BC1">
      <w:pPr>
        <w:spacing w:line="276" w:lineRule="auto"/>
        <w:jc w:val="both"/>
      </w:pPr>
    </w:p>
    <w:p w:rsidR="008D6CFA" w:rsidRDefault="00792904" w:rsidP="007A7BC1">
      <w:pPr>
        <w:spacing w:line="276" w:lineRule="auto"/>
        <w:jc w:val="both"/>
      </w:pPr>
      <w:r>
        <w:tab/>
      </w:r>
      <w:r w:rsidR="008D6CFA">
        <w:t>T</w:t>
      </w:r>
      <w:r w:rsidR="00286A06">
        <w:t xml:space="preserve">o illustrate the potential bias in previous studies we calculate three of the most commonly used </w:t>
      </w:r>
      <w:r w:rsidR="000D7A5B">
        <w:t xml:space="preserve">statistics </w:t>
      </w:r>
      <w:r w:rsidR="00286A06">
        <w:t xml:space="preserve">of inter-provincial inequality – the </w:t>
      </w:r>
      <w:r w:rsidR="008D6CFA">
        <w:t xml:space="preserve">Theil index, the coefficient of </w:t>
      </w:r>
      <w:r w:rsidR="008D6CFA">
        <w:lastRenderedPageBreak/>
        <w:t>variation</w:t>
      </w:r>
      <w:r w:rsidR="00C06901">
        <w:t xml:space="preserve"> (</w:t>
      </w:r>
      <w:proofErr w:type="spellStart"/>
      <w:r w:rsidR="00C06901">
        <w:t>C</w:t>
      </w:r>
      <w:r w:rsidR="006459DD">
        <w:t>o</w:t>
      </w:r>
      <w:r w:rsidR="00C06901">
        <w:t>V</w:t>
      </w:r>
      <w:proofErr w:type="spellEnd"/>
      <w:r w:rsidR="00C06901">
        <w:t>)</w:t>
      </w:r>
      <w:r w:rsidR="008D6CFA">
        <w:t xml:space="preserve">, and the </w:t>
      </w:r>
      <w:proofErr w:type="spellStart"/>
      <w:r w:rsidR="008D6CFA">
        <w:t>Gini</w:t>
      </w:r>
      <w:proofErr w:type="spellEnd"/>
      <w:r w:rsidR="008D6CFA">
        <w:t xml:space="preserve"> </w:t>
      </w:r>
      <w:r w:rsidR="00286A06">
        <w:t>coefficient</w:t>
      </w:r>
      <w:r w:rsidR="008D6CFA">
        <w:t>.</w:t>
      </w:r>
      <w:r w:rsidR="008D6CFA">
        <w:rPr>
          <w:rStyle w:val="FootnoteReference"/>
        </w:rPr>
        <w:footnoteReference w:id="12"/>
      </w:r>
      <w:r w:rsidR="000D7A5B">
        <w:t xml:space="preserve"> We </w:t>
      </w:r>
      <w:r w:rsidR="00C06901">
        <w:t xml:space="preserve">compare the time </w:t>
      </w:r>
      <w:r w:rsidR="00763886">
        <w:t>s</w:t>
      </w:r>
      <w:r w:rsidR="00C06901">
        <w:t>eries</w:t>
      </w:r>
      <w:r w:rsidR="000D7A5B">
        <w:t xml:space="preserve"> </w:t>
      </w:r>
      <w:r w:rsidR="00C06901">
        <w:t xml:space="preserve">for </w:t>
      </w:r>
      <w:r w:rsidR="000D7A5B">
        <w:t>each statistic</w:t>
      </w:r>
      <w:r w:rsidR="00763886">
        <w:t xml:space="preserve"> using </w:t>
      </w:r>
      <w:r w:rsidR="00F521B7">
        <w:t xml:space="preserve">three </w:t>
      </w:r>
      <w:r w:rsidR="00763886">
        <w:t xml:space="preserve">different population denominators </w:t>
      </w:r>
      <w:r w:rsidR="00C06901">
        <w:t>to calculate</w:t>
      </w:r>
      <w:r w:rsidR="00763886">
        <w:t xml:space="preserve"> GDP </w:t>
      </w:r>
      <w:r w:rsidR="00763886">
        <w:rPr>
          <w:i/>
        </w:rPr>
        <w:t>per capita</w:t>
      </w:r>
      <w:r w:rsidR="00763886">
        <w:t xml:space="preserve"> for each province:</w:t>
      </w:r>
    </w:p>
    <w:p w:rsidR="00E435E9" w:rsidRPr="00E435E9" w:rsidRDefault="00E435E9" w:rsidP="007A7BC1">
      <w:pPr>
        <w:spacing w:line="276" w:lineRule="auto"/>
        <w:jc w:val="both"/>
        <w:rPr>
          <w:sz w:val="12"/>
          <w:szCs w:val="12"/>
        </w:rPr>
      </w:pPr>
    </w:p>
    <w:p w:rsidR="00763886" w:rsidRDefault="00763886" w:rsidP="00BA433C">
      <w:pPr>
        <w:pStyle w:val="ListParagraph"/>
        <w:numPr>
          <w:ilvl w:val="0"/>
          <w:numId w:val="12"/>
        </w:numPr>
        <w:tabs>
          <w:tab w:val="left" w:pos="426"/>
        </w:tabs>
        <w:spacing w:line="276" w:lineRule="auto"/>
        <w:ind w:left="0" w:firstLine="0"/>
        <w:jc w:val="both"/>
        <w:rPr>
          <w:bCs/>
        </w:rPr>
      </w:pPr>
      <w:r>
        <w:rPr>
          <w:bCs/>
        </w:rPr>
        <w:t>GDP implied population</w:t>
      </w:r>
    </w:p>
    <w:p w:rsidR="00763886" w:rsidRDefault="00763886" w:rsidP="00BA433C">
      <w:pPr>
        <w:pStyle w:val="ListParagraph"/>
        <w:numPr>
          <w:ilvl w:val="0"/>
          <w:numId w:val="12"/>
        </w:numPr>
        <w:tabs>
          <w:tab w:val="left" w:pos="426"/>
        </w:tabs>
        <w:spacing w:line="276" w:lineRule="auto"/>
        <w:ind w:left="0" w:firstLine="0"/>
        <w:jc w:val="both"/>
        <w:rPr>
          <w:bCs/>
        </w:rPr>
      </w:pPr>
      <w:r>
        <w:rPr>
          <w:bCs/>
        </w:rPr>
        <w:t>Registered population</w:t>
      </w:r>
    </w:p>
    <w:p w:rsidR="00763886" w:rsidRPr="00763886" w:rsidRDefault="00763886" w:rsidP="00BA433C">
      <w:pPr>
        <w:pStyle w:val="ListParagraph"/>
        <w:numPr>
          <w:ilvl w:val="0"/>
          <w:numId w:val="12"/>
        </w:numPr>
        <w:tabs>
          <w:tab w:val="left" w:pos="426"/>
        </w:tabs>
        <w:spacing w:line="276" w:lineRule="auto"/>
        <w:ind w:left="0" w:firstLine="0"/>
        <w:jc w:val="both"/>
        <w:rPr>
          <w:bCs/>
        </w:rPr>
      </w:pPr>
      <w:r>
        <w:rPr>
          <w:bCs/>
        </w:rPr>
        <w:t>Resident (revised) population</w:t>
      </w:r>
    </w:p>
    <w:p w:rsidR="00187F46" w:rsidRDefault="00187F46" w:rsidP="007A7BC1">
      <w:pPr>
        <w:spacing w:line="276" w:lineRule="auto"/>
        <w:jc w:val="both"/>
        <w:rPr>
          <w:bCs/>
        </w:rPr>
      </w:pPr>
    </w:p>
    <w:p w:rsidR="008D3363" w:rsidRDefault="00187F46" w:rsidP="007A7BC1">
      <w:pPr>
        <w:spacing w:line="276" w:lineRule="auto"/>
        <w:jc w:val="both"/>
        <w:rPr>
          <w:bCs/>
        </w:rPr>
      </w:pPr>
      <w:r>
        <w:rPr>
          <w:bCs/>
        </w:rPr>
        <w:tab/>
      </w:r>
      <w:r w:rsidR="00763886">
        <w:rPr>
          <w:bCs/>
        </w:rPr>
        <w:t xml:space="preserve">Each of these </w:t>
      </w:r>
      <w:r w:rsidR="00F521B7">
        <w:rPr>
          <w:bCs/>
        </w:rPr>
        <w:t xml:space="preserve">three </w:t>
      </w:r>
      <w:r w:rsidR="00763886">
        <w:rPr>
          <w:bCs/>
        </w:rPr>
        <w:t>population time series has been previously described in the discussion of Figures 3 and 4.</w:t>
      </w:r>
      <w:r w:rsidR="00F521B7">
        <w:rPr>
          <w:rStyle w:val="FootnoteReference"/>
          <w:bCs/>
        </w:rPr>
        <w:footnoteReference w:id="13"/>
      </w:r>
      <w:r w:rsidR="00763886">
        <w:rPr>
          <w:bCs/>
        </w:rPr>
        <w:t xml:space="preserve"> </w:t>
      </w:r>
      <w:r w:rsidR="00A432C5">
        <w:rPr>
          <w:bCs/>
        </w:rPr>
        <w:t>The revisions to the resident population estimates only go back as far as 1990 (by the NBS for 21 provinces and by us for the remaining nine) so this comparison is limited to the 21 years from 1990 to 2010. To put this starting date into context,</w:t>
      </w:r>
      <w:r w:rsidR="008174A7">
        <w:rPr>
          <w:bCs/>
        </w:rPr>
        <w:t xml:space="preserve"> from the beginning of economic reform in 1978 until 1990</w:t>
      </w:r>
      <w:r w:rsidR="00C06901">
        <w:rPr>
          <w:bCs/>
        </w:rPr>
        <w:t>,</w:t>
      </w:r>
      <w:r w:rsidR="008174A7">
        <w:rPr>
          <w:bCs/>
        </w:rPr>
        <w:t xml:space="preserve"> inter-provincial inequality in China </w:t>
      </w:r>
      <w:r w:rsidR="00C06901">
        <w:rPr>
          <w:bCs/>
        </w:rPr>
        <w:t>fell</w:t>
      </w:r>
      <w:r w:rsidR="008174A7">
        <w:rPr>
          <w:bCs/>
        </w:rPr>
        <w:t xml:space="preserve"> </w:t>
      </w:r>
      <w:r w:rsidR="00C06901">
        <w:rPr>
          <w:bCs/>
        </w:rPr>
        <w:t>rapidly</w:t>
      </w:r>
      <w:r w:rsidR="008C342F">
        <w:rPr>
          <w:bCs/>
        </w:rPr>
        <w:t xml:space="preserve">, with </w:t>
      </w:r>
      <w:r w:rsidR="006A37FE">
        <w:rPr>
          <w:bCs/>
        </w:rPr>
        <w:t>trend annual rate</w:t>
      </w:r>
      <w:r w:rsidR="008C342F">
        <w:rPr>
          <w:bCs/>
        </w:rPr>
        <w:t>s</w:t>
      </w:r>
      <w:r w:rsidR="006A37FE">
        <w:rPr>
          <w:bCs/>
        </w:rPr>
        <w:t xml:space="preserve"> of decline </w:t>
      </w:r>
      <w:r w:rsidR="008C342F">
        <w:rPr>
          <w:bCs/>
        </w:rPr>
        <w:t xml:space="preserve">of </w:t>
      </w:r>
      <w:r w:rsidR="006A37FE">
        <w:rPr>
          <w:bCs/>
        </w:rPr>
        <w:t>4.6 percent (Theil), 3.9 percent (</w:t>
      </w:r>
      <w:proofErr w:type="spellStart"/>
      <w:r w:rsidR="006A37FE">
        <w:rPr>
          <w:bCs/>
        </w:rPr>
        <w:t>C</w:t>
      </w:r>
      <w:r w:rsidR="006459DD">
        <w:rPr>
          <w:bCs/>
        </w:rPr>
        <w:t>o</w:t>
      </w:r>
      <w:r w:rsidR="006A37FE">
        <w:rPr>
          <w:bCs/>
        </w:rPr>
        <w:t>V</w:t>
      </w:r>
      <w:proofErr w:type="spellEnd"/>
      <w:r w:rsidR="006A37FE">
        <w:rPr>
          <w:bCs/>
        </w:rPr>
        <w:t>) and 0.5 percent (</w:t>
      </w:r>
      <w:proofErr w:type="spellStart"/>
      <w:r w:rsidR="006A37FE">
        <w:rPr>
          <w:bCs/>
        </w:rPr>
        <w:t>Gini</w:t>
      </w:r>
      <w:proofErr w:type="spellEnd"/>
      <w:r w:rsidR="006A37FE">
        <w:rPr>
          <w:bCs/>
        </w:rPr>
        <w:t>).</w:t>
      </w:r>
      <w:r w:rsidR="006A37FE">
        <w:rPr>
          <w:rStyle w:val="FootnoteReference"/>
          <w:bCs/>
        </w:rPr>
        <w:footnoteReference w:id="14"/>
      </w:r>
      <w:r w:rsidR="008174A7">
        <w:rPr>
          <w:bCs/>
        </w:rPr>
        <w:t xml:space="preserve"> This falling inequality </w:t>
      </w:r>
      <w:r w:rsidR="00E26F91">
        <w:rPr>
          <w:bCs/>
        </w:rPr>
        <w:t xml:space="preserve">resulted </w:t>
      </w:r>
      <w:r w:rsidR="008174A7">
        <w:rPr>
          <w:bCs/>
        </w:rPr>
        <w:t xml:space="preserve">from the </w:t>
      </w:r>
      <w:r w:rsidR="00613888">
        <w:rPr>
          <w:bCs/>
        </w:rPr>
        <w:t xml:space="preserve">early </w:t>
      </w:r>
      <w:proofErr w:type="spellStart"/>
      <w:r w:rsidR="008174A7">
        <w:rPr>
          <w:bCs/>
        </w:rPr>
        <w:t>decollectivization</w:t>
      </w:r>
      <w:proofErr w:type="spellEnd"/>
      <w:r w:rsidR="008174A7">
        <w:rPr>
          <w:bCs/>
        </w:rPr>
        <w:t xml:space="preserve"> of agriculture, which </w:t>
      </w:r>
      <w:r w:rsidR="00645F16">
        <w:rPr>
          <w:bCs/>
        </w:rPr>
        <w:t xml:space="preserve">saw </w:t>
      </w:r>
      <w:r w:rsidR="008174A7">
        <w:rPr>
          <w:bCs/>
        </w:rPr>
        <w:t>incomes in rural provinces close some of the gap with the three richest urban provinces (Shanghai, Beijing and Tianjin).</w:t>
      </w:r>
      <w:r w:rsidR="00C06901">
        <w:rPr>
          <w:bCs/>
        </w:rPr>
        <w:t xml:space="preserve"> Also</w:t>
      </w:r>
      <w:r w:rsidR="008174A7">
        <w:rPr>
          <w:bCs/>
        </w:rPr>
        <w:t>, at the start of the reform period, the soon-to-be-booming southeast coastal provinces of Guangdong, Fujian and Zhejian</w:t>
      </w:r>
      <w:r w:rsidR="00E26F91">
        <w:rPr>
          <w:bCs/>
        </w:rPr>
        <w:t>g were not even in the top one-third of provinces (ranking 10</w:t>
      </w:r>
      <w:r w:rsidR="00E26F91" w:rsidRPr="00E26F91">
        <w:rPr>
          <w:bCs/>
          <w:vertAlign w:val="superscript"/>
        </w:rPr>
        <w:t>th</w:t>
      </w:r>
      <w:r w:rsidR="00E26F91">
        <w:rPr>
          <w:bCs/>
        </w:rPr>
        <w:t>, 23</w:t>
      </w:r>
      <w:r w:rsidR="00E26F91" w:rsidRPr="00E26F91">
        <w:rPr>
          <w:bCs/>
          <w:vertAlign w:val="superscript"/>
        </w:rPr>
        <w:t>rd</w:t>
      </w:r>
      <w:r w:rsidR="00E26F91">
        <w:rPr>
          <w:bCs/>
        </w:rPr>
        <w:t xml:space="preserve"> and 16</w:t>
      </w:r>
      <w:r w:rsidR="00E26F91" w:rsidRPr="00E26F91">
        <w:rPr>
          <w:bCs/>
          <w:vertAlign w:val="superscript"/>
        </w:rPr>
        <w:t>th</w:t>
      </w:r>
      <w:r w:rsidR="00E26F91">
        <w:rPr>
          <w:bCs/>
        </w:rPr>
        <w:t xml:space="preserve"> according to GDP </w:t>
      </w:r>
      <w:r w:rsidR="00E26F91" w:rsidRPr="00E26F91">
        <w:rPr>
          <w:bCs/>
          <w:i/>
        </w:rPr>
        <w:t>per capita</w:t>
      </w:r>
      <w:r w:rsidR="00170EB9">
        <w:rPr>
          <w:bCs/>
        </w:rPr>
        <w:t xml:space="preserve"> in 1978</w:t>
      </w:r>
      <w:r w:rsidR="00E26F91">
        <w:rPr>
          <w:bCs/>
        </w:rPr>
        <w:t>), so the tremendous growth that they soon experienced had an equalizing impact.</w:t>
      </w:r>
      <w:r w:rsidR="00E26F91">
        <w:rPr>
          <w:rStyle w:val="FootnoteReference"/>
          <w:bCs/>
        </w:rPr>
        <w:footnoteReference w:id="15"/>
      </w:r>
      <w:r w:rsidR="008C342F">
        <w:rPr>
          <w:bCs/>
        </w:rPr>
        <w:t xml:space="preserve"> Therefore in our illustration of the impact of population errors on regional inequality trends</w:t>
      </w:r>
      <w:r w:rsidR="00645F16">
        <w:rPr>
          <w:bCs/>
        </w:rPr>
        <w:t xml:space="preserve">, </w:t>
      </w:r>
      <w:r w:rsidR="00F521B7">
        <w:rPr>
          <w:bCs/>
        </w:rPr>
        <w:t xml:space="preserve">the </w:t>
      </w:r>
      <w:r w:rsidR="00645F16">
        <w:rPr>
          <w:bCs/>
        </w:rPr>
        <w:t xml:space="preserve">starting point </w:t>
      </w:r>
      <w:r w:rsidR="00F521B7">
        <w:rPr>
          <w:bCs/>
        </w:rPr>
        <w:t xml:space="preserve">happens to be </w:t>
      </w:r>
      <w:r w:rsidR="008C342F">
        <w:rPr>
          <w:bCs/>
        </w:rPr>
        <w:t xml:space="preserve">the most equal </w:t>
      </w:r>
      <w:r w:rsidR="00645F16">
        <w:rPr>
          <w:bCs/>
        </w:rPr>
        <w:t xml:space="preserve">year </w:t>
      </w:r>
      <w:r w:rsidR="008C342F">
        <w:rPr>
          <w:bCs/>
        </w:rPr>
        <w:t>in the reform era.</w:t>
      </w:r>
    </w:p>
    <w:p w:rsidR="00763886" w:rsidRDefault="00763886" w:rsidP="007A7BC1">
      <w:pPr>
        <w:spacing w:line="276" w:lineRule="auto"/>
        <w:jc w:val="both"/>
        <w:rPr>
          <w:bCs/>
        </w:rPr>
      </w:pPr>
    </w:p>
    <w:p w:rsidR="000C4859" w:rsidRDefault="00187F46" w:rsidP="007A7BC1">
      <w:pPr>
        <w:spacing w:line="276" w:lineRule="auto"/>
        <w:jc w:val="both"/>
        <w:rPr>
          <w:bCs/>
        </w:rPr>
      </w:pPr>
      <w:r>
        <w:rPr>
          <w:bCs/>
        </w:rPr>
        <w:tab/>
      </w:r>
      <w:r w:rsidR="000C4859">
        <w:rPr>
          <w:bCs/>
        </w:rPr>
        <w:t xml:space="preserve">For </w:t>
      </w:r>
      <w:r w:rsidR="00F849AC">
        <w:rPr>
          <w:bCs/>
        </w:rPr>
        <w:t xml:space="preserve">all </w:t>
      </w:r>
      <w:r w:rsidR="000C4859">
        <w:rPr>
          <w:bCs/>
        </w:rPr>
        <w:t xml:space="preserve">three </w:t>
      </w:r>
      <w:r w:rsidR="00F849AC">
        <w:rPr>
          <w:bCs/>
        </w:rPr>
        <w:t xml:space="preserve">of the </w:t>
      </w:r>
      <w:r w:rsidR="000C4859">
        <w:rPr>
          <w:bCs/>
        </w:rPr>
        <w:t xml:space="preserve">inequality statistics shown in Figure 5, </w:t>
      </w:r>
      <w:r w:rsidR="00F849AC">
        <w:rPr>
          <w:bCs/>
        </w:rPr>
        <w:t xml:space="preserve">the </w:t>
      </w:r>
      <w:r w:rsidR="00A72333">
        <w:rPr>
          <w:bCs/>
        </w:rPr>
        <w:t>1990 to 20</w:t>
      </w:r>
      <w:r w:rsidR="00803B0B">
        <w:rPr>
          <w:bCs/>
        </w:rPr>
        <w:t xml:space="preserve">00 </w:t>
      </w:r>
      <w:r w:rsidR="00F849AC">
        <w:rPr>
          <w:bCs/>
        </w:rPr>
        <w:t xml:space="preserve">trend using the GDP implied population </w:t>
      </w:r>
      <w:r w:rsidR="00F521B7">
        <w:rPr>
          <w:bCs/>
        </w:rPr>
        <w:t xml:space="preserve">(shown by the solid line) </w:t>
      </w:r>
      <w:r w:rsidR="00F849AC">
        <w:rPr>
          <w:bCs/>
        </w:rPr>
        <w:t>is almost identical to that using registered population</w:t>
      </w:r>
      <w:r w:rsidR="00F521B7">
        <w:rPr>
          <w:bCs/>
        </w:rPr>
        <w:t xml:space="preserve"> (shown by the dotted line)</w:t>
      </w:r>
      <w:r w:rsidR="00F849AC">
        <w:rPr>
          <w:bCs/>
        </w:rPr>
        <w:t xml:space="preserve">. </w:t>
      </w:r>
      <w:r w:rsidR="00A72333">
        <w:rPr>
          <w:bCs/>
        </w:rPr>
        <w:t xml:space="preserve">This is unsurprising since most </w:t>
      </w:r>
      <w:r w:rsidR="00C06901">
        <w:rPr>
          <w:bCs/>
        </w:rPr>
        <w:t xml:space="preserve">large provinces were still reporting GDP </w:t>
      </w:r>
      <w:r w:rsidR="00C06901" w:rsidRPr="00C06901">
        <w:rPr>
          <w:bCs/>
          <w:i/>
        </w:rPr>
        <w:t>per capita</w:t>
      </w:r>
      <w:r w:rsidR="00C06901">
        <w:rPr>
          <w:bCs/>
        </w:rPr>
        <w:t xml:space="preserve"> on a registered population basis during these years (Table 1). </w:t>
      </w:r>
      <w:r w:rsidR="00645F16">
        <w:rPr>
          <w:bCs/>
        </w:rPr>
        <w:t>Yet</w:t>
      </w:r>
      <w:r w:rsidR="00A72333">
        <w:rPr>
          <w:bCs/>
        </w:rPr>
        <w:t xml:space="preserve">, while inequality in the officially reported GDP </w:t>
      </w:r>
      <w:r w:rsidR="00A72333" w:rsidRPr="00645F16">
        <w:rPr>
          <w:bCs/>
          <w:i/>
        </w:rPr>
        <w:t>per capita</w:t>
      </w:r>
      <w:r w:rsidR="00F521B7">
        <w:rPr>
          <w:bCs/>
        </w:rPr>
        <w:t xml:space="preserve"> was rapidly rising in the</w:t>
      </w:r>
      <w:r w:rsidR="00A72333">
        <w:rPr>
          <w:bCs/>
        </w:rPr>
        <w:t xml:space="preserve"> decade from 1990 (at a three percent annual rate in the case of the Theil index) it was</w:t>
      </w:r>
      <w:r w:rsidR="00803B0B">
        <w:rPr>
          <w:bCs/>
        </w:rPr>
        <w:t xml:space="preserve"> </w:t>
      </w:r>
      <w:r w:rsidR="008C342F">
        <w:rPr>
          <w:bCs/>
        </w:rPr>
        <w:t xml:space="preserve">largely </w:t>
      </w:r>
      <w:r w:rsidR="00803B0B">
        <w:rPr>
          <w:bCs/>
        </w:rPr>
        <w:t xml:space="preserve">divorced from the </w:t>
      </w:r>
      <w:r w:rsidR="00A72333">
        <w:rPr>
          <w:bCs/>
        </w:rPr>
        <w:t xml:space="preserve">(correct) </w:t>
      </w:r>
      <w:r w:rsidR="00803B0B">
        <w:rPr>
          <w:bCs/>
        </w:rPr>
        <w:t xml:space="preserve">trend shown when GDP </w:t>
      </w:r>
      <w:r w:rsidR="00803B0B" w:rsidRPr="00803B0B">
        <w:rPr>
          <w:bCs/>
          <w:i/>
        </w:rPr>
        <w:t>per capita</w:t>
      </w:r>
      <w:r w:rsidR="00803B0B">
        <w:rPr>
          <w:bCs/>
        </w:rPr>
        <w:t xml:space="preserve"> is calculated using the revised resident population estimates</w:t>
      </w:r>
      <w:r w:rsidR="00F90B8B">
        <w:rPr>
          <w:bCs/>
        </w:rPr>
        <w:t xml:space="preserve"> (</w:t>
      </w:r>
      <w:r w:rsidR="00F521B7">
        <w:rPr>
          <w:bCs/>
        </w:rPr>
        <w:t xml:space="preserve">the dashed line in </w:t>
      </w:r>
      <w:r w:rsidR="00F90B8B">
        <w:rPr>
          <w:bCs/>
        </w:rPr>
        <w:t>Figure 5)</w:t>
      </w:r>
      <w:r w:rsidR="00803B0B">
        <w:rPr>
          <w:bCs/>
        </w:rPr>
        <w:t>.</w:t>
      </w:r>
      <w:r w:rsidR="00A72333">
        <w:rPr>
          <w:bCs/>
        </w:rPr>
        <w:t xml:space="preserve"> In fact, the </w:t>
      </w:r>
      <w:r w:rsidR="00F90B8B">
        <w:rPr>
          <w:bCs/>
        </w:rPr>
        <w:t xml:space="preserve">apparent </w:t>
      </w:r>
      <w:r w:rsidR="00A72333">
        <w:rPr>
          <w:bCs/>
        </w:rPr>
        <w:lastRenderedPageBreak/>
        <w:t>rise in inter-provincial inequality</w:t>
      </w:r>
      <w:r w:rsidR="00E91669">
        <w:rPr>
          <w:bCs/>
        </w:rPr>
        <w:t xml:space="preserve"> </w:t>
      </w:r>
      <w:r w:rsidR="00A72333">
        <w:rPr>
          <w:bCs/>
        </w:rPr>
        <w:t>between 1990 and 2000</w:t>
      </w:r>
      <w:r w:rsidR="00F90B8B">
        <w:rPr>
          <w:bCs/>
        </w:rPr>
        <w:t>,</w:t>
      </w:r>
      <w:r w:rsidR="00A72333">
        <w:rPr>
          <w:bCs/>
        </w:rPr>
        <w:t xml:space="preserve"> when using the </w:t>
      </w:r>
      <w:r w:rsidR="00F90B8B">
        <w:rPr>
          <w:bCs/>
        </w:rPr>
        <w:t xml:space="preserve">Theil index calculated from the official data of the time, is 66 percent greater than the actual rise, based on the </w:t>
      </w:r>
      <w:r w:rsidR="00645F16">
        <w:rPr>
          <w:bCs/>
        </w:rPr>
        <w:t xml:space="preserve">revised resident </w:t>
      </w:r>
      <w:r w:rsidR="008C342F">
        <w:rPr>
          <w:bCs/>
        </w:rPr>
        <w:t>series</w:t>
      </w:r>
      <w:r w:rsidR="00F90B8B">
        <w:rPr>
          <w:bCs/>
        </w:rPr>
        <w:t xml:space="preserve">. </w:t>
      </w:r>
      <w:r w:rsidR="00C23206">
        <w:rPr>
          <w:bCs/>
        </w:rPr>
        <w:t xml:space="preserve">For the </w:t>
      </w:r>
      <w:proofErr w:type="spellStart"/>
      <w:r w:rsidR="00C23206">
        <w:rPr>
          <w:bCs/>
        </w:rPr>
        <w:t>C</w:t>
      </w:r>
      <w:r w:rsidR="006459DD">
        <w:rPr>
          <w:bCs/>
        </w:rPr>
        <w:t>o</w:t>
      </w:r>
      <w:r w:rsidR="00C23206">
        <w:rPr>
          <w:bCs/>
        </w:rPr>
        <w:t>V</w:t>
      </w:r>
      <w:proofErr w:type="spellEnd"/>
      <w:r w:rsidR="00C23206">
        <w:rPr>
          <w:bCs/>
        </w:rPr>
        <w:t xml:space="preserve"> and the </w:t>
      </w:r>
      <w:proofErr w:type="spellStart"/>
      <w:r w:rsidR="00C23206">
        <w:rPr>
          <w:bCs/>
        </w:rPr>
        <w:t>Gini</w:t>
      </w:r>
      <w:proofErr w:type="spellEnd"/>
      <w:r w:rsidR="00C23206">
        <w:rPr>
          <w:bCs/>
        </w:rPr>
        <w:t xml:space="preserve">, the overstatement </w:t>
      </w:r>
      <w:r w:rsidR="00276146">
        <w:rPr>
          <w:bCs/>
        </w:rPr>
        <w:t xml:space="preserve">created by using </w:t>
      </w:r>
      <w:r w:rsidR="00645F16">
        <w:rPr>
          <w:bCs/>
        </w:rPr>
        <w:t xml:space="preserve">uncorrected </w:t>
      </w:r>
      <w:r w:rsidR="00276146">
        <w:rPr>
          <w:bCs/>
          <w:i/>
        </w:rPr>
        <w:t xml:space="preserve">Yearbook </w:t>
      </w:r>
      <w:r w:rsidR="00276146">
        <w:rPr>
          <w:bCs/>
        </w:rPr>
        <w:t xml:space="preserve">data </w:t>
      </w:r>
      <w:r w:rsidR="005F11D5">
        <w:rPr>
          <w:bCs/>
        </w:rPr>
        <w:t>for</w:t>
      </w:r>
      <w:r w:rsidR="00645F16">
        <w:rPr>
          <w:bCs/>
        </w:rPr>
        <w:t xml:space="preserve"> GDP </w:t>
      </w:r>
      <w:r w:rsidR="00645F16" w:rsidRPr="00645F16">
        <w:rPr>
          <w:bCs/>
          <w:i/>
        </w:rPr>
        <w:t>per capita</w:t>
      </w:r>
      <w:r w:rsidR="00645F16">
        <w:rPr>
          <w:bCs/>
        </w:rPr>
        <w:t xml:space="preserve"> i</w:t>
      </w:r>
      <w:r w:rsidR="00C23206">
        <w:rPr>
          <w:bCs/>
        </w:rPr>
        <w:t>s 94 percent and 38 percent</w:t>
      </w:r>
      <w:r w:rsidR="00276146">
        <w:rPr>
          <w:bCs/>
        </w:rPr>
        <w:t xml:space="preserve">, as of the year 2000. </w:t>
      </w:r>
      <w:r w:rsidR="00E91669">
        <w:rPr>
          <w:bCs/>
        </w:rPr>
        <w:t xml:space="preserve">If there had been no change in the basis of GDP </w:t>
      </w:r>
      <w:r w:rsidR="00E91669" w:rsidRPr="00E91669">
        <w:rPr>
          <w:bCs/>
          <w:i/>
        </w:rPr>
        <w:t>per capita</w:t>
      </w:r>
      <w:r w:rsidR="00E91669">
        <w:rPr>
          <w:bCs/>
        </w:rPr>
        <w:t xml:space="preserve"> calculations, the apparent trend in inter-provincial inequality would have carried on rising strongly</w:t>
      </w:r>
      <w:r w:rsidR="00F521B7">
        <w:rPr>
          <w:bCs/>
        </w:rPr>
        <w:t xml:space="preserve"> (for example, there is</w:t>
      </w:r>
      <w:r w:rsidR="00645F16">
        <w:rPr>
          <w:bCs/>
        </w:rPr>
        <w:t xml:space="preserve"> a </w:t>
      </w:r>
      <w:r w:rsidR="00E91669">
        <w:rPr>
          <w:bCs/>
        </w:rPr>
        <w:t xml:space="preserve">1.4 percent per annum </w:t>
      </w:r>
      <w:r w:rsidR="00645F16">
        <w:rPr>
          <w:bCs/>
        </w:rPr>
        <w:t xml:space="preserve">trend </w:t>
      </w:r>
      <w:r w:rsidR="00E91669">
        <w:rPr>
          <w:bCs/>
        </w:rPr>
        <w:t>rise in the Theil index when using registered population over 2001-10</w:t>
      </w:r>
      <w:r w:rsidR="00645F16">
        <w:rPr>
          <w:bCs/>
        </w:rPr>
        <w:t>)</w:t>
      </w:r>
      <w:r w:rsidR="00E91669">
        <w:rPr>
          <w:bCs/>
        </w:rPr>
        <w:t xml:space="preserve">. </w:t>
      </w:r>
      <w:r w:rsidR="005F11D5">
        <w:rPr>
          <w:bCs/>
        </w:rPr>
        <w:t xml:space="preserve">But, in fact, </w:t>
      </w:r>
      <w:r w:rsidR="00276146">
        <w:rPr>
          <w:bCs/>
        </w:rPr>
        <w:t>inter</w:t>
      </w:r>
      <w:r w:rsidR="004F1AB6">
        <w:rPr>
          <w:bCs/>
        </w:rPr>
        <w:t>-</w:t>
      </w:r>
      <w:r w:rsidR="00276146">
        <w:rPr>
          <w:bCs/>
        </w:rPr>
        <w:t>provincial inequality returns almost exactly to its starting point by 2010 (</w:t>
      </w:r>
      <w:r w:rsidR="005F11D5">
        <w:rPr>
          <w:bCs/>
        </w:rPr>
        <w:t xml:space="preserve">for the </w:t>
      </w:r>
      <w:r w:rsidR="00276146">
        <w:rPr>
          <w:bCs/>
        </w:rPr>
        <w:t>Theil</w:t>
      </w:r>
      <w:r w:rsidR="005F11D5">
        <w:rPr>
          <w:bCs/>
        </w:rPr>
        <w:t xml:space="preserve"> index; the </w:t>
      </w:r>
      <w:proofErr w:type="spellStart"/>
      <w:r w:rsidR="00276146">
        <w:rPr>
          <w:bCs/>
        </w:rPr>
        <w:t>C</w:t>
      </w:r>
      <w:r w:rsidR="006459DD">
        <w:rPr>
          <w:bCs/>
        </w:rPr>
        <w:t>o</w:t>
      </w:r>
      <w:r w:rsidR="00276146">
        <w:rPr>
          <w:bCs/>
        </w:rPr>
        <w:t>V</w:t>
      </w:r>
      <w:proofErr w:type="spellEnd"/>
      <w:r w:rsidR="005F11D5">
        <w:rPr>
          <w:bCs/>
        </w:rPr>
        <w:t xml:space="preserve"> is slightly lower and the </w:t>
      </w:r>
      <w:proofErr w:type="spellStart"/>
      <w:r w:rsidR="00276146">
        <w:rPr>
          <w:bCs/>
        </w:rPr>
        <w:t>Gini</w:t>
      </w:r>
      <w:proofErr w:type="spellEnd"/>
      <w:r w:rsidR="005F11D5">
        <w:rPr>
          <w:bCs/>
        </w:rPr>
        <w:t xml:space="preserve"> slightly higher than their 1990 values</w:t>
      </w:r>
      <w:r w:rsidR="00276146">
        <w:rPr>
          <w:bCs/>
        </w:rPr>
        <w:t>)</w:t>
      </w:r>
      <w:r w:rsidR="005F11D5">
        <w:rPr>
          <w:bCs/>
        </w:rPr>
        <w:t xml:space="preserve"> in the time series based on</w:t>
      </w:r>
      <w:r w:rsidR="00645F16">
        <w:rPr>
          <w:bCs/>
        </w:rPr>
        <w:t xml:space="preserve"> the corrected data</w:t>
      </w:r>
      <w:r w:rsidR="005F11D5">
        <w:rPr>
          <w:bCs/>
        </w:rPr>
        <w:t>. Hence</w:t>
      </w:r>
      <w:r w:rsidR="00276146">
        <w:rPr>
          <w:bCs/>
        </w:rPr>
        <w:t xml:space="preserve">, </w:t>
      </w:r>
      <w:r w:rsidR="005F11D5">
        <w:rPr>
          <w:bCs/>
        </w:rPr>
        <w:t xml:space="preserve">if GDP per registered population had continued to be used as the official data, </w:t>
      </w:r>
      <w:r w:rsidR="00276146">
        <w:rPr>
          <w:bCs/>
          <w:i/>
        </w:rPr>
        <w:t xml:space="preserve">all </w:t>
      </w:r>
      <w:r w:rsidR="00276146">
        <w:rPr>
          <w:bCs/>
        </w:rPr>
        <w:t>of the apparent rise in inequality would have been measurement error.</w:t>
      </w:r>
    </w:p>
    <w:p w:rsidR="00170EB9" w:rsidRDefault="00170EB9" w:rsidP="007A7BC1">
      <w:pPr>
        <w:spacing w:line="276" w:lineRule="auto"/>
        <w:jc w:val="both"/>
        <w:rPr>
          <w:bCs/>
        </w:rPr>
      </w:pPr>
    </w:p>
    <w:p w:rsidR="00BA433C" w:rsidRDefault="00BA433C" w:rsidP="007A7BC1">
      <w:pPr>
        <w:spacing w:line="276" w:lineRule="auto"/>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57647B" w:rsidRPr="00411A15" w:rsidTr="00520756">
        <w:tc>
          <w:tcPr>
            <w:tcW w:w="9421" w:type="dxa"/>
          </w:tcPr>
          <w:p w:rsidR="0057647B" w:rsidRPr="00147850" w:rsidRDefault="0057647B" w:rsidP="007A7BC1">
            <w:pPr>
              <w:spacing w:line="276" w:lineRule="auto"/>
              <w:jc w:val="center"/>
              <w:rPr>
                <w:b/>
              </w:rPr>
            </w:pPr>
            <w:r w:rsidRPr="00147850">
              <w:rPr>
                <w:b/>
              </w:rPr>
              <w:t xml:space="preserve">Figure 5: Inter-Provincial Inequality in GDP </w:t>
            </w:r>
            <w:r w:rsidRPr="00147850">
              <w:rPr>
                <w:b/>
                <w:i/>
              </w:rPr>
              <w:t>per capita</w:t>
            </w:r>
            <w:r w:rsidRPr="00147850">
              <w:rPr>
                <w:b/>
              </w:rPr>
              <w:t xml:space="preserve"> With Various Denominators</w:t>
            </w:r>
          </w:p>
        </w:tc>
      </w:tr>
      <w:tr w:rsidR="0057647B" w:rsidTr="00520756">
        <w:tc>
          <w:tcPr>
            <w:tcW w:w="9421" w:type="dxa"/>
          </w:tcPr>
          <w:p w:rsidR="0057647B" w:rsidRDefault="0057647B" w:rsidP="007A7BC1">
            <w:pPr>
              <w:spacing w:line="276" w:lineRule="auto"/>
            </w:pPr>
            <w:r>
              <w:rPr>
                <w:noProof/>
                <w:lang w:val="en-NZ" w:eastAsia="en-NZ"/>
              </w:rPr>
              <w:drawing>
                <wp:inline distT="0" distB="0" distL="0" distR="0">
                  <wp:extent cx="5732145" cy="2685218"/>
                  <wp:effectExtent l="19050" t="0" r="1905" b="0"/>
                  <wp:docPr id="1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srcRect/>
                          <a:stretch>
                            <a:fillRect/>
                          </a:stretch>
                        </pic:blipFill>
                        <pic:spPr bwMode="auto">
                          <a:xfrm>
                            <a:off x="0" y="0"/>
                            <a:ext cx="5736890" cy="2687441"/>
                          </a:xfrm>
                          <a:prstGeom prst="rect">
                            <a:avLst/>
                          </a:prstGeom>
                          <a:noFill/>
                          <a:ln w="9525">
                            <a:noFill/>
                            <a:miter lim="800000"/>
                            <a:headEnd/>
                            <a:tailEnd/>
                          </a:ln>
                        </pic:spPr>
                      </pic:pic>
                    </a:graphicData>
                  </a:graphic>
                </wp:inline>
              </w:drawing>
            </w:r>
          </w:p>
        </w:tc>
      </w:tr>
      <w:tr w:rsidR="0057647B" w:rsidRPr="000A587F" w:rsidTr="00520756">
        <w:tc>
          <w:tcPr>
            <w:tcW w:w="9421" w:type="dxa"/>
          </w:tcPr>
          <w:p w:rsidR="0057647B" w:rsidRPr="000A587F" w:rsidRDefault="0057647B" w:rsidP="007A7BC1">
            <w:pPr>
              <w:spacing w:line="276" w:lineRule="auto"/>
              <w:rPr>
                <w:sz w:val="8"/>
              </w:rPr>
            </w:pPr>
          </w:p>
        </w:tc>
      </w:tr>
      <w:tr w:rsidR="0057647B" w:rsidTr="00520756">
        <w:tc>
          <w:tcPr>
            <w:tcW w:w="9421" w:type="dxa"/>
          </w:tcPr>
          <w:p w:rsidR="0057647B" w:rsidRDefault="0057647B" w:rsidP="007A7BC1">
            <w:pPr>
              <w:spacing w:line="276" w:lineRule="auto"/>
            </w:pPr>
            <w:r>
              <w:rPr>
                <w:noProof/>
                <w:lang w:val="en-NZ" w:eastAsia="en-NZ"/>
              </w:rPr>
              <w:drawing>
                <wp:inline distT="0" distB="0" distL="0" distR="0">
                  <wp:extent cx="5732145" cy="2685219"/>
                  <wp:effectExtent l="19050" t="0" r="1905" b="0"/>
                  <wp:docPr id="2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cstate="print"/>
                          <a:srcRect/>
                          <a:stretch>
                            <a:fillRect/>
                          </a:stretch>
                        </pic:blipFill>
                        <pic:spPr bwMode="auto">
                          <a:xfrm>
                            <a:off x="0" y="0"/>
                            <a:ext cx="5732145" cy="2685219"/>
                          </a:xfrm>
                          <a:prstGeom prst="rect">
                            <a:avLst/>
                          </a:prstGeom>
                          <a:noFill/>
                          <a:ln w="9525">
                            <a:noFill/>
                            <a:miter lim="800000"/>
                            <a:headEnd/>
                            <a:tailEnd/>
                          </a:ln>
                        </pic:spPr>
                      </pic:pic>
                    </a:graphicData>
                  </a:graphic>
                </wp:inline>
              </w:drawing>
            </w:r>
          </w:p>
        </w:tc>
      </w:tr>
      <w:tr w:rsidR="0057647B" w:rsidRPr="000A587F" w:rsidTr="00520756">
        <w:tc>
          <w:tcPr>
            <w:tcW w:w="9421" w:type="dxa"/>
          </w:tcPr>
          <w:p w:rsidR="0057647B" w:rsidRPr="000A587F" w:rsidRDefault="0057647B" w:rsidP="007A7BC1">
            <w:pPr>
              <w:spacing w:line="276" w:lineRule="auto"/>
              <w:rPr>
                <w:sz w:val="8"/>
              </w:rPr>
            </w:pPr>
          </w:p>
        </w:tc>
      </w:tr>
      <w:tr w:rsidR="0057647B" w:rsidTr="00520756">
        <w:tc>
          <w:tcPr>
            <w:tcW w:w="9421" w:type="dxa"/>
          </w:tcPr>
          <w:p w:rsidR="0057647B" w:rsidRDefault="0057647B" w:rsidP="007A7BC1">
            <w:pPr>
              <w:spacing w:line="276" w:lineRule="auto"/>
            </w:pPr>
            <w:r>
              <w:rPr>
                <w:noProof/>
                <w:lang w:val="en-NZ" w:eastAsia="en-NZ"/>
              </w:rPr>
              <w:lastRenderedPageBreak/>
              <w:drawing>
                <wp:inline distT="0" distB="0" distL="0" distR="0">
                  <wp:extent cx="5732145" cy="2691349"/>
                  <wp:effectExtent l="19050" t="0" r="1905" b="0"/>
                  <wp:docPr id="25"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 cstate="print"/>
                          <a:srcRect/>
                          <a:stretch>
                            <a:fillRect/>
                          </a:stretch>
                        </pic:blipFill>
                        <pic:spPr bwMode="auto">
                          <a:xfrm>
                            <a:off x="0" y="0"/>
                            <a:ext cx="5732145" cy="2691349"/>
                          </a:xfrm>
                          <a:prstGeom prst="rect">
                            <a:avLst/>
                          </a:prstGeom>
                          <a:noFill/>
                          <a:ln w="9525">
                            <a:noFill/>
                            <a:miter lim="800000"/>
                            <a:headEnd/>
                            <a:tailEnd/>
                          </a:ln>
                        </pic:spPr>
                      </pic:pic>
                    </a:graphicData>
                  </a:graphic>
                </wp:inline>
              </w:drawing>
            </w:r>
          </w:p>
        </w:tc>
      </w:tr>
      <w:tr w:rsidR="0057647B" w:rsidRPr="000A587F" w:rsidTr="00520756">
        <w:tc>
          <w:tcPr>
            <w:tcW w:w="9421" w:type="dxa"/>
          </w:tcPr>
          <w:p w:rsidR="0057647B" w:rsidRPr="000A587F" w:rsidRDefault="0057647B" w:rsidP="007A7BC1">
            <w:pPr>
              <w:spacing w:line="276" w:lineRule="auto"/>
              <w:rPr>
                <w:sz w:val="2"/>
              </w:rPr>
            </w:pPr>
          </w:p>
        </w:tc>
      </w:tr>
    </w:tbl>
    <w:p w:rsidR="0057647B" w:rsidRDefault="0057647B" w:rsidP="007A7BC1">
      <w:pPr>
        <w:spacing w:line="276" w:lineRule="auto"/>
        <w:jc w:val="both"/>
        <w:rPr>
          <w:bCs/>
        </w:rPr>
      </w:pPr>
    </w:p>
    <w:p w:rsidR="0057647B" w:rsidRDefault="0057647B" w:rsidP="007A7BC1">
      <w:pPr>
        <w:spacing w:line="276" w:lineRule="auto"/>
        <w:jc w:val="both"/>
        <w:rPr>
          <w:bCs/>
        </w:rPr>
      </w:pPr>
    </w:p>
    <w:p w:rsidR="00B03B56" w:rsidRDefault="00187F46" w:rsidP="007A7BC1">
      <w:pPr>
        <w:spacing w:line="276" w:lineRule="auto"/>
        <w:jc w:val="both"/>
        <w:rPr>
          <w:bCs/>
        </w:rPr>
      </w:pPr>
      <w:r>
        <w:rPr>
          <w:bCs/>
        </w:rPr>
        <w:tab/>
      </w:r>
      <w:r w:rsidR="00645F16">
        <w:rPr>
          <w:bCs/>
        </w:rPr>
        <w:t xml:space="preserve">The other </w:t>
      </w:r>
      <w:r w:rsidR="009A060E">
        <w:rPr>
          <w:bCs/>
        </w:rPr>
        <w:t xml:space="preserve">feature </w:t>
      </w:r>
      <w:r w:rsidR="00644B2A">
        <w:rPr>
          <w:bCs/>
        </w:rPr>
        <w:t>illustrated by</w:t>
      </w:r>
      <w:r w:rsidR="00645F16">
        <w:rPr>
          <w:bCs/>
        </w:rPr>
        <w:t xml:space="preserve"> Figure 5</w:t>
      </w:r>
      <w:r w:rsidR="004F1AB6">
        <w:rPr>
          <w:bCs/>
        </w:rPr>
        <w:t xml:space="preserve"> </w:t>
      </w:r>
      <w:r w:rsidR="00644B2A">
        <w:rPr>
          <w:bCs/>
        </w:rPr>
        <w:t xml:space="preserve">is </w:t>
      </w:r>
      <w:r w:rsidR="004F1AB6">
        <w:rPr>
          <w:bCs/>
        </w:rPr>
        <w:t xml:space="preserve">the </w:t>
      </w:r>
      <w:r w:rsidR="00644B2A">
        <w:rPr>
          <w:bCs/>
        </w:rPr>
        <w:t xml:space="preserve">apparent </w:t>
      </w:r>
      <w:r w:rsidR="004F1AB6">
        <w:rPr>
          <w:bCs/>
        </w:rPr>
        <w:t xml:space="preserve">change in </w:t>
      </w:r>
      <w:r w:rsidR="00976943">
        <w:rPr>
          <w:bCs/>
        </w:rPr>
        <w:t xml:space="preserve">the </w:t>
      </w:r>
      <w:r w:rsidR="004F1AB6">
        <w:rPr>
          <w:bCs/>
        </w:rPr>
        <w:t xml:space="preserve">trend </w:t>
      </w:r>
      <w:r w:rsidR="00644B2A">
        <w:rPr>
          <w:bCs/>
        </w:rPr>
        <w:t>in inter-provincial inequality</w:t>
      </w:r>
      <w:r w:rsidR="00B03B56">
        <w:rPr>
          <w:bCs/>
        </w:rPr>
        <w:t>,</w:t>
      </w:r>
      <w:r w:rsidR="00644B2A">
        <w:rPr>
          <w:bCs/>
        </w:rPr>
        <w:t xml:space="preserve"> </w:t>
      </w:r>
      <w:r w:rsidR="004F1AB6">
        <w:rPr>
          <w:bCs/>
        </w:rPr>
        <w:t xml:space="preserve">when using the GDP implied population series. </w:t>
      </w:r>
      <w:r w:rsidR="00644B2A">
        <w:rPr>
          <w:bCs/>
        </w:rPr>
        <w:t>From 1990 to 2003 the trend annual rate of increase was 2.9 percent (</w:t>
      </w:r>
      <w:r w:rsidR="00613888">
        <w:rPr>
          <w:bCs/>
        </w:rPr>
        <w:t xml:space="preserve">for </w:t>
      </w:r>
      <w:r w:rsidR="00644B2A">
        <w:rPr>
          <w:bCs/>
        </w:rPr>
        <w:t>the Theil</w:t>
      </w:r>
      <w:r w:rsidR="00976943">
        <w:rPr>
          <w:bCs/>
        </w:rPr>
        <w:t xml:space="preserve"> index</w:t>
      </w:r>
      <w:r w:rsidR="00613888">
        <w:rPr>
          <w:bCs/>
        </w:rPr>
        <w:t xml:space="preserve">; </w:t>
      </w:r>
      <w:r w:rsidR="00B20CE3">
        <w:rPr>
          <w:bCs/>
        </w:rPr>
        <w:t>1.5</w:t>
      </w:r>
      <w:r w:rsidR="00644B2A">
        <w:rPr>
          <w:bCs/>
        </w:rPr>
        <w:t xml:space="preserve"> percent </w:t>
      </w:r>
      <w:r w:rsidR="00613888">
        <w:rPr>
          <w:bCs/>
        </w:rPr>
        <w:t xml:space="preserve">for </w:t>
      </w:r>
      <w:r w:rsidR="00644B2A">
        <w:rPr>
          <w:bCs/>
        </w:rPr>
        <w:t xml:space="preserve">the </w:t>
      </w:r>
      <w:proofErr w:type="spellStart"/>
      <w:r w:rsidR="00644B2A">
        <w:rPr>
          <w:bCs/>
        </w:rPr>
        <w:t>C</w:t>
      </w:r>
      <w:r w:rsidR="006459DD">
        <w:rPr>
          <w:bCs/>
        </w:rPr>
        <w:t>o</w:t>
      </w:r>
      <w:r w:rsidR="00644B2A">
        <w:rPr>
          <w:bCs/>
        </w:rPr>
        <w:t>V</w:t>
      </w:r>
      <w:proofErr w:type="spellEnd"/>
      <w:r w:rsidR="00613888">
        <w:rPr>
          <w:bCs/>
        </w:rPr>
        <w:t xml:space="preserve"> and 1.6 percent for the </w:t>
      </w:r>
      <w:proofErr w:type="spellStart"/>
      <w:r w:rsidR="00613888">
        <w:rPr>
          <w:bCs/>
        </w:rPr>
        <w:t>Gini</w:t>
      </w:r>
      <w:proofErr w:type="spellEnd"/>
      <w:r w:rsidR="00644B2A">
        <w:rPr>
          <w:bCs/>
        </w:rPr>
        <w:t>)</w:t>
      </w:r>
      <w:r w:rsidR="005F11D5">
        <w:rPr>
          <w:bCs/>
        </w:rPr>
        <w:t>, but</w:t>
      </w:r>
      <w:r w:rsidR="00644B2A">
        <w:rPr>
          <w:bCs/>
        </w:rPr>
        <w:t xml:space="preserve"> this </w:t>
      </w:r>
      <w:r w:rsidR="005F11D5">
        <w:rPr>
          <w:bCs/>
        </w:rPr>
        <w:t xml:space="preserve">then </w:t>
      </w:r>
      <w:r w:rsidR="00644B2A">
        <w:rPr>
          <w:bCs/>
        </w:rPr>
        <w:t>sharply reversed</w:t>
      </w:r>
      <w:r w:rsidR="00976943">
        <w:rPr>
          <w:bCs/>
        </w:rPr>
        <w:t>,</w:t>
      </w:r>
      <w:r w:rsidR="00644B2A">
        <w:rPr>
          <w:bCs/>
        </w:rPr>
        <w:t xml:space="preserve"> to decline at a rate of 5.6 percent </w:t>
      </w:r>
      <w:r w:rsidR="00B20CE3">
        <w:rPr>
          <w:bCs/>
        </w:rPr>
        <w:t xml:space="preserve">per year (3.8 percent using </w:t>
      </w:r>
      <w:proofErr w:type="spellStart"/>
      <w:r w:rsidR="00B20CE3">
        <w:rPr>
          <w:bCs/>
        </w:rPr>
        <w:t>C</w:t>
      </w:r>
      <w:r w:rsidR="006459DD">
        <w:rPr>
          <w:bCs/>
        </w:rPr>
        <w:t>o</w:t>
      </w:r>
      <w:r w:rsidR="00B20CE3">
        <w:rPr>
          <w:bCs/>
        </w:rPr>
        <w:t>V</w:t>
      </w:r>
      <w:proofErr w:type="spellEnd"/>
      <w:r w:rsidR="00613888">
        <w:rPr>
          <w:bCs/>
        </w:rPr>
        <w:t xml:space="preserve"> and 2.3 percent for the </w:t>
      </w:r>
      <w:proofErr w:type="spellStart"/>
      <w:r w:rsidR="00613888">
        <w:rPr>
          <w:bCs/>
        </w:rPr>
        <w:t>Gini</w:t>
      </w:r>
      <w:proofErr w:type="spellEnd"/>
      <w:r w:rsidR="00B20CE3">
        <w:rPr>
          <w:bCs/>
        </w:rPr>
        <w:t xml:space="preserve">) </w:t>
      </w:r>
      <w:r w:rsidR="00B03B56">
        <w:rPr>
          <w:bCs/>
        </w:rPr>
        <w:t>over 2003-</w:t>
      </w:r>
      <w:r w:rsidR="00644B2A">
        <w:rPr>
          <w:bCs/>
        </w:rPr>
        <w:t>2010. But r</w:t>
      </w:r>
      <w:r w:rsidR="004F1AB6">
        <w:rPr>
          <w:bCs/>
        </w:rPr>
        <w:t>ather than reflecting any major change in the true situation in</w:t>
      </w:r>
      <w:r w:rsidR="00644B2A">
        <w:rPr>
          <w:bCs/>
        </w:rPr>
        <w:t xml:space="preserve"> 2003</w:t>
      </w:r>
      <w:r w:rsidR="004F1AB6">
        <w:rPr>
          <w:bCs/>
        </w:rPr>
        <w:t xml:space="preserve">, </w:t>
      </w:r>
      <w:r w:rsidR="009A060E">
        <w:rPr>
          <w:bCs/>
        </w:rPr>
        <w:t xml:space="preserve">this is an </w:t>
      </w:r>
      <w:proofErr w:type="spellStart"/>
      <w:r w:rsidR="009A060E">
        <w:rPr>
          <w:bCs/>
        </w:rPr>
        <w:t>artefact</w:t>
      </w:r>
      <w:proofErr w:type="spellEnd"/>
      <w:r w:rsidR="009A060E">
        <w:rPr>
          <w:bCs/>
        </w:rPr>
        <w:t xml:space="preserve"> </w:t>
      </w:r>
      <w:r w:rsidR="00644B2A">
        <w:rPr>
          <w:bCs/>
        </w:rPr>
        <w:t xml:space="preserve">resulting </w:t>
      </w:r>
      <w:r w:rsidR="00976943">
        <w:rPr>
          <w:bCs/>
        </w:rPr>
        <w:t>from the switch</w:t>
      </w:r>
      <w:r w:rsidR="00803B0B">
        <w:rPr>
          <w:bCs/>
        </w:rPr>
        <w:t xml:space="preserve"> to </w:t>
      </w:r>
      <w:r w:rsidR="00644B2A">
        <w:rPr>
          <w:bCs/>
        </w:rPr>
        <w:t xml:space="preserve">reporting </w:t>
      </w:r>
      <w:r w:rsidR="00803B0B" w:rsidRPr="00803B0B">
        <w:rPr>
          <w:bCs/>
          <w:i/>
        </w:rPr>
        <w:t>per capita</w:t>
      </w:r>
      <w:r w:rsidR="00803B0B">
        <w:rPr>
          <w:bCs/>
        </w:rPr>
        <w:t xml:space="preserve"> GDP on a resident basis. </w:t>
      </w:r>
      <w:r w:rsidR="00976943">
        <w:rPr>
          <w:bCs/>
        </w:rPr>
        <w:t>Since i</w:t>
      </w:r>
      <w:r w:rsidR="005F11D5">
        <w:rPr>
          <w:bCs/>
        </w:rPr>
        <w:t>nequality in GDP per resident i</w:t>
      </w:r>
      <w:r w:rsidR="00976943">
        <w:rPr>
          <w:bCs/>
        </w:rPr>
        <w:t>s considerably lower than in</w:t>
      </w:r>
      <w:r w:rsidR="00F521B7">
        <w:rPr>
          <w:bCs/>
        </w:rPr>
        <w:t>equality in</w:t>
      </w:r>
      <w:r w:rsidR="00976943">
        <w:rPr>
          <w:bCs/>
        </w:rPr>
        <w:t xml:space="preserve"> GDP per registered population, this switch </w:t>
      </w:r>
      <w:r w:rsidR="00F521B7">
        <w:rPr>
          <w:bCs/>
        </w:rPr>
        <w:t xml:space="preserve">in statistical procedure </w:t>
      </w:r>
      <w:r w:rsidR="005F11D5">
        <w:rPr>
          <w:bCs/>
        </w:rPr>
        <w:t>automatically reduces</w:t>
      </w:r>
      <w:r w:rsidR="00976943">
        <w:rPr>
          <w:bCs/>
        </w:rPr>
        <w:t xml:space="preserve"> measured inequality in the officially reported GDP </w:t>
      </w:r>
      <w:r w:rsidR="00976943" w:rsidRPr="00976943">
        <w:rPr>
          <w:bCs/>
          <w:i/>
        </w:rPr>
        <w:t>per capita</w:t>
      </w:r>
      <w:r w:rsidR="00F521B7">
        <w:rPr>
          <w:bCs/>
        </w:rPr>
        <w:t xml:space="preserve"> without any underlying change necessarily occurring in the economy in that year</w:t>
      </w:r>
      <w:r w:rsidR="00976943">
        <w:rPr>
          <w:bCs/>
        </w:rPr>
        <w:t>.</w:t>
      </w:r>
      <w:r w:rsidR="00B03B56">
        <w:rPr>
          <w:bCs/>
        </w:rPr>
        <w:t xml:space="preserve"> In fact, </w:t>
      </w:r>
      <w:r w:rsidR="00644B2A">
        <w:rPr>
          <w:bCs/>
        </w:rPr>
        <w:t xml:space="preserve">in </w:t>
      </w:r>
      <w:r w:rsidR="00976943">
        <w:rPr>
          <w:bCs/>
        </w:rPr>
        <w:t xml:space="preserve">both </w:t>
      </w:r>
      <w:r w:rsidR="00B03B56">
        <w:rPr>
          <w:bCs/>
        </w:rPr>
        <w:t xml:space="preserve">the registered-based and </w:t>
      </w:r>
      <w:r w:rsidR="00644B2A">
        <w:rPr>
          <w:bCs/>
        </w:rPr>
        <w:t xml:space="preserve">resident-based series in Figure 5, the turning point </w:t>
      </w:r>
      <w:r w:rsidR="00613888">
        <w:rPr>
          <w:bCs/>
        </w:rPr>
        <w:t xml:space="preserve">in the inequality trend </w:t>
      </w:r>
      <w:r w:rsidR="00644B2A">
        <w:rPr>
          <w:bCs/>
        </w:rPr>
        <w:t>does not occur until 2005</w:t>
      </w:r>
      <w:r w:rsidR="00B03B56">
        <w:rPr>
          <w:bCs/>
        </w:rPr>
        <w:t xml:space="preserve">, which happens to be the year that the coastal provinces </w:t>
      </w:r>
      <w:r w:rsidR="005F11D5">
        <w:rPr>
          <w:bCs/>
        </w:rPr>
        <w:t xml:space="preserve">reached </w:t>
      </w:r>
      <w:r w:rsidR="00B03B56">
        <w:rPr>
          <w:bCs/>
        </w:rPr>
        <w:t xml:space="preserve">their maximum share of GDP. Whether the reduction in inequality thereafter is from lagged effects of the investments into western and inland China (Fan et al, 2011) rather than due to the contraction in the export-oriented coastal provinces as </w:t>
      </w:r>
      <w:r w:rsidR="005F11D5">
        <w:rPr>
          <w:bCs/>
        </w:rPr>
        <w:t xml:space="preserve">a result of </w:t>
      </w:r>
      <w:r w:rsidR="00B03B56">
        <w:rPr>
          <w:bCs/>
        </w:rPr>
        <w:t>the Global Financial Crisis is an open question.</w:t>
      </w:r>
    </w:p>
    <w:p w:rsidR="00B03B56" w:rsidRDefault="00B03B56" w:rsidP="007A7BC1">
      <w:pPr>
        <w:spacing w:line="276" w:lineRule="auto"/>
        <w:jc w:val="both"/>
        <w:rPr>
          <w:bCs/>
        </w:rPr>
      </w:pPr>
    </w:p>
    <w:p w:rsidR="00403C44" w:rsidRDefault="00187F46" w:rsidP="007A7BC1">
      <w:pPr>
        <w:spacing w:line="276" w:lineRule="auto"/>
        <w:jc w:val="both"/>
        <w:rPr>
          <w:bCs/>
        </w:rPr>
      </w:pPr>
      <w:r>
        <w:rPr>
          <w:bCs/>
        </w:rPr>
        <w:tab/>
      </w:r>
      <w:r w:rsidR="00B03B56">
        <w:rPr>
          <w:bCs/>
        </w:rPr>
        <w:t>A</w:t>
      </w:r>
      <w:r w:rsidR="00644B2A">
        <w:rPr>
          <w:bCs/>
        </w:rPr>
        <w:t xml:space="preserve"> reasonable summary of the patterns in the </w:t>
      </w:r>
      <w:r w:rsidR="00B03B56">
        <w:rPr>
          <w:bCs/>
        </w:rPr>
        <w:t xml:space="preserve">inter-provincial </w:t>
      </w:r>
      <w:r w:rsidR="00644B2A">
        <w:rPr>
          <w:bCs/>
        </w:rPr>
        <w:t>inequality time series</w:t>
      </w:r>
      <w:r w:rsidR="00B03B56">
        <w:rPr>
          <w:bCs/>
        </w:rPr>
        <w:t>, based on the most plausible</w:t>
      </w:r>
      <w:r w:rsidR="00644B2A">
        <w:rPr>
          <w:bCs/>
        </w:rPr>
        <w:t xml:space="preserve"> revised population estimates</w:t>
      </w:r>
      <w:r w:rsidR="00B03B56">
        <w:rPr>
          <w:bCs/>
        </w:rPr>
        <w:t xml:space="preserve">, is </w:t>
      </w:r>
      <w:r w:rsidR="00882392">
        <w:rPr>
          <w:bCs/>
        </w:rPr>
        <w:t xml:space="preserve">that there was </w:t>
      </w:r>
      <w:r w:rsidR="00644B2A">
        <w:rPr>
          <w:bCs/>
        </w:rPr>
        <w:t xml:space="preserve">a largely stable pattern of </w:t>
      </w:r>
      <w:r w:rsidR="00882392">
        <w:rPr>
          <w:bCs/>
        </w:rPr>
        <w:t>inter-provincial inequality between 1993 and 2004</w:t>
      </w:r>
      <w:r w:rsidR="005037FB">
        <w:rPr>
          <w:bCs/>
        </w:rPr>
        <w:t>. Over those</w:t>
      </w:r>
      <w:r w:rsidR="00403C44">
        <w:rPr>
          <w:bCs/>
        </w:rPr>
        <w:t xml:space="preserve"> years</w:t>
      </w:r>
      <w:r w:rsidR="00B03B56">
        <w:rPr>
          <w:bCs/>
        </w:rPr>
        <w:t>,</w:t>
      </w:r>
      <w:r w:rsidR="00613888">
        <w:rPr>
          <w:bCs/>
        </w:rPr>
        <w:t xml:space="preserve"> the average annual deviation </w:t>
      </w:r>
      <w:r w:rsidR="00B03B56">
        <w:rPr>
          <w:bCs/>
        </w:rPr>
        <w:t xml:space="preserve">was </w:t>
      </w:r>
      <w:r w:rsidR="00613888">
        <w:rPr>
          <w:bCs/>
        </w:rPr>
        <w:t xml:space="preserve">just four percent of the </w:t>
      </w:r>
      <w:r w:rsidR="00403C44">
        <w:rPr>
          <w:bCs/>
        </w:rPr>
        <w:t xml:space="preserve">1993-04 </w:t>
      </w:r>
      <w:r w:rsidR="00613888">
        <w:rPr>
          <w:bCs/>
        </w:rPr>
        <w:t>mean</w:t>
      </w:r>
      <w:r w:rsidR="00881BB1">
        <w:rPr>
          <w:bCs/>
        </w:rPr>
        <w:t xml:space="preserve"> (for the Theil index)</w:t>
      </w:r>
      <w:r w:rsidR="00882392">
        <w:rPr>
          <w:bCs/>
        </w:rPr>
        <w:t xml:space="preserve">. The only two </w:t>
      </w:r>
      <w:r w:rsidR="00B03B56">
        <w:rPr>
          <w:bCs/>
        </w:rPr>
        <w:t xml:space="preserve">occasions </w:t>
      </w:r>
      <w:r w:rsidR="00882392">
        <w:rPr>
          <w:bCs/>
        </w:rPr>
        <w:t xml:space="preserve">of </w:t>
      </w:r>
      <w:r w:rsidR="00613888">
        <w:rPr>
          <w:bCs/>
        </w:rPr>
        <w:t xml:space="preserve">notable </w:t>
      </w:r>
      <w:r w:rsidR="00882392">
        <w:rPr>
          <w:bCs/>
        </w:rPr>
        <w:t xml:space="preserve">change </w:t>
      </w:r>
      <w:r w:rsidR="00613888">
        <w:rPr>
          <w:bCs/>
        </w:rPr>
        <w:t xml:space="preserve">in inter-provincial inequality </w:t>
      </w:r>
      <w:r w:rsidR="00882392">
        <w:rPr>
          <w:bCs/>
        </w:rPr>
        <w:t>were from 1990-93, when there was a sharp increase in inequality</w:t>
      </w:r>
      <w:r w:rsidR="00E91669">
        <w:rPr>
          <w:bCs/>
        </w:rPr>
        <w:t>;</w:t>
      </w:r>
      <w:r w:rsidR="00882392">
        <w:rPr>
          <w:bCs/>
        </w:rPr>
        <w:t xml:space="preserve"> and from 2005-2010, when that initial increase was more than </w:t>
      </w:r>
      <w:r w:rsidR="00976943">
        <w:rPr>
          <w:bCs/>
        </w:rPr>
        <w:t xml:space="preserve">fully </w:t>
      </w:r>
      <w:r w:rsidR="00882392">
        <w:rPr>
          <w:bCs/>
        </w:rPr>
        <w:t xml:space="preserve">reversed. </w:t>
      </w:r>
      <w:r w:rsidR="00403C44">
        <w:rPr>
          <w:bCs/>
        </w:rPr>
        <w:t>Recalling that the 12 years prior to 1990 had witnessed an almost continuous decline in inter-provincial inequality (reducing the Theil index from 0.16 to 0.08)</w:t>
      </w:r>
      <w:r w:rsidR="005037FB">
        <w:rPr>
          <w:bCs/>
        </w:rPr>
        <w:t>, the solitary three year episode of rising inequality from 1990-93 – which lifted the Theil index back to just over 0.10 – hardly qualifies as strong support for the claim from the literature that regional inequality has risen in the reform era.</w:t>
      </w:r>
    </w:p>
    <w:p w:rsidR="00403C44" w:rsidRDefault="00403C44" w:rsidP="007A7BC1">
      <w:pPr>
        <w:spacing w:line="276" w:lineRule="auto"/>
        <w:jc w:val="both"/>
        <w:rPr>
          <w:bCs/>
        </w:rPr>
      </w:pPr>
    </w:p>
    <w:p w:rsidR="00881BB1" w:rsidRDefault="00187F46" w:rsidP="007A7BC1">
      <w:pPr>
        <w:spacing w:line="276" w:lineRule="auto"/>
        <w:jc w:val="both"/>
        <w:rPr>
          <w:bCs/>
        </w:rPr>
      </w:pPr>
      <w:r>
        <w:rPr>
          <w:bCs/>
        </w:rPr>
        <w:lastRenderedPageBreak/>
        <w:tab/>
      </w:r>
      <w:r w:rsidR="005037FB">
        <w:rPr>
          <w:bCs/>
        </w:rPr>
        <w:t xml:space="preserve">Our </w:t>
      </w:r>
      <w:r w:rsidR="00881BB1">
        <w:rPr>
          <w:bCs/>
        </w:rPr>
        <w:t xml:space="preserve">final illustration of how apparent trends may be affected by the switch from reporting GDP per registered population to GDP per resident is for a </w:t>
      </w:r>
      <w:r w:rsidR="005037FB">
        <w:rPr>
          <w:bCs/>
        </w:rPr>
        <w:t xml:space="preserve">regional </w:t>
      </w:r>
      <w:r w:rsidR="00881BB1">
        <w:rPr>
          <w:bCs/>
        </w:rPr>
        <w:t xml:space="preserve">decomposition of inequality. </w:t>
      </w:r>
      <w:r w:rsidR="008C7DAA">
        <w:rPr>
          <w:bCs/>
        </w:rPr>
        <w:t xml:space="preserve">Several papers in the literature group China’s provinces into regions and examine the between-region inequality trends. We carry out a similar exercise for the coastal-inland comparison, using the Theil index (which decomposes exactly, unlike the </w:t>
      </w:r>
      <w:proofErr w:type="spellStart"/>
      <w:r w:rsidR="008C7DAA">
        <w:rPr>
          <w:bCs/>
        </w:rPr>
        <w:t>Gini</w:t>
      </w:r>
      <w:proofErr w:type="spellEnd"/>
      <w:r w:rsidR="008C7DAA">
        <w:rPr>
          <w:bCs/>
        </w:rPr>
        <w:t xml:space="preserve"> coefficient). In Figure 6 we show the time series for the between-group Theil index and it is apparent that inequality between the coast and inland provinces rises</w:t>
      </w:r>
      <w:r w:rsidR="005037FB">
        <w:rPr>
          <w:bCs/>
        </w:rPr>
        <w:t>, by about 0.04 points, from 1990 to around 2005</w:t>
      </w:r>
      <w:r w:rsidR="008C7DAA">
        <w:rPr>
          <w:bCs/>
        </w:rPr>
        <w:t>.</w:t>
      </w:r>
      <w:r w:rsidR="008C7DAA">
        <w:rPr>
          <w:rStyle w:val="FootnoteReference"/>
          <w:bCs/>
        </w:rPr>
        <w:footnoteReference w:id="16"/>
      </w:r>
      <w:r w:rsidR="008C7DAA">
        <w:rPr>
          <w:bCs/>
        </w:rPr>
        <w:t xml:space="preserve"> But </w:t>
      </w:r>
      <w:r w:rsidR="005037FB">
        <w:rPr>
          <w:bCs/>
        </w:rPr>
        <w:t>from 2000 to 2005, while</w:t>
      </w:r>
      <w:r w:rsidR="008C7DAA">
        <w:rPr>
          <w:bCs/>
        </w:rPr>
        <w:t xml:space="preserve"> the </w:t>
      </w:r>
      <w:r w:rsidR="005037FB">
        <w:rPr>
          <w:bCs/>
        </w:rPr>
        <w:t xml:space="preserve">time series of inequality using the </w:t>
      </w:r>
      <w:r w:rsidR="001E3CA6">
        <w:rPr>
          <w:bCs/>
        </w:rPr>
        <w:t xml:space="preserve">GDP implied </w:t>
      </w:r>
      <w:r w:rsidR="005037FB">
        <w:rPr>
          <w:bCs/>
        </w:rPr>
        <w:t xml:space="preserve">denominator </w:t>
      </w:r>
      <w:r w:rsidR="001E3CA6">
        <w:rPr>
          <w:bCs/>
        </w:rPr>
        <w:t xml:space="preserve">is detaching from the registered population series and moving toward the resident-based series, </w:t>
      </w:r>
      <w:r w:rsidR="00881FAD">
        <w:rPr>
          <w:bCs/>
        </w:rPr>
        <w:t xml:space="preserve">this movement </w:t>
      </w:r>
      <w:r w:rsidR="005037FB">
        <w:rPr>
          <w:bCs/>
        </w:rPr>
        <w:t xml:space="preserve">makes it seem that there is a </w:t>
      </w:r>
      <w:r w:rsidR="001E3CA6">
        <w:rPr>
          <w:bCs/>
        </w:rPr>
        <w:t xml:space="preserve">largely unchanged </w:t>
      </w:r>
      <w:r w:rsidR="005037FB">
        <w:rPr>
          <w:bCs/>
        </w:rPr>
        <w:t xml:space="preserve">between-group component. Specifically, the increase from 2000 to  2005 in the GDP implied time series in Figure 6 is just ten percent, versus a 36 (27) percent increase when inequality is measured using the registered (resident) population. </w:t>
      </w:r>
    </w:p>
    <w:tbl>
      <w:tblPr>
        <w:tblStyle w:val="TableGrid"/>
        <w:tblW w:w="0" w:type="auto"/>
        <w:tblLook w:val="04A0"/>
      </w:tblPr>
      <w:tblGrid>
        <w:gridCol w:w="9243"/>
      </w:tblGrid>
      <w:tr w:rsidR="0057647B" w:rsidRPr="00411A15" w:rsidTr="00520756">
        <w:tc>
          <w:tcPr>
            <w:tcW w:w="9576" w:type="dxa"/>
            <w:tcBorders>
              <w:top w:val="nil"/>
              <w:left w:val="nil"/>
              <w:bottom w:val="nil"/>
              <w:right w:val="nil"/>
            </w:tcBorders>
          </w:tcPr>
          <w:p w:rsidR="0057647B" w:rsidRDefault="0057647B" w:rsidP="007A7BC1">
            <w:pPr>
              <w:spacing w:line="276" w:lineRule="auto"/>
              <w:jc w:val="center"/>
            </w:pPr>
          </w:p>
          <w:p w:rsidR="00BA433C" w:rsidRDefault="00BA433C" w:rsidP="007A7BC1">
            <w:pPr>
              <w:spacing w:line="276" w:lineRule="auto"/>
              <w:jc w:val="center"/>
            </w:pPr>
          </w:p>
          <w:p w:rsidR="0057647B" w:rsidRPr="00147850" w:rsidRDefault="0057647B" w:rsidP="007A7BC1">
            <w:pPr>
              <w:spacing w:line="276" w:lineRule="auto"/>
              <w:jc w:val="center"/>
              <w:rPr>
                <w:b/>
              </w:rPr>
            </w:pPr>
            <w:r w:rsidRPr="00147850">
              <w:rPr>
                <w:b/>
              </w:rPr>
              <w:t xml:space="preserve">Figure 6: Coastal-Inland Inequality With Various Denominators for GDP </w:t>
            </w:r>
            <w:r w:rsidRPr="00147850">
              <w:rPr>
                <w:b/>
                <w:i/>
              </w:rPr>
              <w:t>per capita</w:t>
            </w:r>
          </w:p>
        </w:tc>
      </w:tr>
      <w:tr w:rsidR="0057647B" w:rsidTr="00520756">
        <w:tc>
          <w:tcPr>
            <w:tcW w:w="9576" w:type="dxa"/>
            <w:tcBorders>
              <w:top w:val="nil"/>
              <w:left w:val="nil"/>
              <w:bottom w:val="nil"/>
              <w:right w:val="nil"/>
            </w:tcBorders>
          </w:tcPr>
          <w:p w:rsidR="0057647B" w:rsidRDefault="0057647B" w:rsidP="007A7BC1">
            <w:pPr>
              <w:spacing w:line="276" w:lineRule="auto"/>
            </w:pPr>
            <w:r>
              <w:rPr>
                <w:noProof/>
                <w:lang w:val="en-NZ" w:eastAsia="en-NZ"/>
              </w:rPr>
              <w:drawing>
                <wp:inline distT="0" distB="0" distL="0" distR="0">
                  <wp:extent cx="5937250" cy="2889250"/>
                  <wp:effectExtent l="19050" t="0" r="6350" b="0"/>
                  <wp:docPr id="1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cstate="print"/>
                          <a:srcRect/>
                          <a:stretch>
                            <a:fillRect/>
                          </a:stretch>
                        </pic:blipFill>
                        <pic:spPr bwMode="auto">
                          <a:xfrm>
                            <a:off x="0" y="0"/>
                            <a:ext cx="5937250" cy="2889250"/>
                          </a:xfrm>
                          <a:prstGeom prst="rect">
                            <a:avLst/>
                          </a:prstGeom>
                          <a:noFill/>
                          <a:ln w="9525">
                            <a:noFill/>
                            <a:miter lim="800000"/>
                            <a:headEnd/>
                            <a:tailEnd/>
                          </a:ln>
                        </pic:spPr>
                      </pic:pic>
                    </a:graphicData>
                  </a:graphic>
                </wp:inline>
              </w:drawing>
            </w:r>
          </w:p>
        </w:tc>
      </w:tr>
      <w:tr w:rsidR="0057647B" w:rsidRPr="00D55CE1" w:rsidTr="00520756">
        <w:tc>
          <w:tcPr>
            <w:tcW w:w="9576" w:type="dxa"/>
            <w:tcBorders>
              <w:top w:val="nil"/>
              <w:left w:val="nil"/>
              <w:bottom w:val="nil"/>
              <w:right w:val="nil"/>
            </w:tcBorders>
          </w:tcPr>
          <w:p w:rsidR="0057647B" w:rsidRPr="00D55CE1" w:rsidRDefault="0057647B" w:rsidP="007A7BC1">
            <w:pPr>
              <w:spacing w:line="276" w:lineRule="auto"/>
              <w:rPr>
                <w:sz w:val="16"/>
              </w:rPr>
            </w:pPr>
          </w:p>
        </w:tc>
      </w:tr>
      <w:tr w:rsidR="0057647B" w:rsidRPr="000A587F" w:rsidTr="00520756">
        <w:tc>
          <w:tcPr>
            <w:tcW w:w="9576" w:type="dxa"/>
            <w:tcBorders>
              <w:top w:val="nil"/>
              <w:left w:val="nil"/>
              <w:bottom w:val="nil"/>
              <w:right w:val="nil"/>
            </w:tcBorders>
          </w:tcPr>
          <w:p w:rsidR="0057647B" w:rsidRPr="000A587F" w:rsidRDefault="0057647B" w:rsidP="007A7BC1">
            <w:pPr>
              <w:spacing w:line="276" w:lineRule="auto"/>
              <w:rPr>
                <w:sz w:val="8"/>
              </w:rPr>
            </w:pPr>
          </w:p>
        </w:tc>
      </w:tr>
      <w:tr w:rsidR="0057647B" w:rsidTr="00520756">
        <w:tc>
          <w:tcPr>
            <w:tcW w:w="9576" w:type="dxa"/>
            <w:tcBorders>
              <w:top w:val="nil"/>
              <w:left w:val="nil"/>
              <w:bottom w:val="nil"/>
              <w:right w:val="nil"/>
            </w:tcBorders>
          </w:tcPr>
          <w:p w:rsidR="0057647B" w:rsidRPr="00147850" w:rsidRDefault="0057647B" w:rsidP="007A7BC1">
            <w:pPr>
              <w:spacing w:line="276" w:lineRule="auto"/>
              <w:rPr>
                <w:sz w:val="22"/>
                <w:szCs w:val="22"/>
              </w:rPr>
            </w:pPr>
            <w:r w:rsidRPr="00147850">
              <w:rPr>
                <w:i/>
                <w:sz w:val="22"/>
                <w:szCs w:val="22"/>
              </w:rPr>
              <w:t>Source:</w:t>
            </w:r>
            <w:r w:rsidRPr="00147850">
              <w:rPr>
                <w:sz w:val="22"/>
                <w:szCs w:val="22"/>
              </w:rPr>
              <w:t xml:space="preserve"> Decomposition of Theil index into within-group and between-group components.</w:t>
            </w:r>
          </w:p>
        </w:tc>
      </w:tr>
    </w:tbl>
    <w:p w:rsidR="0057647B" w:rsidRDefault="0057647B" w:rsidP="007A7BC1">
      <w:pPr>
        <w:spacing w:line="276" w:lineRule="auto"/>
      </w:pPr>
    </w:p>
    <w:p w:rsidR="00147850" w:rsidRDefault="00147850" w:rsidP="007A7BC1">
      <w:pPr>
        <w:spacing w:line="276" w:lineRule="auto"/>
      </w:pPr>
    </w:p>
    <w:p w:rsidR="006F3453" w:rsidRPr="006F3453" w:rsidRDefault="00E435E9" w:rsidP="007A7BC1">
      <w:pPr>
        <w:spacing w:line="276" w:lineRule="auto"/>
        <w:jc w:val="both"/>
        <w:rPr>
          <w:bCs/>
        </w:rPr>
      </w:pPr>
      <w:r>
        <w:rPr>
          <w:bCs/>
        </w:rPr>
        <w:tab/>
      </w:r>
      <w:r w:rsidR="006F3453">
        <w:rPr>
          <w:bCs/>
        </w:rPr>
        <w:t xml:space="preserve">In terms of policy evaluation, the most active period of state intervention to close the regional gaps had already run its course by 2005, by which time more than 1 trillion Yuan (US$180 billion) of state-led infrastructural investment had been placed in western China (Yao, 2009). Some authors have suggested that a leveling off of the coastal-inland gap in this period reflects the good effects of these </w:t>
      </w:r>
      <w:r w:rsidR="00624DCC">
        <w:rPr>
          <w:bCs/>
        </w:rPr>
        <w:t xml:space="preserve">interventions </w:t>
      </w:r>
      <w:r w:rsidR="006F3453">
        <w:rPr>
          <w:bCs/>
        </w:rPr>
        <w:t xml:space="preserve">(Fan et al, 2011). But an alternative </w:t>
      </w:r>
      <w:r w:rsidR="006F3453">
        <w:rPr>
          <w:bCs/>
        </w:rPr>
        <w:lastRenderedPageBreak/>
        <w:t xml:space="preserve">explanation is that the apparent leveling off over those years is just an </w:t>
      </w:r>
      <w:proofErr w:type="spellStart"/>
      <w:r w:rsidR="006F3453">
        <w:rPr>
          <w:bCs/>
        </w:rPr>
        <w:t>artefact</w:t>
      </w:r>
      <w:proofErr w:type="spellEnd"/>
      <w:r w:rsidR="006F3453">
        <w:rPr>
          <w:bCs/>
        </w:rPr>
        <w:t xml:space="preserve"> created as the population series used to denominate GDP </w:t>
      </w:r>
      <w:r w:rsidR="006F3453">
        <w:rPr>
          <w:bCs/>
          <w:i/>
        </w:rPr>
        <w:t>per capita</w:t>
      </w:r>
      <w:r w:rsidR="006F3453">
        <w:rPr>
          <w:bCs/>
        </w:rPr>
        <w:t xml:space="preserve"> progressively switched from one based on registered population to one based on resident population which involved switching from a higher trending inequality time </w:t>
      </w:r>
      <w:r w:rsidR="00881FAD">
        <w:rPr>
          <w:bCs/>
        </w:rPr>
        <w:t>series to a lower trending one, creating an apparently static period.</w:t>
      </w:r>
    </w:p>
    <w:p w:rsidR="005037FB" w:rsidRDefault="005037FB" w:rsidP="007A7BC1">
      <w:pPr>
        <w:spacing w:line="276" w:lineRule="auto"/>
        <w:jc w:val="both"/>
        <w:rPr>
          <w:bCs/>
        </w:rPr>
      </w:pPr>
    </w:p>
    <w:p w:rsidR="001E3CA6" w:rsidRDefault="00792904" w:rsidP="007A7BC1">
      <w:pPr>
        <w:spacing w:line="276" w:lineRule="auto"/>
        <w:jc w:val="both"/>
        <w:rPr>
          <w:b/>
        </w:rPr>
      </w:pPr>
      <w:r>
        <w:rPr>
          <w:b/>
        </w:rPr>
        <w:t xml:space="preserve">5.  </w:t>
      </w:r>
      <w:r w:rsidR="001E3CA6" w:rsidRPr="00E3588B">
        <w:rPr>
          <w:b/>
        </w:rPr>
        <w:t>Conclusions and Implications</w:t>
      </w:r>
    </w:p>
    <w:p w:rsidR="00BA433C" w:rsidRPr="00BA433C" w:rsidRDefault="00BA433C" w:rsidP="007A7BC1">
      <w:pPr>
        <w:spacing w:line="276" w:lineRule="auto"/>
        <w:jc w:val="both"/>
        <w:rPr>
          <w:b/>
          <w:sz w:val="12"/>
          <w:szCs w:val="12"/>
        </w:rPr>
      </w:pPr>
    </w:p>
    <w:p w:rsidR="00DE2930" w:rsidRDefault="00624DCC" w:rsidP="007A7BC1">
      <w:pPr>
        <w:widowControl w:val="0"/>
        <w:spacing w:line="276" w:lineRule="auto"/>
        <w:jc w:val="both"/>
      </w:pPr>
      <w:r>
        <w:t xml:space="preserve">We have shown how changes </w:t>
      </w:r>
      <w:r w:rsidR="00DE2930">
        <w:t xml:space="preserve">over time </w:t>
      </w:r>
      <w:r>
        <w:t xml:space="preserve">in the population denominator </w:t>
      </w:r>
      <w:r w:rsidR="00DE2930">
        <w:t xml:space="preserve">used </w:t>
      </w:r>
      <w:r>
        <w:t xml:space="preserve">for China’s provincial GDP </w:t>
      </w:r>
      <w:r w:rsidRPr="00DE2930">
        <w:rPr>
          <w:i/>
        </w:rPr>
        <w:t>per capita</w:t>
      </w:r>
      <w:r>
        <w:t xml:space="preserve"> statistics </w:t>
      </w:r>
      <w:r w:rsidR="00B46D53">
        <w:t xml:space="preserve">may </w:t>
      </w:r>
      <w:r w:rsidR="00DE2930">
        <w:t xml:space="preserve">distort understanding of </w:t>
      </w:r>
      <w:r w:rsidR="00881FAD">
        <w:t xml:space="preserve">recent </w:t>
      </w:r>
      <w:r w:rsidR="00B46D53">
        <w:t xml:space="preserve">trends in </w:t>
      </w:r>
      <w:r>
        <w:t>regional inequality</w:t>
      </w:r>
      <w:r w:rsidR="00DE2930">
        <w:t>.</w:t>
      </w:r>
      <w:r>
        <w:t xml:space="preserve"> Much of the </w:t>
      </w:r>
      <w:r w:rsidR="00881FAD">
        <w:t xml:space="preserve">apparent </w:t>
      </w:r>
      <w:r>
        <w:t xml:space="preserve">trend increase, and change in trend in 2003, disappear once </w:t>
      </w:r>
      <w:r w:rsidR="00881FAD">
        <w:t xml:space="preserve">proper account is taken of </w:t>
      </w:r>
      <w:r>
        <w:t>non-</w:t>
      </w:r>
      <w:proofErr w:type="spellStart"/>
      <w:r w:rsidRPr="00177216">
        <w:rPr>
          <w:i/>
        </w:rPr>
        <w:t>hukou</w:t>
      </w:r>
      <w:proofErr w:type="spellEnd"/>
      <w:r>
        <w:t xml:space="preserve"> migrants</w:t>
      </w:r>
      <w:r w:rsidR="00881FAD">
        <w:t>,</w:t>
      </w:r>
      <w:r w:rsidR="00693978">
        <w:t xml:space="preserve"> so that GDP per resident </w:t>
      </w:r>
      <w:r w:rsidR="00E3588B">
        <w:t xml:space="preserve">is </w:t>
      </w:r>
      <w:r w:rsidR="00693978">
        <w:t xml:space="preserve">calculated </w:t>
      </w:r>
      <w:r w:rsidR="00B46D53">
        <w:t xml:space="preserve">correctly </w:t>
      </w:r>
      <w:r w:rsidR="00693978">
        <w:t>for each province of China over 1990-2010</w:t>
      </w:r>
      <w:r>
        <w:t>.</w:t>
      </w:r>
      <w:r w:rsidR="00693978">
        <w:t xml:space="preserve"> </w:t>
      </w:r>
      <w:r w:rsidR="00DE2930">
        <w:t xml:space="preserve">Putting the corrected data for the last two decades into the context of the entire reform era, the changing pattern of inter-provincial inequality can be thought of as composing four episodes, only one of which involves rising inequality. From 1978 until 1990 </w:t>
      </w:r>
      <w:r w:rsidR="00881FAD">
        <w:t xml:space="preserve">inter-provincial </w:t>
      </w:r>
      <w:r w:rsidR="00B46D53">
        <w:t xml:space="preserve">inequality declined </w:t>
      </w:r>
      <w:r w:rsidR="00DE2930">
        <w:t>almost continuous</w:t>
      </w:r>
      <w:r w:rsidR="00B46D53">
        <w:t>ly</w:t>
      </w:r>
      <w:r w:rsidR="00CE4745">
        <w:t xml:space="preserve">; </w:t>
      </w:r>
      <w:r w:rsidR="00B46D53">
        <w:t xml:space="preserve">about </w:t>
      </w:r>
      <w:r w:rsidR="00CE4745">
        <w:t>one-third of this decline was reversed over the next three years; then a decade of little change in inequality was ended by a sharp one-year rise in 2005 but eve</w:t>
      </w:r>
      <w:r w:rsidR="00FB70F6">
        <w:t>n with that rise, inequality had returned to</w:t>
      </w:r>
      <w:r w:rsidR="00CE4745">
        <w:t xml:space="preserve"> only two-thirds of its starting value in 1978; finally, inter-provincial inequality </w:t>
      </w:r>
      <w:r w:rsidR="00B46D53">
        <w:t xml:space="preserve">fell sharply </w:t>
      </w:r>
      <w:r w:rsidR="00FB70F6">
        <w:t xml:space="preserve">after </w:t>
      </w:r>
      <w:r w:rsidR="00CE4745">
        <w:t>2005</w:t>
      </w:r>
      <w:r w:rsidR="00B46D53">
        <w:t>,</w:t>
      </w:r>
      <w:r w:rsidR="00CE4745">
        <w:t xml:space="preserve"> so that by 2010 </w:t>
      </w:r>
      <w:r w:rsidR="00B46D53">
        <w:t xml:space="preserve">it </w:t>
      </w:r>
      <w:r w:rsidR="00CE4745">
        <w:t xml:space="preserve">was right back at the low </w:t>
      </w:r>
      <w:r w:rsidR="00B46D53">
        <w:t xml:space="preserve">levels </w:t>
      </w:r>
      <w:r w:rsidR="00CE4745">
        <w:t>previously seen in 1990.</w:t>
      </w:r>
      <w:r w:rsidR="00B46D53">
        <w:t xml:space="preserve"> Thus the only sustained episode of rising inequality in the reform era was from 1990 to 1993, </w:t>
      </w:r>
      <w:r w:rsidR="00E3588B">
        <w:t xml:space="preserve">representing </w:t>
      </w:r>
      <w:r w:rsidR="00B46D53">
        <w:t xml:space="preserve">just three </w:t>
      </w:r>
      <w:r w:rsidR="00881FAD">
        <w:t xml:space="preserve">out </w:t>
      </w:r>
      <w:r w:rsidR="00B46D53">
        <w:t xml:space="preserve">of 33 years </w:t>
      </w:r>
      <w:r w:rsidR="00E3588B">
        <w:t>since liberalization began.</w:t>
      </w:r>
      <w:r w:rsidR="00B46D53">
        <w:t xml:space="preserve"> </w:t>
      </w:r>
    </w:p>
    <w:p w:rsidR="00B46D53" w:rsidRDefault="00B46D53" w:rsidP="007A7BC1">
      <w:pPr>
        <w:widowControl w:val="0"/>
        <w:spacing w:line="276" w:lineRule="auto"/>
        <w:jc w:val="both"/>
      </w:pPr>
    </w:p>
    <w:p w:rsidR="00FB70F6" w:rsidRDefault="00BA433C" w:rsidP="007A7BC1">
      <w:pPr>
        <w:widowControl w:val="0"/>
        <w:spacing w:line="276" w:lineRule="auto"/>
        <w:jc w:val="both"/>
      </w:pPr>
      <w:r>
        <w:tab/>
      </w:r>
      <w:r w:rsidR="00693978">
        <w:t>The three errors in China’s local population data describe</w:t>
      </w:r>
      <w:r w:rsidR="00FB70F6">
        <w:t>d here</w:t>
      </w:r>
      <w:r w:rsidR="00693978">
        <w:t xml:space="preserve"> –</w:t>
      </w:r>
      <w:r w:rsidR="00FB70F6">
        <w:t xml:space="preserve"> using </w:t>
      </w:r>
      <w:r w:rsidR="00797C2F">
        <w:t xml:space="preserve">registered population as a denominator, the abrupt </w:t>
      </w:r>
      <w:r w:rsidR="00DE2930">
        <w:t xml:space="preserve">and uncoordinated </w:t>
      </w:r>
      <w:r w:rsidR="00797C2F">
        <w:t xml:space="preserve">switch </w:t>
      </w:r>
      <w:r w:rsidR="00DE2930">
        <w:t xml:space="preserve">to using a resident denominator, and the double-count introduced by the </w:t>
      </w:r>
      <w:r w:rsidR="00B46D53">
        <w:t xml:space="preserve">partial and </w:t>
      </w:r>
      <w:r w:rsidR="00DE2930">
        <w:t xml:space="preserve">inconsistent way </w:t>
      </w:r>
      <w:r w:rsidR="00B46D53">
        <w:t xml:space="preserve">that </w:t>
      </w:r>
      <w:r w:rsidR="00DE2930">
        <w:t>resident</w:t>
      </w:r>
      <w:r w:rsidR="00881FAD">
        <w:t>s were counted</w:t>
      </w:r>
      <w:r w:rsidR="00DE2930">
        <w:t xml:space="preserve"> by different provinces in any given year – are also likely to b</w:t>
      </w:r>
      <w:r w:rsidR="00D14E11">
        <w:t>ias econometric</w:t>
      </w:r>
      <w:r w:rsidR="00DE2930">
        <w:t xml:space="preserve"> research using the published data on provincial GDP </w:t>
      </w:r>
      <w:r w:rsidR="00DE2930">
        <w:rPr>
          <w:i/>
        </w:rPr>
        <w:t>per capita</w:t>
      </w:r>
      <w:r w:rsidR="00DE2930">
        <w:t xml:space="preserve">. </w:t>
      </w:r>
      <w:r w:rsidR="005851E3">
        <w:t>The errors are correlated with the levels and growth rates of GDP per capita, since the non-</w:t>
      </w:r>
      <w:proofErr w:type="spellStart"/>
      <w:r w:rsidR="005851E3" w:rsidRPr="004A0793">
        <w:rPr>
          <w:i/>
        </w:rPr>
        <w:t>hukou</w:t>
      </w:r>
      <w:proofErr w:type="spellEnd"/>
      <w:r w:rsidR="005851E3">
        <w:t xml:space="preserve"> migrants were moving into richer, faster growing provinces, and the errors are increasing over time (at least until each province switches </w:t>
      </w:r>
      <w:r w:rsidR="00FB70F6">
        <w:t xml:space="preserve">to </w:t>
      </w:r>
      <w:r w:rsidR="005851E3">
        <w:t xml:space="preserve">reporting GDP per </w:t>
      </w:r>
      <w:r w:rsidR="00FB70F6">
        <w:t>resident</w:t>
      </w:r>
      <w:r w:rsidR="005851E3">
        <w:t xml:space="preserve">). In </w:t>
      </w:r>
      <w:r w:rsidR="005851E3" w:rsidRPr="006A6FEA">
        <w:t xml:space="preserve">contrast </w:t>
      </w:r>
      <w:r w:rsidR="005851E3">
        <w:t xml:space="preserve">to </w:t>
      </w:r>
      <w:r w:rsidR="005851E3" w:rsidRPr="006A6FEA">
        <w:t>random (classical) errors</w:t>
      </w:r>
      <w:r w:rsidR="005851E3">
        <w:t>, which</w:t>
      </w:r>
      <w:r w:rsidR="005851E3" w:rsidRPr="006A6FEA">
        <w:t xml:space="preserve"> cause no bias when just </w:t>
      </w:r>
      <w:r w:rsidR="005851E3">
        <w:t xml:space="preserve">in </w:t>
      </w:r>
      <w:r w:rsidR="005851E3" w:rsidRPr="006A6FEA">
        <w:t xml:space="preserve">the dependent variable and </w:t>
      </w:r>
      <w:r w:rsidR="00881FAD">
        <w:t xml:space="preserve">which </w:t>
      </w:r>
      <w:r w:rsidR="005851E3" w:rsidRPr="006A6FEA">
        <w:t>always attenuate the coefficient on a single error-ridden explanatory variable</w:t>
      </w:r>
      <w:r w:rsidR="005851E3">
        <w:t xml:space="preserve">, the effects of these errors will be more </w:t>
      </w:r>
      <w:r w:rsidR="00FB70F6">
        <w:t xml:space="preserve">complex and </w:t>
      </w:r>
      <w:r w:rsidR="005851E3">
        <w:t>pernicious</w:t>
      </w:r>
      <w:r w:rsidR="005851E3" w:rsidRPr="006A6FEA">
        <w:t>. Moreover, the main correctio</w:t>
      </w:r>
      <w:r w:rsidR="005851E3">
        <w:t xml:space="preserve">n used by economists for measurement error bias – instrumental </w:t>
      </w:r>
      <w:r w:rsidR="005851E3" w:rsidRPr="006A6FEA">
        <w:t>variables (IV) – is inconsistent when errors are correlated with true values (</w:t>
      </w:r>
      <w:r w:rsidR="005851E3">
        <w:t>Black, Berger and Scott, 2000), while bounding estimates based on reverse regression are unlikely to be effective in practice (Gibson and Kim, 2010).</w:t>
      </w:r>
      <w:r w:rsidR="00FB70F6">
        <w:t xml:space="preserve"> The recent trend in applied research on China to use data from smaller spatial units is especially vulnerable to the threat posed by these errors.</w:t>
      </w:r>
    </w:p>
    <w:p w:rsidR="00147850" w:rsidRDefault="00147850" w:rsidP="007A7BC1">
      <w:pPr>
        <w:widowControl w:val="0"/>
        <w:spacing w:line="276" w:lineRule="auto"/>
        <w:jc w:val="both"/>
      </w:pPr>
    </w:p>
    <w:p w:rsidR="006A37FE" w:rsidRDefault="00E5714C" w:rsidP="007A7BC1">
      <w:pPr>
        <w:widowControl w:val="0"/>
        <w:spacing w:line="276" w:lineRule="auto"/>
        <w:jc w:val="both"/>
        <w:rPr>
          <w:bCs/>
        </w:rPr>
      </w:pPr>
      <w:r>
        <w:tab/>
      </w:r>
      <w:r w:rsidR="009D6208">
        <w:t>Finally, we acknowledge</w:t>
      </w:r>
      <w:r w:rsidR="00FB70F6">
        <w:t xml:space="preserve"> that </w:t>
      </w:r>
      <w:r w:rsidR="00881FAD">
        <w:t xml:space="preserve">we have only considered </w:t>
      </w:r>
      <w:r w:rsidR="00E3588B">
        <w:t xml:space="preserve">errors in </w:t>
      </w:r>
      <w:r w:rsidR="00881FAD">
        <w:t xml:space="preserve">the population denominator for GDP </w:t>
      </w:r>
      <w:r w:rsidR="00881FAD" w:rsidRPr="00881FAD">
        <w:rPr>
          <w:i/>
        </w:rPr>
        <w:t>per capita</w:t>
      </w:r>
      <w:r w:rsidR="00881FAD">
        <w:t xml:space="preserve">, while leaving </w:t>
      </w:r>
      <w:r w:rsidR="00E3588B">
        <w:t xml:space="preserve">possible errors in the </w:t>
      </w:r>
      <w:r w:rsidR="00881FAD">
        <w:t>numerator uncha</w:t>
      </w:r>
      <w:r w:rsidR="00E3588B">
        <w:t>llenged</w:t>
      </w:r>
      <w:r w:rsidR="00881FAD">
        <w:t>. In fact, i</w:t>
      </w:r>
      <w:r w:rsidR="00624DCC">
        <w:t xml:space="preserve">n 2006 and 2009, </w:t>
      </w:r>
      <w:r w:rsidR="00E3588B">
        <w:t xml:space="preserve">the </w:t>
      </w:r>
      <w:r w:rsidR="00624DCC">
        <w:t>N</w:t>
      </w:r>
      <w:r w:rsidR="00E3588B">
        <w:t xml:space="preserve">ational </w:t>
      </w:r>
      <w:r w:rsidR="00624DCC">
        <w:t>B</w:t>
      </w:r>
      <w:r w:rsidR="00E3588B">
        <w:t xml:space="preserve">ureau of </w:t>
      </w:r>
      <w:r w:rsidR="00624DCC">
        <w:t>S</w:t>
      </w:r>
      <w:r w:rsidR="00E3588B">
        <w:t>tatistics</w:t>
      </w:r>
      <w:r w:rsidR="00624DCC">
        <w:t xml:space="preserve"> </w:t>
      </w:r>
      <w:r w:rsidR="00881FAD">
        <w:t xml:space="preserve">retrospectively </w:t>
      </w:r>
      <w:r w:rsidR="00624DCC">
        <w:t xml:space="preserve">adjusted provincial GDP for 1993-2003 and 2005-2008 according to </w:t>
      </w:r>
      <w:r w:rsidR="00881FAD">
        <w:t xml:space="preserve">the results from </w:t>
      </w:r>
      <w:r w:rsidR="00624DCC">
        <w:t xml:space="preserve">China’s </w:t>
      </w:r>
      <w:r w:rsidR="00624DCC">
        <w:lastRenderedPageBreak/>
        <w:t>First and Second Economic Census in 2004 and 2009</w:t>
      </w:r>
      <w:r w:rsidR="00881FAD">
        <w:t>.</w:t>
      </w:r>
      <w:r w:rsidR="00E3588B">
        <w:t xml:space="preserve"> </w:t>
      </w:r>
      <w:r w:rsidR="00BC4E0F">
        <w:t xml:space="preserve">In order to cleanly describe the effects of the population errors, </w:t>
      </w:r>
      <w:r w:rsidR="009D6208">
        <w:t xml:space="preserve">we chose </w:t>
      </w:r>
      <w:r w:rsidR="00BC4E0F">
        <w:t xml:space="preserve">to work with the originally published GDP data rather than </w:t>
      </w:r>
      <w:r w:rsidR="00373E2B">
        <w:t xml:space="preserve">use </w:t>
      </w:r>
      <w:r w:rsidR="00BC4E0F">
        <w:t>the recently revised series. However, t</w:t>
      </w:r>
      <w:r w:rsidR="00E3588B">
        <w:t>he patterns we find, of mostly falling inequality</w:t>
      </w:r>
      <w:r w:rsidR="009D6208">
        <w:t xml:space="preserve"> that returns </w:t>
      </w:r>
      <w:r w:rsidR="00373E2B">
        <w:t xml:space="preserve">to </w:t>
      </w:r>
      <w:r w:rsidR="00BC4E0F">
        <w:t xml:space="preserve">levels seen in 1990, are also apparent if we had used the revised GDP data for the numerator. For the same reason of wanting to cleanly identify the effect of population errors while not introducing auxiliary variations, we </w:t>
      </w:r>
      <w:r w:rsidR="00373E2B">
        <w:t>did not adjust</w:t>
      </w:r>
      <w:r w:rsidR="00BC4E0F">
        <w:t xml:space="preserve"> for spatial differences in prices despite richer provinces in China </w:t>
      </w:r>
      <w:r w:rsidR="00373E2B">
        <w:t>being more expensive places to live</w:t>
      </w:r>
      <w:r w:rsidR="00BC4E0F">
        <w:t>, especially in urban areas (</w:t>
      </w:r>
      <w:r w:rsidR="00FB70F6">
        <w:t xml:space="preserve">Brandt and </w:t>
      </w:r>
      <w:proofErr w:type="spellStart"/>
      <w:r w:rsidR="00FB70F6">
        <w:t>Holz</w:t>
      </w:r>
      <w:proofErr w:type="spellEnd"/>
      <w:r w:rsidR="00BC4E0F">
        <w:t xml:space="preserve">, </w:t>
      </w:r>
      <w:r w:rsidR="00FB70F6" w:rsidRPr="00F008C8">
        <w:t>2006)</w:t>
      </w:r>
      <w:r w:rsidR="00BC4E0F">
        <w:rPr>
          <w:b/>
          <w:bCs/>
        </w:rPr>
        <w:t xml:space="preserve">. </w:t>
      </w:r>
      <w:r w:rsidR="00BC4E0F">
        <w:rPr>
          <w:bCs/>
        </w:rPr>
        <w:t>In other words, there would be less apparent inter-provincial inequality if w</w:t>
      </w:r>
      <w:r w:rsidR="00373E2B">
        <w:rPr>
          <w:bCs/>
        </w:rPr>
        <w:t>e were to recast our analysis using</w:t>
      </w:r>
      <w:r w:rsidR="00BC4E0F">
        <w:rPr>
          <w:bCs/>
        </w:rPr>
        <w:t xml:space="preserve"> spatially real prices;</w:t>
      </w:r>
      <w:r w:rsidR="00373E2B">
        <w:rPr>
          <w:bCs/>
        </w:rPr>
        <w:t xml:space="preserve"> however, spatial deflators are not available for years since 2004. The task of generating reliable data for local areas of China that reflect appropriate concepts in terms of populations, prices and nominal variables will be an on-going task for the research community.</w:t>
      </w:r>
    </w:p>
    <w:p w:rsidR="00BC4E0F" w:rsidRPr="00BC4E0F" w:rsidRDefault="00BC4E0F" w:rsidP="007A7BC1">
      <w:pPr>
        <w:widowControl w:val="0"/>
        <w:spacing w:line="276" w:lineRule="auto"/>
        <w:jc w:val="both"/>
        <w:rPr>
          <w:bCs/>
        </w:rPr>
      </w:pPr>
    </w:p>
    <w:p w:rsidR="00BC4E0F" w:rsidRDefault="00BC4E0F" w:rsidP="007A7BC1">
      <w:pPr>
        <w:spacing w:line="276" w:lineRule="auto"/>
        <w:rPr>
          <w:b/>
          <w:bCs/>
        </w:rPr>
      </w:pPr>
    </w:p>
    <w:p w:rsidR="00B50147" w:rsidRDefault="008E0879" w:rsidP="007A7BC1">
      <w:pPr>
        <w:spacing w:line="276" w:lineRule="auto"/>
        <w:rPr>
          <w:b/>
          <w:bCs/>
        </w:rPr>
      </w:pPr>
      <w:r w:rsidRPr="00FE3795">
        <w:rPr>
          <w:b/>
          <w:bCs/>
        </w:rPr>
        <w:t>References</w:t>
      </w:r>
    </w:p>
    <w:p w:rsidR="00BA433C" w:rsidRPr="00BA433C" w:rsidRDefault="00BA433C" w:rsidP="007A7BC1">
      <w:pPr>
        <w:spacing w:line="276" w:lineRule="auto"/>
        <w:rPr>
          <w:b/>
          <w:bCs/>
          <w:sz w:val="12"/>
          <w:szCs w:val="12"/>
        </w:rPr>
      </w:pPr>
    </w:p>
    <w:p w:rsidR="005963A3" w:rsidRPr="00E43070" w:rsidRDefault="005963A3" w:rsidP="00147850">
      <w:pPr>
        <w:autoSpaceDE w:val="0"/>
        <w:autoSpaceDN w:val="0"/>
        <w:adjustRightInd w:val="0"/>
        <w:ind w:left="720" w:hanging="720"/>
        <w:contextualSpacing/>
        <w:jc w:val="both"/>
        <w:rPr>
          <w:sz w:val="22"/>
          <w:szCs w:val="22"/>
        </w:rPr>
      </w:pPr>
      <w:proofErr w:type="spellStart"/>
      <w:proofErr w:type="gramStart"/>
      <w:r w:rsidRPr="00E43070">
        <w:rPr>
          <w:sz w:val="22"/>
          <w:szCs w:val="22"/>
        </w:rPr>
        <w:t>Banerjee</w:t>
      </w:r>
      <w:proofErr w:type="spellEnd"/>
      <w:r w:rsidRPr="00E43070">
        <w:rPr>
          <w:sz w:val="22"/>
          <w:szCs w:val="22"/>
        </w:rPr>
        <w:t xml:space="preserve">, A., </w:t>
      </w:r>
      <w:proofErr w:type="spellStart"/>
      <w:r w:rsidRPr="00E43070">
        <w:rPr>
          <w:sz w:val="22"/>
          <w:szCs w:val="22"/>
        </w:rPr>
        <w:t>Duflo</w:t>
      </w:r>
      <w:proofErr w:type="spellEnd"/>
      <w:r w:rsidRPr="00E43070">
        <w:rPr>
          <w:sz w:val="22"/>
          <w:szCs w:val="22"/>
        </w:rPr>
        <w:t xml:space="preserve">, E., and </w:t>
      </w:r>
      <w:proofErr w:type="spellStart"/>
      <w:r w:rsidRPr="00E43070">
        <w:rPr>
          <w:sz w:val="22"/>
          <w:szCs w:val="22"/>
        </w:rPr>
        <w:t>Qian</w:t>
      </w:r>
      <w:proofErr w:type="spellEnd"/>
      <w:r w:rsidRPr="00E43070">
        <w:rPr>
          <w:sz w:val="22"/>
          <w:szCs w:val="22"/>
        </w:rPr>
        <w:t>, N. (2012).</w:t>
      </w:r>
      <w:proofErr w:type="gramEnd"/>
      <w:r w:rsidRPr="00E43070">
        <w:rPr>
          <w:sz w:val="22"/>
          <w:szCs w:val="22"/>
        </w:rPr>
        <w:t xml:space="preserve"> </w:t>
      </w:r>
      <w:r w:rsidRPr="00E43070">
        <w:rPr>
          <w:sz w:val="22"/>
          <w:szCs w:val="22"/>
          <w:lang w:val="en-NZ" w:eastAsia="en-NZ"/>
        </w:rPr>
        <w:t xml:space="preserve">On The Road: Access to Transportation Infrastructure </w:t>
      </w:r>
      <w:proofErr w:type="gramStart"/>
      <w:r w:rsidRPr="00E43070">
        <w:rPr>
          <w:sz w:val="22"/>
          <w:szCs w:val="22"/>
          <w:lang w:val="en-NZ" w:eastAsia="en-NZ"/>
        </w:rPr>
        <w:t>And</w:t>
      </w:r>
      <w:proofErr w:type="gramEnd"/>
      <w:r w:rsidRPr="00E43070">
        <w:rPr>
          <w:sz w:val="22"/>
          <w:szCs w:val="22"/>
          <w:lang w:val="en-NZ" w:eastAsia="en-NZ"/>
        </w:rPr>
        <w:t xml:space="preserve"> Economic Growth In China. </w:t>
      </w:r>
      <w:proofErr w:type="gramStart"/>
      <w:r w:rsidRPr="00E43070">
        <w:rPr>
          <w:i/>
          <w:sz w:val="22"/>
          <w:szCs w:val="22"/>
          <w:lang w:val="en-NZ" w:eastAsia="en-NZ"/>
        </w:rPr>
        <w:t>Working Paper</w:t>
      </w:r>
      <w:r w:rsidRPr="00E43070">
        <w:rPr>
          <w:sz w:val="22"/>
          <w:szCs w:val="22"/>
          <w:lang w:val="en-NZ" w:eastAsia="en-NZ"/>
        </w:rPr>
        <w:t xml:space="preserve"> No. 17897, National Bureau of Economic Research, Cambridge MA.</w:t>
      </w:r>
      <w:proofErr w:type="gramEnd"/>
    </w:p>
    <w:p w:rsidR="00FB70F6" w:rsidRPr="00E43070" w:rsidRDefault="00FB70F6" w:rsidP="00147850">
      <w:pPr>
        <w:ind w:left="720" w:hanging="720"/>
        <w:contextualSpacing/>
        <w:jc w:val="both"/>
        <w:rPr>
          <w:sz w:val="22"/>
          <w:szCs w:val="22"/>
        </w:rPr>
      </w:pPr>
      <w:proofErr w:type="gramStart"/>
      <w:r w:rsidRPr="00E43070">
        <w:rPr>
          <w:sz w:val="22"/>
          <w:szCs w:val="22"/>
        </w:rPr>
        <w:t>Black, D., Berger, M., and Scott, F. (2000).</w:t>
      </w:r>
      <w:proofErr w:type="gramEnd"/>
      <w:r w:rsidRPr="00E43070">
        <w:rPr>
          <w:sz w:val="22"/>
          <w:szCs w:val="22"/>
        </w:rPr>
        <w:t xml:space="preserve"> </w:t>
      </w:r>
      <w:proofErr w:type="gramStart"/>
      <w:r w:rsidRPr="00E43070">
        <w:rPr>
          <w:sz w:val="22"/>
          <w:szCs w:val="22"/>
        </w:rPr>
        <w:t xml:space="preserve">Bounding Parameter Estimates with </w:t>
      </w:r>
      <w:proofErr w:type="spellStart"/>
      <w:r w:rsidRPr="00E43070">
        <w:rPr>
          <w:sz w:val="22"/>
          <w:szCs w:val="22"/>
        </w:rPr>
        <w:t>Nonclassical</w:t>
      </w:r>
      <w:proofErr w:type="spellEnd"/>
      <w:r w:rsidRPr="00E43070">
        <w:rPr>
          <w:sz w:val="22"/>
          <w:szCs w:val="22"/>
        </w:rPr>
        <w:t xml:space="preserve"> Measurement Error.</w:t>
      </w:r>
      <w:proofErr w:type="gramEnd"/>
      <w:r w:rsidRPr="00E43070">
        <w:rPr>
          <w:sz w:val="22"/>
          <w:szCs w:val="22"/>
        </w:rPr>
        <w:t xml:space="preserve"> </w:t>
      </w:r>
      <w:r w:rsidRPr="00E43070">
        <w:rPr>
          <w:i/>
          <w:sz w:val="22"/>
          <w:szCs w:val="22"/>
        </w:rPr>
        <w:t>Journal of the American Statistical Association</w:t>
      </w:r>
      <w:r w:rsidRPr="00E43070">
        <w:rPr>
          <w:sz w:val="22"/>
          <w:szCs w:val="22"/>
        </w:rPr>
        <w:t xml:space="preserve"> 95(451): 739-748.</w:t>
      </w:r>
    </w:p>
    <w:p w:rsidR="00AC29B0" w:rsidRPr="00E43070" w:rsidRDefault="00AC29B0" w:rsidP="00147850">
      <w:pPr>
        <w:autoSpaceDE w:val="0"/>
        <w:autoSpaceDN w:val="0"/>
        <w:adjustRightInd w:val="0"/>
        <w:ind w:left="720" w:hanging="720"/>
        <w:contextualSpacing/>
        <w:jc w:val="both"/>
        <w:rPr>
          <w:sz w:val="22"/>
          <w:szCs w:val="22"/>
        </w:rPr>
      </w:pPr>
      <w:r w:rsidRPr="00E43070">
        <w:rPr>
          <w:sz w:val="22"/>
          <w:szCs w:val="22"/>
        </w:rPr>
        <w:t xml:space="preserve">Brown, J. (2010). Great Leap City: Surviving the Famine in Tianjin. </w:t>
      </w:r>
      <w:proofErr w:type="gramStart"/>
      <w:r w:rsidRPr="00E43070">
        <w:rPr>
          <w:sz w:val="22"/>
          <w:szCs w:val="22"/>
        </w:rPr>
        <w:t xml:space="preserve">In </w:t>
      </w:r>
      <w:r w:rsidRPr="00E43070">
        <w:rPr>
          <w:i/>
          <w:sz w:val="22"/>
          <w:szCs w:val="22"/>
        </w:rPr>
        <w:t>Eating Bitterness: New Perspectives on China’s Great Leap Forward and Famine</w:t>
      </w:r>
      <w:r w:rsidRPr="00E43070">
        <w:rPr>
          <w:sz w:val="22"/>
          <w:szCs w:val="22"/>
        </w:rPr>
        <w:t xml:space="preserve">, K. Manning and F. </w:t>
      </w:r>
      <w:proofErr w:type="spellStart"/>
      <w:r w:rsidRPr="00E43070">
        <w:rPr>
          <w:sz w:val="22"/>
          <w:szCs w:val="22"/>
        </w:rPr>
        <w:t>Wemheuer</w:t>
      </w:r>
      <w:proofErr w:type="spellEnd"/>
      <w:r w:rsidRPr="00E43070">
        <w:rPr>
          <w:sz w:val="22"/>
          <w:szCs w:val="22"/>
        </w:rPr>
        <w:t xml:space="preserve"> (eds), Vancouver: UBC Press, pp. 226-250.</w:t>
      </w:r>
      <w:proofErr w:type="gramEnd"/>
    </w:p>
    <w:p w:rsidR="002B4D53" w:rsidRPr="00E43070" w:rsidRDefault="004D02EB" w:rsidP="00147850">
      <w:pPr>
        <w:autoSpaceDE w:val="0"/>
        <w:autoSpaceDN w:val="0"/>
        <w:adjustRightInd w:val="0"/>
        <w:ind w:left="720" w:hanging="720"/>
        <w:contextualSpacing/>
        <w:jc w:val="both"/>
        <w:rPr>
          <w:sz w:val="22"/>
          <w:szCs w:val="22"/>
        </w:rPr>
      </w:pPr>
      <w:proofErr w:type="gramStart"/>
      <w:r w:rsidRPr="00E43070">
        <w:rPr>
          <w:sz w:val="22"/>
          <w:szCs w:val="22"/>
        </w:rPr>
        <w:t>Brandt, L., and</w:t>
      </w:r>
      <w:r w:rsidR="002B4D53" w:rsidRPr="00E43070">
        <w:rPr>
          <w:sz w:val="22"/>
          <w:szCs w:val="22"/>
        </w:rPr>
        <w:t xml:space="preserve"> </w:t>
      </w:r>
      <w:proofErr w:type="spellStart"/>
      <w:r w:rsidR="002B4D53" w:rsidRPr="00E43070">
        <w:rPr>
          <w:sz w:val="22"/>
          <w:szCs w:val="22"/>
        </w:rPr>
        <w:t>Holz</w:t>
      </w:r>
      <w:proofErr w:type="spellEnd"/>
      <w:r w:rsidR="002B4D53" w:rsidRPr="00E43070">
        <w:rPr>
          <w:sz w:val="22"/>
          <w:szCs w:val="22"/>
        </w:rPr>
        <w:t>, C. A. (2006).</w:t>
      </w:r>
      <w:proofErr w:type="gramEnd"/>
      <w:r w:rsidR="002B4D53" w:rsidRPr="00E43070">
        <w:rPr>
          <w:sz w:val="22"/>
          <w:szCs w:val="22"/>
        </w:rPr>
        <w:t xml:space="preserve"> Spatial Price Differences in China: Estimates and Implications. </w:t>
      </w:r>
      <w:r w:rsidR="002B4D53" w:rsidRPr="00E43070">
        <w:rPr>
          <w:i/>
          <w:iCs/>
          <w:sz w:val="22"/>
          <w:szCs w:val="22"/>
        </w:rPr>
        <w:t>Economic Development &amp; Cultural Change,</w:t>
      </w:r>
      <w:r w:rsidR="002B4D53" w:rsidRPr="00E43070">
        <w:rPr>
          <w:sz w:val="22"/>
          <w:szCs w:val="22"/>
        </w:rPr>
        <w:t xml:space="preserve"> 55(1), pp. 43-86.</w:t>
      </w:r>
    </w:p>
    <w:p w:rsidR="00B50147" w:rsidRPr="00E43070" w:rsidRDefault="00B50147" w:rsidP="00147850">
      <w:pPr>
        <w:autoSpaceDE w:val="0"/>
        <w:autoSpaceDN w:val="0"/>
        <w:adjustRightInd w:val="0"/>
        <w:ind w:left="720" w:hanging="720"/>
        <w:contextualSpacing/>
        <w:jc w:val="both"/>
        <w:rPr>
          <w:sz w:val="22"/>
          <w:szCs w:val="22"/>
        </w:rPr>
      </w:pPr>
      <w:proofErr w:type="spellStart"/>
      <w:proofErr w:type="gramStart"/>
      <w:r w:rsidRPr="00E43070">
        <w:rPr>
          <w:sz w:val="22"/>
          <w:szCs w:val="22"/>
        </w:rPr>
        <w:t>Cai</w:t>
      </w:r>
      <w:proofErr w:type="spellEnd"/>
      <w:r w:rsidRPr="00E43070">
        <w:rPr>
          <w:sz w:val="22"/>
          <w:szCs w:val="22"/>
        </w:rPr>
        <w:t>, F., Wang, D., and Du, Y. (2001).</w:t>
      </w:r>
      <w:proofErr w:type="gramEnd"/>
      <w:r w:rsidRPr="00E43070">
        <w:rPr>
          <w:sz w:val="22"/>
          <w:szCs w:val="22"/>
        </w:rPr>
        <w:t xml:space="preserve"> </w:t>
      </w:r>
      <w:proofErr w:type="gramStart"/>
      <w:r w:rsidRPr="00E43070">
        <w:rPr>
          <w:sz w:val="22"/>
          <w:szCs w:val="22"/>
        </w:rPr>
        <w:t xml:space="preserve">Impact of Labor Market Distortion on Regional Disparities </w:t>
      </w:r>
      <w:r w:rsidRPr="00E43070">
        <w:rPr>
          <w:i/>
          <w:sz w:val="22"/>
          <w:szCs w:val="22"/>
        </w:rPr>
        <w:t>(</w:t>
      </w:r>
      <w:proofErr w:type="spellStart"/>
      <w:r w:rsidRPr="00E43070">
        <w:rPr>
          <w:i/>
          <w:sz w:val="22"/>
          <w:szCs w:val="22"/>
        </w:rPr>
        <w:t>Laodongli</w:t>
      </w:r>
      <w:proofErr w:type="spellEnd"/>
      <w:r w:rsidRPr="00E43070">
        <w:rPr>
          <w:i/>
          <w:sz w:val="22"/>
          <w:szCs w:val="22"/>
        </w:rPr>
        <w:t xml:space="preserve"> </w:t>
      </w:r>
      <w:proofErr w:type="spellStart"/>
      <w:r w:rsidRPr="00E43070">
        <w:rPr>
          <w:i/>
          <w:sz w:val="22"/>
          <w:szCs w:val="22"/>
        </w:rPr>
        <w:t>shichang</w:t>
      </w:r>
      <w:proofErr w:type="spellEnd"/>
      <w:r w:rsidRPr="00E43070">
        <w:rPr>
          <w:i/>
          <w:sz w:val="22"/>
          <w:szCs w:val="22"/>
        </w:rPr>
        <w:t xml:space="preserve"> </w:t>
      </w:r>
      <w:proofErr w:type="spellStart"/>
      <w:r w:rsidRPr="00E43070">
        <w:rPr>
          <w:i/>
          <w:sz w:val="22"/>
          <w:szCs w:val="22"/>
        </w:rPr>
        <w:t>niuqu</w:t>
      </w:r>
      <w:proofErr w:type="spellEnd"/>
      <w:r w:rsidRPr="00E43070">
        <w:rPr>
          <w:i/>
          <w:sz w:val="22"/>
          <w:szCs w:val="22"/>
        </w:rPr>
        <w:t xml:space="preserve"> dui </w:t>
      </w:r>
      <w:proofErr w:type="spellStart"/>
      <w:r w:rsidRPr="00E43070">
        <w:rPr>
          <w:i/>
          <w:sz w:val="22"/>
          <w:szCs w:val="22"/>
        </w:rPr>
        <w:t>quyu</w:t>
      </w:r>
      <w:proofErr w:type="spellEnd"/>
      <w:r w:rsidRPr="00E43070">
        <w:rPr>
          <w:i/>
          <w:sz w:val="22"/>
          <w:szCs w:val="22"/>
        </w:rPr>
        <w:t xml:space="preserve"> </w:t>
      </w:r>
      <w:proofErr w:type="spellStart"/>
      <w:r w:rsidRPr="00E43070">
        <w:rPr>
          <w:i/>
          <w:sz w:val="22"/>
          <w:szCs w:val="22"/>
        </w:rPr>
        <w:t>chaju</w:t>
      </w:r>
      <w:proofErr w:type="spellEnd"/>
      <w:r w:rsidRPr="00E43070">
        <w:rPr>
          <w:i/>
          <w:sz w:val="22"/>
          <w:szCs w:val="22"/>
        </w:rPr>
        <w:t xml:space="preserve"> de </w:t>
      </w:r>
      <w:proofErr w:type="spellStart"/>
      <w:r w:rsidRPr="00E43070">
        <w:rPr>
          <w:i/>
          <w:sz w:val="22"/>
          <w:szCs w:val="22"/>
        </w:rPr>
        <w:t>yingxiang</w:t>
      </w:r>
      <w:proofErr w:type="spellEnd"/>
      <w:r w:rsidRPr="00E43070">
        <w:rPr>
          <w:i/>
          <w:sz w:val="22"/>
          <w:szCs w:val="22"/>
        </w:rPr>
        <w:t>)</w:t>
      </w:r>
      <w:r w:rsidRPr="00E43070">
        <w:rPr>
          <w:sz w:val="22"/>
          <w:szCs w:val="22"/>
        </w:rPr>
        <w:t>.</w:t>
      </w:r>
      <w:proofErr w:type="gramEnd"/>
      <w:r w:rsidRPr="00E43070">
        <w:rPr>
          <w:sz w:val="22"/>
          <w:szCs w:val="22"/>
        </w:rPr>
        <w:t xml:space="preserve"> </w:t>
      </w:r>
      <w:proofErr w:type="spellStart"/>
      <w:proofErr w:type="gramStart"/>
      <w:r w:rsidRPr="00E43070">
        <w:rPr>
          <w:i/>
          <w:sz w:val="22"/>
          <w:szCs w:val="22"/>
        </w:rPr>
        <w:t>Zhongguo</w:t>
      </w:r>
      <w:proofErr w:type="spellEnd"/>
      <w:r w:rsidRPr="00E43070">
        <w:rPr>
          <w:i/>
          <w:sz w:val="22"/>
          <w:szCs w:val="22"/>
        </w:rPr>
        <w:t xml:space="preserve"> </w:t>
      </w:r>
      <w:proofErr w:type="spellStart"/>
      <w:r w:rsidRPr="00E43070">
        <w:rPr>
          <w:i/>
          <w:sz w:val="22"/>
          <w:szCs w:val="22"/>
        </w:rPr>
        <w:t>shehui</w:t>
      </w:r>
      <w:proofErr w:type="spellEnd"/>
      <w:r w:rsidRPr="00E43070">
        <w:rPr>
          <w:i/>
          <w:sz w:val="22"/>
          <w:szCs w:val="22"/>
        </w:rPr>
        <w:t xml:space="preserve"> </w:t>
      </w:r>
      <w:proofErr w:type="spellStart"/>
      <w:r w:rsidRPr="00E43070">
        <w:rPr>
          <w:i/>
          <w:sz w:val="22"/>
          <w:szCs w:val="22"/>
        </w:rPr>
        <w:t>kexue</w:t>
      </w:r>
      <w:proofErr w:type="spellEnd"/>
      <w:r w:rsidRPr="00E43070">
        <w:rPr>
          <w:i/>
          <w:sz w:val="22"/>
          <w:szCs w:val="22"/>
        </w:rPr>
        <w:t xml:space="preserve"> (China Social Science)</w:t>
      </w:r>
      <w:r w:rsidRPr="00E43070">
        <w:rPr>
          <w:sz w:val="22"/>
          <w:szCs w:val="22"/>
        </w:rPr>
        <w:t>, 2, 4–14.</w:t>
      </w:r>
      <w:proofErr w:type="gramEnd"/>
    </w:p>
    <w:p w:rsidR="008D3363" w:rsidRPr="00E43070" w:rsidRDefault="008D3363" w:rsidP="00147850">
      <w:pPr>
        <w:autoSpaceDE w:val="0"/>
        <w:autoSpaceDN w:val="0"/>
        <w:adjustRightInd w:val="0"/>
        <w:ind w:left="720" w:hanging="720"/>
        <w:contextualSpacing/>
        <w:jc w:val="both"/>
        <w:rPr>
          <w:sz w:val="22"/>
          <w:szCs w:val="22"/>
          <w:lang w:val="en-NZ" w:eastAsia="en-NZ"/>
        </w:rPr>
      </w:pPr>
      <w:proofErr w:type="gramStart"/>
      <w:r w:rsidRPr="00E43070">
        <w:rPr>
          <w:sz w:val="22"/>
          <w:szCs w:val="22"/>
        </w:rPr>
        <w:t>Chan, K. W., and Zhang, L. (1999).</w:t>
      </w:r>
      <w:proofErr w:type="gramEnd"/>
      <w:r w:rsidRPr="00E43070">
        <w:rPr>
          <w:sz w:val="22"/>
          <w:szCs w:val="22"/>
        </w:rPr>
        <w:t xml:space="preserve"> The </w:t>
      </w:r>
      <w:proofErr w:type="spellStart"/>
      <w:r w:rsidRPr="00E43070">
        <w:rPr>
          <w:i/>
          <w:iCs/>
          <w:sz w:val="22"/>
          <w:szCs w:val="22"/>
          <w:lang w:val="en-NZ" w:eastAsia="en-NZ"/>
        </w:rPr>
        <w:t>Hukou</w:t>
      </w:r>
      <w:proofErr w:type="spellEnd"/>
      <w:r w:rsidRPr="00E43070">
        <w:rPr>
          <w:i/>
          <w:iCs/>
          <w:sz w:val="22"/>
          <w:szCs w:val="22"/>
          <w:lang w:val="en-NZ" w:eastAsia="en-NZ"/>
        </w:rPr>
        <w:t xml:space="preserve"> </w:t>
      </w:r>
      <w:r w:rsidRPr="00E43070">
        <w:rPr>
          <w:sz w:val="22"/>
          <w:szCs w:val="22"/>
          <w:lang w:val="en-NZ" w:eastAsia="en-NZ"/>
        </w:rPr>
        <w:t xml:space="preserve">System and Rural-Urban Migration: Processes and Changes. </w:t>
      </w:r>
      <w:r w:rsidRPr="00E43070">
        <w:rPr>
          <w:i/>
          <w:iCs/>
          <w:sz w:val="22"/>
          <w:szCs w:val="22"/>
          <w:lang w:val="en-NZ" w:eastAsia="en-NZ"/>
        </w:rPr>
        <w:t xml:space="preserve">The China Quarterly </w:t>
      </w:r>
      <w:r w:rsidRPr="00E43070">
        <w:rPr>
          <w:sz w:val="22"/>
          <w:szCs w:val="22"/>
          <w:lang w:val="en-NZ" w:eastAsia="en-NZ"/>
        </w:rPr>
        <w:t>160:818–855.</w:t>
      </w:r>
    </w:p>
    <w:p w:rsidR="001B2927" w:rsidRPr="00E43070" w:rsidRDefault="001B2927" w:rsidP="00147850">
      <w:pPr>
        <w:autoSpaceDE w:val="0"/>
        <w:autoSpaceDN w:val="0"/>
        <w:adjustRightInd w:val="0"/>
        <w:ind w:left="720" w:hanging="720"/>
        <w:contextualSpacing/>
        <w:jc w:val="both"/>
        <w:rPr>
          <w:sz w:val="22"/>
          <w:szCs w:val="22"/>
        </w:rPr>
      </w:pPr>
      <w:r w:rsidRPr="00E43070">
        <w:rPr>
          <w:sz w:val="22"/>
          <w:szCs w:val="22"/>
        </w:rPr>
        <w:t>Chan, K. W.</w:t>
      </w:r>
      <w:r w:rsidR="00184A08" w:rsidRPr="00E43070">
        <w:rPr>
          <w:sz w:val="22"/>
          <w:szCs w:val="22"/>
        </w:rPr>
        <w:t xml:space="preserve"> (</w:t>
      </w:r>
      <w:r w:rsidRPr="00E43070">
        <w:rPr>
          <w:sz w:val="22"/>
          <w:szCs w:val="22"/>
        </w:rPr>
        <w:t>2007</w:t>
      </w:r>
      <w:r w:rsidR="00184A08" w:rsidRPr="00E43070">
        <w:rPr>
          <w:sz w:val="22"/>
          <w:szCs w:val="22"/>
        </w:rPr>
        <w:t>)</w:t>
      </w:r>
      <w:r w:rsidRPr="00E43070">
        <w:rPr>
          <w:sz w:val="22"/>
          <w:szCs w:val="22"/>
        </w:rPr>
        <w:t>. Misconceptions and Complexities in the Study of China’s Cities: Definitions</w:t>
      </w:r>
      <w:r w:rsidR="00184A08" w:rsidRPr="00E43070">
        <w:rPr>
          <w:sz w:val="22"/>
          <w:szCs w:val="22"/>
        </w:rPr>
        <w:t>, Statistics, and Implications.</w:t>
      </w:r>
      <w:r w:rsidRPr="00E43070">
        <w:rPr>
          <w:sz w:val="22"/>
          <w:szCs w:val="22"/>
        </w:rPr>
        <w:t> </w:t>
      </w:r>
      <w:r w:rsidRPr="00E43070">
        <w:rPr>
          <w:i/>
          <w:sz w:val="22"/>
          <w:szCs w:val="22"/>
        </w:rPr>
        <w:t>Eurasian Geography and Economics</w:t>
      </w:r>
      <w:r w:rsidR="00184A08" w:rsidRPr="00E43070">
        <w:rPr>
          <w:sz w:val="22"/>
          <w:szCs w:val="22"/>
        </w:rPr>
        <w:t>, 48(4):</w:t>
      </w:r>
      <w:r w:rsidRPr="00E43070">
        <w:rPr>
          <w:sz w:val="22"/>
          <w:szCs w:val="22"/>
        </w:rPr>
        <w:t>383-412.</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Chan, K. W., and Wang, M. (2008).</w:t>
      </w:r>
      <w:proofErr w:type="gramEnd"/>
      <w:r w:rsidRPr="00E43070">
        <w:rPr>
          <w:sz w:val="22"/>
          <w:szCs w:val="22"/>
        </w:rPr>
        <w:t xml:space="preserve"> Remapping China’s Regional Inequalities, 1990-2006: A New Assessment of de Facto and de Jure Population Data. </w:t>
      </w:r>
      <w:proofErr w:type="gramStart"/>
      <w:r w:rsidRPr="00E43070">
        <w:rPr>
          <w:i/>
          <w:sz w:val="22"/>
          <w:szCs w:val="22"/>
        </w:rPr>
        <w:t>Eurasian Geography and Economics</w:t>
      </w:r>
      <w:r w:rsidRPr="00E43070">
        <w:rPr>
          <w:sz w:val="22"/>
          <w:szCs w:val="22"/>
        </w:rPr>
        <w:t>, 49(1), pp.21-56.</w:t>
      </w:r>
      <w:proofErr w:type="gramEnd"/>
    </w:p>
    <w:p w:rsidR="008D3363" w:rsidRPr="00E43070" w:rsidRDefault="008D3363" w:rsidP="00147850">
      <w:pPr>
        <w:autoSpaceDE w:val="0"/>
        <w:autoSpaceDN w:val="0"/>
        <w:adjustRightInd w:val="0"/>
        <w:ind w:left="720" w:hanging="720"/>
        <w:contextualSpacing/>
        <w:jc w:val="both"/>
        <w:rPr>
          <w:sz w:val="22"/>
          <w:szCs w:val="22"/>
        </w:rPr>
      </w:pPr>
      <w:r w:rsidRPr="00E43070">
        <w:rPr>
          <w:sz w:val="22"/>
          <w:szCs w:val="22"/>
        </w:rPr>
        <w:t xml:space="preserve">Chan, K.W. (2009). </w:t>
      </w:r>
      <w:proofErr w:type="gramStart"/>
      <w:r w:rsidRPr="00E43070">
        <w:rPr>
          <w:bCs/>
          <w:sz w:val="22"/>
          <w:szCs w:val="22"/>
          <w:lang w:val="en-NZ" w:eastAsia="en-NZ"/>
        </w:rPr>
        <w:t xml:space="preserve">The Chinese </w:t>
      </w:r>
      <w:proofErr w:type="spellStart"/>
      <w:r w:rsidRPr="00E43070">
        <w:rPr>
          <w:bCs/>
          <w:i/>
          <w:iCs/>
          <w:sz w:val="22"/>
          <w:szCs w:val="22"/>
          <w:lang w:val="en-NZ" w:eastAsia="en-NZ"/>
        </w:rPr>
        <w:t>Hukou</w:t>
      </w:r>
      <w:proofErr w:type="spellEnd"/>
      <w:r w:rsidRPr="00E43070">
        <w:rPr>
          <w:bCs/>
          <w:i/>
          <w:iCs/>
          <w:sz w:val="22"/>
          <w:szCs w:val="22"/>
          <w:lang w:val="en-NZ" w:eastAsia="en-NZ"/>
        </w:rPr>
        <w:t xml:space="preserve"> </w:t>
      </w:r>
      <w:r w:rsidRPr="00E43070">
        <w:rPr>
          <w:bCs/>
          <w:sz w:val="22"/>
          <w:szCs w:val="22"/>
          <w:lang w:val="en-NZ" w:eastAsia="en-NZ"/>
        </w:rPr>
        <w:t>System at 50.</w:t>
      </w:r>
      <w:proofErr w:type="gramEnd"/>
      <w:r w:rsidRPr="00E43070">
        <w:rPr>
          <w:bCs/>
          <w:sz w:val="22"/>
          <w:szCs w:val="22"/>
          <w:lang w:val="en-NZ" w:eastAsia="en-NZ"/>
        </w:rPr>
        <w:t xml:space="preserve"> </w:t>
      </w:r>
      <w:r w:rsidRPr="00E43070">
        <w:rPr>
          <w:i/>
          <w:sz w:val="22"/>
          <w:szCs w:val="22"/>
        </w:rPr>
        <w:t>Eurasian Geography and Economics,</w:t>
      </w:r>
      <w:r w:rsidRPr="00E43070">
        <w:rPr>
          <w:sz w:val="22"/>
          <w:szCs w:val="22"/>
        </w:rPr>
        <w:t xml:space="preserve"> 50(2): 197-221.</w:t>
      </w:r>
    </w:p>
    <w:p w:rsidR="00F33C3E" w:rsidRPr="00E43070" w:rsidRDefault="00F33C3E" w:rsidP="00147850">
      <w:pPr>
        <w:autoSpaceDE w:val="0"/>
        <w:autoSpaceDN w:val="0"/>
        <w:adjustRightInd w:val="0"/>
        <w:ind w:left="720" w:hanging="720"/>
        <w:contextualSpacing/>
        <w:jc w:val="both"/>
        <w:rPr>
          <w:bCs/>
          <w:sz w:val="22"/>
          <w:szCs w:val="22"/>
          <w:lang w:val="en-NZ" w:eastAsia="en-NZ"/>
        </w:rPr>
      </w:pPr>
      <w:r w:rsidRPr="00E43070">
        <w:rPr>
          <w:bCs/>
          <w:sz w:val="22"/>
          <w:szCs w:val="22"/>
          <w:lang w:val="en-NZ" w:eastAsia="en-NZ"/>
        </w:rPr>
        <w:t>Chan, K.W. (2009a).  </w:t>
      </w:r>
      <w:proofErr w:type="gramStart"/>
      <w:r w:rsidRPr="00E43070">
        <w:rPr>
          <w:bCs/>
          <w:sz w:val="22"/>
          <w:szCs w:val="22"/>
          <w:lang w:val="en-NZ" w:eastAsia="en-NZ"/>
        </w:rPr>
        <w:t>Measuring the Urban Millions.</w:t>
      </w:r>
      <w:proofErr w:type="gramEnd"/>
      <w:r w:rsidRPr="00E43070">
        <w:rPr>
          <w:bCs/>
          <w:sz w:val="22"/>
          <w:szCs w:val="22"/>
          <w:lang w:val="en-NZ" w:eastAsia="en-NZ"/>
        </w:rPr>
        <w:t> </w:t>
      </w:r>
      <w:r w:rsidRPr="00E43070">
        <w:rPr>
          <w:bCs/>
          <w:i/>
          <w:sz w:val="22"/>
          <w:szCs w:val="22"/>
          <w:lang w:val="en-NZ" w:eastAsia="en-NZ"/>
        </w:rPr>
        <w:t>China Economic Quarterly</w:t>
      </w:r>
      <w:r w:rsidR="004D02EB" w:rsidRPr="00E43070">
        <w:rPr>
          <w:bCs/>
          <w:sz w:val="22"/>
          <w:szCs w:val="22"/>
          <w:lang w:val="en-NZ" w:eastAsia="en-NZ"/>
        </w:rPr>
        <w:t xml:space="preserve">, March, </w:t>
      </w:r>
      <w:r w:rsidRPr="00E43070">
        <w:rPr>
          <w:bCs/>
          <w:sz w:val="22"/>
          <w:szCs w:val="22"/>
          <w:lang w:val="en-NZ" w:eastAsia="en-NZ"/>
        </w:rPr>
        <w:t>21-26</w:t>
      </w:r>
      <w:r w:rsidR="004D02EB" w:rsidRPr="00E43070">
        <w:rPr>
          <w:bCs/>
          <w:sz w:val="22"/>
          <w:szCs w:val="22"/>
          <w:lang w:val="en-NZ" w:eastAsia="en-NZ"/>
        </w:rPr>
        <w:t>.</w:t>
      </w:r>
    </w:p>
    <w:p w:rsidR="00140640" w:rsidRPr="00E43070" w:rsidRDefault="00140640" w:rsidP="00147850">
      <w:pPr>
        <w:autoSpaceDE w:val="0"/>
        <w:autoSpaceDN w:val="0"/>
        <w:adjustRightInd w:val="0"/>
        <w:ind w:left="720" w:hanging="720"/>
        <w:contextualSpacing/>
        <w:jc w:val="both"/>
        <w:rPr>
          <w:sz w:val="22"/>
          <w:szCs w:val="22"/>
        </w:rPr>
      </w:pPr>
      <w:r w:rsidRPr="00E43070">
        <w:rPr>
          <w:sz w:val="22"/>
          <w:szCs w:val="22"/>
        </w:rPr>
        <w:t xml:space="preserve">Chan, K.W. (2012). Internal Labor Migration in China: Trends, Geography and Policies. In </w:t>
      </w:r>
      <w:r w:rsidRPr="00E43070">
        <w:rPr>
          <w:i/>
          <w:sz w:val="22"/>
          <w:szCs w:val="22"/>
        </w:rPr>
        <w:t>Population Distribution, Urbanization, Internal Migration and Development: An International Perspective</w:t>
      </w:r>
      <w:r w:rsidRPr="00E43070">
        <w:rPr>
          <w:sz w:val="22"/>
          <w:szCs w:val="22"/>
        </w:rPr>
        <w:t>, United Nations Population Division, </w:t>
      </w:r>
      <w:proofErr w:type="gramStart"/>
      <w:r w:rsidRPr="00E43070">
        <w:rPr>
          <w:sz w:val="22"/>
          <w:szCs w:val="22"/>
        </w:rPr>
        <w:t>New</w:t>
      </w:r>
      <w:proofErr w:type="gramEnd"/>
      <w:r w:rsidRPr="00E43070">
        <w:rPr>
          <w:sz w:val="22"/>
          <w:szCs w:val="22"/>
        </w:rPr>
        <w:t xml:space="preserve"> York: pp.81-102.</w:t>
      </w:r>
    </w:p>
    <w:p w:rsidR="005C0F94" w:rsidRPr="00E43070" w:rsidRDefault="005C0F94" w:rsidP="00147850">
      <w:pPr>
        <w:autoSpaceDE w:val="0"/>
        <w:autoSpaceDN w:val="0"/>
        <w:adjustRightInd w:val="0"/>
        <w:ind w:left="720" w:hanging="720"/>
        <w:contextualSpacing/>
        <w:jc w:val="both"/>
        <w:rPr>
          <w:sz w:val="22"/>
          <w:szCs w:val="22"/>
        </w:rPr>
      </w:pPr>
      <w:proofErr w:type="gramStart"/>
      <w:r w:rsidRPr="00E43070">
        <w:rPr>
          <w:sz w:val="22"/>
          <w:szCs w:val="22"/>
        </w:rPr>
        <w:t>Chen, J., and Fleisher, B. (1996).</w:t>
      </w:r>
      <w:proofErr w:type="gramEnd"/>
      <w:r w:rsidRPr="00E43070">
        <w:rPr>
          <w:sz w:val="22"/>
          <w:szCs w:val="22"/>
        </w:rPr>
        <w:t xml:space="preserve"> </w:t>
      </w:r>
      <w:proofErr w:type="gramStart"/>
      <w:r w:rsidRPr="00E43070">
        <w:rPr>
          <w:sz w:val="22"/>
          <w:szCs w:val="22"/>
        </w:rPr>
        <w:t>Regional Income Inequality and Economic Growth in China.</w:t>
      </w:r>
      <w:proofErr w:type="gramEnd"/>
      <w:r w:rsidRPr="00E43070">
        <w:rPr>
          <w:sz w:val="22"/>
          <w:szCs w:val="22"/>
        </w:rPr>
        <w:t xml:space="preserve"> </w:t>
      </w:r>
      <w:r w:rsidRPr="00E43070">
        <w:rPr>
          <w:i/>
          <w:sz w:val="22"/>
          <w:szCs w:val="22"/>
        </w:rPr>
        <w:t>Journal of Comparative Economics</w:t>
      </w:r>
      <w:r w:rsidRPr="00E43070">
        <w:rPr>
          <w:sz w:val="22"/>
          <w:szCs w:val="22"/>
        </w:rPr>
        <w:t xml:space="preserve"> 22(2): 141-164.</w:t>
      </w:r>
    </w:p>
    <w:p w:rsidR="008672B9" w:rsidRPr="00E43070" w:rsidRDefault="008672B9" w:rsidP="00147850">
      <w:pPr>
        <w:autoSpaceDE w:val="0"/>
        <w:autoSpaceDN w:val="0"/>
        <w:adjustRightInd w:val="0"/>
        <w:ind w:left="720" w:hanging="720"/>
        <w:contextualSpacing/>
        <w:jc w:val="both"/>
        <w:rPr>
          <w:sz w:val="22"/>
          <w:szCs w:val="22"/>
        </w:rPr>
      </w:pPr>
      <w:r w:rsidRPr="00E43070">
        <w:rPr>
          <w:sz w:val="22"/>
          <w:szCs w:val="22"/>
        </w:rPr>
        <w:t xml:space="preserve">Chow, G. (2006). Are Chinese Official Statistics Reliable? </w:t>
      </w:r>
      <w:proofErr w:type="spellStart"/>
      <w:r w:rsidRPr="00E43070">
        <w:rPr>
          <w:i/>
          <w:sz w:val="22"/>
          <w:szCs w:val="22"/>
        </w:rPr>
        <w:t>CESifo</w:t>
      </w:r>
      <w:proofErr w:type="spellEnd"/>
      <w:r w:rsidRPr="00E43070">
        <w:rPr>
          <w:i/>
          <w:sz w:val="22"/>
          <w:szCs w:val="22"/>
        </w:rPr>
        <w:t xml:space="preserve"> Economic Studies</w:t>
      </w:r>
      <w:r w:rsidRPr="00E43070">
        <w:rPr>
          <w:sz w:val="22"/>
          <w:szCs w:val="22"/>
        </w:rPr>
        <w:t xml:space="preserve"> 52(2): 396</w:t>
      </w:r>
      <w:r w:rsidRPr="00E43070">
        <w:rPr>
          <w:sz w:val="22"/>
          <w:szCs w:val="22"/>
        </w:rPr>
        <w:noBreakHyphen/>
        <w:t>414.</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 xml:space="preserve">Duncan, R., and </w:t>
      </w:r>
      <w:proofErr w:type="spellStart"/>
      <w:r w:rsidRPr="00E43070">
        <w:rPr>
          <w:sz w:val="22"/>
          <w:szCs w:val="22"/>
        </w:rPr>
        <w:t>Tian</w:t>
      </w:r>
      <w:proofErr w:type="spellEnd"/>
      <w:r w:rsidRPr="00E43070">
        <w:rPr>
          <w:sz w:val="22"/>
          <w:szCs w:val="22"/>
        </w:rPr>
        <w:t>, X. (1999).</w:t>
      </w:r>
      <w:proofErr w:type="gramEnd"/>
      <w:r w:rsidRPr="00E43070">
        <w:rPr>
          <w:sz w:val="22"/>
          <w:szCs w:val="22"/>
        </w:rPr>
        <w:t xml:space="preserve"> China’s Inter-Provincial Disparities: An Explanation. </w:t>
      </w:r>
      <w:proofErr w:type="gramStart"/>
      <w:r w:rsidRPr="00E43070">
        <w:rPr>
          <w:i/>
          <w:sz w:val="22"/>
          <w:szCs w:val="22"/>
        </w:rPr>
        <w:t>Communist and Post-communist Studies</w:t>
      </w:r>
      <w:r w:rsidRPr="00E43070">
        <w:rPr>
          <w:sz w:val="22"/>
          <w:szCs w:val="22"/>
        </w:rPr>
        <w:t>, 32, 2:211–224.</w:t>
      </w:r>
      <w:proofErr w:type="gramEnd"/>
    </w:p>
    <w:p w:rsidR="002B4D53" w:rsidRPr="00E43070" w:rsidRDefault="002B4D53" w:rsidP="00147850">
      <w:pPr>
        <w:autoSpaceDE w:val="0"/>
        <w:autoSpaceDN w:val="0"/>
        <w:adjustRightInd w:val="0"/>
        <w:ind w:left="720" w:hanging="720"/>
        <w:contextualSpacing/>
        <w:jc w:val="both"/>
        <w:rPr>
          <w:sz w:val="22"/>
          <w:szCs w:val="22"/>
        </w:rPr>
      </w:pPr>
      <w:proofErr w:type="gramStart"/>
      <w:r w:rsidRPr="00E43070">
        <w:rPr>
          <w:sz w:val="22"/>
          <w:szCs w:val="22"/>
        </w:rPr>
        <w:t>Fan, C. C. (1995).</w:t>
      </w:r>
      <w:proofErr w:type="gramEnd"/>
      <w:r w:rsidRPr="00E43070">
        <w:rPr>
          <w:sz w:val="22"/>
          <w:szCs w:val="22"/>
        </w:rPr>
        <w:t xml:space="preserve"> Of Belts and Ladders: State Policy and Uneven Regional Development in post-Mao China. </w:t>
      </w:r>
      <w:r w:rsidRPr="00E43070">
        <w:rPr>
          <w:i/>
          <w:iCs/>
          <w:sz w:val="22"/>
          <w:szCs w:val="22"/>
        </w:rPr>
        <w:t>Annals of the Association of American Geographers,</w:t>
      </w:r>
      <w:r w:rsidRPr="00E43070">
        <w:rPr>
          <w:sz w:val="22"/>
          <w:szCs w:val="22"/>
        </w:rPr>
        <w:t xml:space="preserve"> 85(3), pp. 421-449.</w:t>
      </w:r>
    </w:p>
    <w:p w:rsidR="002B4D53" w:rsidRPr="00E43070" w:rsidRDefault="002B4D53" w:rsidP="00147850">
      <w:pPr>
        <w:autoSpaceDE w:val="0"/>
        <w:autoSpaceDN w:val="0"/>
        <w:adjustRightInd w:val="0"/>
        <w:ind w:left="720" w:hanging="720"/>
        <w:contextualSpacing/>
        <w:jc w:val="both"/>
        <w:rPr>
          <w:sz w:val="22"/>
          <w:szCs w:val="22"/>
        </w:rPr>
      </w:pPr>
      <w:proofErr w:type="gramStart"/>
      <w:r w:rsidRPr="00E43070">
        <w:rPr>
          <w:sz w:val="22"/>
          <w:szCs w:val="22"/>
        </w:rPr>
        <w:t>Fan, C. C. &amp; Sun, M. (2008).</w:t>
      </w:r>
      <w:proofErr w:type="gramEnd"/>
      <w:r w:rsidRPr="00E43070">
        <w:rPr>
          <w:sz w:val="22"/>
          <w:szCs w:val="22"/>
        </w:rPr>
        <w:t xml:space="preserve"> Regional Inequality in China, 1978-2006. </w:t>
      </w:r>
      <w:r w:rsidRPr="00E43070">
        <w:rPr>
          <w:i/>
          <w:sz w:val="22"/>
          <w:szCs w:val="22"/>
        </w:rPr>
        <w:t>Eurasian Geography and Economics,</w:t>
      </w:r>
      <w:r w:rsidRPr="00E43070">
        <w:rPr>
          <w:sz w:val="22"/>
          <w:szCs w:val="22"/>
        </w:rPr>
        <w:t xml:space="preserve"> 49(1), pp. 1-17.</w:t>
      </w:r>
    </w:p>
    <w:p w:rsidR="00B50147" w:rsidRPr="00E43070" w:rsidRDefault="00B50147" w:rsidP="00147850">
      <w:pPr>
        <w:ind w:left="720" w:hanging="720"/>
        <w:contextualSpacing/>
        <w:jc w:val="both"/>
        <w:rPr>
          <w:color w:val="000000"/>
          <w:sz w:val="22"/>
          <w:szCs w:val="22"/>
          <w:shd w:val="clear" w:color="auto" w:fill="FFFFFF"/>
        </w:rPr>
      </w:pPr>
      <w:r w:rsidRPr="00E43070">
        <w:rPr>
          <w:color w:val="000000"/>
          <w:sz w:val="22"/>
          <w:szCs w:val="22"/>
          <w:shd w:val="clear" w:color="auto" w:fill="FFFFFF"/>
        </w:rPr>
        <w:t xml:space="preserve">Fan, S., </w:t>
      </w:r>
      <w:proofErr w:type="spellStart"/>
      <w:r w:rsidRPr="00E43070">
        <w:rPr>
          <w:color w:val="000000"/>
          <w:sz w:val="22"/>
          <w:szCs w:val="22"/>
          <w:shd w:val="clear" w:color="auto" w:fill="FFFFFF"/>
        </w:rPr>
        <w:t>Kanbur</w:t>
      </w:r>
      <w:proofErr w:type="spellEnd"/>
      <w:r w:rsidRPr="00E43070">
        <w:rPr>
          <w:color w:val="000000"/>
          <w:sz w:val="22"/>
          <w:szCs w:val="22"/>
          <w:shd w:val="clear" w:color="auto" w:fill="FFFFFF"/>
        </w:rPr>
        <w:t>, R., &amp; Zhang, X. (2011). China’s Regional Disparities: Experience and Policy.</w:t>
      </w:r>
      <w:r w:rsidRPr="00E43070">
        <w:rPr>
          <w:rStyle w:val="apple-converted-space"/>
          <w:color w:val="000000"/>
          <w:sz w:val="22"/>
          <w:szCs w:val="22"/>
          <w:shd w:val="clear" w:color="auto" w:fill="FFFFFF"/>
        </w:rPr>
        <w:t> </w:t>
      </w:r>
      <w:r w:rsidRPr="00E43070">
        <w:rPr>
          <w:rStyle w:val="Emphasis"/>
          <w:color w:val="000000"/>
          <w:sz w:val="22"/>
          <w:szCs w:val="22"/>
          <w:shd w:val="clear" w:color="auto" w:fill="FFFFFF"/>
        </w:rPr>
        <w:t>Review of Development Finance</w:t>
      </w:r>
      <w:r w:rsidRPr="00E43070">
        <w:rPr>
          <w:color w:val="000000"/>
          <w:sz w:val="22"/>
          <w:szCs w:val="22"/>
          <w:shd w:val="clear" w:color="auto" w:fill="FFFFFF"/>
        </w:rPr>
        <w:t>, 1(1): 47-56.</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lastRenderedPageBreak/>
        <w:t xml:space="preserve">Fujita, M., and </w:t>
      </w:r>
      <w:proofErr w:type="spellStart"/>
      <w:r w:rsidRPr="00E43070">
        <w:rPr>
          <w:sz w:val="22"/>
          <w:szCs w:val="22"/>
        </w:rPr>
        <w:t>Hu</w:t>
      </w:r>
      <w:proofErr w:type="spellEnd"/>
      <w:r w:rsidRPr="00E43070">
        <w:rPr>
          <w:sz w:val="22"/>
          <w:szCs w:val="22"/>
        </w:rPr>
        <w:t>, D. (2001).</w:t>
      </w:r>
      <w:proofErr w:type="gramEnd"/>
      <w:r w:rsidRPr="00E43070">
        <w:rPr>
          <w:sz w:val="22"/>
          <w:szCs w:val="22"/>
        </w:rPr>
        <w:t xml:space="preserve"> Regional Disparity in China, 1985–1994: The Effects of Globalization and Economic Liberalization. </w:t>
      </w:r>
      <w:r w:rsidRPr="00E43070">
        <w:rPr>
          <w:i/>
          <w:sz w:val="22"/>
          <w:szCs w:val="22"/>
        </w:rPr>
        <w:t>The Annals of Regional Science</w:t>
      </w:r>
      <w:r w:rsidRPr="00E43070">
        <w:rPr>
          <w:sz w:val="22"/>
          <w:szCs w:val="22"/>
        </w:rPr>
        <w:t>, 35, 3:3–37.</w:t>
      </w:r>
    </w:p>
    <w:p w:rsidR="00FB70F6" w:rsidRPr="00E43070" w:rsidRDefault="00FB70F6" w:rsidP="00147850">
      <w:pPr>
        <w:ind w:left="720" w:hanging="720"/>
        <w:contextualSpacing/>
        <w:jc w:val="both"/>
        <w:rPr>
          <w:sz w:val="22"/>
          <w:szCs w:val="22"/>
        </w:rPr>
      </w:pPr>
      <w:proofErr w:type="gramStart"/>
      <w:r w:rsidRPr="00E43070">
        <w:rPr>
          <w:sz w:val="22"/>
          <w:szCs w:val="22"/>
        </w:rPr>
        <w:t>Gibson, J. and Kim, B. (2010).</w:t>
      </w:r>
      <w:proofErr w:type="gramEnd"/>
      <w:r w:rsidRPr="00E43070">
        <w:rPr>
          <w:sz w:val="22"/>
          <w:szCs w:val="22"/>
        </w:rPr>
        <w:t xml:space="preserve"> </w:t>
      </w:r>
      <w:proofErr w:type="gramStart"/>
      <w:r w:rsidRPr="00E43070">
        <w:rPr>
          <w:sz w:val="22"/>
          <w:szCs w:val="22"/>
        </w:rPr>
        <w:t>Non-classical Measurement Error in Long-term Retrospective Surveys.</w:t>
      </w:r>
      <w:proofErr w:type="gramEnd"/>
      <w:r w:rsidRPr="00E43070">
        <w:rPr>
          <w:sz w:val="22"/>
          <w:szCs w:val="22"/>
        </w:rPr>
        <w:t xml:space="preserve"> </w:t>
      </w:r>
      <w:r w:rsidRPr="00E43070">
        <w:rPr>
          <w:i/>
          <w:sz w:val="22"/>
          <w:szCs w:val="22"/>
        </w:rPr>
        <w:t>Oxford Bulletin of Economics and Statistic</w:t>
      </w:r>
      <w:r w:rsidRPr="00E43070">
        <w:rPr>
          <w:sz w:val="22"/>
          <w:szCs w:val="22"/>
        </w:rPr>
        <w:t>s, 72(5): 687-695.</w:t>
      </w:r>
    </w:p>
    <w:p w:rsidR="003C5D76" w:rsidRPr="00E43070" w:rsidRDefault="003C5D76" w:rsidP="00147850">
      <w:pPr>
        <w:ind w:left="720" w:hanging="720"/>
        <w:contextualSpacing/>
        <w:jc w:val="both"/>
        <w:rPr>
          <w:sz w:val="22"/>
          <w:szCs w:val="22"/>
        </w:rPr>
      </w:pPr>
      <w:proofErr w:type="spellStart"/>
      <w:r w:rsidRPr="00E43070">
        <w:rPr>
          <w:sz w:val="22"/>
          <w:szCs w:val="22"/>
        </w:rPr>
        <w:t>Holz</w:t>
      </w:r>
      <w:proofErr w:type="spellEnd"/>
      <w:r w:rsidRPr="00E43070">
        <w:rPr>
          <w:sz w:val="22"/>
          <w:szCs w:val="22"/>
        </w:rPr>
        <w:t xml:space="preserve">, C. (2004). </w:t>
      </w:r>
      <w:proofErr w:type="gramStart"/>
      <w:r w:rsidRPr="00E43070">
        <w:rPr>
          <w:sz w:val="22"/>
          <w:szCs w:val="22"/>
        </w:rPr>
        <w:t>Deconstructing China’s GDP statistics.</w:t>
      </w:r>
      <w:proofErr w:type="gramEnd"/>
      <w:r w:rsidRPr="00E43070">
        <w:rPr>
          <w:sz w:val="22"/>
          <w:szCs w:val="22"/>
        </w:rPr>
        <w:t xml:space="preserve"> </w:t>
      </w:r>
      <w:r w:rsidRPr="00E43070">
        <w:rPr>
          <w:i/>
          <w:sz w:val="22"/>
          <w:szCs w:val="22"/>
        </w:rPr>
        <w:t>China Economic Review</w:t>
      </w:r>
      <w:r w:rsidRPr="00E43070">
        <w:rPr>
          <w:sz w:val="22"/>
          <w:szCs w:val="22"/>
        </w:rPr>
        <w:t xml:space="preserve"> 15(2</w:t>
      </w:r>
      <w:r w:rsidR="008672B9" w:rsidRPr="00E43070">
        <w:rPr>
          <w:sz w:val="22"/>
          <w:szCs w:val="22"/>
        </w:rPr>
        <w:t>): 164</w:t>
      </w:r>
      <w:r w:rsidR="008672B9" w:rsidRPr="00E43070">
        <w:rPr>
          <w:sz w:val="22"/>
          <w:szCs w:val="22"/>
        </w:rPr>
        <w:noBreakHyphen/>
      </w:r>
      <w:r w:rsidRPr="00E43070">
        <w:rPr>
          <w:sz w:val="22"/>
          <w:szCs w:val="22"/>
        </w:rPr>
        <w:t>202.</w:t>
      </w:r>
    </w:p>
    <w:p w:rsidR="008054F8" w:rsidRPr="00E43070" w:rsidRDefault="008054F8" w:rsidP="00147850">
      <w:pPr>
        <w:ind w:left="720" w:hanging="720"/>
        <w:contextualSpacing/>
        <w:jc w:val="both"/>
        <w:rPr>
          <w:sz w:val="22"/>
          <w:szCs w:val="22"/>
        </w:rPr>
      </w:pPr>
      <w:proofErr w:type="gramStart"/>
      <w:r w:rsidRPr="00E43070">
        <w:rPr>
          <w:sz w:val="22"/>
          <w:szCs w:val="22"/>
        </w:rPr>
        <w:t>Hoshino, M. (2011).</w:t>
      </w:r>
      <w:proofErr w:type="gramEnd"/>
      <w:r w:rsidRPr="00E43070">
        <w:rPr>
          <w:sz w:val="22"/>
          <w:szCs w:val="22"/>
        </w:rPr>
        <w:t xml:space="preserve"> </w:t>
      </w:r>
      <w:proofErr w:type="gramStart"/>
      <w:r w:rsidRPr="00E43070">
        <w:rPr>
          <w:sz w:val="22"/>
          <w:szCs w:val="22"/>
        </w:rPr>
        <w:t>Measurement of GDP per capita and regional disparities in China, 1979-2009.</w:t>
      </w:r>
      <w:proofErr w:type="gramEnd"/>
      <w:r w:rsidRPr="00E43070">
        <w:rPr>
          <w:sz w:val="22"/>
          <w:szCs w:val="22"/>
        </w:rPr>
        <w:t xml:space="preserve"> </w:t>
      </w:r>
      <w:proofErr w:type="gramStart"/>
      <w:r w:rsidRPr="00E43070">
        <w:rPr>
          <w:i/>
          <w:sz w:val="22"/>
          <w:szCs w:val="22"/>
        </w:rPr>
        <w:t xml:space="preserve">Discussion Paper </w:t>
      </w:r>
      <w:r w:rsidRPr="00E43070">
        <w:rPr>
          <w:sz w:val="22"/>
          <w:szCs w:val="22"/>
        </w:rPr>
        <w:t>DP2011-17, Research Institute for Economics and Business Administration, Kobe University, Kobe, Japan.</w:t>
      </w:r>
      <w:proofErr w:type="gramEnd"/>
    </w:p>
    <w:p w:rsidR="00B50147" w:rsidRPr="00E43070" w:rsidRDefault="00B50147" w:rsidP="00147850">
      <w:pPr>
        <w:autoSpaceDE w:val="0"/>
        <w:autoSpaceDN w:val="0"/>
        <w:adjustRightInd w:val="0"/>
        <w:ind w:left="720" w:hanging="720"/>
        <w:contextualSpacing/>
        <w:jc w:val="both"/>
        <w:rPr>
          <w:sz w:val="22"/>
          <w:szCs w:val="22"/>
        </w:rPr>
      </w:pPr>
      <w:proofErr w:type="spellStart"/>
      <w:r w:rsidRPr="00E43070">
        <w:rPr>
          <w:sz w:val="22"/>
          <w:szCs w:val="22"/>
        </w:rPr>
        <w:t>Hsueh</w:t>
      </w:r>
      <w:proofErr w:type="spellEnd"/>
      <w:r w:rsidRPr="00E43070">
        <w:rPr>
          <w:sz w:val="22"/>
          <w:szCs w:val="22"/>
        </w:rPr>
        <w:t xml:space="preserve"> T-T., Li, Q., and Liu, S. (Eds). </w:t>
      </w:r>
      <w:proofErr w:type="gramStart"/>
      <w:r w:rsidRPr="00E43070">
        <w:rPr>
          <w:sz w:val="22"/>
          <w:szCs w:val="22"/>
        </w:rPr>
        <w:t>(1993). China’s provincial statistics 1949-1989.</w:t>
      </w:r>
      <w:proofErr w:type="gramEnd"/>
      <w:r w:rsidRPr="00E43070">
        <w:rPr>
          <w:sz w:val="22"/>
          <w:szCs w:val="22"/>
        </w:rPr>
        <w:t xml:space="preserve"> Boulder CO: </w:t>
      </w:r>
      <w:proofErr w:type="spellStart"/>
      <w:r w:rsidRPr="00E43070">
        <w:rPr>
          <w:sz w:val="22"/>
          <w:szCs w:val="22"/>
        </w:rPr>
        <w:t>Westview</w:t>
      </w:r>
      <w:proofErr w:type="spellEnd"/>
      <w:r w:rsidRPr="00E43070">
        <w:rPr>
          <w:sz w:val="22"/>
          <w:szCs w:val="22"/>
        </w:rPr>
        <w:t xml:space="preserve"> Press.</w:t>
      </w:r>
    </w:p>
    <w:p w:rsidR="005332F7" w:rsidRPr="00E43070" w:rsidRDefault="005332F7" w:rsidP="00147850">
      <w:pPr>
        <w:ind w:left="720" w:hanging="720"/>
        <w:contextualSpacing/>
        <w:jc w:val="both"/>
        <w:rPr>
          <w:sz w:val="22"/>
          <w:szCs w:val="22"/>
        </w:rPr>
      </w:pPr>
      <w:proofErr w:type="gramStart"/>
      <w:r w:rsidRPr="00E43070">
        <w:rPr>
          <w:sz w:val="22"/>
          <w:szCs w:val="22"/>
        </w:rPr>
        <w:t xml:space="preserve">Huang, J-T., </w:t>
      </w:r>
      <w:proofErr w:type="spellStart"/>
      <w:r w:rsidRPr="00E43070">
        <w:rPr>
          <w:sz w:val="22"/>
          <w:szCs w:val="22"/>
        </w:rPr>
        <w:t>Kuo</w:t>
      </w:r>
      <w:proofErr w:type="spellEnd"/>
      <w:r w:rsidRPr="00E43070">
        <w:rPr>
          <w:sz w:val="22"/>
          <w:szCs w:val="22"/>
        </w:rPr>
        <w:t>, C-C., and Kao, A-P.</w:t>
      </w:r>
      <w:proofErr w:type="gramEnd"/>
      <w:r w:rsidRPr="00E43070">
        <w:rPr>
          <w:sz w:val="22"/>
          <w:szCs w:val="22"/>
        </w:rPr>
        <w:t xml:space="preserve"> </w:t>
      </w:r>
      <w:proofErr w:type="gramStart"/>
      <w:r w:rsidRPr="00E43070">
        <w:rPr>
          <w:sz w:val="22"/>
          <w:szCs w:val="22"/>
        </w:rPr>
        <w:t>(2003). The Inequality of Regional Economic Development in China Between 1991 and 2001.</w:t>
      </w:r>
      <w:proofErr w:type="gramEnd"/>
      <w:r w:rsidRPr="00E43070">
        <w:rPr>
          <w:sz w:val="22"/>
          <w:szCs w:val="22"/>
        </w:rPr>
        <w:t xml:space="preserve"> </w:t>
      </w:r>
      <w:r w:rsidRPr="00E43070">
        <w:rPr>
          <w:i/>
          <w:sz w:val="22"/>
          <w:szCs w:val="22"/>
        </w:rPr>
        <w:t>Journal of Chinese Economic and Business Studies</w:t>
      </w:r>
      <w:r w:rsidRPr="00E43070">
        <w:rPr>
          <w:sz w:val="22"/>
          <w:szCs w:val="22"/>
        </w:rPr>
        <w:t xml:space="preserve"> 1(3): </w:t>
      </w:r>
      <w:r w:rsidR="00147850">
        <w:rPr>
          <w:sz w:val="22"/>
          <w:szCs w:val="22"/>
        </w:rPr>
        <w:br/>
      </w:r>
      <w:r w:rsidRPr="00E43070">
        <w:rPr>
          <w:sz w:val="22"/>
          <w:szCs w:val="22"/>
        </w:rPr>
        <w:t>273-285.</w:t>
      </w:r>
    </w:p>
    <w:p w:rsidR="002B4D53" w:rsidRPr="00E43070" w:rsidRDefault="002B4D53" w:rsidP="00147850">
      <w:pPr>
        <w:autoSpaceDE w:val="0"/>
        <w:autoSpaceDN w:val="0"/>
        <w:adjustRightInd w:val="0"/>
        <w:ind w:left="720" w:hanging="720"/>
        <w:contextualSpacing/>
        <w:jc w:val="both"/>
        <w:rPr>
          <w:sz w:val="22"/>
          <w:szCs w:val="22"/>
        </w:rPr>
      </w:pPr>
      <w:proofErr w:type="spellStart"/>
      <w:proofErr w:type="gramStart"/>
      <w:r w:rsidRPr="00E43070">
        <w:rPr>
          <w:sz w:val="22"/>
          <w:szCs w:val="22"/>
        </w:rPr>
        <w:t>Kanbur</w:t>
      </w:r>
      <w:proofErr w:type="spellEnd"/>
      <w:r w:rsidRPr="00E43070">
        <w:rPr>
          <w:sz w:val="22"/>
          <w:szCs w:val="22"/>
        </w:rPr>
        <w:t>, R., &amp; Zhang, X. (2005).</w:t>
      </w:r>
      <w:proofErr w:type="gramEnd"/>
      <w:r w:rsidRPr="00E43070">
        <w:rPr>
          <w:sz w:val="22"/>
          <w:szCs w:val="22"/>
        </w:rPr>
        <w:t xml:space="preserve"> Fifty Years of Regional Inequality in China: A Journey through Central Planning, Reform and Openness. </w:t>
      </w:r>
      <w:r w:rsidRPr="00E43070">
        <w:rPr>
          <w:i/>
          <w:iCs/>
          <w:sz w:val="22"/>
          <w:szCs w:val="22"/>
        </w:rPr>
        <w:t>Review of Development Economics,</w:t>
      </w:r>
      <w:r w:rsidRPr="00E43070">
        <w:rPr>
          <w:sz w:val="22"/>
          <w:szCs w:val="22"/>
        </w:rPr>
        <w:t xml:space="preserve"> 9(1), 87-106.</w:t>
      </w:r>
    </w:p>
    <w:p w:rsidR="002B4D53" w:rsidRPr="00E43070" w:rsidRDefault="002B4D53" w:rsidP="00147850">
      <w:pPr>
        <w:autoSpaceDE w:val="0"/>
        <w:autoSpaceDN w:val="0"/>
        <w:adjustRightInd w:val="0"/>
        <w:ind w:left="720" w:hanging="720"/>
        <w:contextualSpacing/>
        <w:jc w:val="both"/>
        <w:rPr>
          <w:sz w:val="22"/>
          <w:szCs w:val="22"/>
        </w:rPr>
      </w:pPr>
      <w:r w:rsidRPr="00E43070">
        <w:rPr>
          <w:sz w:val="22"/>
          <w:szCs w:val="22"/>
        </w:rPr>
        <w:t xml:space="preserve">Lai, H. Y. (2002). China's Western Development Program: Its Rationale, Implementation, and Prospects. </w:t>
      </w:r>
      <w:r w:rsidRPr="00E43070">
        <w:rPr>
          <w:i/>
          <w:iCs/>
          <w:sz w:val="22"/>
          <w:szCs w:val="22"/>
        </w:rPr>
        <w:t>Modern China,</w:t>
      </w:r>
      <w:r w:rsidRPr="00E43070">
        <w:rPr>
          <w:sz w:val="22"/>
          <w:szCs w:val="22"/>
        </w:rPr>
        <w:t xml:space="preserve"> 28(4), pp. 432-453.</w:t>
      </w:r>
    </w:p>
    <w:p w:rsidR="002B4D53" w:rsidRPr="00E43070" w:rsidRDefault="002B4D53" w:rsidP="00147850">
      <w:pPr>
        <w:autoSpaceDE w:val="0"/>
        <w:autoSpaceDN w:val="0"/>
        <w:adjustRightInd w:val="0"/>
        <w:ind w:left="720" w:hanging="720"/>
        <w:contextualSpacing/>
        <w:jc w:val="both"/>
        <w:rPr>
          <w:sz w:val="22"/>
          <w:szCs w:val="22"/>
        </w:rPr>
      </w:pPr>
      <w:r w:rsidRPr="00E43070">
        <w:rPr>
          <w:sz w:val="22"/>
          <w:szCs w:val="22"/>
        </w:rPr>
        <w:t xml:space="preserve">Lai, H. Y. (2007). </w:t>
      </w:r>
      <w:proofErr w:type="gramStart"/>
      <w:r w:rsidRPr="00E43070">
        <w:rPr>
          <w:sz w:val="22"/>
          <w:szCs w:val="22"/>
        </w:rPr>
        <w:t>Developing Central China: A New Regional Programme.</w:t>
      </w:r>
      <w:proofErr w:type="gramEnd"/>
      <w:r w:rsidRPr="00E43070">
        <w:rPr>
          <w:sz w:val="22"/>
          <w:szCs w:val="22"/>
        </w:rPr>
        <w:t xml:space="preserve"> </w:t>
      </w:r>
      <w:r w:rsidRPr="00E43070">
        <w:rPr>
          <w:i/>
          <w:sz w:val="22"/>
          <w:szCs w:val="22"/>
        </w:rPr>
        <w:t>China: An International Journal,</w:t>
      </w:r>
      <w:r w:rsidRPr="00E43070">
        <w:rPr>
          <w:sz w:val="22"/>
          <w:szCs w:val="22"/>
        </w:rPr>
        <w:t xml:space="preserve"> 5, pp. 109-128.</w:t>
      </w:r>
    </w:p>
    <w:p w:rsidR="002B4D53" w:rsidRPr="00E43070" w:rsidRDefault="002B4D53" w:rsidP="00147850">
      <w:pPr>
        <w:autoSpaceDE w:val="0"/>
        <w:autoSpaceDN w:val="0"/>
        <w:adjustRightInd w:val="0"/>
        <w:ind w:left="720" w:hanging="720"/>
        <w:contextualSpacing/>
        <w:jc w:val="both"/>
        <w:rPr>
          <w:sz w:val="22"/>
          <w:szCs w:val="22"/>
        </w:rPr>
      </w:pPr>
      <w:proofErr w:type="gramStart"/>
      <w:r w:rsidRPr="00E43070">
        <w:rPr>
          <w:sz w:val="22"/>
          <w:szCs w:val="22"/>
        </w:rPr>
        <w:t>Li, Y. R. &amp; Wei, Y. H. D. (2010).</w:t>
      </w:r>
      <w:proofErr w:type="gramEnd"/>
      <w:r w:rsidRPr="00E43070">
        <w:rPr>
          <w:sz w:val="22"/>
          <w:szCs w:val="22"/>
        </w:rPr>
        <w:t xml:space="preserve"> </w:t>
      </w:r>
      <w:proofErr w:type="gramStart"/>
      <w:r w:rsidRPr="00E43070">
        <w:rPr>
          <w:sz w:val="22"/>
          <w:szCs w:val="22"/>
        </w:rPr>
        <w:t>The Spatial-Temporal Hierarchy of Regional Inequality of China</w:t>
      </w:r>
      <w:r w:rsidRPr="00E43070">
        <w:rPr>
          <w:i/>
          <w:sz w:val="22"/>
          <w:szCs w:val="22"/>
        </w:rPr>
        <w:t>.</w:t>
      </w:r>
      <w:proofErr w:type="gramEnd"/>
      <w:r w:rsidRPr="00E43070">
        <w:rPr>
          <w:i/>
          <w:sz w:val="22"/>
          <w:szCs w:val="22"/>
        </w:rPr>
        <w:t xml:space="preserve"> </w:t>
      </w:r>
      <w:proofErr w:type="gramStart"/>
      <w:r w:rsidRPr="00E43070">
        <w:rPr>
          <w:i/>
          <w:sz w:val="22"/>
          <w:szCs w:val="22"/>
        </w:rPr>
        <w:t>Applied Geography,</w:t>
      </w:r>
      <w:r w:rsidRPr="00E43070">
        <w:rPr>
          <w:sz w:val="22"/>
          <w:szCs w:val="22"/>
        </w:rPr>
        <w:t xml:space="preserve"> 30, pp. 303-316.</w:t>
      </w:r>
      <w:proofErr w:type="gramEnd"/>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Liu, S., and Zhang, X. (2007).</w:t>
      </w:r>
      <w:proofErr w:type="gramEnd"/>
      <w:r w:rsidRPr="00E43070">
        <w:rPr>
          <w:sz w:val="22"/>
          <w:szCs w:val="22"/>
        </w:rPr>
        <w:t xml:space="preserve"> The features of China’s sustained high growth and the decline of regional economic disparity. </w:t>
      </w:r>
      <w:proofErr w:type="spellStart"/>
      <w:proofErr w:type="gramStart"/>
      <w:r w:rsidRPr="00E43070">
        <w:rPr>
          <w:i/>
          <w:sz w:val="22"/>
          <w:szCs w:val="22"/>
        </w:rPr>
        <w:t>Jingji</w:t>
      </w:r>
      <w:proofErr w:type="spellEnd"/>
      <w:r w:rsidRPr="00E43070">
        <w:rPr>
          <w:i/>
          <w:sz w:val="22"/>
          <w:szCs w:val="22"/>
        </w:rPr>
        <w:t xml:space="preserve"> </w:t>
      </w:r>
      <w:proofErr w:type="spellStart"/>
      <w:r w:rsidRPr="00E43070">
        <w:rPr>
          <w:i/>
          <w:sz w:val="22"/>
          <w:szCs w:val="22"/>
        </w:rPr>
        <w:t>Yanjiu</w:t>
      </w:r>
      <w:proofErr w:type="spellEnd"/>
      <w:r w:rsidRPr="00E43070">
        <w:rPr>
          <w:i/>
          <w:sz w:val="22"/>
          <w:szCs w:val="22"/>
        </w:rPr>
        <w:t xml:space="preserve"> (Economic Research)</w:t>
      </w:r>
      <w:r w:rsidRPr="00E43070">
        <w:rPr>
          <w:sz w:val="22"/>
          <w:szCs w:val="22"/>
        </w:rPr>
        <w:t>, 10, pp.17-31.</w:t>
      </w:r>
      <w:proofErr w:type="gramEnd"/>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Lu, M., and Wang, E. (2002).</w:t>
      </w:r>
      <w:proofErr w:type="gramEnd"/>
      <w:r w:rsidRPr="00E43070">
        <w:rPr>
          <w:sz w:val="22"/>
          <w:szCs w:val="22"/>
        </w:rPr>
        <w:t xml:space="preserve"> Forging Ahead and Falling Behind: Changing Regional Inequalities in Post-Reform China. </w:t>
      </w:r>
      <w:r w:rsidRPr="00E43070">
        <w:rPr>
          <w:i/>
          <w:sz w:val="22"/>
          <w:szCs w:val="22"/>
        </w:rPr>
        <w:t>Growth and Change</w:t>
      </w:r>
      <w:r w:rsidRPr="00E43070">
        <w:rPr>
          <w:sz w:val="22"/>
          <w:szCs w:val="22"/>
        </w:rPr>
        <w:t>, 33, 1:42–71.</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(1998). The twenty years of spectacular achievements.</w:t>
      </w:r>
      <w:proofErr w:type="gramEnd"/>
      <w:r w:rsidRPr="00E43070">
        <w:rPr>
          <w:sz w:val="22"/>
          <w:szCs w:val="22"/>
        </w:rPr>
        <w:t xml:space="preserve"> Beijing: Statistics Press of China.</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 xml:space="preserve">(1990). Historical Statistical Materials for Provinces, Autonomous Regions and Municipalities 1949-1989 </w:t>
      </w:r>
      <w:r w:rsidRPr="00E43070">
        <w:rPr>
          <w:i/>
          <w:sz w:val="22"/>
          <w:szCs w:val="22"/>
        </w:rPr>
        <w:t>(</w:t>
      </w:r>
      <w:proofErr w:type="spellStart"/>
      <w:r w:rsidRPr="00E43070">
        <w:rPr>
          <w:i/>
          <w:sz w:val="22"/>
          <w:szCs w:val="22"/>
        </w:rPr>
        <w:t>Quanguo</w:t>
      </w:r>
      <w:proofErr w:type="spellEnd"/>
      <w:r w:rsidRPr="00E43070">
        <w:rPr>
          <w:i/>
          <w:sz w:val="22"/>
          <w:szCs w:val="22"/>
        </w:rPr>
        <w:t xml:space="preserve"> </w:t>
      </w:r>
      <w:proofErr w:type="spellStart"/>
      <w:r w:rsidRPr="00E43070">
        <w:rPr>
          <w:i/>
          <w:sz w:val="22"/>
          <w:szCs w:val="22"/>
        </w:rPr>
        <w:t>Gesheng</w:t>
      </w:r>
      <w:proofErr w:type="spellEnd"/>
      <w:r w:rsidRPr="00E43070">
        <w:rPr>
          <w:i/>
          <w:sz w:val="22"/>
          <w:szCs w:val="22"/>
        </w:rPr>
        <w:t xml:space="preserve"> </w:t>
      </w:r>
      <w:proofErr w:type="spellStart"/>
      <w:r w:rsidRPr="00E43070">
        <w:rPr>
          <w:i/>
          <w:sz w:val="22"/>
          <w:szCs w:val="22"/>
        </w:rPr>
        <w:t>Zizhiqu</w:t>
      </w:r>
      <w:proofErr w:type="spellEnd"/>
      <w:r w:rsidRPr="00E43070">
        <w:rPr>
          <w:i/>
          <w:sz w:val="22"/>
          <w:szCs w:val="22"/>
        </w:rPr>
        <w:t xml:space="preserve"> </w:t>
      </w:r>
      <w:proofErr w:type="spellStart"/>
      <w:r w:rsidRPr="00E43070">
        <w:rPr>
          <w:i/>
          <w:sz w:val="22"/>
          <w:szCs w:val="22"/>
        </w:rPr>
        <w:t>Zhixiashi</w:t>
      </w:r>
      <w:proofErr w:type="spellEnd"/>
      <w:r w:rsidRPr="00E43070">
        <w:rPr>
          <w:i/>
          <w:sz w:val="22"/>
          <w:szCs w:val="22"/>
        </w:rPr>
        <w:t xml:space="preserve"> </w:t>
      </w:r>
      <w:proofErr w:type="spellStart"/>
      <w:r w:rsidRPr="00E43070">
        <w:rPr>
          <w:i/>
          <w:sz w:val="22"/>
          <w:szCs w:val="22"/>
        </w:rPr>
        <w:t>Lishi</w:t>
      </w:r>
      <w:proofErr w:type="spellEnd"/>
      <w:r w:rsidRPr="00E43070">
        <w:rPr>
          <w:i/>
          <w:sz w:val="22"/>
          <w:szCs w:val="22"/>
        </w:rPr>
        <w:t xml:space="preserve"> </w:t>
      </w:r>
      <w:proofErr w:type="spellStart"/>
      <w:r w:rsidRPr="00E43070">
        <w:rPr>
          <w:i/>
          <w:sz w:val="22"/>
          <w:szCs w:val="22"/>
        </w:rPr>
        <w:t>Tongji</w:t>
      </w:r>
      <w:proofErr w:type="spellEnd"/>
      <w:r w:rsidRPr="00E43070">
        <w:rPr>
          <w:i/>
          <w:sz w:val="22"/>
          <w:szCs w:val="22"/>
        </w:rPr>
        <w:t xml:space="preserve"> </w:t>
      </w:r>
      <w:proofErr w:type="spellStart"/>
      <w:r w:rsidRPr="00E43070">
        <w:rPr>
          <w:i/>
          <w:sz w:val="22"/>
          <w:szCs w:val="22"/>
        </w:rPr>
        <w:t>Ziliao</w:t>
      </w:r>
      <w:proofErr w:type="spellEnd"/>
      <w:r w:rsidRPr="00E43070">
        <w:rPr>
          <w:i/>
          <w:sz w:val="22"/>
          <w:szCs w:val="22"/>
        </w:rPr>
        <w:t xml:space="preserve"> </w:t>
      </w:r>
      <w:proofErr w:type="spellStart"/>
      <w:r w:rsidRPr="00E43070">
        <w:rPr>
          <w:i/>
          <w:sz w:val="22"/>
          <w:szCs w:val="22"/>
        </w:rPr>
        <w:t>Huibian</w:t>
      </w:r>
      <w:proofErr w:type="spellEnd"/>
      <w:r w:rsidRPr="00E43070">
        <w:rPr>
          <w:i/>
          <w:sz w:val="22"/>
          <w:szCs w:val="22"/>
        </w:rPr>
        <w:t>)</w:t>
      </w:r>
      <w:r w:rsidRPr="00E43070">
        <w:rPr>
          <w:sz w:val="22"/>
          <w:szCs w:val="22"/>
        </w:rPr>
        <w:t>.</w:t>
      </w:r>
      <w:proofErr w:type="gramEnd"/>
      <w:r w:rsidRPr="00E43070">
        <w:rPr>
          <w:sz w:val="22"/>
          <w:szCs w:val="22"/>
        </w:rPr>
        <w:t xml:space="preserve"> Beijing: China Statistics Press.</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 xml:space="preserve">(1999). Comprehensive Statistical Data and Materials on 50 Years of New China </w:t>
      </w:r>
      <w:r w:rsidRPr="00E43070">
        <w:rPr>
          <w:i/>
          <w:sz w:val="22"/>
          <w:szCs w:val="22"/>
        </w:rPr>
        <w:t>(</w:t>
      </w:r>
      <w:proofErr w:type="spellStart"/>
      <w:r w:rsidRPr="00E43070">
        <w:rPr>
          <w:i/>
          <w:sz w:val="22"/>
          <w:szCs w:val="22"/>
        </w:rPr>
        <w:t>Xin</w:t>
      </w:r>
      <w:proofErr w:type="spellEnd"/>
      <w:r w:rsidRPr="00E43070">
        <w:rPr>
          <w:i/>
          <w:sz w:val="22"/>
          <w:szCs w:val="22"/>
        </w:rPr>
        <w:t xml:space="preserve"> </w:t>
      </w:r>
      <w:proofErr w:type="spellStart"/>
      <w:r w:rsidRPr="00E43070">
        <w:rPr>
          <w:i/>
          <w:sz w:val="22"/>
          <w:szCs w:val="22"/>
        </w:rPr>
        <w:t>Zhongguo</w:t>
      </w:r>
      <w:proofErr w:type="spellEnd"/>
      <w:r w:rsidRPr="00E43070">
        <w:rPr>
          <w:i/>
          <w:sz w:val="22"/>
          <w:szCs w:val="22"/>
        </w:rPr>
        <w:t xml:space="preserve"> </w:t>
      </w:r>
      <w:proofErr w:type="spellStart"/>
      <w:r w:rsidRPr="00E43070">
        <w:rPr>
          <w:i/>
          <w:sz w:val="22"/>
          <w:szCs w:val="22"/>
        </w:rPr>
        <w:t>Wushinian</w:t>
      </w:r>
      <w:proofErr w:type="spellEnd"/>
      <w:r w:rsidRPr="00E43070">
        <w:rPr>
          <w:i/>
          <w:sz w:val="22"/>
          <w:szCs w:val="22"/>
        </w:rPr>
        <w:t xml:space="preserve"> </w:t>
      </w:r>
      <w:proofErr w:type="spellStart"/>
      <w:r w:rsidRPr="00E43070">
        <w:rPr>
          <w:i/>
          <w:sz w:val="22"/>
          <w:szCs w:val="22"/>
        </w:rPr>
        <w:t>Tongji</w:t>
      </w:r>
      <w:proofErr w:type="spellEnd"/>
      <w:r w:rsidRPr="00E43070">
        <w:rPr>
          <w:i/>
          <w:sz w:val="22"/>
          <w:szCs w:val="22"/>
        </w:rPr>
        <w:t xml:space="preserve"> </w:t>
      </w:r>
      <w:proofErr w:type="spellStart"/>
      <w:r w:rsidRPr="00E43070">
        <w:rPr>
          <w:i/>
          <w:sz w:val="22"/>
          <w:szCs w:val="22"/>
        </w:rPr>
        <w:t>Ziliao</w:t>
      </w:r>
      <w:proofErr w:type="spellEnd"/>
      <w:r w:rsidRPr="00E43070">
        <w:rPr>
          <w:i/>
          <w:sz w:val="22"/>
          <w:szCs w:val="22"/>
        </w:rPr>
        <w:t xml:space="preserve"> </w:t>
      </w:r>
      <w:proofErr w:type="spellStart"/>
      <w:r w:rsidRPr="00E43070">
        <w:rPr>
          <w:i/>
          <w:sz w:val="22"/>
          <w:szCs w:val="22"/>
        </w:rPr>
        <w:t>Huibian</w:t>
      </w:r>
      <w:proofErr w:type="spellEnd"/>
      <w:r w:rsidRPr="00E43070">
        <w:rPr>
          <w:i/>
          <w:sz w:val="22"/>
          <w:szCs w:val="22"/>
        </w:rPr>
        <w:t>)</w:t>
      </w:r>
      <w:r w:rsidRPr="00E43070">
        <w:rPr>
          <w:sz w:val="22"/>
          <w:szCs w:val="22"/>
        </w:rPr>
        <w:t>.</w:t>
      </w:r>
      <w:proofErr w:type="gramEnd"/>
      <w:r w:rsidRPr="00E43070">
        <w:rPr>
          <w:sz w:val="22"/>
          <w:szCs w:val="22"/>
        </w:rPr>
        <w:t xml:space="preserve"> Beijing: China Statistics Press.</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 xml:space="preserve">(2000). Comprehensive Agricultural Statistical Data and Materials on 50 Years of New China </w:t>
      </w:r>
      <w:r w:rsidRPr="00E43070">
        <w:rPr>
          <w:i/>
          <w:sz w:val="22"/>
          <w:szCs w:val="22"/>
        </w:rPr>
        <w:t>(</w:t>
      </w:r>
      <w:proofErr w:type="spellStart"/>
      <w:r w:rsidRPr="00E43070">
        <w:rPr>
          <w:i/>
          <w:sz w:val="22"/>
          <w:szCs w:val="22"/>
        </w:rPr>
        <w:t>Xin</w:t>
      </w:r>
      <w:proofErr w:type="spellEnd"/>
      <w:r w:rsidRPr="00E43070">
        <w:rPr>
          <w:i/>
          <w:sz w:val="22"/>
          <w:szCs w:val="22"/>
        </w:rPr>
        <w:t xml:space="preserve"> </w:t>
      </w:r>
      <w:proofErr w:type="spellStart"/>
      <w:r w:rsidRPr="00E43070">
        <w:rPr>
          <w:i/>
          <w:sz w:val="22"/>
          <w:szCs w:val="22"/>
        </w:rPr>
        <w:t>Zhongguo</w:t>
      </w:r>
      <w:proofErr w:type="spellEnd"/>
      <w:r w:rsidRPr="00E43070">
        <w:rPr>
          <w:i/>
          <w:sz w:val="22"/>
          <w:szCs w:val="22"/>
        </w:rPr>
        <w:t xml:space="preserve"> </w:t>
      </w:r>
      <w:proofErr w:type="spellStart"/>
      <w:r w:rsidRPr="00E43070">
        <w:rPr>
          <w:i/>
          <w:sz w:val="22"/>
          <w:szCs w:val="22"/>
        </w:rPr>
        <w:t>Wushinian</w:t>
      </w:r>
      <w:proofErr w:type="spellEnd"/>
      <w:r w:rsidRPr="00E43070">
        <w:rPr>
          <w:i/>
          <w:sz w:val="22"/>
          <w:szCs w:val="22"/>
        </w:rPr>
        <w:t xml:space="preserve"> </w:t>
      </w:r>
      <w:proofErr w:type="spellStart"/>
      <w:r w:rsidRPr="00E43070">
        <w:rPr>
          <w:i/>
          <w:sz w:val="22"/>
          <w:szCs w:val="22"/>
        </w:rPr>
        <w:t>Nongye</w:t>
      </w:r>
      <w:proofErr w:type="spellEnd"/>
      <w:r w:rsidRPr="00E43070">
        <w:rPr>
          <w:i/>
          <w:sz w:val="22"/>
          <w:szCs w:val="22"/>
        </w:rPr>
        <w:t xml:space="preserve"> </w:t>
      </w:r>
      <w:proofErr w:type="spellStart"/>
      <w:r w:rsidRPr="00E43070">
        <w:rPr>
          <w:i/>
          <w:sz w:val="22"/>
          <w:szCs w:val="22"/>
        </w:rPr>
        <w:t>Tongji</w:t>
      </w:r>
      <w:proofErr w:type="spellEnd"/>
      <w:r w:rsidRPr="00E43070">
        <w:rPr>
          <w:i/>
          <w:sz w:val="22"/>
          <w:szCs w:val="22"/>
        </w:rPr>
        <w:t xml:space="preserve"> </w:t>
      </w:r>
      <w:proofErr w:type="spellStart"/>
      <w:r w:rsidRPr="00E43070">
        <w:rPr>
          <w:i/>
          <w:sz w:val="22"/>
          <w:szCs w:val="22"/>
        </w:rPr>
        <w:t>Ziliao</w:t>
      </w:r>
      <w:proofErr w:type="spellEnd"/>
      <w:r w:rsidRPr="00E43070">
        <w:rPr>
          <w:i/>
          <w:sz w:val="22"/>
          <w:szCs w:val="22"/>
        </w:rPr>
        <w:t xml:space="preserve"> </w:t>
      </w:r>
      <w:proofErr w:type="spellStart"/>
      <w:r w:rsidRPr="00E43070">
        <w:rPr>
          <w:i/>
          <w:sz w:val="22"/>
          <w:szCs w:val="22"/>
        </w:rPr>
        <w:t>Huibian</w:t>
      </w:r>
      <w:proofErr w:type="spellEnd"/>
      <w:r w:rsidRPr="00E43070">
        <w:rPr>
          <w:i/>
          <w:sz w:val="22"/>
          <w:szCs w:val="22"/>
        </w:rPr>
        <w:t>)</w:t>
      </w:r>
      <w:r w:rsidRPr="00E43070">
        <w:rPr>
          <w:sz w:val="22"/>
          <w:szCs w:val="22"/>
        </w:rPr>
        <w:t>.</w:t>
      </w:r>
      <w:proofErr w:type="gramEnd"/>
      <w:r w:rsidRPr="00E43070">
        <w:rPr>
          <w:sz w:val="22"/>
          <w:szCs w:val="22"/>
        </w:rPr>
        <w:t xml:space="preserve"> Beijing: China Statistics Press. </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 xml:space="preserve">(2005). China Compendium of Statistics 1949-2004 </w:t>
      </w:r>
      <w:r w:rsidRPr="00E43070">
        <w:rPr>
          <w:i/>
          <w:sz w:val="22"/>
          <w:szCs w:val="22"/>
        </w:rPr>
        <w:t>(</w:t>
      </w:r>
      <w:proofErr w:type="spellStart"/>
      <w:r w:rsidRPr="00E43070">
        <w:rPr>
          <w:i/>
          <w:sz w:val="22"/>
          <w:szCs w:val="22"/>
        </w:rPr>
        <w:t>Xin</w:t>
      </w:r>
      <w:proofErr w:type="spellEnd"/>
      <w:r w:rsidRPr="00E43070">
        <w:rPr>
          <w:i/>
          <w:sz w:val="22"/>
          <w:szCs w:val="22"/>
        </w:rPr>
        <w:t xml:space="preserve"> </w:t>
      </w:r>
      <w:proofErr w:type="spellStart"/>
      <w:r w:rsidRPr="00E43070">
        <w:rPr>
          <w:i/>
          <w:sz w:val="22"/>
          <w:szCs w:val="22"/>
        </w:rPr>
        <w:t>Zhongguo</w:t>
      </w:r>
      <w:proofErr w:type="spellEnd"/>
      <w:r w:rsidRPr="00E43070">
        <w:rPr>
          <w:i/>
          <w:sz w:val="22"/>
          <w:szCs w:val="22"/>
        </w:rPr>
        <w:t xml:space="preserve"> </w:t>
      </w:r>
      <w:proofErr w:type="spellStart"/>
      <w:r w:rsidRPr="00E43070">
        <w:rPr>
          <w:i/>
          <w:sz w:val="22"/>
          <w:szCs w:val="22"/>
        </w:rPr>
        <w:t>Wushiwunian</w:t>
      </w:r>
      <w:proofErr w:type="spellEnd"/>
      <w:r w:rsidRPr="00E43070">
        <w:rPr>
          <w:i/>
          <w:sz w:val="22"/>
          <w:szCs w:val="22"/>
        </w:rPr>
        <w:t xml:space="preserve"> </w:t>
      </w:r>
      <w:proofErr w:type="spellStart"/>
      <w:r w:rsidRPr="00E43070">
        <w:rPr>
          <w:i/>
          <w:sz w:val="22"/>
          <w:szCs w:val="22"/>
        </w:rPr>
        <w:t>Tongji</w:t>
      </w:r>
      <w:proofErr w:type="spellEnd"/>
      <w:r w:rsidRPr="00E43070">
        <w:rPr>
          <w:i/>
          <w:sz w:val="22"/>
          <w:szCs w:val="22"/>
        </w:rPr>
        <w:t xml:space="preserve"> </w:t>
      </w:r>
      <w:proofErr w:type="spellStart"/>
      <w:r w:rsidRPr="00E43070">
        <w:rPr>
          <w:i/>
          <w:sz w:val="22"/>
          <w:szCs w:val="22"/>
        </w:rPr>
        <w:t>Ziliao</w:t>
      </w:r>
      <w:proofErr w:type="spellEnd"/>
      <w:r w:rsidRPr="00E43070">
        <w:rPr>
          <w:i/>
          <w:sz w:val="22"/>
          <w:szCs w:val="22"/>
        </w:rPr>
        <w:t xml:space="preserve"> </w:t>
      </w:r>
      <w:proofErr w:type="spellStart"/>
      <w:r w:rsidRPr="00E43070">
        <w:rPr>
          <w:i/>
          <w:sz w:val="22"/>
          <w:szCs w:val="22"/>
        </w:rPr>
        <w:t>Huibian</w:t>
      </w:r>
      <w:proofErr w:type="spellEnd"/>
      <w:r w:rsidRPr="00E43070">
        <w:rPr>
          <w:i/>
          <w:sz w:val="22"/>
          <w:szCs w:val="22"/>
        </w:rPr>
        <w:t>)</w:t>
      </w:r>
      <w:r w:rsidRPr="00E43070">
        <w:rPr>
          <w:sz w:val="22"/>
          <w:szCs w:val="22"/>
        </w:rPr>
        <w:t>.</w:t>
      </w:r>
      <w:proofErr w:type="gramEnd"/>
      <w:r w:rsidRPr="00E43070">
        <w:rPr>
          <w:sz w:val="22"/>
          <w:szCs w:val="22"/>
        </w:rPr>
        <w:t xml:space="preserve"> Beijing: China Statistics Press.</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 xml:space="preserve">(2011). China Health Statistical Yearbook 2011 </w:t>
      </w:r>
      <w:r w:rsidRPr="00E43070">
        <w:rPr>
          <w:i/>
          <w:sz w:val="22"/>
          <w:szCs w:val="22"/>
        </w:rPr>
        <w:t>(</w:t>
      </w:r>
      <w:proofErr w:type="spellStart"/>
      <w:r w:rsidRPr="00E43070">
        <w:rPr>
          <w:i/>
          <w:sz w:val="22"/>
          <w:szCs w:val="22"/>
        </w:rPr>
        <w:t>Zhongguo</w:t>
      </w:r>
      <w:proofErr w:type="spellEnd"/>
      <w:r w:rsidRPr="00E43070">
        <w:rPr>
          <w:i/>
          <w:sz w:val="22"/>
          <w:szCs w:val="22"/>
        </w:rPr>
        <w:t xml:space="preserve"> </w:t>
      </w:r>
      <w:proofErr w:type="spellStart"/>
      <w:r w:rsidRPr="00E43070">
        <w:rPr>
          <w:i/>
          <w:sz w:val="22"/>
          <w:szCs w:val="22"/>
        </w:rPr>
        <w:t>Weisheng</w:t>
      </w:r>
      <w:proofErr w:type="spellEnd"/>
      <w:r w:rsidRPr="00E43070">
        <w:rPr>
          <w:i/>
          <w:sz w:val="22"/>
          <w:szCs w:val="22"/>
        </w:rPr>
        <w:t xml:space="preserve"> </w:t>
      </w:r>
      <w:proofErr w:type="spellStart"/>
      <w:r w:rsidRPr="00E43070">
        <w:rPr>
          <w:i/>
          <w:sz w:val="22"/>
          <w:szCs w:val="22"/>
        </w:rPr>
        <w:t>Tongji</w:t>
      </w:r>
      <w:proofErr w:type="spellEnd"/>
      <w:r w:rsidRPr="00E43070">
        <w:rPr>
          <w:i/>
          <w:sz w:val="22"/>
          <w:szCs w:val="22"/>
        </w:rPr>
        <w:t xml:space="preserve"> </w:t>
      </w:r>
      <w:proofErr w:type="spellStart"/>
      <w:r w:rsidRPr="00E43070">
        <w:rPr>
          <w:i/>
          <w:sz w:val="22"/>
          <w:szCs w:val="22"/>
        </w:rPr>
        <w:t>Nianjian</w:t>
      </w:r>
      <w:proofErr w:type="spellEnd"/>
      <w:r w:rsidRPr="00E43070">
        <w:rPr>
          <w:i/>
          <w:sz w:val="22"/>
          <w:szCs w:val="22"/>
        </w:rPr>
        <w:t>)</w:t>
      </w:r>
      <w:r w:rsidRPr="00E43070">
        <w:rPr>
          <w:sz w:val="22"/>
          <w:szCs w:val="22"/>
        </w:rPr>
        <w:t>.</w:t>
      </w:r>
      <w:proofErr w:type="gramEnd"/>
      <w:r w:rsidRPr="00E43070">
        <w:rPr>
          <w:sz w:val="22"/>
          <w:szCs w:val="22"/>
        </w:rPr>
        <w:t xml:space="preserve"> Beijing: </w:t>
      </w:r>
      <w:hyperlink r:id="rId27" w:history="1">
        <w:r w:rsidRPr="00E43070">
          <w:rPr>
            <w:sz w:val="22"/>
            <w:szCs w:val="22"/>
          </w:rPr>
          <w:t>Peking Union Medical College Press</w:t>
        </w:r>
      </w:hyperlink>
      <w:r w:rsidRPr="00E43070">
        <w:rPr>
          <w:sz w:val="22"/>
          <w:szCs w:val="22"/>
        </w:rPr>
        <w:t>.</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 xml:space="preserve">(1991-2006). China Population Statistical Yearbook 1991-2006 </w:t>
      </w:r>
      <w:r w:rsidRPr="00E43070">
        <w:rPr>
          <w:i/>
          <w:sz w:val="22"/>
          <w:szCs w:val="22"/>
        </w:rPr>
        <w:t>(</w:t>
      </w:r>
      <w:proofErr w:type="spellStart"/>
      <w:r w:rsidRPr="00E43070">
        <w:rPr>
          <w:i/>
          <w:sz w:val="22"/>
          <w:szCs w:val="22"/>
        </w:rPr>
        <w:t>Zhongguo</w:t>
      </w:r>
      <w:proofErr w:type="spellEnd"/>
      <w:r w:rsidRPr="00E43070">
        <w:rPr>
          <w:i/>
          <w:sz w:val="22"/>
          <w:szCs w:val="22"/>
        </w:rPr>
        <w:t xml:space="preserve"> </w:t>
      </w:r>
      <w:proofErr w:type="spellStart"/>
      <w:r w:rsidRPr="00E43070">
        <w:rPr>
          <w:i/>
          <w:sz w:val="22"/>
          <w:szCs w:val="22"/>
        </w:rPr>
        <w:t>Renkou</w:t>
      </w:r>
      <w:proofErr w:type="spellEnd"/>
      <w:r w:rsidRPr="00E43070">
        <w:rPr>
          <w:i/>
          <w:sz w:val="22"/>
          <w:szCs w:val="22"/>
        </w:rPr>
        <w:t xml:space="preserve"> </w:t>
      </w:r>
      <w:proofErr w:type="spellStart"/>
      <w:r w:rsidRPr="00E43070">
        <w:rPr>
          <w:i/>
          <w:sz w:val="22"/>
          <w:szCs w:val="22"/>
        </w:rPr>
        <w:t>Tongji</w:t>
      </w:r>
      <w:proofErr w:type="spellEnd"/>
      <w:r w:rsidRPr="00E43070">
        <w:rPr>
          <w:i/>
          <w:sz w:val="22"/>
          <w:szCs w:val="22"/>
        </w:rPr>
        <w:t xml:space="preserve"> </w:t>
      </w:r>
      <w:proofErr w:type="spellStart"/>
      <w:r w:rsidRPr="00E43070">
        <w:rPr>
          <w:i/>
          <w:sz w:val="22"/>
          <w:szCs w:val="22"/>
        </w:rPr>
        <w:t>Nianjian</w:t>
      </w:r>
      <w:proofErr w:type="spellEnd"/>
      <w:r w:rsidRPr="00E43070">
        <w:rPr>
          <w:i/>
          <w:sz w:val="22"/>
          <w:szCs w:val="22"/>
        </w:rPr>
        <w:t>)</w:t>
      </w:r>
      <w:r w:rsidRPr="00E43070">
        <w:rPr>
          <w:sz w:val="22"/>
          <w:szCs w:val="22"/>
        </w:rPr>
        <w:t>.</w:t>
      </w:r>
      <w:proofErr w:type="gramEnd"/>
      <w:r w:rsidRPr="00E43070">
        <w:rPr>
          <w:sz w:val="22"/>
          <w:szCs w:val="22"/>
        </w:rPr>
        <w:t xml:space="preserve"> Beijing: China Statistics Press.</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 xml:space="preserve">(2007-2010). China Population and Employment Statistical Yearbook 2007-2010 </w:t>
      </w:r>
      <w:r w:rsidRPr="00E43070">
        <w:rPr>
          <w:i/>
          <w:sz w:val="22"/>
          <w:szCs w:val="22"/>
        </w:rPr>
        <w:t>(</w:t>
      </w:r>
      <w:proofErr w:type="spellStart"/>
      <w:r w:rsidRPr="00E43070">
        <w:rPr>
          <w:i/>
          <w:sz w:val="22"/>
          <w:szCs w:val="22"/>
        </w:rPr>
        <w:t>Zhongguo</w:t>
      </w:r>
      <w:proofErr w:type="spellEnd"/>
      <w:r w:rsidRPr="00E43070">
        <w:rPr>
          <w:i/>
          <w:sz w:val="22"/>
          <w:szCs w:val="22"/>
        </w:rPr>
        <w:t xml:space="preserve"> </w:t>
      </w:r>
      <w:proofErr w:type="spellStart"/>
      <w:r w:rsidRPr="00E43070">
        <w:rPr>
          <w:i/>
          <w:sz w:val="22"/>
          <w:szCs w:val="22"/>
        </w:rPr>
        <w:t>Renkou</w:t>
      </w:r>
      <w:proofErr w:type="spellEnd"/>
      <w:r w:rsidRPr="00E43070">
        <w:rPr>
          <w:i/>
          <w:sz w:val="22"/>
          <w:szCs w:val="22"/>
        </w:rPr>
        <w:t xml:space="preserve"> he </w:t>
      </w:r>
      <w:proofErr w:type="spellStart"/>
      <w:r w:rsidRPr="00E43070">
        <w:rPr>
          <w:i/>
          <w:sz w:val="22"/>
          <w:szCs w:val="22"/>
        </w:rPr>
        <w:t>Jiuye</w:t>
      </w:r>
      <w:proofErr w:type="spellEnd"/>
      <w:r w:rsidRPr="00E43070">
        <w:rPr>
          <w:i/>
          <w:sz w:val="22"/>
          <w:szCs w:val="22"/>
        </w:rPr>
        <w:t xml:space="preserve"> </w:t>
      </w:r>
      <w:proofErr w:type="spellStart"/>
      <w:r w:rsidRPr="00E43070">
        <w:rPr>
          <w:i/>
          <w:sz w:val="22"/>
          <w:szCs w:val="22"/>
        </w:rPr>
        <w:t>Tongji</w:t>
      </w:r>
      <w:proofErr w:type="spellEnd"/>
      <w:r w:rsidRPr="00E43070">
        <w:rPr>
          <w:i/>
          <w:sz w:val="22"/>
          <w:szCs w:val="22"/>
        </w:rPr>
        <w:t xml:space="preserve"> </w:t>
      </w:r>
      <w:proofErr w:type="spellStart"/>
      <w:r w:rsidRPr="00E43070">
        <w:rPr>
          <w:i/>
          <w:sz w:val="22"/>
          <w:szCs w:val="22"/>
        </w:rPr>
        <w:t>Nianjian</w:t>
      </w:r>
      <w:proofErr w:type="spellEnd"/>
      <w:r w:rsidRPr="00E43070">
        <w:rPr>
          <w:i/>
          <w:sz w:val="22"/>
          <w:szCs w:val="22"/>
        </w:rPr>
        <w:t>)</w:t>
      </w:r>
      <w:r w:rsidRPr="00E43070">
        <w:rPr>
          <w:sz w:val="22"/>
          <w:szCs w:val="22"/>
        </w:rPr>
        <w:t>.</w:t>
      </w:r>
      <w:proofErr w:type="gramEnd"/>
      <w:r w:rsidRPr="00E43070">
        <w:rPr>
          <w:sz w:val="22"/>
          <w:szCs w:val="22"/>
        </w:rPr>
        <w:t xml:space="preserve"> Beijing: China Statistics Press.</w:t>
      </w:r>
    </w:p>
    <w:p w:rsidR="00B50147" w:rsidRPr="00E43070" w:rsidRDefault="00B50147" w:rsidP="00147850">
      <w:pPr>
        <w:autoSpaceDE w:val="0"/>
        <w:autoSpaceDN w:val="0"/>
        <w:adjustRightInd w:val="0"/>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(2011). China Statistical Yearbook 2011.</w:t>
      </w:r>
      <w:proofErr w:type="gramEnd"/>
      <w:r w:rsidRPr="00E43070">
        <w:rPr>
          <w:sz w:val="22"/>
          <w:szCs w:val="22"/>
        </w:rPr>
        <w:t xml:space="preserve"> Beijing: China Statistics Press.</w:t>
      </w:r>
    </w:p>
    <w:p w:rsidR="00997FCF" w:rsidRPr="00E43070" w:rsidRDefault="00B50147" w:rsidP="00147850">
      <w:pPr>
        <w:ind w:left="720" w:hanging="720"/>
        <w:contextualSpacing/>
        <w:jc w:val="both"/>
        <w:rPr>
          <w:sz w:val="22"/>
          <w:szCs w:val="22"/>
        </w:rPr>
      </w:pPr>
      <w:proofErr w:type="gramStart"/>
      <w:r w:rsidRPr="00E43070">
        <w:rPr>
          <w:sz w:val="22"/>
          <w:szCs w:val="22"/>
        </w:rPr>
        <w:t>National Bureau of Statistics Bureau (NBS).</w:t>
      </w:r>
      <w:proofErr w:type="gramEnd"/>
      <w:r w:rsidRPr="00E43070">
        <w:rPr>
          <w:sz w:val="22"/>
          <w:szCs w:val="22"/>
        </w:rPr>
        <w:t xml:space="preserve"> </w:t>
      </w:r>
      <w:proofErr w:type="gramStart"/>
      <w:r w:rsidRPr="00E43070">
        <w:rPr>
          <w:sz w:val="22"/>
          <w:szCs w:val="22"/>
        </w:rPr>
        <w:t>(2011). Provincial Statistical Yearbook 2011 (individual issue for each of the 31 provinces).</w:t>
      </w:r>
      <w:proofErr w:type="gramEnd"/>
      <w:r w:rsidRPr="00E43070">
        <w:rPr>
          <w:sz w:val="22"/>
          <w:szCs w:val="22"/>
        </w:rPr>
        <w:t xml:space="preserve"> Beijing: China Statistics </w:t>
      </w:r>
      <w:proofErr w:type="spellStart"/>
      <w:r w:rsidRPr="00E43070">
        <w:rPr>
          <w:sz w:val="22"/>
          <w:szCs w:val="22"/>
        </w:rPr>
        <w:t>Press.</w:t>
      </w:r>
      <w:r w:rsidR="00997FCF" w:rsidRPr="00E43070">
        <w:rPr>
          <w:sz w:val="22"/>
          <w:szCs w:val="22"/>
        </w:rPr>
        <w:t>Rawski</w:t>
      </w:r>
      <w:proofErr w:type="spellEnd"/>
      <w:r w:rsidR="00997FCF" w:rsidRPr="00E43070">
        <w:rPr>
          <w:sz w:val="22"/>
          <w:szCs w:val="22"/>
        </w:rPr>
        <w:t xml:space="preserve">, T. (2001). What is Happening to China’s GDP </w:t>
      </w:r>
      <w:proofErr w:type="gramStart"/>
      <w:r w:rsidR="00997FCF" w:rsidRPr="00E43070">
        <w:rPr>
          <w:sz w:val="22"/>
          <w:szCs w:val="22"/>
        </w:rPr>
        <w:t>Statistics.</w:t>
      </w:r>
      <w:proofErr w:type="gramEnd"/>
      <w:r w:rsidR="00997FCF" w:rsidRPr="00E43070">
        <w:rPr>
          <w:sz w:val="22"/>
          <w:szCs w:val="22"/>
        </w:rPr>
        <w:t xml:space="preserve"> </w:t>
      </w:r>
      <w:r w:rsidR="00997FCF" w:rsidRPr="00E43070">
        <w:rPr>
          <w:i/>
          <w:sz w:val="22"/>
          <w:szCs w:val="22"/>
        </w:rPr>
        <w:t>China Economic Review</w:t>
      </w:r>
      <w:r w:rsidR="00997FCF" w:rsidRPr="00E43070">
        <w:rPr>
          <w:sz w:val="22"/>
          <w:szCs w:val="22"/>
        </w:rPr>
        <w:t xml:space="preserve"> 12(4): 347-354.</w:t>
      </w:r>
    </w:p>
    <w:p w:rsidR="00AC29B0" w:rsidRPr="00E43070" w:rsidRDefault="00AC29B0" w:rsidP="00147850">
      <w:pPr>
        <w:ind w:left="720" w:hanging="720"/>
        <w:contextualSpacing/>
        <w:jc w:val="both"/>
        <w:rPr>
          <w:sz w:val="22"/>
          <w:szCs w:val="22"/>
        </w:rPr>
      </w:pPr>
      <w:proofErr w:type="spellStart"/>
      <w:proofErr w:type="gramStart"/>
      <w:r w:rsidRPr="00E43070">
        <w:rPr>
          <w:sz w:val="22"/>
          <w:szCs w:val="22"/>
        </w:rPr>
        <w:t>Rawski</w:t>
      </w:r>
      <w:proofErr w:type="spellEnd"/>
      <w:r w:rsidRPr="00E43070">
        <w:rPr>
          <w:sz w:val="22"/>
          <w:szCs w:val="22"/>
        </w:rPr>
        <w:t>, T. and Xiao, W. (2001).</w:t>
      </w:r>
      <w:proofErr w:type="gramEnd"/>
      <w:r w:rsidRPr="00E43070">
        <w:rPr>
          <w:sz w:val="22"/>
          <w:szCs w:val="22"/>
        </w:rPr>
        <w:t xml:space="preserve"> Roundtable on Chinese Economic Statistics: Introduction. </w:t>
      </w:r>
      <w:r w:rsidRPr="00E43070">
        <w:rPr>
          <w:i/>
          <w:sz w:val="22"/>
          <w:szCs w:val="22"/>
        </w:rPr>
        <w:t>China Economic Review</w:t>
      </w:r>
      <w:r w:rsidRPr="00E43070">
        <w:rPr>
          <w:sz w:val="22"/>
          <w:szCs w:val="22"/>
        </w:rPr>
        <w:t xml:space="preserve"> 12(4): 298-302.</w:t>
      </w:r>
    </w:p>
    <w:p w:rsidR="005963A3" w:rsidRPr="00E43070" w:rsidRDefault="00EC780D" w:rsidP="00147850">
      <w:pPr>
        <w:pStyle w:val="Default"/>
        <w:ind w:left="720" w:hanging="720"/>
        <w:contextualSpacing/>
        <w:jc w:val="both"/>
        <w:rPr>
          <w:sz w:val="22"/>
          <w:szCs w:val="22"/>
        </w:rPr>
      </w:pPr>
      <w:proofErr w:type="gramStart"/>
      <w:r w:rsidRPr="00E43070">
        <w:rPr>
          <w:sz w:val="22"/>
          <w:szCs w:val="22"/>
        </w:rPr>
        <w:t>Roberts, M.</w:t>
      </w:r>
      <w:r w:rsidR="005963A3" w:rsidRPr="00E43070">
        <w:rPr>
          <w:sz w:val="22"/>
          <w:szCs w:val="22"/>
        </w:rPr>
        <w:t xml:space="preserve">, </w:t>
      </w:r>
      <w:proofErr w:type="spellStart"/>
      <w:r w:rsidR="005963A3" w:rsidRPr="00E43070">
        <w:rPr>
          <w:sz w:val="22"/>
          <w:szCs w:val="22"/>
        </w:rPr>
        <w:t>Deichmann</w:t>
      </w:r>
      <w:proofErr w:type="spellEnd"/>
      <w:r w:rsidR="005963A3" w:rsidRPr="00E43070">
        <w:rPr>
          <w:sz w:val="22"/>
          <w:szCs w:val="22"/>
        </w:rPr>
        <w:t xml:space="preserve">, U., </w:t>
      </w:r>
      <w:proofErr w:type="spellStart"/>
      <w:r w:rsidR="005963A3" w:rsidRPr="00E43070">
        <w:rPr>
          <w:sz w:val="22"/>
          <w:szCs w:val="22"/>
        </w:rPr>
        <w:t>Fingleton</w:t>
      </w:r>
      <w:proofErr w:type="spellEnd"/>
      <w:r w:rsidR="005963A3" w:rsidRPr="00E43070">
        <w:rPr>
          <w:sz w:val="22"/>
          <w:szCs w:val="22"/>
        </w:rPr>
        <w:t>, B., and Shi, T. (2012).</w:t>
      </w:r>
      <w:proofErr w:type="gramEnd"/>
      <w:r w:rsidR="005963A3" w:rsidRPr="00E43070">
        <w:rPr>
          <w:sz w:val="22"/>
          <w:szCs w:val="22"/>
        </w:rPr>
        <w:t xml:space="preserve"> </w:t>
      </w:r>
      <w:proofErr w:type="gramStart"/>
      <w:r w:rsidR="005963A3" w:rsidRPr="00E43070">
        <w:rPr>
          <w:rFonts w:hint="eastAsia"/>
          <w:sz w:val="22"/>
          <w:szCs w:val="22"/>
        </w:rPr>
        <w:t>Evaluating China's</w:t>
      </w:r>
      <w:r w:rsidR="005963A3" w:rsidRPr="00E43070">
        <w:rPr>
          <w:sz w:val="22"/>
          <w:szCs w:val="22"/>
        </w:rPr>
        <w:t xml:space="preserve"> R</w:t>
      </w:r>
      <w:r w:rsidR="005963A3" w:rsidRPr="00E43070">
        <w:rPr>
          <w:rFonts w:hint="eastAsia"/>
          <w:sz w:val="22"/>
          <w:szCs w:val="22"/>
        </w:rPr>
        <w:t xml:space="preserve">oad to </w:t>
      </w:r>
      <w:r w:rsidR="005963A3" w:rsidRPr="00E43070">
        <w:rPr>
          <w:sz w:val="22"/>
          <w:szCs w:val="22"/>
        </w:rPr>
        <w:t>P</w:t>
      </w:r>
      <w:r w:rsidR="005963A3" w:rsidRPr="00E43070">
        <w:rPr>
          <w:rFonts w:hint="eastAsia"/>
          <w:sz w:val="22"/>
          <w:szCs w:val="22"/>
        </w:rPr>
        <w:t xml:space="preserve">rosperity: A </w:t>
      </w:r>
      <w:r w:rsidR="005963A3" w:rsidRPr="00E43070">
        <w:rPr>
          <w:sz w:val="22"/>
          <w:szCs w:val="22"/>
        </w:rPr>
        <w:t>N</w:t>
      </w:r>
      <w:r w:rsidR="005963A3" w:rsidRPr="00E43070">
        <w:rPr>
          <w:rFonts w:hint="eastAsia"/>
          <w:sz w:val="22"/>
          <w:szCs w:val="22"/>
        </w:rPr>
        <w:t>ew</w:t>
      </w:r>
      <w:r w:rsidR="005963A3" w:rsidRPr="00E43070">
        <w:rPr>
          <w:sz w:val="22"/>
          <w:szCs w:val="22"/>
        </w:rPr>
        <w:t xml:space="preserve"> E</w:t>
      </w:r>
      <w:r w:rsidR="005963A3" w:rsidRPr="00E43070">
        <w:rPr>
          <w:rFonts w:hint="eastAsia"/>
          <w:sz w:val="22"/>
          <w:szCs w:val="22"/>
        </w:rPr>
        <w:t>conomic</w:t>
      </w:r>
      <w:r w:rsidR="005963A3" w:rsidRPr="00E43070">
        <w:rPr>
          <w:sz w:val="22"/>
          <w:szCs w:val="22"/>
        </w:rPr>
        <w:t xml:space="preserve"> G</w:t>
      </w:r>
      <w:r w:rsidR="005963A3" w:rsidRPr="00E43070">
        <w:rPr>
          <w:rFonts w:hint="eastAsia"/>
          <w:sz w:val="22"/>
          <w:szCs w:val="22"/>
        </w:rPr>
        <w:t>eography </w:t>
      </w:r>
      <w:r w:rsidR="005963A3" w:rsidRPr="00E43070">
        <w:rPr>
          <w:sz w:val="22"/>
          <w:szCs w:val="22"/>
        </w:rPr>
        <w:t>A</w:t>
      </w:r>
      <w:r w:rsidR="005963A3" w:rsidRPr="00E43070">
        <w:rPr>
          <w:rFonts w:hint="eastAsia"/>
          <w:sz w:val="22"/>
          <w:szCs w:val="22"/>
        </w:rPr>
        <w:t>pproach</w:t>
      </w:r>
      <w:r w:rsidR="005963A3" w:rsidRPr="00E43070">
        <w:rPr>
          <w:sz w:val="22"/>
          <w:szCs w:val="22"/>
        </w:rPr>
        <w:t>.</w:t>
      </w:r>
      <w:proofErr w:type="gramEnd"/>
      <w:r w:rsidR="005963A3" w:rsidRPr="00E43070">
        <w:rPr>
          <w:sz w:val="22"/>
          <w:szCs w:val="22"/>
        </w:rPr>
        <w:t xml:space="preserve"> </w:t>
      </w:r>
      <w:r w:rsidR="005963A3" w:rsidRPr="00E43070">
        <w:rPr>
          <w:i/>
          <w:sz w:val="22"/>
          <w:szCs w:val="22"/>
        </w:rPr>
        <w:t>Regional Science and Urban Economics</w:t>
      </w:r>
      <w:r w:rsidR="005963A3" w:rsidRPr="00E43070">
        <w:rPr>
          <w:sz w:val="22"/>
          <w:szCs w:val="22"/>
        </w:rPr>
        <w:t xml:space="preserve"> 42(4): </w:t>
      </w:r>
      <w:r w:rsidR="00147850">
        <w:rPr>
          <w:sz w:val="22"/>
          <w:szCs w:val="22"/>
        </w:rPr>
        <w:br/>
      </w:r>
      <w:r w:rsidR="005963A3" w:rsidRPr="00E43070">
        <w:rPr>
          <w:sz w:val="22"/>
          <w:szCs w:val="22"/>
        </w:rPr>
        <w:t>580-94.</w:t>
      </w:r>
    </w:p>
    <w:p w:rsidR="00AC29B0" w:rsidRPr="00E43070" w:rsidRDefault="00AC29B0" w:rsidP="00147850">
      <w:pPr>
        <w:ind w:left="720" w:hanging="720"/>
        <w:contextualSpacing/>
        <w:jc w:val="both"/>
        <w:rPr>
          <w:sz w:val="22"/>
          <w:szCs w:val="22"/>
        </w:rPr>
      </w:pPr>
      <w:proofErr w:type="spellStart"/>
      <w:proofErr w:type="gramStart"/>
      <w:r w:rsidRPr="00E43070">
        <w:rPr>
          <w:sz w:val="22"/>
          <w:szCs w:val="22"/>
        </w:rPr>
        <w:lastRenderedPageBreak/>
        <w:t>Scharping</w:t>
      </w:r>
      <w:proofErr w:type="spellEnd"/>
      <w:r w:rsidRPr="00E43070">
        <w:rPr>
          <w:sz w:val="22"/>
          <w:szCs w:val="22"/>
        </w:rPr>
        <w:t>, T. (2001).</w:t>
      </w:r>
      <w:proofErr w:type="gramEnd"/>
      <w:r w:rsidRPr="00E43070">
        <w:rPr>
          <w:sz w:val="22"/>
          <w:szCs w:val="22"/>
        </w:rPr>
        <w:t xml:space="preserve"> Hide and Seek: China’s Elusive Population Data. </w:t>
      </w:r>
      <w:r w:rsidRPr="00E43070">
        <w:rPr>
          <w:i/>
          <w:sz w:val="22"/>
          <w:szCs w:val="22"/>
        </w:rPr>
        <w:t>China Economic Review</w:t>
      </w:r>
      <w:r w:rsidRPr="00E43070">
        <w:rPr>
          <w:sz w:val="22"/>
          <w:szCs w:val="22"/>
        </w:rPr>
        <w:t xml:space="preserve"> 12(4): 323-332.</w:t>
      </w:r>
    </w:p>
    <w:p w:rsidR="0048403A" w:rsidRPr="00E43070" w:rsidRDefault="0048403A" w:rsidP="00147850">
      <w:pPr>
        <w:ind w:left="720" w:hanging="720"/>
        <w:contextualSpacing/>
        <w:jc w:val="both"/>
        <w:rPr>
          <w:sz w:val="22"/>
          <w:szCs w:val="22"/>
        </w:rPr>
      </w:pPr>
      <w:proofErr w:type="spellStart"/>
      <w:r w:rsidRPr="00E43070">
        <w:rPr>
          <w:sz w:val="22"/>
          <w:szCs w:val="22"/>
        </w:rPr>
        <w:t>Sen</w:t>
      </w:r>
      <w:proofErr w:type="spellEnd"/>
      <w:r w:rsidRPr="00E43070">
        <w:rPr>
          <w:sz w:val="22"/>
          <w:szCs w:val="22"/>
        </w:rPr>
        <w:t xml:space="preserve">, A. (1981). </w:t>
      </w:r>
      <w:r w:rsidRPr="00E43070">
        <w:rPr>
          <w:i/>
          <w:sz w:val="22"/>
          <w:szCs w:val="22"/>
        </w:rPr>
        <w:t>Poverty and Famines</w:t>
      </w:r>
      <w:r w:rsidR="00F60775" w:rsidRPr="00E43070">
        <w:rPr>
          <w:i/>
          <w:sz w:val="22"/>
          <w:szCs w:val="22"/>
        </w:rPr>
        <w:t>: an Essay on Entitlement and Deprivation</w:t>
      </w:r>
      <w:r w:rsidR="00F60775" w:rsidRPr="00E43070">
        <w:rPr>
          <w:sz w:val="22"/>
          <w:szCs w:val="22"/>
        </w:rPr>
        <w:t xml:space="preserve"> Oxford: Clarendon Press.</w:t>
      </w:r>
    </w:p>
    <w:p w:rsidR="0048403A" w:rsidRPr="00E43070" w:rsidRDefault="0048403A" w:rsidP="00147850">
      <w:pPr>
        <w:contextualSpacing/>
        <w:jc w:val="both"/>
        <w:rPr>
          <w:sz w:val="22"/>
          <w:szCs w:val="22"/>
        </w:rPr>
      </w:pPr>
      <w:proofErr w:type="spellStart"/>
      <w:r w:rsidRPr="00E43070">
        <w:rPr>
          <w:sz w:val="22"/>
          <w:szCs w:val="22"/>
        </w:rPr>
        <w:t>Sen</w:t>
      </w:r>
      <w:proofErr w:type="spellEnd"/>
      <w:r w:rsidRPr="00E43070">
        <w:rPr>
          <w:sz w:val="22"/>
          <w:szCs w:val="22"/>
        </w:rPr>
        <w:t xml:space="preserve">, A. (1995). Nobody need starve. </w:t>
      </w:r>
      <w:proofErr w:type="spellStart"/>
      <w:r w:rsidRPr="00E43070">
        <w:rPr>
          <w:i/>
          <w:sz w:val="22"/>
          <w:szCs w:val="22"/>
        </w:rPr>
        <w:t>Granta</w:t>
      </w:r>
      <w:proofErr w:type="spellEnd"/>
      <w:r w:rsidRPr="00E43070">
        <w:rPr>
          <w:sz w:val="22"/>
          <w:szCs w:val="22"/>
        </w:rPr>
        <w:t xml:space="preserve"> 52(1): 213-220.</w:t>
      </w:r>
    </w:p>
    <w:p w:rsidR="00017408" w:rsidRPr="00E43070" w:rsidRDefault="00017408" w:rsidP="00147850">
      <w:pPr>
        <w:autoSpaceDE w:val="0"/>
        <w:autoSpaceDN w:val="0"/>
        <w:adjustRightInd w:val="0"/>
        <w:ind w:left="720" w:hanging="720"/>
        <w:contextualSpacing/>
        <w:jc w:val="both"/>
        <w:rPr>
          <w:bCs/>
          <w:color w:val="212121"/>
          <w:sz w:val="22"/>
          <w:szCs w:val="22"/>
          <w:shd w:val="clear" w:color="auto" w:fill="F8F8F8"/>
        </w:rPr>
      </w:pPr>
      <w:proofErr w:type="spellStart"/>
      <w:proofErr w:type="gramStart"/>
      <w:r w:rsidRPr="00E43070">
        <w:rPr>
          <w:sz w:val="22"/>
          <w:szCs w:val="22"/>
        </w:rPr>
        <w:t>Smil</w:t>
      </w:r>
      <w:proofErr w:type="spellEnd"/>
      <w:r w:rsidRPr="00E43070">
        <w:rPr>
          <w:sz w:val="22"/>
          <w:szCs w:val="22"/>
        </w:rPr>
        <w:t>, V. (1999).</w:t>
      </w:r>
      <w:proofErr w:type="gramEnd"/>
      <w:r w:rsidRPr="00E43070">
        <w:rPr>
          <w:sz w:val="22"/>
          <w:szCs w:val="22"/>
        </w:rPr>
        <w:t xml:space="preserve"> China's great famine: 40 years later</w:t>
      </w:r>
      <w:r w:rsidR="000A3ADE" w:rsidRPr="00E43070">
        <w:rPr>
          <w:sz w:val="22"/>
          <w:szCs w:val="22"/>
        </w:rPr>
        <w:t xml:space="preserve">. </w:t>
      </w:r>
      <w:r w:rsidR="000A3ADE" w:rsidRPr="00E43070">
        <w:rPr>
          <w:i/>
          <w:sz w:val="22"/>
          <w:szCs w:val="22"/>
        </w:rPr>
        <w:t>British Medical Journal</w:t>
      </w:r>
      <w:r w:rsidR="000A3ADE" w:rsidRPr="00E43070">
        <w:rPr>
          <w:sz w:val="22"/>
          <w:szCs w:val="22"/>
        </w:rPr>
        <w:t xml:space="preserve"> 319(7225): 1619-1621.</w:t>
      </w:r>
    </w:p>
    <w:p w:rsidR="00D9486F" w:rsidRPr="00E43070" w:rsidRDefault="00D9486F" w:rsidP="00147850">
      <w:pPr>
        <w:autoSpaceDE w:val="0"/>
        <w:autoSpaceDN w:val="0"/>
        <w:adjustRightInd w:val="0"/>
        <w:ind w:left="720" w:hanging="720"/>
        <w:contextualSpacing/>
        <w:jc w:val="both"/>
        <w:rPr>
          <w:sz w:val="22"/>
          <w:szCs w:val="22"/>
        </w:rPr>
      </w:pPr>
      <w:proofErr w:type="spellStart"/>
      <w:proofErr w:type="gramStart"/>
      <w:r w:rsidRPr="00E43070">
        <w:rPr>
          <w:sz w:val="22"/>
          <w:szCs w:val="22"/>
        </w:rPr>
        <w:t>Tsui</w:t>
      </w:r>
      <w:proofErr w:type="spellEnd"/>
      <w:r w:rsidRPr="00E43070">
        <w:rPr>
          <w:sz w:val="22"/>
          <w:szCs w:val="22"/>
        </w:rPr>
        <w:t>, K-Y.</w:t>
      </w:r>
      <w:proofErr w:type="gramEnd"/>
      <w:r w:rsidRPr="00E43070">
        <w:rPr>
          <w:sz w:val="22"/>
          <w:szCs w:val="22"/>
        </w:rPr>
        <w:t xml:space="preserve"> </w:t>
      </w:r>
      <w:proofErr w:type="gramStart"/>
      <w:r w:rsidRPr="00E43070">
        <w:rPr>
          <w:sz w:val="22"/>
          <w:szCs w:val="22"/>
        </w:rPr>
        <w:t>(2007). Forces Shaping China’s Interprovincial Inequality.</w:t>
      </w:r>
      <w:proofErr w:type="gramEnd"/>
      <w:r w:rsidRPr="00E43070">
        <w:rPr>
          <w:sz w:val="22"/>
          <w:szCs w:val="22"/>
        </w:rPr>
        <w:t xml:space="preserve"> </w:t>
      </w:r>
      <w:r w:rsidRPr="00E43070">
        <w:rPr>
          <w:i/>
          <w:sz w:val="22"/>
          <w:szCs w:val="22"/>
        </w:rPr>
        <w:t>Review of Income and Wealth</w:t>
      </w:r>
      <w:r w:rsidRPr="00E43070">
        <w:rPr>
          <w:sz w:val="22"/>
          <w:szCs w:val="22"/>
        </w:rPr>
        <w:t xml:space="preserve"> 53(1): 60-92.</w:t>
      </w:r>
    </w:p>
    <w:p w:rsidR="001818C8" w:rsidRPr="00E43070" w:rsidRDefault="001818C8" w:rsidP="00147850">
      <w:pPr>
        <w:autoSpaceDE w:val="0"/>
        <w:autoSpaceDN w:val="0"/>
        <w:adjustRightInd w:val="0"/>
        <w:ind w:left="720" w:hanging="720"/>
        <w:contextualSpacing/>
        <w:jc w:val="both"/>
        <w:rPr>
          <w:sz w:val="22"/>
          <w:szCs w:val="22"/>
        </w:rPr>
      </w:pPr>
      <w:r w:rsidRPr="00E43070">
        <w:rPr>
          <w:sz w:val="22"/>
          <w:szCs w:val="22"/>
        </w:rPr>
        <w:t xml:space="preserve">Wu, H. (2007). The Chinese GDP Growth Rate Puzzle: How Fast Has the Chinese Economy Grown? </w:t>
      </w:r>
      <w:r w:rsidRPr="00E43070">
        <w:rPr>
          <w:i/>
          <w:sz w:val="22"/>
          <w:szCs w:val="22"/>
        </w:rPr>
        <w:t>Asian Economic Papers</w:t>
      </w:r>
      <w:r w:rsidRPr="00E43070">
        <w:rPr>
          <w:sz w:val="22"/>
          <w:szCs w:val="22"/>
        </w:rPr>
        <w:t xml:space="preserve"> 6(1): 1-23.</w:t>
      </w:r>
    </w:p>
    <w:p w:rsidR="00B50147" w:rsidRPr="00E43070" w:rsidRDefault="00B50147" w:rsidP="00147850">
      <w:pPr>
        <w:autoSpaceDE w:val="0"/>
        <w:autoSpaceDN w:val="0"/>
        <w:adjustRightInd w:val="0"/>
        <w:ind w:left="720" w:hanging="720"/>
        <w:contextualSpacing/>
        <w:jc w:val="both"/>
        <w:rPr>
          <w:sz w:val="22"/>
          <w:szCs w:val="22"/>
        </w:rPr>
      </w:pPr>
      <w:proofErr w:type="spellStart"/>
      <w:proofErr w:type="gramStart"/>
      <w:r w:rsidRPr="00E43070">
        <w:rPr>
          <w:sz w:val="22"/>
          <w:szCs w:val="22"/>
        </w:rPr>
        <w:t>Xu</w:t>
      </w:r>
      <w:proofErr w:type="spellEnd"/>
      <w:r w:rsidRPr="00E43070">
        <w:rPr>
          <w:sz w:val="22"/>
          <w:szCs w:val="22"/>
        </w:rPr>
        <w:t>, Z. Y., &amp; Li, S.T. (2006).</w:t>
      </w:r>
      <w:proofErr w:type="gramEnd"/>
      <w:r w:rsidRPr="00E43070">
        <w:rPr>
          <w:sz w:val="22"/>
          <w:szCs w:val="22"/>
        </w:rPr>
        <w:t xml:space="preserve"> </w:t>
      </w:r>
      <w:proofErr w:type="gramStart"/>
      <w:r w:rsidRPr="00E43070">
        <w:rPr>
          <w:sz w:val="22"/>
          <w:szCs w:val="22"/>
        </w:rPr>
        <w:t xml:space="preserve">Analysis of the Recent Changes of Regional Disparity in China </w:t>
      </w:r>
      <w:r w:rsidRPr="00E43070">
        <w:rPr>
          <w:i/>
          <w:sz w:val="22"/>
          <w:szCs w:val="22"/>
        </w:rPr>
        <w:t>(</w:t>
      </w:r>
      <w:proofErr w:type="spellStart"/>
      <w:r w:rsidRPr="00E43070">
        <w:rPr>
          <w:i/>
          <w:sz w:val="22"/>
          <w:szCs w:val="22"/>
        </w:rPr>
        <w:t>Jinnianlai</w:t>
      </w:r>
      <w:proofErr w:type="spellEnd"/>
      <w:r w:rsidRPr="00E43070">
        <w:rPr>
          <w:i/>
          <w:sz w:val="22"/>
          <w:szCs w:val="22"/>
        </w:rPr>
        <w:t xml:space="preserve"> </w:t>
      </w:r>
      <w:proofErr w:type="spellStart"/>
      <w:r w:rsidRPr="00E43070">
        <w:rPr>
          <w:i/>
          <w:sz w:val="22"/>
          <w:szCs w:val="22"/>
        </w:rPr>
        <w:t>zhongguo</w:t>
      </w:r>
      <w:proofErr w:type="spellEnd"/>
      <w:r w:rsidRPr="00E43070">
        <w:rPr>
          <w:i/>
          <w:sz w:val="22"/>
          <w:szCs w:val="22"/>
        </w:rPr>
        <w:t xml:space="preserve"> </w:t>
      </w:r>
      <w:proofErr w:type="spellStart"/>
      <w:r w:rsidRPr="00E43070">
        <w:rPr>
          <w:i/>
          <w:sz w:val="22"/>
          <w:szCs w:val="22"/>
        </w:rPr>
        <w:t>diqu</w:t>
      </w:r>
      <w:proofErr w:type="spellEnd"/>
      <w:r w:rsidRPr="00E43070">
        <w:rPr>
          <w:i/>
          <w:sz w:val="22"/>
          <w:szCs w:val="22"/>
        </w:rPr>
        <w:t xml:space="preserve"> </w:t>
      </w:r>
      <w:proofErr w:type="spellStart"/>
      <w:r w:rsidRPr="00E43070">
        <w:rPr>
          <w:i/>
          <w:sz w:val="22"/>
          <w:szCs w:val="22"/>
        </w:rPr>
        <w:t>chaju</w:t>
      </w:r>
      <w:proofErr w:type="spellEnd"/>
      <w:r w:rsidRPr="00E43070">
        <w:rPr>
          <w:i/>
          <w:sz w:val="22"/>
          <w:szCs w:val="22"/>
        </w:rPr>
        <w:t xml:space="preserve"> de </w:t>
      </w:r>
      <w:proofErr w:type="spellStart"/>
      <w:r w:rsidRPr="00E43070">
        <w:rPr>
          <w:i/>
          <w:sz w:val="22"/>
          <w:szCs w:val="22"/>
        </w:rPr>
        <w:t>bianhua</w:t>
      </w:r>
      <w:proofErr w:type="spellEnd"/>
      <w:r w:rsidRPr="00E43070">
        <w:rPr>
          <w:i/>
          <w:sz w:val="22"/>
          <w:szCs w:val="22"/>
        </w:rPr>
        <w:t xml:space="preserve"> </w:t>
      </w:r>
      <w:proofErr w:type="spellStart"/>
      <w:r w:rsidRPr="00E43070">
        <w:rPr>
          <w:i/>
          <w:sz w:val="22"/>
          <w:szCs w:val="22"/>
        </w:rPr>
        <w:t>qushi</w:t>
      </w:r>
      <w:proofErr w:type="spellEnd"/>
      <w:r w:rsidRPr="00E43070">
        <w:rPr>
          <w:i/>
          <w:sz w:val="22"/>
          <w:szCs w:val="22"/>
        </w:rPr>
        <w:t>)</w:t>
      </w:r>
      <w:r w:rsidRPr="00E43070">
        <w:rPr>
          <w:sz w:val="22"/>
          <w:szCs w:val="22"/>
        </w:rPr>
        <w:t>.</w:t>
      </w:r>
      <w:proofErr w:type="gramEnd"/>
      <w:r w:rsidRPr="00E43070">
        <w:rPr>
          <w:sz w:val="22"/>
          <w:szCs w:val="22"/>
        </w:rPr>
        <w:t xml:space="preserve"> </w:t>
      </w:r>
      <w:proofErr w:type="spellStart"/>
      <w:proofErr w:type="gramStart"/>
      <w:r w:rsidRPr="00E43070">
        <w:rPr>
          <w:i/>
          <w:sz w:val="22"/>
          <w:szCs w:val="22"/>
        </w:rPr>
        <w:t>Jingji</w:t>
      </w:r>
      <w:proofErr w:type="spellEnd"/>
      <w:r w:rsidRPr="00E43070">
        <w:rPr>
          <w:i/>
          <w:sz w:val="22"/>
          <w:szCs w:val="22"/>
        </w:rPr>
        <w:t xml:space="preserve"> </w:t>
      </w:r>
      <w:proofErr w:type="spellStart"/>
      <w:r w:rsidRPr="00E43070">
        <w:rPr>
          <w:i/>
          <w:sz w:val="22"/>
          <w:szCs w:val="22"/>
        </w:rPr>
        <w:t>Yanjiu</w:t>
      </w:r>
      <w:proofErr w:type="spellEnd"/>
      <w:r w:rsidRPr="00E43070">
        <w:rPr>
          <w:i/>
          <w:sz w:val="22"/>
          <w:szCs w:val="22"/>
        </w:rPr>
        <w:t xml:space="preserve"> (Economic Research)</w:t>
      </w:r>
      <w:r w:rsidRPr="00E43070">
        <w:rPr>
          <w:sz w:val="22"/>
          <w:szCs w:val="22"/>
        </w:rPr>
        <w:t>, 7:106–116.</w:t>
      </w:r>
      <w:proofErr w:type="gramEnd"/>
    </w:p>
    <w:p w:rsidR="001818C8" w:rsidRPr="00E43070" w:rsidRDefault="00881BB1" w:rsidP="00147850">
      <w:pPr>
        <w:autoSpaceDE w:val="0"/>
        <w:autoSpaceDN w:val="0"/>
        <w:adjustRightInd w:val="0"/>
        <w:ind w:left="720" w:hanging="720"/>
        <w:contextualSpacing/>
        <w:jc w:val="both"/>
        <w:rPr>
          <w:sz w:val="22"/>
          <w:szCs w:val="22"/>
        </w:rPr>
      </w:pPr>
      <w:proofErr w:type="spellStart"/>
      <w:r w:rsidRPr="00E43070">
        <w:rPr>
          <w:sz w:val="22"/>
          <w:szCs w:val="22"/>
        </w:rPr>
        <w:t>Yao</w:t>
      </w:r>
      <w:proofErr w:type="gramStart"/>
      <w:r w:rsidRPr="00E43070">
        <w:rPr>
          <w:sz w:val="22"/>
          <w:szCs w:val="22"/>
        </w:rPr>
        <w:t>,Y</w:t>
      </w:r>
      <w:proofErr w:type="spellEnd"/>
      <w:proofErr w:type="gramEnd"/>
      <w:r w:rsidRPr="00E43070">
        <w:rPr>
          <w:sz w:val="22"/>
          <w:szCs w:val="22"/>
        </w:rPr>
        <w:t xml:space="preserve">. (2009). </w:t>
      </w:r>
      <w:proofErr w:type="gramStart"/>
      <w:r w:rsidRPr="00E43070">
        <w:rPr>
          <w:sz w:val="22"/>
          <w:szCs w:val="22"/>
        </w:rPr>
        <w:t>The Political Economy of Government Policies Toward Regional Inequality In China.</w:t>
      </w:r>
      <w:proofErr w:type="gramEnd"/>
      <w:r w:rsidRPr="00E43070">
        <w:rPr>
          <w:sz w:val="22"/>
          <w:szCs w:val="22"/>
        </w:rPr>
        <w:t xml:space="preserve"> In: Y. Huang, A. </w:t>
      </w:r>
      <w:proofErr w:type="spellStart"/>
      <w:r w:rsidRPr="00E43070">
        <w:rPr>
          <w:sz w:val="22"/>
          <w:szCs w:val="22"/>
        </w:rPr>
        <w:t>Bocchi</w:t>
      </w:r>
      <w:proofErr w:type="spellEnd"/>
      <w:r w:rsidRPr="00E43070">
        <w:rPr>
          <w:sz w:val="22"/>
          <w:szCs w:val="22"/>
        </w:rPr>
        <w:t xml:space="preserve"> (Eds.), </w:t>
      </w:r>
      <w:r w:rsidRPr="00E43070">
        <w:rPr>
          <w:i/>
          <w:sz w:val="22"/>
          <w:szCs w:val="22"/>
        </w:rPr>
        <w:t xml:space="preserve">Reshaping Economic Geography in East </w:t>
      </w:r>
      <w:proofErr w:type="spellStart"/>
      <w:r w:rsidRPr="00E43070">
        <w:rPr>
          <w:i/>
          <w:sz w:val="22"/>
          <w:szCs w:val="22"/>
        </w:rPr>
        <w:t>Asia</w:t>
      </w:r>
      <w:r w:rsidRPr="00E43070">
        <w:rPr>
          <w:sz w:val="22"/>
          <w:szCs w:val="22"/>
        </w:rPr>
        <w:t>.World</w:t>
      </w:r>
      <w:proofErr w:type="spellEnd"/>
      <w:r w:rsidRPr="00E43070">
        <w:rPr>
          <w:sz w:val="22"/>
          <w:szCs w:val="22"/>
        </w:rPr>
        <w:t xml:space="preserve"> </w:t>
      </w:r>
      <w:proofErr w:type="spellStart"/>
      <w:r w:rsidRPr="00E43070">
        <w:rPr>
          <w:sz w:val="22"/>
          <w:szCs w:val="22"/>
        </w:rPr>
        <w:t>Bank,Washington</w:t>
      </w:r>
      <w:proofErr w:type="spellEnd"/>
      <w:r w:rsidRPr="00E43070">
        <w:rPr>
          <w:sz w:val="22"/>
          <w:szCs w:val="22"/>
        </w:rPr>
        <w:t>, DC, pp. 218–240.</w:t>
      </w:r>
    </w:p>
    <w:p w:rsidR="00B50147" w:rsidRPr="00E43070" w:rsidRDefault="00B50147" w:rsidP="00147850">
      <w:pPr>
        <w:autoSpaceDE w:val="0"/>
        <w:autoSpaceDN w:val="0"/>
        <w:adjustRightInd w:val="0"/>
        <w:ind w:left="720" w:hanging="720"/>
        <w:contextualSpacing/>
        <w:jc w:val="both"/>
        <w:rPr>
          <w:sz w:val="22"/>
          <w:szCs w:val="22"/>
        </w:rPr>
      </w:pPr>
      <w:r w:rsidRPr="00E43070">
        <w:rPr>
          <w:sz w:val="22"/>
          <w:szCs w:val="22"/>
        </w:rPr>
        <w:t xml:space="preserve">Ying, L. (1999). China’s Changing Regional Disparities during the Reform Period, </w:t>
      </w:r>
      <w:r w:rsidRPr="00E43070">
        <w:rPr>
          <w:i/>
          <w:sz w:val="22"/>
          <w:szCs w:val="22"/>
        </w:rPr>
        <w:t>Economic Geography</w:t>
      </w:r>
      <w:r w:rsidRPr="00E43070">
        <w:rPr>
          <w:sz w:val="22"/>
          <w:szCs w:val="22"/>
        </w:rPr>
        <w:t>, 75, 1:59–70.</w:t>
      </w:r>
    </w:p>
    <w:p w:rsidR="002B4D53" w:rsidRPr="00E43070" w:rsidRDefault="000C5E54" w:rsidP="00147850">
      <w:pPr>
        <w:ind w:left="720" w:hanging="720"/>
        <w:contextualSpacing/>
        <w:jc w:val="both"/>
        <w:rPr>
          <w:sz w:val="22"/>
          <w:szCs w:val="22"/>
        </w:rPr>
      </w:pPr>
      <w:proofErr w:type="spellStart"/>
      <w:r w:rsidRPr="00E43070">
        <w:rPr>
          <w:sz w:val="22"/>
          <w:szCs w:val="22"/>
        </w:rPr>
        <w:t>Yixin</w:t>
      </w:r>
      <w:proofErr w:type="spellEnd"/>
      <w:r w:rsidRPr="00E43070">
        <w:rPr>
          <w:sz w:val="22"/>
          <w:szCs w:val="22"/>
        </w:rPr>
        <w:t xml:space="preserve">, C. (2010). </w:t>
      </w:r>
      <w:proofErr w:type="gramStart"/>
      <w:r w:rsidRPr="00E43070">
        <w:rPr>
          <w:sz w:val="22"/>
          <w:szCs w:val="22"/>
        </w:rPr>
        <w:t>Under the same Maoist sky: accounting for death rate discrepancies in Anhui and Jiangxi.</w:t>
      </w:r>
      <w:proofErr w:type="gramEnd"/>
      <w:r w:rsidRPr="00E43070">
        <w:rPr>
          <w:sz w:val="22"/>
          <w:szCs w:val="22"/>
        </w:rPr>
        <w:t xml:space="preserve"> </w:t>
      </w:r>
      <w:proofErr w:type="gramStart"/>
      <w:r w:rsidRPr="00E43070">
        <w:rPr>
          <w:sz w:val="22"/>
          <w:szCs w:val="22"/>
        </w:rPr>
        <w:t xml:space="preserve">In </w:t>
      </w:r>
      <w:r w:rsidRPr="00E43070">
        <w:rPr>
          <w:i/>
          <w:sz w:val="22"/>
          <w:szCs w:val="22"/>
        </w:rPr>
        <w:t>Eating Bitterness: New Perspectives on China’s Great Leap Forward and Famine</w:t>
      </w:r>
      <w:r w:rsidRPr="00E43070">
        <w:rPr>
          <w:sz w:val="22"/>
          <w:szCs w:val="22"/>
        </w:rPr>
        <w:t xml:space="preserve">, K. Manning and F. </w:t>
      </w:r>
      <w:proofErr w:type="spellStart"/>
      <w:r w:rsidRPr="00E43070">
        <w:rPr>
          <w:sz w:val="22"/>
          <w:szCs w:val="22"/>
        </w:rPr>
        <w:t>Wemheuer</w:t>
      </w:r>
      <w:proofErr w:type="spellEnd"/>
      <w:r w:rsidRPr="00E43070">
        <w:rPr>
          <w:sz w:val="22"/>
          <w:szCs w:val="22"/>
        </w:rPr>
        <w:t xml:space="preserve"> (eds), Vancouver: UBC Press, pp. 197-225.</w:t>
      </w:r>
      <w:proofErr w:type="gramEnd"/>
    </w:p>
    <w:p w:rsidR="00CD02A3" w:rsidRDefault="002B4D53" w:rsidP="00147850">
      <w:pPr>
        <w:autoSpaceDE w:val="0"/>
        <w:autoSpaceDN w:val="0"/>
        <w:adjustRightInd w:val="0"/>
        <w:ind w:left="720" w:hanging="720"/>
        <w:contextualSpacing/>
        <w:jc w:val="both"/>
      </w:pPr>
      <w:r w:rsidRPr="00E43070">
        <w:rPr>
          <w:sz w:val="22"/>
          <w:szCs w:val="22"/>
        </w:rPr>
        <w:t xml:space="preserve">Zhang, P. Y. (2008). </w:t>
      </w:r>
      <w:proofErr w:type="gramStart"/>
      <w:r w:rsidRPr="00E43070">
        <w:rPr>
          <w:sz w:val="22"/>
          <w:szCs w:val="22"/>
        </w:rPr>
        <w:t>Revitalizing Old Industrial Base of Northeast China: Process, Policy and Challenge.</w:t>
      </w:r>
      <w:proofErr w:type="gramEnd"/>
      <w:r w:rsidRPr="00E43070">
        <w:rPr>
          <w:sz w:val="22"/>
          <w:szCs w:val="22"/>
        </w:rPr>
        <w:t xml:space="preserve"> </w:t>
      </w:r>
      <w:r w:rsidRPr="00E43070">
        <w:rPr>
          <w:i/>
          <w:iCs/>
          <w:sz w:val="22"/>
          <w:szCs w:val="22"/>
        </w:rPr>
        <w:t>Chinese Geographical Science,</w:t>
      </w:r>
      <w:r w:rsidRPr="00E43070">
        <w:rPr>
          <w:sz w:val="22"/>
          <w:szCs w:val="22"/>
        </w:rPr>
        <w:t xml:space="preserve"> 18(2), pp. 109-118.</w:t>
      </w:r>
    </w:p>
    <w:p w:rsidR="00CD02A3" w:rsidRPr="0072338A" w:rsidRDefault="00CD02A3" w:rsidP="00147850">
      <w:pPr>
        <w:ind w:left="720" w:hanging="720"/>
        <w:contextualSpacing/>
        <w:jc w:val="both"/>
        <w:rPr>
          <w:bCs/>
          <w:sz w:val="4"/>
        </w:rPr>
      </w:pPr>
    </w:p>
    <w:p w:rsidR="00585457" w:rsidRDefault="00585457" w:rsidP="00147850">
      <w:pPr>
        <w:spacing w:line="276" w:lineRule="auto"/>
        <w:jc w:val="both"/>
      </w:pPr>
      <w:r>
        <w:br w:type="page"/>
      </w:r>
    </w:p>
    <w:p w:rsidR="00BB2827" w:rsidRDefault="00BB2827" w:rsidP="007A7BC1">
      <w:pPr>
        <w:spacing w:line="276" w:lineRule="auto"/>
        <w:rPr>
          <w:bCs/>
        </w:rPr>
        <w:sectPr w:rsidR="00BB2827" w:rsidSect="00520756">
          <w:footerReference w:type="default" r:id="rId28"/>
          <w:pgSz w:w="11907" w:h="16840" w:code="9"/>
          <w:pgMar w:top="1247" w:right="1440" w:bottom="1247" w:left="1440" w:header="720" w:footer="720" w:gutter="0"/>
          <w:pgNumType w:start="1"/>
          <w:cols w:space="720"/>
          <w:titlePg/>
          <w:docGrid w:linePitch="360"/>
        </w:sectPr>
      </w:pPr>
    </w:p>
    <w:p w:rsidR="00CD02A3" w:rsidRDefault="005332F7" w:rsidP="007A7BC1">
      <w:pPr>
        <w:spacing w:line="276" w:lineRule="auto"/>
        <w:rPr>
          <w:bCs/>
        </w:rPr>
      </w:pPr>
      <w:r w:rsidRPr="005332F7">
        <w:rPr>
          <w:noProof/>
          <w:lang w:val="en-NZ" w:eastAsia="en-NZ"/>
        </w:rPr>
        <w:lastRenderedPageBreak/>
        <w:drawing>
          <wp:inline distT="0" distB="0" distL="0" distR="0">
            <wp:extent cx="8686800" cy="5879136"/>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8686800" cy="5879136"/>
                    </a:xfrm>
                    <a:prstGeom prst="rect">
                      <a:avLst/>
                    </a:prstGeom>
                    <a:noFill/>
                    <a:ln w="9525">
                      <a:noFill/>
                      <a:miter lim="800000"/>
                      <a:headEnd/>
                      <a:tailEnd/>
                    </a:ln>
                  </pic:spPr>
                </pic:pic>
              </a:graphicData>
            </a:graphic>
          </wp:inline>
        </w:drawing>
      </w:r>
    </w:p>
    <w:sectPr w:rsidR="00CD02A3" w:rsidSect="00EB7D68">
      <w:pgSz w:w="15840" w:h="12240" w:orient="landscape"/>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87" w:rsidRDefault="00780F87">
      <w:r>
        <w:separator/>
      </w:r>
    </w:p>
  </w:endnote>
  <w:endnote w:type="continuationSeparator" w:id="0">
    <w:p w:rsidR="00780F87" w:rsidRDefault="00780F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422"/>
      <w:docPartObj>
        <w:docPartGallery w:val="Page Numbers (Bottom of Page)"/>
        <w:docPartUnique/>
      </w:docPartObj>
    </w:sdtPr>
    <w:sdtContent>
      <w:p w:rsidR="00147850" w:rsidRDefault="00147850">
        <w:pPr>
          <w:pStyle w:val="Footer"/>
          <w:jc w:val="center"/>
        </w:pPr>
        <w:fldSimple w:instr=" PAGE   \* MERGEFORMAT ">
          <w:r w:rsidR="00792904">
            <w:rPr>
              <w:noProof/>
            </w:rPr>
            <w:t>22</w:t>
          </w:r>
        </w:fldSimple>
      </w:p>
    </w:sdtContent>
  </w:sdt>
  <w:p w:rsidR="00147850" w:rsidRDefault="00147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87" w:rsidRDefault="00780F87">
      <w:r>
        <w:separator/>
      </w:r>
    </w:p>
  </w:footnote>
  <w:footnote w:type="continuationSeparator" w:id="0">
    <w:p w:rsidR="00780F87" w:rsidRDefault="00780F87">
      <w:r>
        <w:continuationSeparator/>
      </w:r>
    </w:p>
  </w:footnote>
  <w:footnote w:id="1">
    <w:p w:rsidR="00147850" w:rsidRPr="00520756" w:rsidRDefault="00147850" w:rsidP="00BA433C">
      <w:pPr>
        <w:pStyle w:val="FootnoteText"/>
        <w:ind w:left="284" w:hanging="284"/>
        <w:jc w:val="both"/>
        <w:rPr>
          <w:bCs/>
          <w:sz w:val="22"/>
          <w:szCs w:val="22"/>
        </w:rPr>
      </w:pPr>
      <w:r>
        <w:rPr>
          <w:rStyle w:val="FootnoteReference"/>
        </w:rPr>
        <w:footnoteRef/>
      </w:r>
      <w:r>
        <w:rPr>
          <w:bCs/>
        </w:rPr>
        <w:tab/>
      </w:r>
      <w:proofErr w:type="spellStart"/>
      <w:r w:rsidRPr="00520756">
        <w:rPr>
          <w:bCs/>
          <w:sz w:val="22"/>
          <w:szCs w:val="22"/>
        </w:rPr>
        <w:t>Smil</w:t>
      </w:r>
      <w:proofErr w:type="spellEnd"/>
      <w:r w:rsidRPr="00520756">
        <w:rPr>
          <w:bCs/>
          <w:sz w:val="22"/>
          <w:szCs w:val="22"/>
        </w:rPr>
        <w:t xml:space="preserve"> (1999) estimates that 30 million starved to death between 1959 and 1961 and about the same number of births were lost or postponed.</w:t>
      </w:r>
    </w:p>
    <w:p w:rsidR="00147850" w:rsidRPr="00520756" w:rsidRDefault="00147850" w:rsidP="00BA433C">
      <w:pPr>
        <w:pStyle w:val="FootnoteText"/>
        <w:ind w:left="284" w:hanging="284"/>
        <w:jc w:val="both"/>
        <w:rPr>
          <w:sz w:val="22"/>
          <w:szCs w:val="22"/>
          <w:lang w:val="en-NZ"/>
        </w:rPr>
      </w:pPr>
    </w:p>
  </w:footnote>
  <w:footnote w:id="2">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ab/>
        <w:t>Specifically, from 1958 to 1961 there were 6.3 million excess deaths in Anhui, equivalent to 18.4 percent of the population, but just 0.2 million excess deaths (one percent of the population) in neighboring Jiangxi (</w:t>
      </w:r>
      <w:proofErr w:type="spellStart"/>
      <w:r w:rsidRPr="00520756">
        <w:rPr>
          <w:sz w:val="22"/>
          <w:szCs w:val="22"/>
        </w:rPr>
        <w:t>Yixin</w:t>
      </w:r>
      <w:proofErr w:type="spellEnd"/>
      <w:r w:rsidRPr="00520756">
        <w:rPr>
          <w:sz w:val="22"/>
          <w:szCs w:val="22"/>
        </w:rPr>
        <w:t xml:space="preserve">, 2010), even though these provinces share a 260 mile border.  Brown (2010) reports evidence that urban residents even smuggled food </w:t>
      </w:r>
      <w:r w:rsidRPr="00520756">
        <w:rPr>
          <w:i/>
          <w:sz w:val="22"/>
          <w:szCs w:val="22"/>
        </w:rPr>
        <w:t>out</w:t>
      </w:r>
      <w:r w:rsidRPr="00520756">
        <w:rPr>
          <w:sz w:val="22"/>
          <w:szCs w:val="22"/>
        </w:rPr>
        <w:t xml:space="preserve"> of cities to their nearby but immobilized (by inflexible </w:t>
      </w:r>
      <w:proofErr w:type="spellStart"/>
      <w:r w:rsidRPr="00520756">
        <w:rPr>
          <w:i/>
          <w:sz w:val="22"/>
          <w:szCs w:val="22"/>
        </w:rPr>
        <w:t>hukou</w:t>
      </w:r>
      <w:proofErr w:type="spellEnd"/>
      <w:r w:rsidRPr="00520756">
        <w:rPr>
          <w:sz w:val="22"/>
          <w:szCs w:val="22"/>
        </w:rPr>
        <w:t>)</w:t>
      </w:r>
      <w:r w:rsidRPr="00520756">
        <w:rPr>
          <w:i/>
          <w:sz w:val="22"/>
          <w:szCs w:val="22"/>
        </w:rPr>
        <w:t xml:space="preserve"> </w:t>
      </w:r>
      <w:r w:rsidRPr="00520756">
        <w:rPr>
          <w:sz w:val="22"/>
          <w:szCs w:val="22"/>
        </w:rPr>
        <w:t>rural friends and relatives.</w:t>
      </w:r>
    </w:p>
  </w:footnote>
  <w:footnote w:id="3">
    <w:p w:rsidR="00147850" w:rsidRPr="00520756" w:rsidRDefault="00147850" w:rsidP="00BA433C">
      <w:pPr>
        <w:pStyle w:val="FootnoteText"/>
        <w:ind w:left="284" w:hanging="284"/>
        <w:jc w:val="both"/>
        <w:rPr>
          <w:sz w:val="22"/>
          <w:szCs w:val="22"/>
          <w:lang w:val="en-NZ"/>
        </w:rPr>
      </w:pPr>
      <w:r>
        <w:rPr>
          <w:rStyle w:val="FootnoteReference"/>
        </w:rPr>
        <w:footnoteRef/>
      </w:r>
      <w:r>
        <w:t xml:space="preserve"> </w:t>
      </w:r>
      <w:r>
        <w:tab/>
      </w:r>
      <w:r w:rsidRPr="00520756">
        <w:rPr>
          <w:sz w:val="22"/>
          <w:szCs w:val="22"/>
          <w:lang w:val="en-NZ"/>
        </w:rPr>
        <w:t xml:space="preserve">Moreover, the procedure used by Hoshino to develop an alternative to the officially reported GDP per registered population can be questioned because the way that the 1990 and 2000 census populations are spread over </w:t>
      </w:r>
      <w:proofErr w:type="spellStart"/>
      <w:r w:rsidRPr="00520756">
        <w:rPr>
          <w:sz w:val="22"/>
          <w:szCs w:val="22"/>
          <w:lang w:val="en-NZ"/>
        </w:rPr>
        <w:t>intercensal</w:t>
      </w:r>
      <w:proofErr w:type="spellEnd"/>
      <w:r w:rsidRPr="00520756">
        <w:rPr>
          <w:sz w:val="22"/>
          <w:szCs w:val="22"/>
          <w:lang w:val="en-NZ"/>
        </w:rPr>
        <w:t xml:space="preserve"> years suffers from the double-counting problem.</w:t>
      </w:r>
    </w:p>
    <w:p w:rsidR="00147850" w:rsidRPr="00520756" w:rsidRDefault="00147850" w:rsidP="00BA433C">
      <w:pPr>
        <w:pStyle w:val="FootnoteText"/>
        <w:ind w:left="284" w:hanging="284"/>
        <w:jc w:val="both"/>
        <w:rPr>
          <w:sz w:val="22"/>
          <w:szCs w:val="22"/>
          <w:lang w:val="en-NZ"/>
        </w:rPr>
      </w:pPr>
    </w:p>
  </w:footnote>
  <w:footnote w:id="4">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proofErr w:type="spellStart"/>
      <w:r w:rsidRPr="00520756">
        <w:rPr>
          <w:sz w:val="22"/>
          <w:szCs w:val="22"/>
          <w:lang w:val="en-NZ"/>
        </w:rPr>
        <w:t>Tsui</w:t>
      </w:r>
      <w:proofErr w:type="spellEnd"/>
      <w:r w:rsidRPr="00520756">
        <w:rPr>
          <w:sz w:val="22"/>
          <w:szCs w:val="22"/>
          <w:lang w:val="en-NZ"/>
        </w:rPr>
        <w:t xml:space="preserve"> (2007) is an example of a study that (wrongly) ignores this change in the length of stay required to be defined as a resident. </w:t>
      </w:r>
      <w:proofErr w:type="spellStart"/>
      <w:r w:rsidRPr="00520756">
        <w:rPr>
          <w:sz w:val="22"/>
          <w:szCs w:val="22"/>
          <w:lang w:val="en-NZ"/>
        </w:rPr>
        <w:t>Tsui</w:t>
      </w:r>
      <w:proofErr w:type="spellEnd"/>
      <w:r w:rsidRPr="00520756">
        <w:rPr>
          <w:sz w:val="22"/>
          <w:szCs w:val="22"/>
          <w:lang w:val="en-NZ"/>
        </w:rPr>
        <w:t xml:space="preserve"> projects age-</w:t>
      </w:r>
      <w:proofErr w:type="spellStart"/>
      <w:r w:rsidRPr="00520756">
        <w:rPr>
          <w:sz w:val="22"/>
          <w:szCs w:val="22"/>
          <w:lang w:val="en-NZ"/>
        </w:rPr>
        <w:t>speciﬁc</w:t>
      </w:r>
      <w:proofErr w:type="spellEnd"/>
      <w:r w:rsidRPr="00520756">
        <w:rPr>
          <w:sz w:val="22"/>
          <w:szCs w:val="22"/>
          <w:lang w:val="en-NZ"/>
        </w:rPr>
        <w:t xml:space="preserve"> population cohorts forward from the 1982 and 1990 census and uses the gap between the actual figure in the next census and the projected figure for that year to estimate net in-migration and then spreads these evenly over the </w:t>
      </w:r>
      <w:proofErr w:type="spellStart"/>
      <w:r w:rsidRPr="00520756">
        <w:rPr>
          <w:sz w:val="22"/>
          <w:szCs w:val="22"/>
          <w:lang w:val="en-NZ"/>
        </w:rPr>
        <w:t>intercensal</w:t>
      </w:r>
      <w:proofErr w:type="spellEnd"/>
      <w:r w:rsidRPr="00520756">
        <w:rPr>
          <w:sz w:val="22"/>
          <w:szCs w:val="22"/>
          <w:lang w:val="en-NZ"/>
        </w:rPr>
        <w:t xml:space="preserve"> years. The six-month rule in the 2000 census gives more residents than the 12-month rule used in 1990, so this method will wrongly overstate the number of in-migrants in the 1990s.</w:t>
      </w:r>
    </w:p>
  </w:footnote>
  <w:footnote w:id="5">
    <w:p w:rsidR="00147850" w:rsidRPr="00520756" w:rsidRDefault="00147850" w:rsidP="00BA433C">
      <w:pPr>
        <w:pStyle w:val="FootnoteText"/>
        <w:ind w:left="284" w:hanging="284"/>
        <w:jc w:val="both"/>
        <w:rPr>
          <w:sz w:val="22"/>
          <w:szCs w:val="22"/>
          <w:lang w:val="en-NZ"/>
        </w:rPr>
      </w:pPr>
      <w:r>
        <w:rPr>
          <w:rStyle w:val="FootnoteReference"/>
        </w:rPr>
        <w:footnoteRef/>
      </w:r>
      <w:r>
        <w:rPr>
          <w:lang w:val="en-NZ"/>
        </w:rPr>
        <w:t xml:space="preserve"> </w:t>
      </w:r>
      <w:r>
        <w:rPr>
          <w:lang w:val="en-NZ"/>
        </w:rPr>
        <w:tab/>
      </w:r>
      <w:r w:rsidRPr="00520756">
        <w:rPr>
          <w:sz w:val="22"/>
          <w:szCs w:val="22"/>
          <w:lang w:val="en-NZ"/>
        </w:rPr>
        <w:t>Beijing and Shanghai are province-level municipalities, along with Tianjin and (since 1997) Chongqing. Each one is included as a separate entity in province-level statistics. Each of these municipalities also includes agricultural populations. For example, Chongqing municipality had a registered population of 30.9 million in the 2000 census but the non-agricultural population in its city districts was just 3.8 million (Chan, 2007).</w:t>
      </w:r>
    </w:p>
    <w:p w:rsidR="00147850" w:rsidRPr="00520756" w:rsidRDefault="00147850" w:rsidP="00BA433C">
      <w:pPr>
        <w:pStyle w:val="FootnoteText"/>
        <w:ind w:left="284" w:hanging="284"/>
        <w:jc w:val="both"/>
        <w:rPr>
          <w:sz w:val="22"/>
          <w:szCs w:val="22"/>
          <w:lang w:val="en-NZ"/>
        </w:rPr>
      </w:pPr>
    </w:p>
  </w:footnote>
  <w:footnote w:id="6">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r w:rsidRPr="00520756">
        <w:rPr>
          <w:sz w:val="22"/>
          <w:szCs w:val="22"/>
          <w:lang w:val="en-NZ"/>
        </w:rPr>
        <w:t>The resident population for 2000 and 2005 is based on revised figures for those years produced by the National Bureau of Statistics (NBS) after the 2010 census. The revisions raised the estimated resident population of Shanghai in 2005 by six percent and lowered the estimate for 2000 by four percent, while for the other provinces shown in the figure there were almost no changes from the initial counts made in 2000 and 2005.</w:t>
      </w:r>
    </w:p>
  </w:footnote>
  <w:footnote w:id="7">
    <w:p w:rsidR="00147850" w:rsidRPr="00520756" w:rsidRDefault="00147850" w:rsidP="00AA06B8">
      <w:pPr>
        <w:pStyle w:val="FootnoteText"/>
        <w:ind w:left="284" w:hanging="284"/>
        <w:jc w:val="both"/>
        <w:rPr>
          <w:sz w:val="22"/>
          <w:szCs w:val="22"/>
          <w:lang w:val="en-NZ"/>
        </w:rPr>
      </w:pPr>
      <w:r>
        <w:rPr>
          <w:rStyle w:val="FootnoteReference"/>
        </w:rPr>
        <w:footnoteRef/>
      </w:r>
      <w:r>
        <w:t xml:space="preserve"> </w:t>
      </w:r>
      <w:r>
        <w:tab/>
      </w:r>
      <w:proofErr w:type="spellStart"/>
      <w:r w:rsidRPr="00520756">
        <w:rPr>
          <w:sz w:val="22"/>
          <w:szCs w:val="22"/>
          <w:lang w:val="en-NZ"/>
        </w:rPr>
        <w:t>Holz</w:t>
      </w:r>
      <w:proofErr w:type="spellEnd"/>
      <w:r w:rsidRPr="00520756">
        <w:rPr>
          <w:sz w:val="22"/>
          <w:szCs w:val="22"/>
          <w:lang w:val="en-NZ"/>
        </w:rPr>
        <w:t xml:space="preserve"> (2004) uses the same approach to derive the urban and rural populations that are implied by household consumption statistics. </w:t>
      </w:r>
      <w:r w:rsidRPr="00520756">
        <w:rPr>
          <w:sz w:val="22"/>
          <w:szCs w:val="22"/>
        </w:rPr>
        <w:t xml:space="preserve">Our particular sources are the </w:t>
      </w:r>
      <w:r w:rsidRPr="00520756">
        <w:rPr>
          <w:i/>
          <w:sz w:val="22"/>
          <w:szCs w:val="22"/>
        </w:rPr>
        <w:t>Comprehensive Statistical Data and Materials on 50 Years of New China</w:t>
      </w:r>
      <w:r w:rsidRPr="00520756">
        <w:rPr>
          <w:sz w:val="22"/>
          <w:szCs w:val="22"/>
        </w:rPr>
        <w:t xml:space="preserve">, the </w:t>
      </w:r>
      <w:r w:rsidRPr="00520756">
        <w:rPr>
          <w:i/>
          <w:sz w:val="22"/>
          <w:szCs w:val="22"/>
        </w:rPr>
        <w:t>China Statistical Yearbook for Regional Economy 2001-2011</w:t>
      </w:r>
      <w:r w:rsidRPr="00520756">
        <w:rPr>
          <w:sz w:val="22"/>
          <w:szCs w:val="22"/>
        </w:rPr>
        <w:t xml:space="preserve">, and the historical sections of the 2011 edition of the </w:t>
      </w:r>
      <w:r w:rsidRPr="00520756">
        <w:rPr>
          <w:i/>
          <w:sz w:val="22"/>
          <w:szCs w:val="22"/>
        </w:rPr>
        <w:t>Statistical Yearbook</w:t>
      </w:r>
      <w:r w:rsidRPr="00520756">
        <w:rPr>
          <w:sz w:val="22"/>
          <w:szCs w:val="22"/>
        </w:rPr>
        <w:t xml:space="preserve"> for each province.</w:t>
      </w:r>
    </w:p>
  </w:footnote>
  <w:footnote w:id="8">
    <w:p w:rsidR="00147850" w:rsidRPr="00520756" w:rsidRDefault="00147850" w:rsidP="00520756">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Pr>
          <w:sz w:val="22"/>
          <w:szCs w:val="22"/>
        </w:rPr>
        <w:tab/>
      </w:r>
      <w:r w:rsidRPr="00520756">
        <w:rPr>
          <w:sz w:val="22"/>
          <w:szCs w:val="22"/>
          <w:lang w:val="en-NZ"/>
        </w:rPr>
        <w:t xml:space="preserve">The 2010 population census (and the Second Economic Census, conducted in 2008) provides corrected endpoints for recalculating trends in GDP and GDP </w:t>
      </w:r>
      <w:r w:rsidRPr="00520756">
        <w:rPr>
          <w:i/>
          <w:sz w:val="22"/>
          <w:szCs w:val="22"/>
          <w:lang w:val="en-NZ"/>
        </w:rPr>
        <w:t>per capita</w:t>
      </w:r>
      <w:r w:rsidRPr="00520756">
        <w:rPr>
          <w:sz w:val="22"/>
          <w:szCs w:val="22"/>
          <w:lang w:val="en-NZ"/>
        </w:rPr>
        <w:t xml:space="preserve">. This “new trend” can then be used to revise previous annual estimates. Specifically, annual deviations from a “historical trend” (based on the previous </w:t>
      </w:r>
      <w:r w:rsidRPr="00520756">
        <w:rPr>
          <w:i/>
          <w:sz w:val="22"/>
          <w:szCs w:val="22"/>
          <w:lang w:val="en-NZ"/>
        </w:rPr>
        <w:t>Yearbook</w:t>
      </w:r>
      <w:r w:rsidRPr="00520756">
        <w:rPr>
          <w:sz w:val="22"/>
          <w:szCs w:val="22"/>
          <w:lang w:val="en-NZ"/>
        </w:rPr>
        <w:t xml:space="preserve"> data that did not benefit from the latest census results) are applied to the new trend. Wu (2007) provides details for GDP revisions.</w:t>
      </w:r>
    </w:p>
  </w:footnote>
  <w:footnote w:id="9">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r w:rsidRPr="00520756">
        <w:rPr>
          <w:sz w:val="22"/>
          <w:szCs w:val="22"/>
          <w:lang w:val="en-NZ"/>
        </w:rPr>
        <w:t xml:space="preserve">The provinces and their earliest year with revised data are: Zhejiang (2000), Jiangxi (2000), Henan (2003), Hubei (2000), Hunan (2002), Guangxi (1998), Sichuan, including Chongqing (2000), </w:t>
      </w:r>
      <w:proofErr w:type="spellStart"/>
      <w:r w:rsidRPr="00520756">
        <w:rPr>
          <w:sz w:val="22"/>
          <w:szCs w:val="22"/>
          <w:lang w:val="en-NZ"/>
        </w:rPr>
        <w:t>Guizhou</w:t>
      </w:r>
      <w:proofErr w:type="spellEnd"/>
      <w:r w:rsidRPr="00520756">
        <w:rPr>
          <w:sz w:val="22"/>
          <w:szCs w:val="22"/>
          <w:lang w:val="en-NZ"/>
        </w:rPr>
        <w:t xml:space="preserve"> (2006) and Gansu (2006).</w:t>
      </w:r>
    </w:p>
    <w:p w:rsidR="00147850" w:rsidRPr="00520756" w:rsidRDefault="00147850" w:rsidP="00BA433C">
      <w:pPr>
        <w:pStyle w:val="FootnoteText"/>
        <w:ind w:left="284" w:hanging="284"/>
        <w:jc w:val="both"/>
        <w:rPr>
          <w:sz w:val="22"/>
          <w:szCs w:val="22"/>
          <w:lang w:val="en-NZ"/>
        </w:rPr>
      </w:pPr>
    </w:p>
  </w:footnote>
  <w:footnote w:id="10">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r w:rsidRPr="00520756">
        <w:rPr>
          <w:sz w:val="22"/>
          <w:szCs w:val="22"/>
          <w:lang w:val="en-NZ"/>
        </w:rPr>
        <w:t xml:space="preserve">China occasionally releases compilations of data from the </w:t>
      </w:r>
      <w:r w:rsidRPr="00520756">
        <w:rPr>
          <w:i/>
          <w:sz w:val="22"/>
          <w:szCs w:val="22"/>
          <w:lang w:val="en-NZ"/>
        </w:rPr>
        <w:t>Statistical Yearbooks</w:t>
      </w:r>
      <w:r w:rsidRPr="00520756">
        <w:rPr>
          <w:sz w:val="22"/>
          <w:szCs w:val="22"/>
          <w:lang w:val="en-NZ"/>
        </w:rPr>
        <w:t xml:space="preserve"> covering two or more decades, typically with titles of “20 years …”, “40 years …” but these do not show any consistent adjustment to the population data initially published year-by-year so studies using these compilations are counted in the group using unadjusted data.</w:t>
      </w:r>
    </w:p>
    <w:p w:rsidR="00147850" w:rsidRPr="00520756" w:rsidRDefault="00147850" w:rsidP="00BA433C">
      <w:pPr>
        <w:pStyle w:val="FootnoteText"/>
        <w:ind w:left="284" w:hanging="284"/>
        <w:jc w:val="both"/>
        <w:rPr>
          <w:sz w:val="22"/>
          <w:szCs w:val="22"/>
          <w:lang w:val="en-NZ"/>
        </w:rPr>
      </w:pPr>
    </w:p>
  </w:footnote>
  <w:footnote w:id="11">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r w:rsidRPr="00520756">
        <w:rPr>
          <w:sz w:val="22"/>
          <w:szCs w:val="22"/>
          <w:lang w:val="en-NZ"/>
        </w:rPr>
        <w:t xml:space="preserve">Specific concerns with the adjustments of Hoshino (2011) and </w:t>
      </w:r>
      <w:proofErr w:type="spellStart"/>
      <w:r w:rsidRPr="00520756">
        <w:rPr>
          <w:sz w:val="22"/>
          <w:szCs w:val="22"/>
          <w:lang w:val="en-NZ"/>
        </w:rPr>
        <w:t>Tsui</w:t>
      </w:r>
      <w:proofErr w:type="spellEnd"/>
      <w:r w:rsidRPr="00520756">
        <w:rPr>
          <w:sz w:val="22"/>
          <w:szCs w:val="22"/>
          <w:lang w:val="en-NZ"/>
        </w:rPr>
        <w:t xml:space="preserve"> (2007) are listed in footnotes 3 and 4. The Fan and Sun (2008) adjustment is to replace census estimates of resident population with the surrounding year estimates from the </w:t>
      </w:r>
      <w:r w:rsidRPr="00520756">
        <w:rPr>
          <w:i/>
          <w:sz w:val="22"/>
          <w:szCs w:val="22"/>
          <w:lang w:val="en-NZ"/>
        </w:rPr>
        <w:t>Yearbooks</w:t>
      </w:r>
      <w:r w:rsidRPr="00520756">
        <w:rPr>
          <w:sz w:val="22"/>
          <w:szCs w:val="22"/>
          <w:lang w:val="en-NZ"/>
        </w:rPr>
        <w:t>, while the discussion of Figures 3 and 4 above suggests that the opposite procedure should be used. The Chan and Wang (2008) paper does not adjust for the double-count issue shown in Figure 4.</w:t>
      </w:r>
    </w:p>
    <w:p w:rsidR="00147850" w:rsidRPr="0066267A" w:rsidRDefault="00147850" w:rsidP="00BA433C">
      <w:pPr>
        <w:pStyle w:val="FootnoteText"/>
        <w:ind w:left="284" w:hanging="284"/>
        <w:jc w:val="both"/>
        <w:rPr>
          <w:lang w:val="en-NZ"/>
        </w:rPr>
      </w:pPr>
    </w:p>
  </w:footnote>
  <w:footnote w:id="12">
    <w:p w:rsidR="00147850" w:rsidRPr="00520756" w:rsidRDefault="00147850" w:rsidP="00BA433C">
      <w:pPr>
        <w:pStyle w:val="FootnoteText"/>
        <w:ind w:left="284" w:hanging="284"/>
        <w:jc w:val="both"/>
        <w:rPr>
          <w:position w:val="-14"/>
          <w:sz w:val="22"/>
          <w:szCs w:val="22"/>
        </w:rPr>
      </w:pPr>
      <w:r>
        <w:rPr>
          <w:rStyle w:val="FootnoteReference"/>
        </w:rPr>
        <w:footnoteRef/>
      </w:r>
      <w:r>
        <w:rPr>
          <w:lang w:val="en-NZ"/>
        </w:rPr>
        <w:tab/>
      </w:r>
      <w:r w:rsidRPr="00520756">
        <w:rPr>
          <w:sz w:val="22"/>
          <w:szCs w:val="22"/>
          <w:lang w:val="en-NZ"/>
        </w:rPr>
        <w:t xml:space="preserve">The Theil index is: </w:t>
      </w:r>
      <w:r w:rsidRPr="00520756">
        <w:rPr>
          <w:position w:val="-12"/>
          <w:sz w:val="22"/>
          <w:szCs w:val="22"/>
        </w:rPr>
        <w:object w:dxaOrig="36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15pt;height:16.3pt" o:ole="" fillcolor="window">
            <v:imagedata r:id="rId1" o:title=""/>
          </v:shape>
          <o:OLEObject Type="Embed" ProgID="Equation.3" ShapeID="_x0000_i1025" DrawAspect="Content" ObjectID="_1404123866" r:id="rId2"/>
        </w:object>
      </w:r>
      <w:r w:rsidRPr="00520756">
        <w:rPr>
          <w:sz w:val="22"/>
          <w:szCs w:val="22"/>
        </w:rPr>
        <w:t xml:space="preserve"> where </w:t>
      </w:r>
      <w:r w:rsidRPr="00520756">
        <w:rPr>
          <w:i/>
          <w:sz w:val="22"/>
          <w:szCs w:val="22"/>
        </w:rPr>
        <w:t>m</w:t>
      </w:r>
      <w:r w:rsidRPr="00520756">
        <w:rPr>
          <w:sz w:val="22"/>
          <w:szCs w:val="22"/>
        </w:rPr>
        <w:t xml:space="preserve">=30 provinces (Sichuan and Chongqing merged), </w:t>
      </w:r>
      <w:proofErr w:type="spellStart"/>
      <w:r w:rsidRPr="00520756">
        <w:rPr>
          <w:i/>
          <w:sz w:val="22"/>
          <w:szCs w:val="22"/>
        </w:rPr>
        <w:t>p</w:t>
      </w:r>
      <w:r w:rsidRPr="00520756">
        <w:rPr>
          <w:i/>
          <w:sz w:val="22"/>
          <w:szCs w:val="22"/>
          <w:vertAlign w:val="subscript"/>
        </w:rPr>
        <w:t>j</w:t>
      </w:r>
      <w:proofErr w:type="spellEnd"/>
      <w:r w:rsidRPr="00520756">
        <w:rPr>
          <w:sz w:val="22"/>
          <w:szCs w:val="22"/>
        </w:rPr>
        <w:t xml:space="preserve"> is the population of the </w:t>
      </w:r>
      <w:proofErr w:type="spellStart"/>
      <w:r w:rsidRPr="00520756">
        <w:rPr>
          <w:i/>
          <w:sz w:val="22"/>
          <w:szCs w:val="22"/>
        </w:rPr>
        <w:t>j</w:t>
      </w:r>
      <w:r w:rsidRPr="00520756">
        <w:rPr>
          <w:sz w:val="22"/>
          <w:szCs w:val="22"/>
          <w:vertAlign w:val="superscript"/>
        </w:rPr>
        <w:t>th</w:t>
      </w:r>
      <w:proofErr w:type="spellEnd"/>
      <w:r w:rsidRPr="00520756">
        <w:rPr>
          <w:sz w:val="22"/>
          <w:szCs w:val="22"/>
        </w:rPr>
        <w:t xml:space="preserve"> province, </w:t>
      </w:r>
      <w:r w:rsidRPr="00520756">
        <w:rPr>
          <w:i/>
          <w:sz w:val="22"/>
          <w:szCs w:val="22"/>
        </w:rPr>
        <w:t>P</w:t>
      </w:r>
      <w:r w:rsidRPr="00520756">
        <w:rPr>
          <w:sz w:val="22"/>
          <w:szCs w:val="22"/>
        </w:rPr>
        <w:t xml:space="preserve"> is overall population,  </w:t>
      </w:r>
      <w:proofErr w:type="spellStart"/>
      <w:r w:rsidRPr="00520756">
        <w:rPr>
          <w:i/>
          <w:sz w:val="22"/>
          <w:szCs w:val="22"/>
        </w:rPr>
        <w:t>y</w:t>
      </w:r>
      <w:r w:rsidRPr="00520756">
        <w:rPr>
          <w:i/>
          <w:sz w:val="22"/>
          <w:szCs w:val="22"/>
          <w:vertAlign w:val="subscript"/>
        </w:rPr>
        <w:t>wj</w:t>
      </w:r>
      <w:proofErr w:type="spellEnd"/>
      <w:r w:rsidRPr="00520756">
        <w:rPr>
          <w:sz w:val="22"/>
          <w:szCs w:val="22"/>
        </w:rPr>
        <w:t xml:space="preserve"> is the GDP </w:t>
      </w:r>
      <w:r w:rsidRPr="00520756">
        <w:rPr>
          <w:i/>
          <w:sz w:val="22"/>
          <w:szCs w:val="22"/>
        </w:rPr>
        <w:t>per capita</w:t>
      </w:r>
      <w:r w:rsidRPr="00520756">
        <w:rPr>
          <w:sz w:val="22"/>
          <w:szCs w:val="22"/>
        </w:rPr>
        <w:t xml:space="preserve"> of the </w:t>
      </w:r>
      <w:proofErr w:type="spellStart"/>
      <w:r w:rsidRPr="00520756">
        <w:rPr>
          <w:i/>
          <w:sz w:val="22"/>
          <w:szCs w:val="22"/>
        </w:rPr>
        <w:t>j</w:t>
      </w:r>
      <w:r w:rsidRPr="00520756">
        <w:rPr>
          <w:sz w:val="22"/>
          <w:szCs w:val="22"/>
          <w:vertAlign w:val="superscript"/>
        </w:rPr>
        <w:t>th</w:t>
      </w:r>
      <w:proofErr w:type="spellEnd"/>
      <w:r w:rsidRPr="00520756">
        <w:rPr>
          <w:sz w:val="22"/>
          <w:szCs w:val="22"/>
        </w:rPr>
        <w:t xml:space="preserve"> province, and </w:t>
      </w:r>
      <w:r w:rsidRPr="00520756">
        <w:rPr>
          <w:i/>
          <w:sz w:val="22"/>
          <w:szCs w:val="22"/>
        </w:rPr>
        <w:sym w:font="Symbol" w:char="F06D"/>
      </w:r>
      <w:r w:rsidRPr="00520756">
        <w:rPr>
          <w:sz w:val="22"/>
          <w:szCs w:val="22"/>
        </w:rPr>
        <w:t xml:space="preserve"> is the overall population-weighted mean of GDP </w:t>
      </w:r>
      <w:r w:rsidRPr="00520756">
        <w:rPr>
          <w:i/>
          <w:sz w:val="22"/>
          <w:szCs w:val="22"/>
        </w:rPr>
        <w:t>per capita</w:t>
      </w:r>
      <w:r w:rsidRPr="00520756">
        <w:rPr>
          <w:sz w:val="22"/>
          <w:szCs w:val="22"/>
        </w:rPr>
        <w:t xml:space="preserve"> for all provinces. The (weighted) coefficient of variation is: </w:t>
      </w:r>
      <w:r w:rsidRPr="00520756">
        <w:rPr>
          <w:position w:val="-14"/>
          <w:sz w:val="22"/>
          <w:szCs w:val="22"/>
        </w:rPr>
        <w:object w:dxaOrig="3580" w:dyaOrig="560">
          <v:shape id="_x0000_i1026" type="#_x0000_t75" style="width:117.45pt;height:18.85pt" o:ole="">
            <v:imagedata r:id="rId3" o:title=""/>
          </v:shape>
          <o:OLEObject Type="Embed" ProgID="Equation.3" ShapeID="_x0000_i1026" DrawAspect="Content" ObjectID="_1404123867" r:id="rId4"/>
        </w:object>
      </w:r>
      <w:r w:rsidRPr="00520756">
        <w:rPr>
          <w:sz w:val="22"/>
          <w:szCs w:val="22"/>
        </w:rPr>
        <w:t xml:space="preserve"> The </w:t>
      </w:r>
      <w:proofErr w:type="spellStart"/>
      <w:r w:rsidRPr="00520756">
        <w:rPr>
          <w:sz w:val="22"/>
          <w:szCs w:val="22"/>
        </w:rPr>
        <w:t>Gini</w:t>
      </w:r>
      <w:proofErr w:type="spellEnd"/>
      <w:r w:rsidRPr="00520756">
        <w:rPr>
          <w:sz w:val="22"/>
          <w:szCs w:val="22"/>
        </w:rPr>
        <w:t xml:space="preserve"> coefficient is: </w:t>
      </w:r>
      <w:r w:rsidRPr="00520756">
        <w:rPr>
          <w:position w:val="-14"/>
          <w:sz w:val="22"/>
          <w:szCs w:val="22"/>
        </w:rPr>
        <w:object w:dxaOrig="4040" w:dyaOrig="480">
          <v:shape id="_x0000_i1027" type="#_x0000_t75" style="width:142.3pt;height:17.15pt" o:ole="">
            <v:imagedata r:id="rId5" o:title=""/>
          </v:shape>
          <o:OLEObject Type="Embed" ProgID="Equation.3" ShapeID="_x0000_i1027" DrawAspect="Content" ObjectID="_1404123868" r:id="rId6"/>
        </w:object>
      </w:r>
    </w:p>
    <w:p w:rsidR="00147850" w:rsidRPr="00520756" w:rsidRDefault="00147850" w:rsidP="00BA433C">
      <w:pPr>
        <w:pStyle w:val="FootnoteText"/>
        <w:ind w:left="284" w:hanging="284"/>
        <w:jc w:val="both"/>
        <w:rPr>
          <w:sz w:val="22"/>
          <w:szCs w:val="22"/>
          <w:lang w:val="en-NZ"/>
        </w:rPr>
      </w:pPr>
    </w:p>
  </w:footnote>
  <w:footnote w:id="13">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r w:rsidRPr="00520756">
        <w:rPr>
          <w:sz w:val="22"/>
          <w:szCs w:val="22"/>
          <w:lang w:val="en-NZ"/>
        </w:rPr>
        <w:t xml:space="preserve">We do not need to use the “Resident (initial) population” as an alternative denominator for GDP </w:t>
      </w:r>
      <w:r w:rsidRPr="00520756">
        <w:rPr>
          <w:i/>
          <w:sz w:val="22"/>
          <w:szCs w:val="22"/>
          <w:lang w:val="en-NZ"/>
        </w:rPr>
        <w:t>per capita</w:t>
      </w:r>
      <w:r w:rsidRPr="00520756">
        <w:rPr>
          <w:sz w:val="22"/>
          <w:szCs w:val="22"/>
          <w:lang w:val="en-NZ"/>
        </w:rPr>
        <w:t xml:space="preserve"> in this illustration because we have already shown that these initial estimates of the resident population were unreliable (Figure 4). </w:t>
      </w:r>
    </w:p>
    <w:p w:rsidR="00147850" w:rsidRPr="00520756" w:rsidRDefault="00147850" w:rsidP="00BA433C">
      <w:pPr>
        <w:pStyle w:val="FootnoteText"/>
        <w:ind w:left="284" w:hanging="284"/>
        <w:jc w:val="both"/>
        <w:rPr>
          <w:sz w:val="22"/>
          <w:szCs w:val="22"/>
          <w:lang w:val="en-NZ"/>
        </w:rPr>
      </w:pPr>
    </w:p>
  </w:footnote>
  <w:footnote w:id="14">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r w:rsidRPr="00520756">
        <w:rPr>
          <w:sz w:val="22"/>
          <w:szCs w:val="22"/>
          <w:lang w:val="en-NZ"/>
        </w:rPr>
        <w:t xml:space="preserve">Trend rates are estimated from a semi-logarithmic regression on time, and are statistically significant at the one percent level (Theil and </w:t>
      </w:r>
      <w:proofErr w:type="spellStart"/>
      <w:r w:rsidRPr="00520756">
        <w:rPr>
          <w:sz w:val="22"/>
          <w:szCs w:val="22"/>
          <w:lang w:val="en-NZ"/>
        </w:rPr>
        <w:t>CoV</w:t>
      </w:r>
      <w:proofErr w:type="spellEnd"/>
      <w:r w:rsidRPr="00520756">
        <w:rPr>
          <w:sz w:val="22"/>
          <w:szCs w:val="22"/>
          <w:lang w:val="en-NZ"/>
        </w:rPr>
        <w:t>) and the eight percent level (</w:t>
      </w:r>
      <w:proofErr w:type="spellStart"/>
      <w:r w:rsidRPr="00520756">
        <w:rPr>
          <w:sz w:val="22"/>
          <w:szCs w:val="22"/>
          <w:lang w:val="en-NZ"/>
        </w:rPr>
        <w:t>Gini</w:t>
      </w:r>
      <w:proofErr w:type="spellEnd"/>
      <w:r w:rsidRPr="00520756">
        <w:rPr>
          <w:sz w:val="22"/>
          <w:szCs w:val="22"/>
          <w:lang w:val="en-NZ"/>
        </w:rPr>
        <w:t xml:space="preserve">) using </w:t>
      </w:r>
      <w:proofErr w:type="spellStart"/>
      <w:r w:rsidRPr="00520756">
        <w:rPr>
          <w:sz w:val="22"/>
          <w:szCs w:val="22"/>
          <w:lang w:val="en-NZ"/>
        </w:rPr>
        <w:t>Newey</w:t>
      </w:r>
      <w:proofErr w:type="spellEnd"/>
      <w:r w:rsidRPr="00520756">
        <w:rPr>
          <w:sz w:val="22"/>
          <w:szCs w:val="22"/>
          <w:lang w:val="en-NZ"/>
        </w:rPr>
        <w:t xml:space="preserve">-West heteroscedasticity and autocorrelation consistent (HAC) standard errors with a single lag. The provincial GDP </w:t>
      </w:r>
      <w:r w:rsidRPr="00520756">
        <w:rPr>
          <w:i/>
          <w:sz w:val="22"/>
          <w:szCs w:val="22"/>
          <w:lang w:val="en-NZ"/>
        </w:rPr>
        <w:t>per capita</w:t>
      </w:r>
      <w:r w:rsidRPr="00520756">
        <w:rPr>
          <w:sz w:val="22"/>
          <w:szCs w:val="22"/>
          <w:lang w:val="en-NZ"/>
        </w:rPr>
        <w:t xml:space="preserve"> data underlying the inequality statistics are all based on registered population from 1978 to 1990.</w:t>
      </w:r>
    </w:p>
  </w:footnote>
  <w:footnote w:id="15">
    <w:p w:rsidR="00147850" w:rsidRPr="00520756" w:rsidRDefault="00147850" w:rsidP="00BA433C">
      <w:pPr>
        <w:pStyle w:val="FootnoteText"/>
        <w:ind w:left="284" w:hanging="284"/>
        <w:jc w:val="both"/>
        <w:rPr>
          <w:sz w:val="22"/>
          <w:szCs w:val="22"/>
          <w:lang w:val="en-NZ"/>
        </w:rPr>
      </w:pPr>
      <w:r w:rsidRPr="00520756">
        <w:rPr>
          <w:rStyle w:val="FootnoteReference"/>
          <w:sz w:val="22"/>
          <w:szCs w:val="22"/>
        </w:rPr>
        <w:footnoteRef/>
      </w:r>
      <w:r w:rsidRPr="00520756">
        <w:rPr>
          <w:sz w:val="22"/>
          <w:szCs w:val="22"/>
        </w:rPr>
        <w:t xml:space="preserve"> </w:t>
      </w:r>
      <w:r w:rsidRPr="00520756">
        <w:rPr>
          <w:sz w:val="22"/>
          <w:szCs w:val="22"/>
        </w:rPr>
        <w:tab/>
      </w:r>
      <w:r w:rsidRPr="00520756">
        <w:rPr>
          <w:sz w:val="22"/>
          <w:szCs w:val="22"/>
          <w:lang w:val="en-NZ"/>
        </w:rPr>
        <w:t>China had only 29 provinces until 1988.</w:t>
      </w:r>
    </w:p>
  </w:footnote>
  <w:footnote w:id="16">
    <w:p w:rsidR="00147850" w:rsidRDefault="00147850" w:rsidP="00187F46">
      <w:pPr>
        <w:pStyle w:val="FootnoteText"/>
        <w:ind w:left="284" w:hanging="284"/>
        <w:jc w:val="both"/>
        <w:rPr>
          <w:lang w:val="en-NZ"/>
        </w:rPr>
      </w:pPr>
      <w:r>
        <w:rPr>
          <w:rStyle w:val="FootnoteReference"/>
        </w:rPr>
        <w:footnoteRef/>
      </w:r>
      <w:r>
        <w:t xml:space="preserve"> </w:t>
      </w:r>
      <w:r>
        <w:tab/>
      </w:r>
      <w:r w:rsidRPr="00520756">
        <w:rPr>
          <w:sz w:val="22"/>
          <w:szCs w:val="22"/>
          <w:lang w:val="en-NZ"/>
        </w:rPr>
        <w:t xml:space="preserve">The identical time series, but rescaled, would be shown if we examined the ratio of mean GDP </w:t>
      </w:r>
      <w:r w:rsidRPr="00520756">
        <w:rPr>
          <w:i/>
          <w:sz w:val="22"/>
          <w:szCs w:val="22"/>
          <w:lang w:val="en-NZ"/>
        </w:rPr>
        <w:t>per capita</w:t>
      </w:r>
      <w:r w:rsidRPr="00520756">
        <w:rPr>
          <w:sz w:val="22"/>
          <w:szCs w:val="22"/>
          <w:lang w:val="en-NZ"/>
        </w:rPr>
        <w:t xml:space="preserve"> in the coastal provinces to mean GDP </w:t>
      </w:r>
      <w:r w:rsidRPr="00520756">
        <w:rPr>
          <w:i/>
          <w:sz w:val="22"/>
          <w:szCs w:val="22"/>
          <w:lang w:val="en-NZ"/>
        </w:rPr>
        <w:t>per capita</w:t>
      </w:r>
      <w:r w:rsidRPr="00520756">
        <w:rPr>
          <w:sz w:val="22"/>
          <w:szCs w:val="22"/>
          <w:lang w:val="en-NZ"/>
        </w:rPr>
        <w:t xml:space="preserve"> in the inland provinces. This ratio starts at just over 1.6 in 1990, peaks at 2.2 in 2005 and was back below 1.9 by 2010.We group Hainan, Guangdong, Fujian, Zhejiang, Shanghai, Jiangsu, Shandong, </w:t>
      </w:r>
      <w:proofErr w:type="spellStart"/>
      <w:r w:rsidRPr="00520756">
        <w:rPr>
          <w:sz w:val="22"/>
          <w:szCs w:val="22"/>
          <w:lang w:val="en-NZ"/>
        </w:rPr>
        <w:t>Hebei</w:t>
      </w:r>
      <w:proofErr w:type="spellEnd"/>
      <w:r w:rsidRPr="00520756">
        <w:rPr>
          <w:sz w:val="22"/>
          <w:szCs w:val="22"/>
          <w:lang w:val="en-NZ"/>
        </w:rPr>
        <w:t xml:space="preserve">, </w:t>
      </w:r>
      <w:proofErr w:type="spellStart"/>
      <w:r w:rsidRPr="00520756">
        <w:rPr>
          <w:sz w:val="22"/>
          <w:szCs w:val="22"/>
          <w:lang w:val="en-NZ"/>
        </w:rPr>
        <w:t>Tainjin</w:t>
      </w:r>
      <w:proofErr w:type="spellEnd"/>
      <w:r w:rsidRPr="00520756">
        <w:rPr>
          <w:sz w:val="22"/>
          <w:szCs w:val="22"/>
          <w:lang w:val="en-NZ"/>
        </w:rPr>
        <w:t xml:space="preserve"> and Beijing together as the coastal provinces</w:t>
      </w:r>
      <w:r>
        <w:rPr>
          <w:lang w:val="en-NZ"/>
        </w:rPr>
        <w:t>.</w:t>
      </w:r>
    </w:p>
    <w:p w:rsidR="00147850" w:rsidRPr="008C7DAA" w:rsidRDefault="00147850" w:rsidP="00187F46">
      <w:pPr>
        <w:pStyle w:val="FootnoteText"/>
        <w:ind w:left="284" w:hanging="284"/>
        <w:jc w:val="both"/>
        <w:rPr>
          <w:lang w:val="en-N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1">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2">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9">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2"/>
  </w:num>
  <w:num w:numId="6">
    <w:abstractNumId w:val="0"/>
  </w:num>
  <w:num w:numId="7">
    <w:abstractNumId w:val="7"/>
  </w:num>
  <w:num w:numId="8">
    <w:abstractNumId w:val="1"/>
  </w:num>
  <w:num w:numId="9">
    <w:abstractNumId w:val="11"/>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41514B"/>
    <w:rsid w:val="000013FE"/>
    <w:rsid w:val="00003180"/>
    <w:rsid w:val="00004080"/>
    <w:rsid w:val="00005916"/>
    <w:rsid w:val="00006B53"/>
    <w:rsid w:val="000108E2"/>
    <w:rsid w:val="00012EA1"/>
    <w:rsid w:val="00012EFD"/>
    <w:rsid w:val="00013363"/>
    <w:rsid w:val="00015365"/>
    <w:rsid w:val="000170AF"/>
    <w:rsid w:val="00017408"/>
    <w:rsid w:val="00017C4D"/>
    <w:rsid w:val="00020EA5"/>
    <w:rsid w:val="0002152B"/>
    <w:rsid w:val="00022DAF"/>
    <w:rsid w:val="00023E11"/>
    <w:rsid w:val="000243C6"/>
    <w:rsid w:val="000258D8"/>
    <w:rsid w:val="00031231"/>
    <w:rsid w:val="00032D19"/>
    <w:rsid w:val="000360F3"/>
    <w:rsid w:val="00040E86"/>
    <w:rsid w:val="000411D4"/>
    <w:rsid w:val="00043D61"/>
    <w:rsid w:val="00043DE9"/>
    <w:rsid w:val="00044406"/>
    <w:rsid w:val="00045968"/>
    <w:rsid w:val="000459BE"/>
    <w:rsid w:val="00046FF1"/>
    <w:rsid w:val="00054073"/>
    <w:rsid w:val="00057C18"/>
    <w:rsid w:val="00060384"/>
    <w:rsid w:val="00061489"/>
    <w:rsid w:val="00062A98"/>
    <w:rsid w:val="000631EF"/>
    <w:rsid w:val="00063689"/>
    <w:rsid w:val="000636DE"/>
    <w:rsid w:val="000678B5"/>
    <w:rsid w:val="00077D19"/>
    <w:rsid w:val="00077D2E"/>
    <w:rsid w:val="00082D9A"/>
    <w:rsid w:val="000831C0"/>
    <w:rsid w:val="000928EF"/>
    <w:rsid w:val="000A3ADE"/>
    <w:rsid w:val="000A3BF2"/>
    <w:rsid w:val="000A587F"/>
    <w:rsid w:val="000B22CC"/>
    <w:rsid w:val="000B3BE7"/>
    <w:rsid w:val="000C0D4D"/>
    <w:rsid w:val="000C34E0"/>
    <w:rsid w:val="000C4022"/>
    <w:rsid w:val="000C4859"/>
    <w:rsid w:val="000C4E57"/>
    <w:rsid w:val="000C5E54"/>
    <w:rsid w:val="000C6531"/>
    <w:rsid w:val="000C6616"/>
    <w:rsid w:val="000D1EC6"/>
    <w:rsid w:val="000D4397"/>
    <w:rsid w:val="000D44A5"/>
    <w:rsid w:val="000D49E7"/>
    <w:rsid w:val="000D7A5B"/>
    <w:rsid w:val="000E4992"/>
    <w:rsid w:val="000F4D57"/>
    <w:rsid w:val="001060A4"/>
    <w:rsid w:val="001060C0"/>
    <w:rsid w:val="00106C63"/>
    <w:rsid w:val="00110BC9"/>
    <w:rsid w:val="00110DE3"/>
    <w:rsid w:val="00115DC5"/>
    <w:rsid w:val="0011706A"/>
    <w:rsid w:val="00121F51"/>
    <w:rsid w:val="00125C53"/>
    <w:rsid w:val="001315C2"/>
    <w:rsid w:val="00140640"/>
    <w:rsid w:val="00142513"/>
    <w:rsid w:val="00143423"/>
    <w:rsid w:val="0014463E"/>
    <w:rsid w:val="00147850"/>
    <w:rsid w:val="00151DF6"/>
    <w:rsid w:val="001528EE"/>
    <w:rsid w:val="001548BE"/>
    <w:rsid w:val="001549C0"/>
    <w:rsid w:val="00155DB3"/>
    <w:rsid w:val="00161BB5"/>
    <w:rsid w:val="00170EB9"/>
    <w:rsid w:val="0017148B"/>
    <w:rsid w:val="001729B5"/>
    <w:rsid w:val="00173D01"/>
    <w:rsid w:val="00174E91"/>
    <w:rsid w:val="00180F13"/>
    <w:rsid w:val="001818C8"/>
    <w:rsid w:val="00181958"/>
    <w:rsid w:val="00182ADD"/>
    <w:rsid w:val="00184A08"/>
    <w:rsid w:val="0018667E"/>
    <w:rsid w:val="00187F46"/>
    <w:rsid w:val="00190D38"/>
    <w:rsid w:val="00192536"/>
    <w:rsid w:val="00193FB8"/>
    <w:rsid w:val="001A1577"/>
    <w:rsid w:val="001B15C3"/>
    <w:rsid w:val="001B1B6D"/>
    <w:rsid w:val="001B2927"/>
    <w:rsid w:val="001B353F"/>
    <w:rsid w:val="001B4077"/>
    <w:rsid w:val="001B738E"/>
    <w:rsid w:val="001B7C16"/>
    <w:rsid w:val="001C2F3E"/>
    <w:rsid w:val="001C68CF"/>
    <w:rsid w:val="001D02E1"/>
    <w:rsid w:val="001D1F21"/>
    <w:rsid w:val="001E30D6"/>
    <w:rsid w:val="001E3CA6"/>
    <w:rsid w:val="001E68D9"/>
    <w:rsid w:val="001E6BF1"/>
    <w:rsid w:val="001F227D"/>
    <w:rsid w:val="001F3E1F"/>
    <w:rsid w:val="001F56E9"/>
    <w:rsid w:val="001F5CBB"/>
    <w:rsid w:val="001F7776"/>
    <w:rsid w:val="00206523"/>
    <w:rsid w:val="0021046F"/>
    <w:rsid w:val="00210825"/>
    <w:rsid w:val="00210C8E"/>
    <w:rsid w:val="00213B34"/>
    <w:rsid w:val="00216218"/>
    <w:rsid w:val="002165D9"/>
    <w:rsid w:val="0021710B"/>
    <w:rsid w:val="00224CA3"/>
    <w:rsid w:val="00226D8D"/>
    <w:rsid w:val="00227791"/>
    <w:rsid w:val="00227B36"/>
    <w:rsid w:val="002369D8"/>
    <w:rsid w:val="002374B0"/>
    <w:rsid w:val="00242C76"/>
    <w:rsid w:val="00245A73"/>
    <w:rsid w:val="002506D7"/>
    <w:rsid w:val="00252C10"/>
    <w:rsid w:val="00254CEE"/>
    <w:rsid w:val="0025578D"/>
    <w:rsid w:val="00256A92"/>
    <w:rsid w:val="002603C8"/>
    <w:rsid w:val="00264FD7"/>
    <w:rsid w:val="002670B7"/>
    <w:rsid w:val="002672CF"/>
    <w:rsid w:val="00276146"/>
    <w:rsid w:val="002813E6"/>
    <w:rsid w:val="002814F8"/>
    <w:rsid w:val="002834F5"/>
    <w:rsid w:val="002856AC"/>
    <w:rsid w:val="00286A06"/>
    <w:rsid w:val="00286EFD"/>
    <w:rsid w:val="00287BBF"/>
    <w:rsid w:val="0029033E"/>
    <w:rsid w:val="002950D5"/>
    <w:rsid w:val="002969AE"/>
    <w:rsid w:val="002A1666"/>
    <w:rsid w:val="002A1751"/>
    <w:rsid w:val="002A49C4"/>
    <w:rsid w:val="002A65EB"/>
    <w:rsid w:val="002A6BC1"/>
    <w:rsid w:val="002A70D9"/>
    <w:rsid w:val="002A7C68"/>
    <w:rsid w:val="002B25E3"/>
    <w:rsid w:val="002B4D53"/>
    <w:rsid w:val="002B575D"/>
    <w:rsid w:val="002C593B"/>
    <w:rsid w:val="002D0156"/>
    <w:rsid w:val="002D55DB"/>
    <w:rsid w:val="002E7FE9"/>
    <w:rsid w:val="002F02C0"/>
    <w:rsid w:val="002F31FB"/>
    <w:rsid w:val="002F6629"/>
    <w:rsid w:val="002F6B34"/>
    <w:rsid w:val="002F7633"/>
    <w:rsid w:val="003055CA"/>
    <w:rsid w:val="00307C32"/>
    <w:rsid w:val="00311545"/>
    <w:rsid w:val="00316D61"/>
    <w:rsid w:val="00321B5F"/>
    <w:rsid w:val="00322CFD"/>
    <w:rsid w:val="003244D0"/>
    <w:rsid w:val="00325021"/>
    <w:rsid w:val="00334D4F"/>
    <w:rsid w:val="003354FC"/>
    <w:rsid w:val="00337FB0"/>
    <w:rsid w:val="003403AC"/>
    <w:rsid w:val="00343F14"/>
    <w:rsid w:val="0034627F"/>
    <w:rsid w:val="003467B2"/>
    <w:rsid w:val="00346C5A"/>
    <w:rsid w:val="0035341B"/>
    <w:rsid w:val="00362437"/>
    <w:rsid w:val="00367E61"/>
    <w:rsid w:val="00373E2B"/>
    <w:rsid w:val="003740CC"/>
    <w:rsid w:val="00374946"/>
    <w:rsid w:val="00374A47"/>
    <w:rsid w:val="00380679"/>
    <w:rsid w:val="00382FA6"/>
    <w:rsid w:val="00385F38"/>
    <w:rsid w:val="0038799A"/>
    <w:rsid w:val="00390493"/>
    <w:rsid w:val="00391243"/>
    <w:rsid w:val="00391E0C"/>
    <w:rsid w:val="003946F7"/>
    <w:rsid w:val="00397606"/>
    <w:rsid w:val="003A354B"/>
    <w:rsid w:val="003A39A2"/>
    <w:rsid w:val="003A41E5"/>
    <w:rsid w:val="003A4873"/>
    <w:rsid w:val="003A5B3A"/>
    <w:rsid w:val="003A6734"/>
    <w:rsid w:val="003A6AFF"/>
    <w:rsid w:val="003B2075"/>
    <w:rsid w:val="003B5E4D"/>
    <w:rsid w:val="003C01FB"/>
    <w:rsid w:val="003C02B0"/>
    <w:rsid w:val="003C0405"/>
    <w:rsid w:val="003C0CE6"/>
    <w:rsid w:val="003C3CF4"/>
    <w:rsid w:val="003C5D76"/>
    <w:rsid w:val="003C7963"/>
    <w:rsid w:val="003D0BEC"/>
    <w:rsid w:val="003D4560"/>
    <w:rsid w:val="003D59B6"/>
    <w:rsid w:val="003D672C"/>
    <w:rsid w:val="003D7015"/>
    <w:rsid w:val="003E140C"/>
    <w:rsid w:val="003E16E9"/>
    <w:rsid w:val="003F0BFB"/>
    <w:rsid w:val="003F30F6"/>
    <w:rsid w:val="003F4BD1"/>
    <w:rsid w:val="003F572F"/>
    <w:rsid w:val="003F7622"/>
    <w:rsid w:val="004019C1"/>
    <w:rsid w:val="00403C44"/>
    <w:rsid w:val="0040509A"/>
    <w:rsid w:val="00405BAB"/>
    <w:rsid w:val="00411A15"/>
    <w:rsid w:val="0041514B"/>
    <w:rsid w:val="00420041"/>
    <w:rsid w:val="00423B4B"/>
    <w:rsid w:val="00427498"/>
    <w:rsid w:val="0043077E"/>
    <w:rsid w:val="0043259C"/>
    <w:rsid w:val="00440D82"/>
    <w:rsid w:val="004434F3"/>
    <w:rsid w:val="00444AB0"/>
    <w:rsid w:val="00446D6E"/>
    <w:rsid w:val="00461571"/>
    <w:rsid w:val="00465408"/>
    <w:rsid w:val="004730F3"/>
    <w:rsid w:val="004779DE"/>
    <w:rsid w:val="00477A33"/>
    <w:rsid w:val="0048398D"/>
    <w:rsid w:val="0048403A"/>
    <w:rsid w:val="00486E40"/>
    <w:rsid w:val="00487B6D"/>
    <w:rsid w:val="00492211"/>
    <w:rsid w:val="00494064"/>
    <w:rsid w:val="004A0793"/>
    <w:rsid w:val="004A2271"/>
    <w:rsid w:val="004A47B7"/>
    <w:rsid w:val="004B075E"/>
    <w:rsid w:val="004B1050"/>
    <w:rsid w:val="004B529D"/>
    <w:rsid w:val="004B5AE3"/>
    <w:rsid w:val="004C1B79"/>
    <w:rsid w:val="004C4279"/>
    <w:rsid w:val="004C685E"/>
    <w:rsid w:val="004C6C65"/>
    <w:rsid w:val="004D02EB"/>
    <w:rsid w:val="004D0920"/>
    <w:rsid w:val="004D45D3"/>
    <w:rsid w:val="004D5F1E"/>
    <w:rsid w:val="004E08E7"/>
    <w:rsid w:val="004E34FC"/>
    <w:rsid w:val="004E5BD8"/>
    <w:rsid w:val="004F1AB6"/>
    <w:rsid w:val="004F759B"/>
    <w:rsid w:val="00501832"/>
    <w:rsid w:val="005037FB"/>
    <w:rsid w:val="00503972"/>
    <w:rsid w:val="00507451"/>
    <w:rsid w:val="005155CE"/>
    <w:rsid w:val="00515FF9"/>
    <w:rsid w:val="00520756"/>
    <w:rsid w:val="00520B55"/>
    <w:rsid w:val="00521300"/>
    <w:rsid w:val="00524934"/>
    <w:rsid w:val="00524C63"/>
    <w:rsid w:val="00525D5B"/>
    <w:rsid w:val="0053097A"/>
    <w:rsid w:val="005325AA"/>
    <w:rsid w:val="005332F7"/>
    <w:rsid w:val="0053677E"/>
    <w:rsid w:val="00537B37"/>
    <w:rsid w:val="0054018A"/>
    <w:rsid w:val="00543595"/>
    <w:rsid w:val="00544B8E"/>
    <w:rsid w:val="00544E08"/>
    <w:rsid w:val="00545060"/>
    <w:rsid w:val="0054685A"/>
    <w:rsid w:val="00547852"/>
    <w:rsid w:val="005510B7"/>
    <w:rsid w:val="005646F5"/>
    <w:rsid w:val="005675F2"/>
    <w:rsid w:val="00570A3C"/>
    <w:rsid w:val="00571835"/>
    <w:rsid w:val="0057275E"/>
    <w:rsid w:val="00572904"/>
    <w:rsid w:val="0057647B"/>
    <w:rsid w:val="0057708B"/>
    <w:rsid w:val="00580D30"/>
    <w:rsid w:val="00584428"/>
    <w:rsid w:val="005851E3"/>
    <w:rsid w:val="00585457"/>
    <w:rsid w:val="005876C8"/>
    <w:rsid w:val="00590777"/>
    <w:rsid w:val="00590812"/>
    <w:rsid w:val="00590A76"/>
    <w:rsid w:val="00590AE3"/>
    <w:rsid w:val="005930A1"/>
    <w:rsid w:val="005963A3"/>
    <w:rsid w:val="005A16DD"/>
    <w:rsid w:val="005A1F4A"/>
    <w:rsid w:val="005A262F"/>
    <w:rsid w:val="005A4EEE"/>
    <w:rsid w:val="005A77C9"/>
    <w:rsid w:val="005B0FA0"/>
    <w:rsid w:val="005B1491"/>
    <w:rsid w:val="005B43C8"/>
    <w:rsid w:val="005B6965"/>
    <w:rsid w:val="005B72B3"/>
    <w:rsid w:val="005C0F94"/>
    <w:rsid w:val="005C4BCD"/>
    <w:rsid w:val="005C7329"/>
    <w:rsid w:val="005D2EF7"/>
    <w:rsid w:val="005E3255"/>
    <w:rsid w:val="005E57D9"/>
    <w:rsid w:val="005E587F"/>
    <w:rsid w:val="005E64B5"/>
    <w:rsid w:val="005F11D5"/>
    <w:rsid w:val="005F2160"/>
    <w:rsid w:val="005F75BA"/>
    <w:rsid w:val="00604965"/>
    <w:rsid w:val="00604E72"/>
    <w:rsid w:val="00606AE0"/>
    <w:rsid w:val="006124B3"/>
    <w:rsid w:val="00613888"/>
    <w:rsid w:val="00613CD2"/>
    <w:rsid w:val="00620EF1"/>
    <w:rsid w:val="0062276A"/>
    <w:rsid w:val="00623A61"/>
    <w:rsid w:val="00624DCC"/>
    <w:rsid w:val="00627E43"/>
    <w:rsid w:val="006300B3"/>
    <w:rsid w:val="0063374C"/>
    <w:rsid w:val="00636925"/>
    <w:rsid w:val="006412E2"/>
    <w:rsid w:val="00642158"/>
    <w:rsid w:val="00644B2A"/>
    <w:rsid w:val="00644B8E"/>
    <w:rsid w:val="006459DD"/>
    <w:rsid w:val="00645F16"/>
    <w:rsid w:val="006501CC"/>
    <w:rsid w:val="00650A66"/>
    <w:rsid w:val="00650C51"/>
    <w:rsid w:val="00650FF6"/>
    <w:rsid w:val="00652D69"/>
    <w:rsid w:val="00653013"/>
    <w:rsid w:val="00656EF2"/>
    <w:rsid w:val="0066267A"/>
    <w:rsid w:val="00662EAE"/>
    <w:rsid w:val="00664C9D"/>
    <w:rsid w:val="0066797E"/>
    <w:rsid w:val="00670714"/>
    <w:rsid w:val="006723E0"/>
    <w:rsid w:val="006761F2"/>
    <w:rsid w:val="00676A44"/>
    <w:rsid w:val="00682841"/>
    <w:rsid w:val="00684D0C"/>
    <w:rsid w:val="00685CB0"/>
    <w:rsid w:val="00686C85"/>
    <w:rsid w:val="00693978"/>
    <w:rsid w:val="00693F79"/>
    <w:rsid w:val="006A027A"/>
    <w:rsid w:val="006A0415"/>
    <w:rsid w:val="006A191B"/>
    <w:rsid w:val="006A2727"/>
    <w:rsid w:val="006A37FE"/>
    <w:rsid w:val="006A3F01"/>
    <w:rsid w:val="006A4744"/>
    <w:rsid w:val="006A4E0D"/>
    <w:rsid w:val="006A5B97"/>
    <w:rsid w:val="006A6A83"/>
    <w:rsid w:val="006B1106"/>
    <w:rsid w:val="006C1100"/>
    <w:rsid w:val="006C1DDD"/>
    <w:rsid w:val="006C23E9"/>
    <w:rsid w:val="006C7A9D"/>
    <w:rsid w:val="006E1B46"/>
    <w:rsid w:val="006E1EBA"/>
    <w:rsid w:val="006E2F7B"/>
    <w:rsid w:val="006E6D86"/>
    <w:rsid w:val="006F3453"/>
    <w:rsid w:val="006F445B"/>
    <w:rsid w:val="00703CD5"/>
    <w:rsid w:val="0070459B"/>
    <w:rsid w:val="00705D10"/>
    <w:rsid w:val="00707208"/>
    <w:rsid w:val="00710FAF"/>
    <w:rsid w:val="0071526C"/>
    <w:rsid w:val="00715650"/>
    <w:rsid w:val="0072062D"/>
    <w:rsid w:val="007211DB"/>
    <w:rsid w:val="0072199E"/>
    <w:rsid w:val="0072338A"/>
    <w:rsid w:val="007242F9"/>
    <w:rsid w:val="007266A9"/>
    <w:rsid w:val="00735F86"/>
    <w:rsid w:val="007404E8"/>
    <w:rsid w:val="00740C8E"/>
    <w:rsid w:val="00741EBB"/>
    <w:rsid w:val="00742812"/>
    <w:rsid w:val="00744B4A"/>
    <w:rsid w:val="007526E4"/>
    <w:rsid w:val="00753C09"/>
    <w:rsid w:val="00754D17"/>
    <w:rsid w:val="00756486"/>
    <w:rsid w:val="00760940"/>
    <w:rsid w:val="00760DF2"/>
    <w:rsid w:val="00762889"/>
    <w:rsid w:val="00763886"/>
    <w:rsid w:val="0076753F"/>
    <w:rsid w:val="00774437"/>
    <w:rsid w:val="00777380"/>
    <w:rsid w:val="00780F87"/>
    <w:rsid w:val="007817DC"/>
    <w:rsid w:val="00782B50"/>
    <w:rsid w:val="00783515"/>
    <w:rsid w:val="007848D4"/>
    <w:rsid w:val="00785DB4"/>
    <w:rsid w:val="007872A5"/>
    <w:rsid w:val="00790AF5"/>
    <w:rsid w:val="007910D2"/>
    <w:rsid w:val="00792904"/>
    <w:rsid w:val="00792C47"/>
    <w:rsid w:val="00793DDB"/>
    <w:rsid w:val="00793F0D"/>
    <w:rsid w:val="007952C0"/>
    <w:rsid w:val="007960ED"/>
    <w:rsid w:val="00797C2F"/>
    <w:rsid w:val="007A09CA"/>
    <w:rsid w:val="007A4AA6"/>
    <w:rsid w:val="007A66CF"/>
    <w:rsid w:val="007A7BC1"/>
    <w:rsid w:val="007B2C93"/>
    <w:rsid w:val="007B2CF7"/>
    <w:rsid w:val="007B3A6D"/>
    <w:rsid w:val="007B6954"/>
    <w:rsid w:val="007B7FD1"/>
    <w:rsid w:val="007C175A"/>
    <w:rsid w:val="007C5D97"/>
    <w:rsid w:val="007D382D"/>
    <w:rsid w:val="007D45BE"/>
    <w:rsid w:val="007D7C91"/>
    <w:rsid w:val="007E20C7"/>
    <w:rsid w:val="007E3A1F"/>
    <w:rsid w:val="007E43D3"/>
    <w:rsid w:val="007E560F"/>
    <w:rsid w:val="007E5B70"/>
    <w:rsid w:val="007F0336"/>
    <w:rsid w:val="007F11C7"/>
    <w:rsid w:val="007F3636"/>
    <w:rsid w:val="007F3A41"/>
    <w:rsid w:val="00803B0B"/>
    <w:rsid w:val="008054F8"/>
    <w:rsid w:val="008100FB"/>
    <w:rsid w:val="00810278"/>
    <w:rsid w:val="008174A7"/>
    <w:rsid w:val="008212ED"/>
    <w:rsid w:val="00821CBD"/>
    <w:rsid w:val="008221EB"/>
    <w:rsid w:val="008259E3"/>
    <w:rsid w:val="00827993"/>
    <w:rsid w:val="00831DA0"/>
    <w:rsid w:val="00832E7C"/>
    <w:rsid w:val="008350CF"/>
    <w:rsid w:val="00836A68"/>
    <w:rsid w:val="00836BD7"/>
    <w:rsid w:val="00840C80"/>
    <w:rsid w:val="00842701"/>
    <w:rsid w:val="0084282E"/>
    <w:rsid w:val="00846948"/>
    <w:rsid w:val="00847ADB"/>
    <w:rsid w:val="00852234"/>
    <w:rsid w:val="00854667"/>
    <w:rsid w:val="008556A3"/>
    <w:rsid w:val="008577EA"/>
    <w:rsid w:val="00857DB7"/>
    <w:rsid w:val="00865E1E"/>
    <w:rsid w:val="008672B9"/>
    <w:rsid w:val="008723B3"/>
    <w:rsid w:val="00876A43"/>
    <w:rsid w:val="00881A80"/>
    <w:rsid w:val="00881BB1"/>
    <w:rsid w:val="00881FAD"/>
    <w:rsid w:val="00882392"/>
    <w:rsid w:val="00882B52"/>
    <w:rsid w:val="00887C79"/>
    <w:rsid w:val="008909EA"/>
    <w:rsid w:val="00890BCA"/>
    <w:rsid w:val="00892BD5"/>
    <w:rsid w:val="008A0509"/>
    <w:rsid w:val="008A0AA7"/>
    <w:rsid w:val="008A55DD"/>
    <w:rsid w:val="008A7A5E"/>
    <w:rsid w:val="008B44C7"/>
    <w:rsid w:val="008B56E9"/>
    <w:rsid w:val="008C1FA7"/>
    <w:rsid w:val="008C2BC5"/>
    <w:rsid w:val="008C342F"/>
    <w:rsid w:val="008C5146"/>
    <w:rsid w:val="008C7CB3"/>
    <w:rsid w:val="008C7DAA"/>
    <w:rsid w:val="008D0AD0"/>
    <w:rsid w:val="008D1498"/>
    <w:rsid w:val="008D1FE7"/>
    <w:rsid w:val="008D3363"/>
    <w:rsid w:val="008D4915"/>
    <w:rsid w:val="008D6CFA"/>
    <w:rsid w:val="008E0879"/>
    <w:rsid w:val="008E121A"/>
    <w:rsid w:val="008E26E1"/>
    <w:rsid w:val="008E3288"/>
    <w:rsid w:val="008E3787"/>
    <w:rsid w:val="008E3CDE"/>
    <w:rsid w:val="008E4782"/>
    <w:rsid w:val="008E6332"/>
    <w:rsid w:val="008F22C5"/>
    <w:rsid w:val="008F3ECB"/>
    <w:rsid w:val="008F6721"/>
    <w:rsid w:val="008F6D60"/>
    <w:rsid w:val="009025A7"/>
    <w:rsid w:val="00903E75"/>
    <w:rsid w:val="009124EF"/>
    <w:rsid w:val="00916D58"/>
    <w:rsid w:val="00921360"/>
    <w:rsid w:val="009227F2"/>
    <w:rsid w:val="0092308A"/>
    <w:rsid w:val="009232CE"/>
    <w:rsid w:val="00923C95"/>
    <w:rsid w:val="0093119A"/>
    <w:rsid w:val="00942C4E"/>
    <w:rsid w:val="00944DA8"/>
    <w:rsid w:val="00945B72"/>
    <w:rsid w:val="009463C9"/>
    <w:rsid w:val="00952819"/>
    <w:rsid w:val="00952D7B"/>
    <w:rsid w:val="0095343A"/>
    <w:rsid w:val="00953690"/>
    <w:rsid w:val="0095516D"/>
    <w:rsid w:val="00955391"/>
    <w:rsid w:val="00955F64"/>
    <w:rsid w:val="00961F49"/>
    <w:rsid w:val="00965D1C"/>
    <w:rsid w:val="0096609A"/>
    <w:rsid w:val="0096778F"/>
    <w:rsid w:val="00976943"/>
    <w:rsid w:val="00977FCA"/>
    <w:rsid w:val="009802FA"/>
    <w:rsid w:val="009837AB"/>
    <w:rsid w:val="00986A5F"/>
    <w:rsid w:val="0098731C"/>
    <w:rsid w:val="00990EF1"/>
    <w:rsid w:val="00991594"/>
    <w:rsid w:val="00995FD2"/>
    <w:rsid w:val="0099687A"/>
    <w:rsid w:val="00997FCF"/>
    <w:rsid w:val="009A060E"/>
    <w:rsid w:val="009A207E"/>
    <w:rsid w:val="009A3619"/>
    <w:rsid w:val="009A53FE"/>
    <w:rsid w:val="009B01D4"/>
    <w:rsid w:val="009B03E7"/>
    <w:rsid w:val="009B0ED3"/>
    <w:rsid w:val="009B26C8"/>
    <w:rsid w:val="009B3EE4"/>
    <w:rsid w:val="009B71FF"/>
    <w:rsid w:val="009C0EA7"/>
    <w:rsid w:val="009C2268"/>
    <w:rsid w:val="009C546E"/>
    <w:rsid w:val="009C5C35"/>
    <w:rsid w:val="009D1889"/>
    <w:rsid w:val="009D6208"/>
    <w:rsid w:val="009D6F47"/>
    <w:rsid w:val="009D722D"/>
    <w:rsid w:val="009D7CF7"/>
    <w:rsid w:val="009E13F3"/>
    <w:rsid w:val="009E14CD"/>
    <w:rsid w:val="009F054D"/>
    <w:rsid w:val="009F09E8"/>
    <w:rsid w:val="009F17BB"/>
    <w:rsid w:val="009F5D71"/>
    <w:rsid w:val="00A018EA"/>
    <w:rsid w:val="00A0269D"/>
    <w:rsid w:val="00A123AA"/>
    <w:rsid w:val="00A13416"/>
    <w:rsid w:val="00A135AE"/>
    <w:rsid w:val="00A16E27"/>
    <w:rsid w:val="00A2015B"/>
    <w:rsid w:val="00A2243D"/>
    <w:rsid w:val="00A22B52"/>
    <w:rsid w:val="00A26F36"/>
    <w:rsid w:val="00A32496"/>
    <w:rsid w:val="00A3324B"/>
    <w:rsid w:val="00A34FB0"/>
    <w:rsid w:val="00A425DB"/>
    <w:rsid w:val="00A432C5"/>
    <w:rsid w:val="00A467D6"/>
    <w:rsid w:val="00A5019C"/>
    <w:rsid w:val="00A517C1"/>
    <w:rsid w:val="00A5282C"/>
    <w:rsid w:val="00A549AE"/>
    <w:rsid w:val="00A549B6"/>
    <w:rsid w:val="00A5641F"/>
    <w:rsid w:val="00A56942"/>
    <w:rsid w:val="00A56A37"/>
    <w:rsid w:val="00A60C06"/>
    <w:rsid w:val="00A63AE1"/>
    <w:rsid w:val="00A64621"/>
    <w:rsid w:val="00A669FE"/>
    <w:rsid w:val="00A72333"/>
    <w:rsid w:val="00A72573"/>
    <w:rsid w:val="00A730D8"/>
    <w:rsid w:val="00A80464"/>
    <w:rsid w:val="00A81F80"/>
    <w:rsid w:val="00A83A59"/>
    <w:rsid w:val="00A8750C"/>
    <w:rsid w:val="00A90BC8"/>
    <w:rsid w:val="00A95A48"/>
    <w:rsid w:val="00A95F59"/>
    <w:rsid w:val="00A9651C"/>
    <w:rsid w:val="00AA06B8"/>
    <w:rsid w:val="00AA3DFC"/>
    <w:rsid w:val="00AA4263"/>
    <w:rsid w:val="00AA643D"/>
    <w:rsid w:val="00AB3318"/>
    <w:rsid w:val="00AB3D13"/>
    <w:rsid w:val="00AB64DD"/>
    <w:rsid w:val="00AC0293"/>
    <w:rsid w:val="00AC29B0"/>
    <w:rsid w:val="00AD3CB9"/>
    <w:rsid w:val="00AE021A"/>
    <w:rsid w:val="00AE3B57"/>
    <w:rsid w:val="00AF4B74"/>
    <w:rsid w:val="00AF5CAC"/>
    <w:rsid w:val="00B024D7"/>
    <w:rsid w:val="00B03B56"/>
    <w:rsid w:val="00B132E3"/>
    <w:rsid w:val="00B20CE3"/>
    <w:rsid w:val="00B210EE"/>
    <w:rsid w:val="00B31CCF"/>
    <w:rsid w:val="00B31FB6"/>
    <w:rsid w:val="00B35B1E"/>
    <w:rsid w:val="00B43470"/>
    <w:rsid w:val="00B437F4"/>
    <w:rsid w:val="00B45C06"/>
    <w:rsid w:val="00B46D53"/>
    <w:rsid w:val="00B50147"/>
    <w:rsid w:val="00B5092E"/>
    <w:rsid w:val="00B600F2"/>
    <w:rsid w:val="00B60AA7"/>
    <w:rsid w:val="00B66F88"/>
    <w:rsid w:val="00B725BE"/>
    <w:rsid w:val="00B77114"/>
    <w:rsid w:val="00B80D0F"/>
    <w:rsid w:val="00B82AEF"/>
    <w:rsid w:val="00B835A5"/>
    <w:rsid w:val="00B90E8F"/>
    <w:rsid w:val="00B918CB"/>
    <w:rsid w:val="00B92D7C"/>
    <w:rsid w:val="00B92E68"/>
    <w:rsid w:val="00B93846"/>
    <w:rsid w:val="00B939DD"/>
    <w:rsid w:val="00B96361"/>
    <w:rsid w:val="00B97A93"/>
    <w:rsid w:val="00BA149B"/>
    <w:rsid w:val="00BA3C80"/>
    <w:rsid w:val="00BA433C"/>
    <w:rsid w:val="00BA45EA"/>
    <w:rsid w:val="00BA5B1A"/>
    <w:rsid w:val="00BA77BE"/>
    <w:rsid w:val="00BB2827"/>
    <w:rsid w:val="00BB3D5D"/>
    <w:rsid w:val="00BB5F31"/>
    <w:rsid w:val="00BC0408"/>
    <w:rsid w:val="00BC2D8A"/>
    <w:rsid w:val="00BC4E0F"/>
    <w:rsid w:val="00BC4E46"/>
    <w:rsid w:val="00BD08CB"/>
    <w:rsid w:val="00BD2084"/>
    <w:rsid w:val="00BD74AF"/>
    <w:rsid w:val="00BE00D0"/>
    <w:rsid w:val="00BE5313"/>
    <w:rsid w:val="00BE7712"/>
    <w:rsid w:val="00BF180C"/>
    <w:rsid w:val="00BF1818"/>
    <w:rsid w:val="00BF3991"/>
    <w:rsid w:val="00BF3BE9"/>
    <w:rsid w:val="00C030FE"/>
    <w:rsid w:val="00C047CE"/>
    <w:rsid w:val="00C04979"/>
    <w:rsid w:val="00C050B5"/>
    <w:rsid w:val="00C05BAB"/>
    <w:rsid w:val="00C06901"/>
    <w:rsid w:val="00C10762"/>
    <w:rsid w:val="00C1215B"/>
    <w:rsid w:val="00C14286"/>
    <w:rsid w:val="00C14C22"/>
    <w:rsid w:val="00C20C63"/>
    <w:rsid w:val="00C20FB3"/>
    <w:rsid w:val="00C2106A"/>
    <w:rsid w:val="00C21757"/>
    <w:rsid w:val="00C23206"/>
    <w:rsid w:val="00C238E2"/>
    <w:rsid w:val="00C239AE"/>
    <w:rsid w:val="00C273E3"/>
    <w:rsid w:val="00C27F3C"/>
    <w:rsid w:val="00C318B0"/>
    <w:rsid w:val="00C3286C"/>
    <w:rsid w:val="00C360BF"/>
    <w:rsid w:val="00C36A71"/>
    <w:rsid w:val="00C42918"/>
    <w:rsid w:val="00C43D32"/>
    <w:rsid w:val="00C4402F"/>
    <w:rsid w:val="00C45137"/>
    <w:rsid w:val="00C456EE"/>
    <w:rsid w:val="00C478DE"/>
    <w:rsid w:val="00C51414"/>
    <w:rsid w:val="00C67B31"/>
    <w:rsid w:val="00C705A9"/>
    <w:rsid w:val="00C7304A"/>
    <w:rsid w:val="00C76260"/>
    <w:rsid w:val="00C801C2"/>
    <w:rsid w:val="00C8461D"/>
    <w:rsid w:val="00C92CD7"/>
    <w:rsid w:val="00C92EFE"/>
    <w:rsid w:val="00CA1E74"/>
    <w:rsid w:val="00CB1675"/>
    <w:rsid w:val="00CB5FC8"/>
    <w:rsid w:val="00CB7887"/>
    <w:rsid w:val="00CC10CD"/>
    <w:rsid w:val="00CC15E5"/>
    <w:rsid w:val="00CC3CC0"/>
    <w:rsid w:val="00CC5857"/>
    <w:rsid w:val="00CC6280"/>
    <w:rsid w:val="00CC6687"/>
    <w:rsid w:val="00CD02A3"/>
    <w:rsid w:val="00CD10B0"/>
    <w:rsid w:val="00CD31C6"/>
    <w:rsid w:val="00CD3625"/>
    <w:rsid w:val="00CD4F1C"/>
    <w:rsid w:val="00CD5AEF"/>
    <w:rsid w:val="00CE4745"/>
    <w:rsid w:val="00CE5763"/>
    <w:rsid w:val="00CF1458"/>
    <w:rsid w:val="00CF156B"/>
    <w:rsid w:val="00CF1880"/>
    <w:rsid w:val="00CF2858"/>
    <w:rsid w:val="00CF3DDA"/>
    <w:rsid w:val="00CF6271"/>
    <w:rsid w:val="00D021D5"/>
    <w:rsid w:val="00D038B1"/>
    <w:rsid w:val="00D0442B"/>
    <w:rsid w:val="00D05DC2"/>
    <w:rsid w:val="00D068D7"/>
    <w:rsid w:val="00D109AE"/>
    <w:rsid w:val="00D11579"/>
    <w:rsid w:val="00D1299A"/>
    <w:rsid w:val="00D14E11"/>
    <w:rsid w:val="00D21D52"/>
    <w:rsid w:val="00D27572"/>
    <w:rsid w:val="00D31E28"/>
    <w:rsid w:val="00D353A2"/>
    <w:rsid w:val="00D466DA"/>
    <w:rsid w:val="00D55CE1"/>
    <w:rsid w:val="00D561E0"/>
    <w:rsid w:val="00D62B10"/>
    <w:rsid w:val="00D646F6"/>
    <w:rsid w:val="00D65185"/>
    <w:rsid w:val="00D70216"/>
    <w:rsid w:val="00D73F4D"/>
    <w:rsid w:val="00D743B5"/>
    <w:rsid w:val="00D77CB2"/>
    <w:rsid w:val="00D80CAC"/>
    <w:rsid w:val="00D81447"/>
    <w:rsid w:val="00D83C7D"/>
    <w:rsid w:val="00D903D6"/>
    <w:rsid w:val="00D92E38"/>
    <w:rsid w:val="00D9486F"/>
    <w:rsid w:val="00D95167"/>
    <w:rsid w:val="00DA1BD6"/>
    <w:rsid w:val="00DA41E8"/>
    <w:rsid w:val="00DA5C79"/>
    <w:rsid w:val="00DB36FB"/>
    <w:rsid w:val="00DB5F5D"/>
    <w:rsid w:val="00DB7E5C"/>
    <w:rsid w:val="00DC0F86"/>
    <w:rsid w:val="00DC19D2"/>
    <w:rsid w:val="00DC388B"/>
    <w:rsid w:val="00DC449A"/>
    <w:rsid w:val="00DC654F"/>
    <w:rsid w:val="00DD475A"/>
    <w:rsid w:val="00DD60E1"/>
    <w:rsid w:val="00DE197A"/>
    <w:rsid w:val="00DE1C46"/>
    <w:rsid w:val="00DE2930"/>
    <w:rsid w:val="00DE5CA2"/>
    <w:rsid w:val="00DF32E0"/>
    <w:rsid w:val="00DF55C4"/>
    <w:rsid w:val="00E02369"/>
    <w:rsid w:val="00E04A78"/>
    <w:rsid w:val="00E21076"/>
    <w:rsid w:val="00E22696"/>
    <w:rsid w:val="00E23A77"/>
    <w:rsid w:val="00E26F91"/>
    <w:rsid w:val="00E3588B"/>
    <w:rsid w:val="00E35C46"/>
    <w:rsid w:val="00E37C44"/>
    <w:rsid w:val="00E40623"/>
    <w:rsid w:val="00E43070"/>
    <w:rsid w:val="00E435E9"/>
    <w:rsid w:val="00E53DFF"/>
    <w:rsid w:val="00E5714C"/>
    <w:rsid w:val="00E605A9"/>
    <w:rsid w:val="00E61606"/>
    <w:rsid w:val="00E661B3"/>
    <w:rsid w:val="00E677E1"/>
    <w:rsid w:val="00E70655"/>
    <w:rsid w:val="00E70EB7"/>
    <w:rsid w:val="00E7302E"/>
    <w:rsid w:val="00E75999"/>
    <w:rsid w:val="00E77BA9"/>
    <w:rsid w:val="00E8177E"/>
    <w:rsid w:val="00E8486D"/>
    <w:rsid w:val="00E849BB"/>
    <w:rsid w:val="00E85649"/>
    <w:rsid w:val="00E858A8"/>
    <w:rsid w:val="00E862E6"/>
    <w:rsid w:val="00E9114E"/>
    <w:rsid w:val="00E91669"/>
    <w:rsid w:val="00E93B23"/>
    <w:rsid w:val="00E94D04"/>
    <w:rsid w:val="00E96BD9"/>
    <w:rsid w:val="00EA2982"/>
    <w:rsid w:val="00EA31D3"/>
    <w:rsid w:val="00EA37C4"/>
    <w:rsid w:val="00EB22C4"/>
    <w:rsid w:val="00EB3B07"/>
    <w:rsid w:val="00EB7D68"/>
    <w:rsid w:val="00EC3F57"/>
    <w:rsid w:val="00EC4381"/>
    <w:rsid w:val="00EC780D"/>
    <w:rsid w:val="00ED183B"/>
    <w:rsid w:val="00ED479D"/>
    <w:rsid w:val="00ED65F3"/>
    <w:rsid w:val="00ED7483"/>
    <w:rsid w:val="00EE0348"/>
    <w:rsid w:val="00EE0C95"/>
    <w:rsid w:val="00EE7E44"/>
    <w:rsid w:val="00EF46EB"/>
    <w:rsid w:val="00F064C7"/>
    <w:rsid w:val="00F11A1F"/>
    <w:rsid w:val="00F11C6D"/>
    <w:rsid w:val="00F126D1"/>
    <w:rsid w:val="00F141FA"/>
    <w:rsid w:val="00F15254"/>
    <w:rsid w:val="00F16586"/>
    <w:rsid w:val="00F21A4D"/>
    <w:rsid w:val="00F2513E"/>
    <w:rsid w:val="00F253C5"/>
    <w:rsid w:val="00F25DBB"/>
    <w:rsid w:val="00F27226"/>
    <w:rsid w:val="00F27E42"/>
    <w:rsid w:val="00F32406"/>
    <w:rsid w:val="00F3254B"/>
    <w:rsid w:val="00F32981"/>
    <w:rsid w:val="00F33C3E"/>
    <w:rsid w:val="00F36F33"/>
    <w:rsid w:val="00F438FB"/>
    <w:rsid w:val="00F43A3C"/>
    <w:rsid w:val="00F44978"/>
    <w:rsid w:val="00F45DDA"/>
    <w:rsid w:val="00F45F3B"/>
    <w:rsid w:val="00F46D41"/>
    <w:rsid w:val="00F521B7"/>
    <w:rsid w:val="00F60775"/>
    <w:rsid w:val="00F621CE"/>
    <w:rsid w:val="00F668CD"/>
    <w:rsid w:val="00F66F3A"/>
    <w:rsid w:val="00F725AD"/>
    <w:rsid w:val="00F72BE6"/>
    <w:rsid w:val="00F73B34"/>
    <w:rsid w:val="00F76E34"/>
    <w:rsid w:val="00F8017B"/>
    <w:rsid w:val="00F81424"/>
    <w:rsid w:val="00F83BF6"/>
    <w:rsid w:val="00F849AC"/>
    <w:rsid w:val="00F866D4"/>
    <w:rsid w:val="00F8696A"/>
    <w:rsid w:val="00F90B8B"/>
    <w:rsid w:val="00F9312E"/>
    <w:rsid w:val="00F96BD9"/>
    <w:rsid w:val="00F96C5A"/>
    <w:rsid w:val="00FA15BD"/>
    <w:rsid w:val="00FA1FBF"/>
    <w:rsid w:val="00FA2B2F"/>
    <w:rsid w:val="00FA45B5"/>
    <w:rsid w:val="00FA7F8B"/>
    <w:rsid w:val="00FB5765"/>
    <w:rsid w:val="00FB6B16"/>
    <w:rsid w:val="00FB70F6"/>
    <w:rsid w:val="00FC342F"/>
    <w:rsid w:val="00FC421D"/>
    <w:rsid w:val="00FC5962"/>
    <w:rsid w:val="00FD2CCD"/>
    <w:rsid w:val="00FD3B97"/>
    <w:rsid w:val="00FE35D9"/>
    <w:rsid w:val="00FE3795"/>
    <w:rsid w:val="00FE6DE3"/>
    <w:rsid w:val="00FF0C58"/>
    <w:rsid w:val="00FF2720"/>
    <w:rsid w:val="00FF3A0B"/>
    <w:rsid w:val="00FF461F"/>
    <w:rsid w:val="00FF758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A80"/>
    <w:rPr>
      <w:sz w:val="24"/>
      <w:szCs w:val="24"/>
      <w:lang w:val="en-US" w:eastAsia="en-US"/>
    </w:rPr>
  </w:style>
  <w:style w:type="paragraph" w:styleId="Heading1">
    <w:name w:val="heading 1"/>
    <w:basedOn w:val="Normal"/>
    <w:link w:val="Heading1Char"/>
    <w:uiPriority w:val="9"/>
    <w:qFormat/>
    <w:rsid w:val="005963A3"/>
    <w:pPr>
      <w:spacing w:before="100" w:beforeAutospacing="1" w:after="100" w:afterAutospacing="1"/>
      <w:outlineLvl w:val="0"/>
    </w:pPr>
    <w:rPr>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5DBB"/>
    <w:rPr>
      <w:sz w:val="20"/>
      <w:szCs w:val="20"/>
    </w:rPr>
  </w:style>
  <w:style w:type="character" w:styleId="FootnoteReference">
    <w:name w:val="footnote reference"/>
    <w:basedOn w:val="DefaultParagraphFont"/>
    <w:semiHidden/>
    <w:rsid w:val="00F25DBB"/>
    <w:rPr>
      <w:vertAlign w:val="superscript"/>
    </w:rPr>
  </w:style>
  <w:style w:type="paragraph" w:styleId="Header">
    <w:name w:val="header"/>
    <w:basedOn w:val="Normal"/>
    <w:rsid w:val="00B82AEF"/>
    <w:pPr>
      <w:tabs>
        <w:tab w:val="center" w:pos="4320"/>
        <w:tab w:val="right" w:pos="8640"/>
      </w:tabs>
    </w:pPr>
  </w:style>
  <w:style w:type="paragraph" w:styleId="Footer">
    <w:name w:val="footer"/>
    <w:basedOn w:val="Normal"/>
    <w:link w:val="FooterChar"/>
    <w:uiPriority w:val="99"/>
    <w:rsid w:val="00B82AEF"/>
    <w:pPr>
      <w:tabs>
        <w:tab w:val="center" w:pos="4320"/>
        <w:tab w:val="right" w:pos="8640"/>
      </w:tabs>
    </w:pPr>
  </w:style>
  <w:style w:type="paragraph" w:styleId="BalloonText">
    <w:name w:val="Balloon Text"/>
    <w:basedOn w:val="Normal"/>
    <w:semiHidden/>
    <w:rsid w:val="00B82AEF"/>
    <w:rPr>
      <w:rFonts w:ascii="Tahoma" w:hAnsi="Tahoma" w:cs="Tahoma"/>
      <w:sz w:val="16"/>
      <w:szCs w:val="16"/>
    </w:rPr>
  </w:style>
  <w:style w:type="character" w:styleId="Hyperlink">
    <w:name w:val="Hyperlink"/>
    <w:basedOn w:val="DefaultParagraphFont"/>
    <w:rsid w:val="00F44978"/>
    <w:rPr>
      <w:color w:val="0000FF"/>
      <w:u w:val="single"/>
    </w:rPr>
  </w:style>
  <w:style w:type="character" w:customStyle="1" w:styleId="FootnoteTextChar">
    <w:name w:val="Footnote Text Char"/>
    <w:basedOn w:val="DefaultParagraphFont"/>
    <w:link w:val="FootnoteText"/>
    <w:semiHidden/>
    <w:rsid w:val="00986A5F"/>
    <w:rPr>
      <w:lang w:val="en-US" w:eastAsia="en-US"/>
    </w:rPr>
  </w:style>
  <w:style w:type="character" w:styleId="Emphasis">
    <w:name w:val="Emphasis"/>
    <w:basedOn w:val="DefaultParagraphFont"/>
    <w:uiPriority w:val="20"/>
    <w:qFormat/>
    <w:rsid w:val="00A549AE"/>
    <w:rPr>
      <w:i/>
      <w:iCs/>
    </w:rPr>
  </w:style>
  <w:style w:type="table" w:styleId="TableGrid">
    <w:name w:val="Table Grid"/>
    <w:basedOn w:val="TableNormal"/>
    <w:uiPriority w:val="59"/>
    <w:rsid w:val="00CD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40640"/>
  </w:style>
  <w:style w:type="character" w:customStyle="1" w:styleId="spelle">
    <w:name w:val="spelle"/>
    <w:basedOn w:val="DefaultParagraphFont"/>
    <w:rsid w:val="00140640"/>
  </w:style>
  <w:style w:type="character" w:customStyle="1" w:styleId="grame">
    <w:name w:val="grame"/>
    <w:basedOn w:val="DefaultParagraphFont"/>
    <w:rsid w:val="001B2927"/>
  </w:style>
  <w:style w:type="paragraph" w:customStyle="1" w:styleId="Default">
    <w:name w:val="Default"/>
    <w:rsid w:val="005963A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963A3"/>
    <w:rPr>
      <w:b/>
      <w:bCs/>
      <w:kern w:val="36"/>
      <w:sz w:val="48"/>
      <w:szCs w:val="48"/>
    </w:rPr>
  </w:style>
  <w:style w:type="character" w:customStyle="1" w:styleId="hit">
    <w:name w:val="hit"/>
    <w:basedOn w:val="DefaultParagraphFont"/>
    <w:rsid w:val="005963A3"/>
  </w:style>
  <w:style w:type="paragraph" w:styleId="ListParagraph">
    <w:name w:val="List Paragraph"/>
    <w:basedOn w:val="Normal"/>
    <w:uiPriority w:val="34"/>
    <w:qFormat/>
    <w:rsid w:val="001B353F"/>
    <w:pPr>
      <w:ind w:left="720"/>
      <w:contextualSpacing/>
    </w:pPr>
  </w:style>
  <w:style w:type="character" w:customStyle="1" w:styleId="FooterChar">
    <w:name w:val="Footer Char"/>
    <w:basedOn w:val="DefaultParagraphFont"/>
    <w:link w:val="Footer"/>
    <w:uiPriority w:val="99"/>
    <w:rsid w:val="00380679"/>
    <w:rPr>
      <w:sz w:val="24"/>
      <w:szCs w:val="24"/>
      <w:lang w:val="en-US" w:eastAsia="en-US"/>
    </w:rPr>
  </w:style>
  <w:style w:type="paragraph" w:styleId="PlainText">
    <w:name w:val="Plain Text"/>
    <w:basedOn w:val="Normal"/>
    <w:link w:val="PlainTextChar"/>
    <w:rsid w:val="00C14C22"/>
    <w:rPr>
      <w:rFonts w:ascii="Courier New" w:hAnsi="Courier New" w:cs="Courier New"/>
      <w:sz w:val="20"/>
      <w:szCs w:val="20"/>
    </w:rPr>
  </w:style>
  <w:style w:type="character" w:customStyle="1" w:styleId="PlainTextChar">
    <w:name w:val="Plain Text Char"/>
    <w:basedOn w:val="DefaultParagraphFont"/>
    <w:link w:val="PlainText"/>
    <w:rsid w:val="00C14C22"/>
    <w:rPr>
      <w:rFonts w:ascii="Courier New" w:hAnsi="Courier New" w:cs="Courier New"/>
      <w:lang w:val="en-US" w:eastAsia="en-US"/>
    </w:rPr>
  </w:style>
  <w:style w:type="paragraph" w:customStyle="1" w:styleId="CM3">
    <w:name w:val="CM3"/>
    <w:basedOn w:val="Default"/>
    <w:next w:val="Default"/>
    <w:rsid w:val="00C14C22"/>
    <w:pPr>
      <w:widowControl w:val="0"/>
    </w:pPr>
    <w:rPr>
      <w:color w:val="auto"/>
      <w:lang w:val="en-US" w:eastAsia="en-US"/>
    </w:rPr>
  </w:style>
  <w:style w:type="paragraph" w:customStyle="1" w:styleId="CM4">
    <w:name w:val="CM4"/>
    <w:basedOn w:val="Default"/>
    <w:next w:val="Default"/>
    <w:rsid w:val="00C14C22"/>
    <w:pPr>
      <w:widowControl w:val="0"/>
      <w:spacing w:line="253" w:lineRule="atLeast"/>
    </w:pPr>
    <w:rPr>
      <w:color w:val="auto"/>
      <w:lang w:val="en-US" w:eastAsia="en-US"/>
    </w:rPr>
  </w:style>
  <w:style w:type="paragraph" w:customStyle="1" w:styleId="CM23">
    <w:name w:val="CM23"/>
    <w:basedOn w:val="Default"/>
    <w:next w:val="Default"/>
    <w:rsid w:val="00C14C22"/>
    <w:pPr>
      <w:widowControl w:val="0"/>
      <w:spacing w:after="233"/>
    </w:pPr>
    <w:rPr>
      <w:color w:val="auto"/>
      <w:lang w:val="en-US" w:eastAsia="en-US"/>
    </w:rPr>
  </w:style>
</w:styles>
</file>

<file path=word/webSettings.xml><?xml version="1.0" encoding="utf-8"?>
<w:webSettings xmlns:r="http://schemas.openxmlformats.org/officeDocument/2006/relationships" xmlns:w="http://schemas.openxmlformats.org/wordprocessingml/2006/main">
  <w:divs>
    <w:div w:id="494607549">
      <w:bodyDiv w:val="1"/>
      <w:marLeft w:val="0"/>
      <w:marRight w:val="0"/>
      <w:marTop w:val="0"/>
      <w:marBottom w:val="0"/>
      <w:divBdr>
        <w:top w:val="none" w:sz="0" w:space="0" w:color="auto"/>
        <w:left w:val="none" w:sz="0" w:space="0" w:color="auto"/>
        <w:bottom w:val="none" w:sz="0" w:space="0" w:color="auto"/>
        <w:right w:val="none" w:sz="0" w:space="0" w:color="auto"/>
      </w:divBdr>
      <w:divsChild>
        <w:div w:id="1203788767">
          <w:marLeft w:val="0"/>
          <w:marRight w:val="0"/>
          <w:marTop w:val="0"/>
          <w:marBottom w:val="0"/>
          <w:divBdr>
            <w:top w:val="none" w:sz="0" w:space="0" w:color="auto"/>
            <w:left w:val="none" w:sz="0" w:space="0" w:color="auto"/>
            <w:bottom w:val="none" w:sz="0" w:space="0" w:color="auto"/>
            <w:right w:val="none" w:sz="0" w:space="0" w:color="auto"/>
          </w:divBdr>
          <w:divsChild>
            <w:div w:id="105318159">
              <w:marLeft w:val="0"/>
              <w:marRight w:val="0"/>
              <w:marTop w:val="0"/>
              <w:marBottom w:val="0"/>
              <w:divBdr>
                <w:top w:val="none" w:sz="0" w:space="0" w:color="auto"/>
                <w:left w:val="none" w:sz="0" w:space="0" w:color="auto"/>
                <w:bottom w:val="none" w:sz="0" w:space="0" w:color="auto"/>
                <w:right w:val="none" w:sz="0" w:space="0" w:color="auto"/>
              </w:divBdr>
            </w:div>
            <w:div w:id="151914993">
              <w:marLeft w:val="0"/>
              <w:marRight w:val="0"/>
              <w:marTop w:val="0"/>
              <w:marBottom w:val="0"/>
              <w:divBdr>
                <w:top w:val="none" w:sz="0" w:space="0" w:color="auto"/>
                <w:left w:val="none" w:sz="0" w:space="0" w:color="auto"/>
                <w:bottom w:val="none" w:sz="0" w:space="0" w:color="auto"/>
                <w:right w:val="none" w:sz="0" w:space="0" w:color="auto"/>
              </w:divBdr>
            </w:div>
            <w:div w:id="1127309797">
              <w:marLeft w:val="0"/>
              <w:marRight w:val="0"/>
              <w:marTop w:val="0"/>
              <w:marBottom w:val="0"/>
              <w:divBdr>
                <w:top w:val="none" w:sz="0" w:space="0" w:color="auto"/>
                <w:left w:val="none" w:sz="0" w:space="0" w:color="auto"/>
                <w:bottom w:val="none" w:sz="0" w:space="0" w:color="auto"/>
                <w:right w:val="none" w:sz="0" w:space="0" w:color="auto"/>
              </w:divBdr>
            </w:div>
            <w:div w:id="1141076819">
              <w:marLeft w:val="0"/>
              <w:marRight w:val="0"/>
              <w:marTop w:val="0"/>
              <w:marBottom w:val="0"/>
              <w:divBdr>
                <w:top w:val="none" w:sz="0" w:space="0" w:color="auto"/>
                <w:left w:val="none" w:sz="0" w:space="0" w:color="auto"/>
                <w:bottom w:val="none" w:sz="0" w:space="0" w:color="auto"/>
                <w:right w:val="none" w:sz="0" w:space="0" w:color="auto"/>
              </w:divBdr>
            </w:div>
            <w:div w:id="1546334874">
              <w:marLeft w:val="0"/>
              <w:marRight w:val="0"/>
              <w:marTop w:val="0"/>
              <w:marBottom w:val="0"/>
              <w:divBdr>
                <w:top w:val="none" w:sz="0" w:space="0" w:color="auto"/>
                <w:left w:val="none" w:sz="0" w:space="0" w:color="auto"/>
                <w:bottom w:val="none" w:sz="0" w:space="0" w:color="auto"/>
                <w:right w:val="none" w:sz="0" w:space="0" w:color="auto"/>
              </w:divBdr>
            </w:div>
            <w:div w:id="1678120558">
              <w:marLeft w:val="0"/>
              <w:marRight w:val="0"/>
              <w:marTop w:val="0"/>
              <w:marBottom w:val="0"/>
              <w:divBdr>
                <w:top w:val="none" w:sz="0" w:space="0" w:color="auto"/>
                <w:left w:val="none" w:sz="0" w:space="0" w:color="auto"/>
                <w:bottom w:val="none" w:sz="0" w:space="0" w:color="auto"/>
                <w:right w:val="none" w:sz="0" w:space="0" w:color="auto"/>
              </w:divBdr>
            </w:div>
            <w:div w:id="1800031844">
              <w:marLeft w:val="0"/>
              <w:marRight w:val="0"/>
              <w:marTop w:val="0"/>
              <w:marBottom w:val="0"/>
              <w:divBdr>
                <w:top w:val="none" w:sz="0" w:space="0" w:color="auto"/>
                <w:left w:val="none" w:sz="0" w:space="0" w:color="auto"/>
                <w:bottom w:val="none" w:sz="0" w:space="0" w:color="auto"/>
                <w:right w:val="none" w:sz="0" w:space="0" w:color="auto"/>
              </w:divBdr>
            </w:div>
            <w:div w:id="18255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9861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6">
          <w:marLeft w:val="0"/>
          <w:marRight w:val="0"/>
          <w:marTop w:val="0"/>
          <w:marBottom w:val="0"/>
          <w:divBdr>
            <w:top w:val="none" w:sz="0" w:space="0" w:color="auto"/>
            <w:left w:val="none" w:sz="0" w:space="0" w:color="auto"/>
            <w:bottom w:val="none" w:sz="0" w:space="0" w:color="auto"/>
            <w:right w:val="none" w:sz="0" w:space="0" w:color="auto"/>
          </w:divBdr>
          <w:divsChild>
            <w:div w:id="171578917">
              <w:marLeft w:val="0"/>
              <w:marRight w:val="0"/>
              <w:marTop w:val="0"/>
              <w:marBottom w:val="0"/>
              <w:divBdr>
                <w:top w:val="none" w:sz="0" w:space="0" w:color="auto"/>
                <w:left w:val="none" w:sz="0" w:space="0" w:color="auto"/>
                <w:bottom w:val="none" w:sz="0" w:space="0" w:color="auto"/>
                <w:right w:val="none" w:sz="0" w:space="0" w:color="auto"/>
              </w:divBdr>
            </w:div>
            <w:div w:id="384448587">
              <w:marLeft w:val="0"/>
              <w:marRight w:val="0"/>
              <w:marTop w:val="0"/>
              <w:marBottom w:val="0"/>
              <w:divBdr>
                <w:top w:val="none" w:sz="0" w:space="0" w:color="auto"/>
                <w:left w:val="none" w:sz="0" w:space="0" w:color="auto"/>
                <w:bottom w:val="none" w:sz="0" w:space="0" w:color="auto"/>
                <w:right w:val="none" w:sz="0" w:space="0" w:color="auto"/>
              </w:divBdr>
            </w:div>
            <w:div w:id="408306732">
              <w:marLeft w:val="0"/>
              <w:marRight w:val="0"/>
              <w:marTop w:val="0"/>
              <w:marBottom w:val="0"/>
              <w:divBdr>
                <w:top w:val="none" w:sz="0" w:space="0" w:color="auto"/>
                <w:left w:val="none" w:sz="0" w:space="0" w:color="auto"/>
                <w:bottom w:val="none" w:sz="0" w:space="0" w:color="auto"/>
                <w:right w:val="none" w:sz="0" w:space="0" w:color="auto"/>
              </w:divBdr>
            </w:div>
            <w:div w:id="699282728">
              <w:marLeft w:val="0"/>
              <w:marRight w:val="0"/>
              <w:marTop w:val="0"/>
              <w:marBottom w:val="0"/>
              <w:divBdr>
                <w:top w:val="none" w:sz="0" w:space="0" w:color="auto"/>
                <w:left w:val="none" w:sz="0" w:space="0" w:color="auto"/>
                <w:bottom w:val="none" w:sz="0" w:space="0" w:color="auto"/>
                <w:right w:val="none" w:sz="0" w:space="0" w:color="auto"/>
              </w:divBdr>
            </w:div>
            <w:div w:id="1510367917">
              <w:marLeft w:val="0"/>
              <w:marRight w:val="0"/>
              <w:marTop w:val="0"/>
              <w:marBottom w:val="0"/>
              <w:divBdr>
                <w:top w:val="none" w:sz="0" w:space="0" w:color="auto"/>
                <w:left w:val="none" w:sz="0" w:space="0" w:color="auto"/>
                <w:bottom w:val="none" w:sz="0" w:space="0" w:color="auto"/>
                <w:right w:val="none" w:sz="0" w:space="0" w:color="auto"/>
              </w:divBdr>
            </w:div>
            <w:div w:id="1551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70585">
      <w:bodyDiv w:val="1"/>
      <w:marLeft w:val="0"/>
      <w:marRight w:val="0"/>
      <w:marTop w:val="0"/>
      <w:marBottom w:val="0"/>
      <w:divBdr>
        <w:top w:val="none" w:sz="0" w:space="0" w:color="auto"/>
        <w:left w:val="none" w:sz="0" w:space="0" w:color="auto"/>
        <w:bottom w:val="none" w:sz="0" w:space="0" w:color="auto"/>
        <w:right w:val="none" w:sz="0" w:space="0" w:color="auto"/>
      </w:divBdr>
    </w:div>
    <w:div w:id="988556509">
      <w:bodyDiv w:val="1"/>
      <w:marLeft w:val="0"/>
      <w:marRight w:val="0"/>
      <w:marTop w:val="0"/>
      <w:marBottom w:val="0"/>
      <w:divBdr>
        <w:top w:val="none" w:sz="0" w:space="0" w:color="auto"/>
        <w:left w:val="none" w:sz="0" w:space="0" w:color="auto"/>
        <w:bottom w:val="none" w:sz="0" w:space="0" w:color="auto"/>
        <w:right w:val="none" w:sz="0" w:space="0" w:color="auto"/>
      </w:divBdr>
      <w:divsChild>
        <w:div w:id="904685200">
          <w:marLeft w:val="0"/>
          <w:marRight w:val="0"/>
          <w:marTop w:val="0"/>
          <w:marBottom w:val="0"/>
          <w:divBdr>
            <w:top w:val="none" w:sz="0" w:space="0" w:color="auto"/>
            <w:left w:val="none" w:sz="0" w:space="0" w:color="auto"/>
            <w:bottom w:val="none" w:sz="0" w:space="0" w:color="auto"/>
            <w:right w:val="none" w:sz="0" w:space="0" w:color="auto"/>
          </w:divBdr>
          <w:divsChild>
            <w:div w:id="82118554">
              <w:marLeft w:val="0"/>
              <w:marRight w:val="0"/>
              <w:marTop w:val="0"/>
              <w:marBottom w:val="0"/>
              <w:divBdr>
                <w:top w:val="none" w:sz="0" w:space="0" w:color="auto"/>
                <w:left w:val="none" w:sz="0" w:space="0" w:color="auto"/>
                <w:bottom w:val="none" w:sz="0" w:space="0" w:color="auto"/>
                <w:right w:val="none" w:sz="0" w:space="0" w:color="auto"/>
              </w:divBdr>
            </w:div>
            <w:div w:id="100953800">
              <w:marLeft w:val="0"/>
              <w:marRight w:val="0"/>
              <w:marTop w:val="0"/>
              <w:marBottom w:val="0"/>
              <w:divBdr>
                <w:top w:val="none" w:sz="0" w:space="0" w:color="auto"/>
                <w:left w:val="none" w:sz="0" w:space="0" w:color="auto"/>
                <w:bottom w:val="none" w:sz="0" w:space="0" w:color="auto"/>
                <w:right w:val="none" w:sz="0" w:space="0" w:color="auto"/>
              </w:divBdr>
            </w:div>
            <w:div w:id="340669645">
              <w:marLeft w:val="0"/>
              <w:marRight w:val="0"/>
              <w:marTop w:val="0"/>
              <w:marBottom w:val="0"/>
              <w:divBdr>
                <w:top w:val="none" w:sz="0" w:space="0" w:color="auto"/>
                <w:left w:val="none" w:sz="0" w:space="0" w:color="auto"/>
                <w:bottom w:val="none" w:sz="0" w:space="0" w:color="auto"/>
                <w:right w:val="none" w:sz="0" w:space="0" w:color="auto"/>
              </w:divBdr>
            </w:div>
            <w:div w:id="1172137168">
              <w:marLeft w:val="0"/>
              <w:marRight w:val="0"/>
              <w:marTop w:val="0"/>
              <w:marBottom w:val="0"/>
              <w:divBdr>
                <w:top w:val="none" w:sz="0" w:space="0" w:color="auto"/>
                <w:left w:val="none" w:sz="0" w:space="0" w:color="auto"/>
                <w:bottom w:val="none" w:sz="0" w:space="0" w:color="auto"/>
                <w:right w:val="none" w:sz="0" w:space="0" w:color="auto"/>
              </w:divBdr>
            </w:div>
            <w:div w:id="1196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3640">
      <w:bodyDiv w:val="1"/>
      <w:marLeft w:val="0"/>
      <w:marRight w:val="0"/>
      <w:marTop w:val="0"/>
      <w:marBottom w:val="0"/>
      <w:divBdr>
        <w:top w:val="none" w:sz="0" w:space="0" w:color="auto"/>
        <w:left w:val="none" w:sz="0" w:space="0" w:color="auto"/>
        <w:bottom w:val="none" w:sz="0" w:space="0" w:color="auto"/>
        <w:right w:val="none" w:sz="0" w:space="0" w:color="auto"/>
      </w:divBdr>
      <w:divsChild>
        <w:div w:id="1029719044">
          <w:marLeft w:val="0"/>
          <w:marRight w:val="0"/>
          <w:marTop w:val="0"/>
          <w:marBottom w:val="0"/>
          <w:divBdr>
            <w:top w:val="none" w:sz="0" w:space="0" w:color="auto"/>
            <w:left w:val="none" w:sz="0" w:space="0" w:color="auto"/>
            <w:bottom w:val="none" w:sz="0" w:space="0" w:color="auto"/>
            <w:right w:val="none" w:sz="0" w:space="0" w:color="auto"/>
          </w:divBdr>
          <w:divsChild>
            <w:div w:id="110366783">
              <w:marLeft w:val="0"/>
              <w:marRight w:val="0"/>
              <w:marTop w:val="0"/>
              <w:marBottom w:val="0"/>
              <w:divBdr>
                <w:top w:val="none" w:sz="0" w:space="0" w:color="auto"/>
                <w:left w:val="none" w:sz="0" w:space="0" w:color="auto"/>
                <w:bottom w:val="none" w:sz="0" w:space="0" w:color="auto"/>
                <w:right w:val="none" w:sz="0" w:space="0" w:color="auto"/>
              </w:divBdr>
            </w:div>
            <w:div w:id="547030669">
              <w:marLeft w:val="0"/>
              <w:marRight w:val="0"/>
              <w:marTop w:val="0"/>
              <w:marBottom w:val="0"/>
              <w:divBdr>
                <w:top w:val="none" w:sz="0" w:space="0" w:color="auto"/>
                <w:left w:val="none" w:sz="0" w:space="0" w:color="auto"/>
                <w:bottom w:val="none" w:sz="0" w:space="0" w:color="auto"/>
                <w:right w:val="none" w:sz="0" w:space="0" w:color="auto"/>
              </w:divBdr>
            </w:div>
            <w:div w:id="780761133">
              <w:marLeft w:val="0"/>
              <w:marRight w:val="0"/>
              <w:marTop w:val="0"/>
              <w:marBottom w:val="0"/>
              <w:divBdr>
                <w:top w:val="none" w:sz="0" w:space="0" w:color="auto"/>
                <w:left w:val="none" w:sz="0" w:space="0" w:color="auto"/>
                <w:bottom w:val="none" w:sz="0" w:space="0" w:color="auto"/>
                <w:right w:val="none" w:sz="0" w:space="0" w:color="auto"/>
              </w:divBdr>
            </w:div>
            <w:div w:id="1528712443">
              <w:marLeft w:val="0"/>
              <w:marRight w:val="0"/>
              <w:marTop w:val="0"/>
              <w:marBottom w:val="0"/>
              <w:divBdr>
                <w:top w:val="none" w:sz="0" w:space="0" w:color="auto"/>
                <w:left w:val="none" w:sz="0" w:space="0" w:color="auto"/>
                <w:bottom w:val="none" w:sz="0" w:space="0" w:color="auto"/>
                <w:right w:val="none" w:sz="0" w:space="0" w:color="auto"/>
              </w:divBdr>
            </w:div>
            <w:div w:id="1560285105">
              <w:marLeft w:val="0"/>
              <w:marRight w:val="0"/>
              <w:marTop w:val="0"/>
              <w:marBottom w:val="0"/>
              <w:divBdr>
                <w:top w:val="none" w:sz="0" w:space="0" w:color="auto"/>
                <w:left w:val="none" w:sz="0" w:space="0" w:color="auto"/>
                <w:bottom w:val="none" w:sz="0" w:space="0" w:color="auto"/>
                <w:right w:val="none" w:sz="0" w:space="0" w:color="auto"/>
              </w:divBdr>
            </w:div>
            <w:div w:id="1983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95@waikato.ac.nz"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8.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www.toopoo.com/ent/cbs_220.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16.wmf"/><Relationship Id="rId2" Type="http://schemas.openxmlformats.org/officeDocument/2006/relationships/oleObject" Target="embeddings/oleObject1.bin"/><Relationship Id="rId1" Type="http://schemas.openxmlformats.org/officeDocument/2006/relationships/image" Target="media/image15.wmf"/><Relationship Id="rId6" Type="http://schemas.openxmlformats.org/officeDocument/2006/relationships/oleObject" Target="embeddings/oleObject3.bin"/><Relationship Id="rId5" Type="http://schemas.openxmlformats.org/officeDocument/2006/relationships/image" Target="media/image17.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68A7-E534-4261-A89F-980E5F9F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7662</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The Microeconomic Determinants of Emigration and Return Migration</vt:lpstr>
    </vt:vector>
  </TitlesOfParts>
  <Company>The World Bank Group</Company>
  <LinksUpToDate>false</LinksUpToDate>
  <CharactersWithSpaces>51234</CharactersWithSpaces>
  <SharedDoc>false</SharedDoc>
  <HLinks>
    <vt:vector size="6" baseType="variant">
      <vt:variant>
        <vt:i4>1900636</vt:i4>
      </vt:variant>
      <vt:variant>
        <vt:i4>0</vt:i4>
      </vt:variant>
      <vt:variant>
        <vt:i4>0</vt:i4>
      </vt:variant>
      <vt:variant>
        <vt:i4>5</vt:i4>
      </vt:variant>
      <vt:variant>
        <vt:lpwstr>http://www.scoop.co.nz/stories/PA0412/S00222.htm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Microeconomic Determinants of Emigration and Return Migration</dc:title>
  <dc:creator>dmckenzie</dc:creator>
  <cp:lastModifiedBy>Brian Silverstone</cp:lastModifiedBy>
  <cp:revision>14</cp:revision>
  <cp:lastPrinted>2012-06-09T11:48:00Z</cp:lastPrinted>
  <dcterms:created xsi:type="dcterms:W3CDTF">2012-07-17T21:24:00Z</dcterms:created>
  <dcterms:modified xsi:type="dcterms:W3CDTF">2012-07-18T01:38:00Z</dcterms:modified>
</cp:coreProperties>
</file>