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A83" w:rsidRPr="00370890" w:rsidRDefault="006A6A83" w:rsidP="00DF0191">
      <w:pPr>
        <w:tabs>
          <w:tab w:val="left" w:pos="426"/>
        </w:tabs>
        <w:spacing w:line="300" w:lineRule="auto"/>
        <w:jc w:val="center"/>
        <w:rPr>
          <w:b/>
          <w:bCs/>
        </w:rPr>
      </w:pPr>
    </w:p>
    <w:p w:rsidR="006A6A83" w:rsidRPr="00370890" w:rsidRDefault="006A6A83" w:rsidP="00DF0191">
      <w:pPr>
        <w:tabs>
          <w:tab w:val="left" w:pos="426"/>
        </w:tabs>
        <w:spacing w:line="300" w:lineRule="auto"/>
        <w:jc w:val="center"/>
        <w:rPr>
          <w:b/>
          <w:bCs/>
        </w:rPr>
      </w:pPr>
    </w:p>
    <w:p w:rsidR="006A6A83" w:rsidRPr="00370890" w:rsidRDefault="006A6A83" w:rsidP="00DF0191">
      <w:pPr>
        <w:tabs>
          <w:tab w:val="left" w:pos="426"/>
        </w:tabs>
        <w:spacing w:line="300" w:lineRule="auto"/>
        <w:jc w:val="center"/>
        <w:rPr>
          <w:b/>
          <w:bCs/>
        </w:rPr>
      </w:pPr>
    </w:p>
    <w:p w:rsidR="00C66BE7" w:rsidRDefault="00C66BE7" w:rsidP="00462022">
      <w:pPr>
        <w:pStyle w:val="PlainText"/>
        <w:tabs>
          <w:tab w:val="left" w:pos="284"/>
        </w:tabs>
        <w:jc w:val="center"/>
        <w:rPr>
          <w:rFonts w:ascii="Times New Roman" w:hAnsi="Times New Roman"/>
          <w:b/>
          <w:sz w:val="28"/>
        </w:rPr>
      </w:pPr>
    </w:p>
    <w:p w:rsidR="00C66BE7" w:rsidRDefault="00C66BE7" w:rsidP="00462022">
      <w:pPr>
        <w:pStyle w:val="PlainText"/>
        <w:tabs>
          <w:tab w:val="left" w:pos="284"/>
        </w:tabs>
        <w:jc w:val="center"/>
        <w:rPr>
          <w:rFonts w:ascii="Times New Roman" w:hAnsi="Times New Roman"/>
          <w:b/>
          <w:sz w:val="28"/>
        </w:rPr>
      </w:pPr>
    </w:p>
    <w:p w:rsidR="00462022" w:rsidRDefault="00462022" w:rsidP="00462022">
      <w:pPr>
        <w:pStyle w:val="PlainText"/>
        <w:tabs>
          <w:tab w:val="left" w:pos="284"/>
        </w:tabs>
        <w:jc w:val="center"/>
        <w:rPr>
          <w:rFonts w:ascii="Times New Roman" w:hAnsi="Times New Roman"/>
          <w:b/>
          <w:sz w:val="28"/>
        </w:rPr>
      </w:pPr>
      <w:r>
        <w:rPr>
          <w:rFonts w:ascii="Times New Roman" w:hAnsi="Times New Roman"/>
          <w:b/>
          <w:sz w:val="28"/>
        </w:rPr>
        <w:t>UNIVERSITY OF WAIKATO</w:t>
      </w:r>
    </w:p>
    <w:p w:rsidR="00462022" w:rsidRDefault="00462022" w:rsidP="00462022">
      <w:pPr>
        <w:pStyle w:val="PlainText"/>
        <w:tabs>
          <w:tab w:val="left" w:pos="284"/>
        </w:tabs>
        <w:jc w:val="center"/>
        <w:rPr>
          <w:rFonts w:ascii="Times New Roman" w:hAnsi="Times New Roman"/>
          <w:b/>
          <w:sz w:val="28"/>
        </w:rPr>
      </w:pPr>
    </w:p>
    <w:p w:rsidR="00462022" w:rsidRDefault="00462022" w:rsidP="00462022">
      <w:pPr>
        <w:pStyle w:val="PlainText"/>
        <w:tabs>
          <w:tab w:val="left" w:pos="284"/>
        </w:tabs>
        <w:jc w:val="center"/>
        <w:rPr>
          <w:rFonts w:ascii="Times New Roman" w:hAnsi="Times New Roman"/>
          <w:b/>
          <w:sz w:val="28"/>
        </w:rPr>
      </w:pPr>
      <w:smartTag w:uri="urn:schemas-microsoft-com:office:smarttags" w:element="place">
        <w:smartTag w:uri="urn:schemas-microsoft-com:office:smarttags" w:element="City">
          <w:r>
            <w:rPr>
              <w:rFonts w:ascii="Times New Roman" w:hAnsi="Times New Roman"/>
              <w:b/>
              <w:sz w:val="28"/>
            </w:rPr>
            <w:t>Hamilton</w:t>
          </w:r>
        </w:smartTag>
      </w:smartTag>
    </w:p>
    <w:p w:rsidR="00462022" w:rsidRDefault="00462022" w:rsidP="00462022">
      <w:pPr>
        <w:pStyle w:val="PlainText"/>
        <w:tabs>
          <w:tab w:val="left" w:pos="284"/>
        </w:tabs>
        <w:jc w:val="center"/>
        <w:rPr>
          <w:rFonts w:ascii="Times New Roman" w:hAnsi="Times New Roman"/>
          <w:b/>
          <w:sz w:val="28"/>
        </w:rPr>
      </w:pPr>
      <w:smartTag w:uri="urn:schemas-microsoft-com:office:smarttags" w:element="place">
        <w:smartTag w:uri="urn:schemas-microsoft-com:office:smarttags" w:element="country-region">
          <w:r>
            <w:rPr>
              <w:rFonts w:ascii="Times New Roman" w:hAnsi="Times New Roman"/>
              <w:b/>
              <w:sz w:val="28"/>
            </w:rPr>
            <w:t>New Zealand</w:t>
          </w:r>
        </w:smartTag>
      </w:smartTag>
    </w:p>
    <w:p w:rsidR="00462022" w:rsidRDefault="00462022" w:rsidP="00462022">
      <w:pPr>
        <w:pStyle w:val="PlainText"/>
        <w:tabs>
          <w:tab w:val="left" w:pos="284"/>
        </w:tabs>
        <w:jc w:val="center"/>
        <w:rPr>
          <w:rFonts w:ascii="Times New Roman" w:hAnsi="Times New Roman"/>
          <w:b/>
          <w:sz w:val="28"/>
        </w:rPr>
      </w:pPr>
    </w:p>
    <w:p w:rsidR="00462022" w:rsidRDefault="00462022" w:rsidP="00462022">
      <w:pPr>
        <w:pStyle w:val="PlainText"/>
        <w:tabs>
          <w:tab w:val="left" w:pos="284"/>
        </w:tabs>
        <w:jc w:val="center"/>
        <w:rPr>
          <w:rFonts w:ascii="Times New Roman" w:hAnsi="Times New Roman"/>
          <w:b/>
          <w:sz w:val="28"/>
        </w:rPr>
      </w:pPr>
    </w:p>
    <w:p w:rsidR="00462022" w:rsidRPr="005804D1" w:rsidRDefault="00462022" w:rsidP="00462022">
      <w:pPr>
        <w:pStyle w:val="PlainText"/>
        <w:pBdr>
          <w:top w:val="thinThickSmallGap" w:sz="24" w:space="1" w:color="auto"/>
          <w:left w:val="thinThickSmallGap" w:sz="24" w:space="4" w:color="auto"/>
          <w:bottom w:val="thickThinSmallGap" w:sz="24" w:space="1" w:color="auto"/>
          <w:right w:val="thickThinSmallGap" w:sz="24" w:space="4" w:color="auto"/>
        </w:pBdr>
        <w:tabs>
          <w:tab w:val="left" w:pos="284"/>
        </w:tabs>
        <w:spacing w:line="360" w:lineRule="auto"/>
        <w:jc w:val="center"/>
        <w:rPr>
          <w:rFonts w:ascii="Times New Roman" w:hAnsi="Times New Roman"/>
          <w:b/>
          <w:sz w:val="24"/>
          <w:szCs w:val="24"/>
        </w:rPr>
      </w:pPr>
    </w:p>
    <w:p w:rsidR="00462022" w:rsidRDefault="00462022" w:rsidP="00462022">
      <w:pPr>
        <w:pStyle w:val="PlainText"/>
        <w:pBdr>
          <w:top w:val="thinThickSmallGap" w:sz="24" w:space="1" w:color="auto"/>
          <w:left w:val="thinThickSmallGap" w:sz="24" w:space="4" w:color="auto"/>
          <w:bottom w:val="thickThinSmallGap" w:sz="24" w:space="1" w:color="auto"/>
          <w:right w:val="thickThinSmallGap" w:sz="24" w:space="4" w:color="auto"/>
        </w:pBdr>
        <w:tabs>
          <w:tab w:val="left" w:pos="284"/>
        </w:tabs>
        <w:spacing w:line="360" w:lineRule="auto"/>
        <w:jc w:val="center"/>
        <w:rPr>
          <w:rFonts w:ascii="Times New Roman" w:hAnsi="Times New Roman"/>
          <w:b/>
          <w:sz w:val="28"/>
          <w:szCs w:val="28"/>
        </w:rPr>
      </w:pPr>
      <w:r>
        <w:rPr>
          <w:rFonts w:ascii="Times New Roman" w:hAnsi="Times New Roman"/>
          <w:b/>
          <w:sz w:val="28"/>
          <w:szCs w:val="28"/>
        </w:rPr>
        <w:t>Spatial Price Differences and Inequality in China:</w:t>
      </w:r>
    </w:p>
    <w:p w:rsidR="00462022" w:rsidRDefault="00462022" w:rsidP="00462022">
      <w:pPr>
        <w:pStyle w:val="PlainText"/>
        <w:pBdr>
          <w:top w:val="thinThickSmallGap" w:sz="24" w:space="1" w:color="auto"/>
          <w:left w:val="thinThickSmallGap" w:sz="24" w:space="4" w:color="auto"/>
          <w:bottom w:val="thickThinSmallGap" w:sz="24" w:space="1" w:color="auto"/>
          <w:right w:val="thickThinSmallGap" w:sz="24" w:space="4" w:color="auto"/>
        </w:pBdr>
        <w:tabs>
          <w:tab w:val="left" w:pos="284"/>
        </w:tabs>
        <w:spacing w:line="360" w:lineRule="auto"/>
        <w:jc w:val="center"/>
        <w:rPr>
          <w:rFonts w:ascii="Times New Roman" w:hAnsi="Times New Roman"/>
          <w:b/>
          <w:sz w:val="28"/>
          <w:szCs w:val="28"/>
        </w:rPr>
      </w:pPr>
      <w:r>
        <w:rPr>
          <w:rFonts w:ascii="Times New Roman" w:hAnsi="Times New Roman"/>
          <w:b/>
          <w:sz w:val="28"/>
          <w:szCs w:val="28"/>
        </w:rPr>
        <w:t>Housing Market Evidence</w:t>
      </w:r>
    </w:p>
    <w:p w:rsidR="00462022" w:rsidRPr="00CD7DEF" w:rsidRDefault="00462022" w:rsidP="00462022">
      <w:pPr>
        <w:pStyle w:val="PlainText"/>
        <w:pBdr>
          <w:top w:val="thinThickSmallGap" w:sz="24" w:space="1" w:color="auto"/>
          <w:left w:val="thinThickSmallGap" w:sz="24" w:space="4" w:color="auto"/>
          <w:bottom w:val="thickThinSmallGap" w:sz="24" w:space="1" w:color="auto"/>
          <w:right w:val="thickThinSmallGap" w:sz="24" w:space="4" w:color="auto"/>
        </w:pBdr>
        <w:tabs>
          <w:tab w:val="left" w:pos="284"/>
        </w:tabs>
        <w:spacing w:line="360" w:lineRule="auto"/>
        <w:jc w:val="center"/>
        <w:rPr>
          <w:rFonts w:ascii="Times New Roman" w:hAnsi="Times New Roman"/>
          <w:b/>
          <w:sz w:val="14"/>
          <w:szCs w:val="14"/>
        </w:rPr>
      </w:pPr>
      <w:r>
        <w:rPr>
          <w:rFonts w:ascii="Times New Roman" w:hAnsi="Times New Roman"/>
          <w:b/>
          <w:sz w:val="28"/>
          <w:szCs w:val="28"/>
        </w:rPr>
        <w:t xml:space="preserve"> </w:t>
      </w:r>
    </w:p>
    <w:p w:rsidR="00462022" w:rsidRDefault="00462022" w:rsidP="00462022">
      <w:pPr>
        <w:pStyle w:val="PlainText"/>
        <w:pBdr>
          <w:top w:val="thinThickSmallGap" w:sz="24" w:space="1" w:color="auto"/>
          <w:left w:val="thinThickSmallGap" w:sz="24" w:space="4" w:color="auto"/>
          <w:bottom w:val="thickThinSmallGap" w:sz="24" w:space="1" w:color="auto"/>
          <w:right w:val="thickThinSmallGap" w:sz="24" w:space="4" w:color="auto"/>
        </w:pBdr>
        <w:tabs>
          <w:tab w:val="left" w:pos="284"/>
        </w:tabs>
        <w:spacing w:line="360" w:lineRule="auto"/>
        <w:jc w:val="center"/>
        <w:rPr>
          <w:rFonts w:ascii="Times New Roman" w:hAnsi="Times New Roman"/>
          <w:sz w:val="28"/>
        </w:rPr>
      </w:pPr>
      <w:r>
        <w:rPr>
          <w:rFonts w:ascii="Times New Roman" w:hAnsi="Times New Roman"/>
          <w:sz w:val="28"/>
        </w:rPr>
        <w:t xml:space="preserve">Chao Li and John Gibson </w:t>
      </w:r>
    </w:p>
    <w:p w:rsidR="00462022" w:rsidRDefault="00462022" w:rsidP="00462022">
      <w:pPr>
        <w:pStyle w:val="PlainText"/>
        <w:pBdr>
          <w:top w:val="thinThickSmallGap" w:sz="24" w:space="1" w:color="auto"/>
          <w:left w:val="thinThickSmallGap" w:sz="24" w:space="4" w:color="auto"/>
          <w:bottom w:val="thickThinSmallGap" w:sz="24" w:space="1" w:color="auto"/>
          <w:right w:val="thickThinSmallGap" w:sz="24" w:space="4" w:color="auto"/>
        </w:pBdr>
        <w:tabs>
          <w:tab w:val="left" w:pos="284"/>
        </w:tabs>
        <w:spacing w:line="360" w:lineRule="auto"/>
        <w:jc w:val="center"/>
        <w:rPr>
          <w:rFonts w:ascii="Times New Roman" w:hAnsi="Times New Roman"/>
          <w:b/>
          <w:sz w:val="8"/>
        </w:rPr>
      </w:pPr>
    </w:p>
    <w:p w:rsidR="00462022" w:rsidRDefault="00462022" w:rsidP="00462022">
      <w:pPr>
        <w:pStyle w:val="PlainText"/>
        <w:tabs>
          <w:tab w:val="left" w:pos="284"/>
        </w:tabs>
        <w:jc w:val="both"/>
        <w:rPr>
          <w:rFonts w:ascii="Times New Roman" w:hAnsi="Times New Roman"/>
          <w:b/>
          <w:sz w:val="28"/>
        </w:rPr>
      </w:pPr>
    </w:p>
    <w:p w:rsidR="00462022" w:rsidRDefault="00462022" w:rsidP="00462022">
      <w:pPr>
        <w:pStyle w:val="PlainText"/>
        <w:tabs>
          <w:tab w:val="left" w:pos="284"/>
        </w:tabs>
        <w:jc w:val="both"/>
        <w:rPr>
          <w:rFonts w:ascii="Times New Roman" w:hAnsi="Times New Roman"/>
          <w:b/>
          <w:sz w:val="28"/>
        </w:rPr>
      </w:pPr>
    </w:p>
    <w:p w:rsidR="00462022" w:rsidRDefault="00462022" w:rsidP="00462022">
      <w:pPr>
        <w:pStyle w:val="PlainText"/>
        <w:tabs>
          <w:tab w:val="left" w:pos="284"/>
        </w:tabs>
        <w:spacing w:before="100" w:line="360" w:lineRule="auto"/>
        <w:jc w:val="center"/>
        <w:rPr>
          <w:rFonts w:ascii="Times New Roman" w:hAnsi="Times New Roman"/>
          <w:b/>
          <w:bCs/>
          <w:sz w:val="28"/>
        </w:rPr>
      </w:pPr>
      <w:r>
        <w:rPr>
          <w:rFonts w:ascii="Times New Roman" w:hAnsi="Times New Roman"/>
          <w:b/>
          <w:bCs/>
          <w:sz w:val="28"/>
        </w:rPr>
        <w:t>Department of Economics</w:t>
      </w:r>
    </w:p>
    <w:p w:rsidR="00462022" w:rsidRDefault="00462022" w:rsidP="00462022">
      <w:pPr>
        <w:pStyle w:val="PlainText"/>
        <w:tabs>
          <w:tab w:val="left" w:pos="284"/>
        </w:tabs>
        <w:spacing w:before="100" w:line="360" w:lineRule="auto"/>
        <w:jc w:val="center"/>
        <w:rPr>
          <w:rFonts w:ascii="Times New Roman" w:hAnsi="Times New Roman"/>
          <w:b/>
          <w:bCs/>
          <w:sz w:val="28"/>
        </w:rPr>
      </w:pPr>
      <w:r>
        <w:rPr>
          <w:rFonts w:ascii="Times New Roman" w:hAnsi="Times New Roman"/>
          <w:b/>
          <w:bCs/>
          <w:sz w:val="28"/>
        </w:rPr>
        <w:t>Working Paper in Economics 06/13</w:t>
      </w:r>
    </w:p>
    <w:p w:rsidR="00462022" w:rsidRDefault="00462022" w:rsidP="00462022">
      <w:pPr>
        <w:pStyle w:val="PlainText"/>
        <w:tabs>
          <w:tab w:val="left" w:pos="284"/>
        </w:tabs>
        <w:spacing w:before="100" w:line="360" w:lineRule="auto"/>
        <w:jc w:val="center"/>
        <w:rPr>
          <w:rFonts w:ascii="Times New Roman" w:hAnsi="Times New Roman"/>
          <w:sz w:val="28"/>
        </w:rPr>
      </w:pPr>
      <w:r>
        <w:rPr>
          <w:rFonts w:ascii="Times New Roman" w:hAnsi="Times New Roman"/>
          <w:sz w:val="28"/>
        </w:rPr>
        <w:t>March 2013</w:t>
      </w:r>
    </w:p>
    <w:p w:rsidR="00462022" w:rsidRDefault="00462022" w:rsidP="00462022">
      <w:pPr>
        <w:pStyle w:val="PlainText"/>
        <w:tabs>
          <w:tab w:val="left" w:pos="284"/>
        </w:tabs>
        <w:spacing w:before="100" w:line="360" w:lineRule="auto"/>
        <w:jc w:val="center"/>
        <w:rPr>
          <w:rFonts w:ascii="Times New Roman" w:hAnsi="Times New Roman"/>
          <w:sz w:val="28"/>
        </w:rPr>
      </w:pPr>
    </w:p>
    <w:tbl>
      <w:tblPr>
        <w:tblW w:w="0" w:type="auto"/>
        <w:tblLook w:val="04A0"/>
      </w:tblPr>
      <w:tblGrid>
        <w:gridCol w:w="4621"/>
        <w:gridCol w:w="4621"/>
      </w:tblGrid>
      <w:tr w:rsidR="00462022" w:rsidRPr="00AF2BCD" w:rsidTr="00462022">
        <w:tc>
          <w:tcPr>
            <w:tcW w:w="4621" w:type="dxa"/>
          </w:tcPr>
          <w:p w:rsidR="00462022" w:rsidRPr="00462022" w:rsidRDefault="00462022" w:rsidP="00462022">
            <w:pPr>
              <w:pStyle w:val="CM4"/>
              <w:spacing w:line="240" w:lineRule="auto"/>
              <w:jc w:val="center"/>
              <w:rPr>
                <w:bCs/>
                <w:i/>
                <w:sz w:val="22"/>
                <w:szCs w:val="22"/>
              </w:rPr>
            </w:pPr>
            <w:r w:rsidRPr="00462022">
              <w:rPr>
                <w:bCs/>
                <w:i/>
                <w:sz w:val="22"/>
                <w:szCs w:val="22"/>
              </w:rPr>
              <w:t>Corresponding Author</w:t>
            </w:r>
          </w:p>
          <w:p w:rsidR="00462022" w:rsidRPr="00F11504" w:rsidRDefault="00462022" w:rsidP="00462022">
            <w:pPr>
              <w:pStyle w:val="CM4"/>
              <w:spacing w:line="240" w:lineRule="auto"/>
              <w:jc w:val="center"/>
              <w:rPr>
                <w:b/>
                <w:bCs/>
                <w:sz w:val="8"/>
                <w:szCs w:val="8"/>
              </w:rPr>
            </w:pPr>
          </w:p>
          <w:p w:rsidR="00462022" w:rsidRPr="00976543" w:rsidRDefault="00462022" w:rsidP="00462022">
            <w:pPr>
              <w:pStyle w:val="CM4"/>
              <w:spacing w:line="240" w:lineRule="auto"/>
              <w:jc w:val="center"/>
            </w:pPr>
            <w:r>
              <w:rPr>
                <w:b/>
                <w:bCs/>
              </w:rPr>
              <w:t>John Gibson</w:t>
            </w:r>
          </w:p>
          <w:p w:rsidR="00462022" w:rsidRPr="00F11504" w:rsidRDefault="00462022" w:rsidP="00462022">
            <w:pPr>
              <w:pStyle w:val="CM23"/>
              <w:spacing w:after="0"/>
              <w:jc w:val="center"/>
              <w:rPr>
                <w:sz w:val="12"/>
                <w:szCs w:val="12"/>
              </w:rPr>
            </w:pPr>
          </w:p>
          <w:p w:rsidR="00462022" w:rsidRPr="00976543" w:rsidRDefault="00462022" w:rsidP="00462022">
            <w:pPr>
              <w:pStyle w:val="CM23"/>
              <w:spacing w:after="0"/>
              <w:jc w:val="center"/>
            </w:pPr>
            <w:r>
              <w:t>Economics Department</w:t>
            </w:r>
          </w:p>
          <w:p w:rsidR="00462022" w:rsidRDefault="00462022" w:rsidP="00462022">
            <w:pPr>
              <w:pStyle w:val="CM23"/>
              <w:spacing w:after="0"/>
              <w:jc w:val="center"/>
            </w:pPr>
            <w:r w:rsidRPr="00976543">
              <w:t>University of Waikato</w:t>
            </w:r>
          </w:p>
          <w:p w:rsidR="00462022" w:rsidRDefault="00462022" w:rsidP="00462022">
            <w:pPr>
              <w:pStyle w:val="CM23"/>
              <w:spacing w:after="0"/>
              <w:jc w:val="center"/>
            </w:pPr>
            <w:r w:rsidRPr="00976543">
              <w:t>Private Bag 3105</w:t>
            </w:r>
          </w:p>
          <w:p w:rsidR="00462022" w:rsidRPr="00976543" w:rsidRDefault="00462022" w:rsidP="00462022">
            <w:pPr>
              <w:pStyle w:val="CM23"/>
              <w:spacing w:after="0"/>
              <w:jc w:val="center"/>
            </w:pPr>
            <w:r w:rsidRPr="00976543">
              <w:t xml:space="preserve">Hamilton, New Zealand </w:t>
            </w:r>
          </w:p>
          <w:p w:rsidR="00462022" w:rsidRPr="00976543" w:rsidRDefault="00462022" w:rsidP="00462022">
            <w:pPr>
              <w:pStyle w:val="Default"/>
            </w:pPr>
          </w:p>
          <w:p w:rsidR="00FB3D1A" w:rsidRPr="00976543" w:rsidRDefault="00FB3D1A" w:rsidP="00FB3D1A">
            <w:pPr>
              <w:pStyle w:val="Default"/>
              <w:jc w:val="center"/>
            </w:pPr>
            <w:r>
              <w:t>Tel: +64 (7) 838 4289</w:t>
            </w:r>
          </w:p>
          <w:p w:rsidR="00462022" w:rsidRPr="00F11504" w:rsidRDefault="00462022" w:rsidP="00462022">
            <w:pPr>
              <w:pStyle w:val="CM3"/>
              <w:jc w:val="center"/>
              <w:rPr>
                <w:bCs/>
                <w:sz w:val="12"/>
                <w:szCs w:val="12"/>
              </w:rPr>
            </w:pPr>
          </w:p>
          <w:p w:rsidR="00462022" w:rsidRPr="00F11504" w:rsidRDefault="00462022" w:rsidP="00462022">
            <w:pPr>
              <w:pStyle w:val="CM3"/>
              <w:jc w:val="center"/>
              <w:rPr>
                <w:bCs/>
              </w:rPr>
            </w:pPr>
            <w:r>
              <w:rPr>
                <w:bCs/>
              </w:rPr>
              <w:t>Email: jkgibson</w:t>
            </w:r>
            <w:r w:rsidRPr="00F11504">
              <w:rPr>
                <w:bCs/>
              </w:rPr>
              <w:t>@waikato.ac.nz</w:t>
            </w:r>
          </w:p>
          <w:p w:rsidR="00462022" w:rsidRDefault="00462022" w:rsidP="00462022">
            <w:pPr>
              <w:pStyle w:val="Default"/>
              <w:jc w:val="center"/>
            </w:pPr>
          </w:p>
        </w:tc>
        <w:tc>
          <w:tcPr>
            <w:tcW w:w="4621" w:type="dxa"/>
          </w:tcPr>
          <w:p w:rsidR="00462022" w:rsidRPr="00F11504" w:rsidRDefault="00462022" w:rsidP="00462022">
            <w:pPr>
              <w:pStyle w:val="Default"/>
              <w:jc w:val="center"/>
              <w:rPr>
                <w:b/>
              </w:rPr>
            </w:pPr>
          </w:p>
          <w:p w:rsidR="00462022" w:rsidRPr="00012426" w:rsidRDefault="00462022" w:rsidP="00462022">
            <w:pPr>
              <w:pStyle w:val="CM23"/>
              <w:spacing w:after="0"/>
              <w:jc w:val="center"/>
              <w:rPr>
                <w:b/>
              </w:rPr>
            </w:pPr>
            <w:r>
              <w:rPr>
                <w:b/>
              </w:rPr>
              <w:t>Chao Li</w:t>
            </w:r>
          </w:p>
          <w:p w:rsidR="00462022" w:rsidRPr="00012426" w:rsidRDefault="00462022" w:rsidP="00462022">
            <w:pPr>
              <w:pStyle w:val="CM23"/>
              <w:spacing w:after="0"/>
              <w:jc w:val="center"/>
              <w:rPr>
                <w:sz w:val="12"/>
                <w:szCs w:val="12"/>
              </w:rPr>
            </w:pPr>
          </w:p>
          <w:p w:rsidR="00462022" w:rsidRPr="00544CAB" w:rsidRDefault="00462022" w:rsidP="00462022">
            <w:pPr>
              <w:pStyle w:val="CM23"/>
              <w:spacing w:after="0"/>
              <w:jc w:val="center"/>
            </w:pPr>
            <w:r w:rsidRPr="00544CAB">
              <w:t>Economics Department</w:t>
            </w:r>
          </w:p>
          <w:p w:rsidR="00462022" w:rsidRDefault="00462022" w:rsidP="00462022">
            <w:pPr>
              <w:pStyle w:val="CM23"/>
              <w:spacing w:after="0"/>
              <w:jc w:val="center"/>
            </w:pPr>
            <w:r w:rsidRPr="00976543">
              <w:t>University of Waikato</w:t>
            </w:r>
          </w:p>
          <w:p w:rsidR="00462022" w:rsidRDefault="00462022" w:rsidP="00462022">
            <w:pPr>
              <w:pStyle w:val="CM23"/>
              <w:spacing w:after="0"/>
              <w:jc w:val="center"/>
            </w:pPr>
            <w:r w:rsidRPr="00976543">
              <w:t>Private Bag 3105</w:t>
            </w:r>
          </w:p>
          <w:p w:rsidR="00462022" w:rsidRPr="00976543" w:rsidRDefault="00462022" w:rsidP="00462022">
            <w:pPr>
              <w:pStyle w:val="CM23"/>
              <w:spacing w:after="0"/>
              <w:jc w:val="center"/>
            </w:pPr>
            <w:r w:rsidRPr="00976543">
              <w:t xml:space="preserve">Hamilton, New Zealand </w:t>
            </w:r>
          </w:p>
          <w:p w:rsidR="00462022" w:rsidRPr="00544CAB" w:rsidRDefault="00462022" w:rsidP="00462022">
            <w:pPr>
              <w:pStyle w:val="CM3"/>
              <w:jc w:val="center"/>
              <w:rPr>
                <w:bCs/>
              </w:rPr>
            </w:pPr>
          </w:p>
          <w:p w:rsidR="00462022" w:rsidRPr="00147850" w:rsidRDefault="00462022" w:rsidP="00462022">
            <w:pPr>
              <w:pStyle w:val="CM3"/>
              <w:jc w:val="center"/>
              <w:rPr>
                <w:bCs/>
                <w:color w:val="000000" w:themeColor="text1"/>
              </w:rPr>
            </w:pPr>
            <w:r>
              <w:rPr>
                <w:bCs/>
              </w:rPr>
              <w:t xml:space="preserve">Email: </w:t>
            </w:r>
            <w:hyperlink r:id="rId8" w:history="1">
              <w:r w:rsidRPr="00147850">
                <w:rPr>
                  <w:rStyle w:val="Hyperlink"/>
                  <w:color w:val="000000" w:themeColor="text1"/>
                  <w:u w:val="none"/>
                </w:rPr>
                <w:t>cl95@waikato.ac.nz</w:t>
              </w:r>
            </w:hyperlink>
          </w:p>
          <w:p w:rsidR="00462022" w:rsidRPr="00F11504" w:rsidRDefault="00462022" w:rsidP="00462022">
            <w:pPr>
              <w:pStyle w:val="CM3"/>
              <w:jc w:val="center"/>
              <w:rPr>
                <w:b/>
              </w:rPr>
            </w:pPr>
          </w:p>
        </w:tc>
      </w:tr>
    </w:tbl>
    <w:p w:rsidR="00462022" w:rsidRDefault="00462022" w:rsidP="00DF0191">
      <w:pPr>
        <w:tabs>
          <w:tab w:val="left" w:pos="426"/>
        </w:tabs>
        <w:spacing w:line="300" w:lineRule="auto"/>
        <w:jc w:val="center"/>
        <w:rPr>
          <w:b/>
          <w:bCs/>
        </w:rPr>
      </w:pPr>
    </w:p>
    <w:p w:rsidR="00462022" w:rsidRDefault="00462022">
      <w:pPr>
        <w:rPr>
          <w:b/>
          <w:bCs/>
        </w:rPr>
      </w:pPr>
      <w:r>
        <w:rPr>
          <w:b/>
          <w:bCs/>
        </w:rPr>
        <w:br w:type="page"/>
      </w:r>
    </w:p>
    <w:p w:rsidR="00BD024F" w:rsidRDefault="00BD024F" w:rsidP="00DF0191">
      <w:pPr>
        <w:tabs>
          <w:tab w:val="left" w:pos="426"/>
        </w:tabs>
        <w:rPr>
          <w:b/>
        </w:rPr>
      </w:pPr>
    </w:p>
    <w:p w:rsidR="00C66BE7" w:rsidRDefault="00C66BE7" w:rsidP="00DF0191">
      <w:pPr>
        <w:tabs>
          <w:tab w:val="left" w:pos="426"/>
        </w:tabs>
        <w:spacing w:line="300" w:lineRule="auto"/>
        <w:jc w:val="center"/>
        <w:rPr>
          <w:b/>
        </w:rPr>
      </w:pPr>
    </w:p>
    <w:p w:rsidR="00B43470" w:rsidRPr="00370890" w:rsidRDefault="00B43470" w:rsidP="00DF0191">
      <w:pPr>
        <w:tabs>
          <w:tab w:val="left" w:pos="426"/>
        </w:tabs>
        <w:spacing w:line="300" w:lineRule="auto"/>
        <w:jc w:val="center"/>
        <w:rPr>
          <w:b/>
        </w:rPr>
      </w:pPr>
      <w:r w:rsidRPr="00370890">
        <w:rPr>
          <w:b/>
        </w:rPr>
        <w:t>Abstract</w:t>
      </w:r>
    </w:p>
    <w:p w:rsidR="00C92CD7" w:rsidRPr="00C66BE7" w:rsidRDefault="00C92CD7" w:rsidP="00DF0191">
      <w:pPr>
        <w:tabs>
          <w:tab w:val="left" w:pos="426"/>
        </w:tabs>
        <w:spacing w:line="300" w:lineRule="auto"/>
        <w:jc w:val="both"/>
        <w:rPr>
          <w:sz w:val="12"/>
          <w:szCs w:val="12"/>
        </w:rPr>
      </w:pPr>
    </w:p>
    <w:p w:rsidR="002B4D53" w:rsidRPr="00370890" w:rsidRDefault="00996CE2" w:rsidP="004219C6">
      <w:pPr>
        <w:tabs>
          <w:tab w:val="left" w:pos="426"/>
        </w:tabs>
        <w:spacing w:line="360" w:lineRule="auto"/>
        <w:jc w:val="both"/>
      </w:pPr>
      <w:r w:rsidRPr="00370890">
        <w:t xml:space="preserve">The large literature on regional inequality in </w:t>
      </w:r>
      <w:r w:rsidR="00792C47" w:rsidRPr="00370890">
        <w:t>China</w:t>
      </w:r>
      <w:r w:rsidRPr="00370890">
        <w:t xml:space="preserve"> is hampered by incomplete evidence on price dispersion across space</w:t>
      </w:r>
      <w:r w:rsidR="00C152E7">
        <w:t xml:space="preserve">, making it </w:t>
      </w:r>
      <w:r w:rsidR="00E43DAE" w:rsidRPr="00370890">
        <w:t>hard</w:t>
      </w:r>
      <w:r w:rsidRPr="00370890">
        <w:t xml:space="preserve"> to </w:t>
      </w:r>
      <w:r w:rsidR="00E43DAE" w:rsidRPr="00370890">
        <w:t>distinguish real and</w:t>
      </w:r>
      <w:r w:rsidRPr="00370890">
        <w:t xml:space="preserve"> nominal inequality. The two main </w:t>
      </w:r>
      <w:r w:rsidR="00AF1BC0" w:rsidRPr="00370890">
        <w:t xml:space="preserve">methods </w:t>
      </w:r>
      <w:r w:rsidRPr="00370890">
        <w:t xml:space="preserve">used </w:t>
      </w:r>
      <w:r w:rsidR="00AF1BC0" w:rsidRPr="00370890">
        <w:t>to calculate</w:t>
      </w:r>
      <w:r w:rsidRPr="00370890">
        <w:t xml:space="preserve"> spatial deflators have been to price a national basket of goods and services across China’s different regions or </w:t>
      </w:r>
      <w:r w:rsidR="0030010E" w:rsidRPr="00370890">
        <w:t xml:space="preserve">else </w:t>
      </w:r>
      <w:r w:rsidRPr="00370890">
        <w:t xml:space="preserve">to estimate a food Engel curve and define the deflator as that </w:t>
      </w:r>
      <w:r w:rsidR="0030010E" w:rsidRPr="00370890">
        <w:t>needed for</w:t>
      </w:r>
      <w:r w:rsidRPr="00370890">
        <w:t xml:space="preserve"> nominally similar households </w:t>
      </w:r>
      <w:r w:rsidR="0030010E" w:rsidRPr="00370890">
        <w:t xml:space="preserve">to </w:t>
      </w:r>
      <w:r w:rsidRPr="00370890">
        <w:t>have the same food budget shares in all regions.</w:t>
      </w:r>
      <w:r w:rsidR="0030010E" w:rsidRPr="00370890">
        <w:t xml:space="preserve"> Neither approach is convincing with the data available in China. Moreover, a focus on tradable goods</w:t>
      </w:r>
      <w:r w:rsidR="00AF1BC0" w:rsidRPr="00370890">
        <w:t xml:space="preserve"> like food</w:t>
      </w:r>
      <w:r w:rsidR="0030010E" w:rsidRPr="00370890">
        <w:t xml:space="preserve"> may be misplaced because of the emerging literature on the rapid convergence of traded goods prices within China </w:t>
      </w:r>
      <w:r w:rsidR="00AF1BC0" w:rsidRPr="00370890">
        <w:t xml:space="preserve">that </w:t>
      </w:r>
      <w:r w:rsidR="0030010E" w:rsidRPr="00370890">
        <w:t>contrasts with earlier claims of fragmented internal markets.</w:t>
      </w:r>
      <w:r w:rsidR="00AF1BC0" w:rsidRPr="00370890">
        <w:t xml:space="preserve"> In a setting</w:t>
      </w:r>
      <w:r w:rsidR="0030010E" w:rsidRPr="00370890">
        <w:t xml:space="preserve"> where traded goods prices converge rapidly, the main source of price dispersion across space should come from non-traded</w:t>
      </w:r>
      <w:r w:rsidR="00242765">
        <w:t xml:space="preserve"> items</w:t>
      </w:r>
      <w:r w:rsidR="0030010E" w:rsidRPr="00370890">
        <w:t>, and especially from housing given the fixity of land.</w:t>
      </w:r>
      <w:r w:rsidR="00B534E4" w:rsidRPr="00370890">
        <w:t xml:space="preserve"> </w:t>
      </w:r>
      <w:r w:rsidR="00BD78D4" w:rsidRPr="00370890">
        <w:t>In t</w:t>
      </w:r>
      <w:r w:rsidR="008909EA" w:rsidRPr="00370890">
        <w:t>his</w:t>
      </w:r>
      <w:r w:rsidR="002B4D53" w:rsidRPr="00370890">
        <w:t xml:space="preserve"> paper </w:t>
      </w:r>
      <w:r w:rsidR="00BD78D4" w:rsidRPr="00370890">
        <w:t xml:space="preserve">we use newly available </w:t>
      </w:r>
      <w:r w:rsidR="00242765">
        <w:t xml:space="preserve">data </w:t>
      </w:r>
      <w:r w:rsidR="00BD78D4" w:rsidRPr="00370890">
        <w:t xml:space="preserve">on dwelling sales </w:t>
      </w:r>
      <w:r w:rsidR="00B534E4" w:rsidRPr="00370890">
        <w:t xml:space="preserve">in </w:t>
      </w:r>
      <w:r w:rsidR="00BD78D4" w:rsidRPr="00370890">
        <w:t xml:space="preserve">urban China to </w:t>
      </w:r>
      <w:r w:rsidR="00B534E4" w:rsidRPr="00370890">
        <w:t>develop spatially-disaggregated indices of house prices</w:t>
      </w:r>
      <w:r w:rsidR="00AF1BC0" w:rsidRPr="00370890">
        <w:t>,</w:t>
      </w:r>
      <w:r w:rsidR="00B534E4" w:rsidRPr="00370890">
        <w:t xml:space="preserve"> which are then used as spatial deflators for both provinces and </w:t>
      </w:r>
      <w:r w:rsidR="004A10F8">
        <w:t xml:space="preserve">core </w:t>
      </w:r>
      <w:r w:rsidR="00B534E4" w:rsidRPr="00370890">
        <w:t xml:space="preserve">urban districts. </w:t>
      </w:r>
      <w:r w:rsidR="00AF1BC0" w:rsidRPr="00370890">
        <w:t>T</w:t>
      </w:r>
      <w:r w:rsidR="00B534E4" w:rsidRPr="00370890">
        <w:t>hese new deflators complement existing approaches t</w:t>
      </w:r>
      <w:r w:rsidR="00C152E7">
        <w:t>hat have relied more on traded</w:t>
      </w:r>
      <w:r w:rsidR="00B534E4" w:rsidRPr="00370890">
        <w:t xml:space="preserve"> goods prices, </w:t>
      </w:r>
      <w:r w:rsidR="00AF1BC0" w:rsidRPr="00370890">
        <w:t xml:space="preserve">and are used to </w:t>
      </w:r>
      <w:r w:rsidR="00B534E4" w:rsidRPr="00370890">
        <w:t>re</w:t>
      </w:r>
      <w:r w:rsidR="00AF1BC0" w:rsidRPr="00370890">
        <w:t>-</w:t>
      </w:r>
      <w:r w:rsidR="00B534E4" w:rsidRPr="00370890">
        <w:t xml:space="preserve">examine the evidence on the level </w:t>
      </w:r>
      <w:r w:rsidR="00037C0C">
        <w:t xml:space="preserve">of regional </w:t>
      </w:r>
      <w:r w:rsidR="00B534E4" w:rsidRPr="00370890">
        <w:t xml:space="preserve">inequality. </w:t>
      </w:r>
      <w:r w:rsidR="00A006C5">
        <w:t>Around</w:t>
      </w:r>
      <w:r w:rsidR="00470041">
        <w:t xml:space="preserve"> one-quarter of the </w:t>
      </w:r>
      <w:r w:rsidR="009D6208" w:rsidRPr="00370890">
        <w:t xml:space="preserve">apparent </w:t>
      </w:r>
      <w:r w:rsidR="00A006C5">
        <w:t xml:space="preserve">spatial </w:t>
      </w:r>
      <w:r w:rsidR="009D6208" w:rsidRPr="00370890">
        <w:t xml:space="preserve">inequality disappears once </w:t>
      </w:r>
      <w:r w:rsidR="00953690" w:rsidRPr="00370890">
        <w:t>a</w:t>
      </w:r>
      <w:r w:rsidR="00B534E4" w:rsidRPr="00370890">
        <w:t xml:space="preserve">ccount is taken of </w:t>
      </w:r>
      <w:r w:rsidR="00A006C5">
        <w:t xml:space="preserve">cost-of-living </w:t>
      </w:r>
      <w:r w:rsidR="00B534E4" w:rsidRPr="00370890">
        <w:t xml:space="preserve">differences. </w:t>
      </w:r>
    </w:p>
    <w:p w:rsidR="002B4D53" w:rsidRPr="00370890" w:rsidRDefault="002B4D53" w:rsidP="00DF0191">
      <w:pPr>
        <w:tabs>
          <w:tab w:val="left" w:pos="426"/>
        </w:tabs>
        <w:spacing w:line="300" w:lineRule="auto"/>
        <w:jc w:val="both"/>
      </w:pPr>
    </w:p>
    <w:p w:rsidR="00BD024F" w:rsidRPr="00BD024F" w:rsidRDefault="00952D7B" w:rsidP="00DF0191">
      <w:pPr>
        <w:tabs>
          <w:tab w:val="left" w:pos="426"/>
        </w:tabs>
        <w:spacing w:line="300" w:lineRule="auto"/>
        <w:jc w:val="center"/>
        <w:rPr>
          <w:b/>
          <w:bCs/>
        </w:rPr>
      </w:pPr>
      <w:r w:rsidRPr="00BD024F">
        <w:rPr>
          <w:b/>
          <w:bCs/>
        </w:rPr>
        <w:t>Keywords</w:t>
      </w:r>
    </w:p>
    <w:p w:rsidR="00BD024F" w:rsidRDefault="00600821" w:rsidP="004219C6">
      <w:pPr>
        <w:tabs>
          <w:tab w:val="left" w:pos="426"/>
        </w:tabs>
        <w:jc w:val="center"/>
        <w:rPr>
          <w:bCs/>
        </w:rPr>
      </w:pPr>
      <w:r>
        <w:rPr>
          <w:bCs/>
        </w:rPr>
        <w:t>h</w:t>
      </w:r>
      <w:r w:rsidR="00BD024F">
        <w:rPr>
          <w:bCs/>
        </w:rPr>
        <w:t>ousing</w:t>
      </w:r>
    </w:p>
    <w:p w:rsidR="00BD024F" w:rsidRDefault="00600821" w:rsidP="004219C6">
      <w:pPr>
        <w:tabs>
          <w:tab w:val="left" w:pos="426"/>
        </w:tabs>
        <w:jc w:val="center"/>
        <w:rPr>
          <w:bCs/>
        </w:rPr>
      </w:pPr>
      <w:r>
        <w:rPr>
          <w:bCs/>
        </w:rPr>
        <w:t>i</w:t>
      </w:r>
      <w:r w:rsidR="00BD024F">
        <w:rPr>
          <w:bCs/>
        </w:rPr>
        <w:t>nequality</w:t>
      </w:r>
    </w:p>
    <w:p w:rsidR="00BD024F" w:rsidRDefault="00600821" w:rsidP="004219C6">
      <w:pPr>
        <w:tabs>
          <w:tab w:val="left" w:pos="426"/>
        </w:tabs>
        <w:jc w:val="center"/>
        <w:rPr>
          <w:bCs/>
        </w:rPr>
      </w:pPr>
      <w:r>
        <w:rPr>
          <w:bCs/>
        </w:rPr>
        <w:t>p</w:t>
      </w:r>
      <w:r w:rsidR="00BD024F">
        <w:rPr>
          <w:bCs/>
        </w:rPr>
        <w:t>rices</w:t>
      </w:r>
    </w:p>
    <w:p w:rsidR="00BD024F" w:rsidRDefault="00600821" w:rsidP="004219C6">
      <w:pPr>
        <w:tabs>
          <w:tab w:val="left" w:pos="426"/>
        </w:tabs>
        <w:jc w:val="center"/>
        <w:rPr>
          <w:bCs/>
        </w:rPr>
      </w:pPr>
      <w:r>
        <w:rPr>
          <w:bCs/>
        </w:rPr>
        <w:t>s</w:t>
      </w:r>
      <w:r w:rsidR="00BD024F">
        <w:rPr>
          <w:bCs/>
        </w:rPr>
        <w:t>patial</w:t>
      </w:r>
    </w:p>
    <w:p w:rsidR="00952D7B" w:rsidRPr="00370890" w:rsidRDefault="00DF32E0" w:rsidP="004219C6">
      <w:pPr>
        <w:tabs>
          <w:tab w:val="left" w:pos="426"/>
        </w:tabs>
        <w:jc w:val="center"/>
        <w:rPr>
          <w:bCs/>
        </w:rPr>
      </w:pPr>
      <w:r w:rsidRPr="00370890">
        <w:rPr>
          <w:bCs/>
        </w:rPr>
        <w:t>China</w:t>
      </w:r>
    </w:p>
    <w:p w:rsidR="00952D7B" w:rsidRDefault="00952D7B" w:rsidP="00DF0191">
      <w:pPr>
        <w:tabs>
          <w:tab w:val="left" w:pos="426"/>
        </w:tabs>
        <w:spacing w:line="300" w:lineRule="auto"/>
        <w:jc w:val="center"/>
        <w:rPr>
          <w:bCs/>
        </w:rPr>
      </w:pPr>
    </w:p>
    <w:p w:rsidR="004219C6" w:rsidRPr="00370890" w:rsidRDefault="004219C6" w:rsidP="00DF0191">
      <w:pPr>
        <w:tabs>
          <w:tab w:val="left" w:pos="426"/>
        </w:tabs>
        <w:spacing w:line="300" w:lineRule="auto"/>
        <w:jc w:val="center"/>
        <w:rPr>
          <w:bCs/>
        </w:rPr>
      </w:pPr>
    </w:p>
    <w:p w:rsidR="00BD024F" w:rsidRPr="00BD024F" w:rsidRDefault="00BD024F" w:rsidP="00DF0191">
      <w:pPr>
        <w:tabs>
          <w:tab w:val="left" w:pos="426"/>
        </w:tabs>
        <w:spacing w:line="300" w:lineRule="auto"/>
        <w:jc w:val="center"/>
        <w:rPr>
          <w:b/>
          <w:bCs/>
          <w:lang w:val="fr-FR"/>
        </w:rPr>
      </w:pPr>
      <w:r>
        <w:rPr>
          <w:b/>
          <w:bCs/>
          <w:lang w:val="fr-FR"/>
        </w:rPr>
        <w:t>JEL C</w:t>
      </w:r>
      <w:r w:rsidR="00952D7B" w:rsidRPr="00BD024F">
        <w:rPr>
          <w:b/>
          <w:bCs/>
          <w:lang w:val="fr-FR"/>
        </w:rPr>
        <w:t>odes</w:t>
      </w:r>
    </w:p>
    <w:p w:rsidR="00952D7B" w:rsidRDefault="001E19A7" w:rsidP="00DF0191">
      <w:pPr>
        <w:tabs>
          <w:tab w:val="left" w:pos="426"/>
        </w:tabs>
        <w:spacing w:line="300" w:lineRule="auto"/>
        <w:jc w:val="center"/>
        <w:rPr>
          <w:bCs/>
          <w:lang w:val="fr-FR"/>
        </w:rPr>
      </w:pPr>
      <w:r>
        <w:rPr>
          <w:bCs/>
          <w:lang w:val="fr-FR"/>
        </w:rPr>
        <w:t xml:space="preserve">E31, </w:t>
      </w:r>
      <w:r w:rsidR="00DF32E0" w:rsidRPr="00370890">
        <w:rPr>
          <w:bCs/>
          <w:lang w:val="fr-FR"/>
        </w:rPr>
        <w:t>O15</w:t>
      </w:r>
      <w:r>
        <w:rPr>
          <w:bCs/>
          <w:lang w:val="fr-FR"/>
        </w:rPr>
        <w:t>, R31</w:t>
      </w:r>
    </w:p>
    <w:p w:rsidR="00F86DD5" w:rsidRDefault="00F86DD5" w:rsidP="00DF0191">
      <w:pPr>
        <w:tabs>
          <w:tab w:val="left" w:pos="426"/>
        </w:tabs>
        <w:spacing w:line="300" w:lineRule="auto"/>
        <w:rPr>
          <w:bCs/>
          <w:lang w:val="fr-FR"/>
        </w:rPr>
      </w:pPr>
    </w:p>
    <w:p w:rsidR="00F86DD5" w:rsidRDefault="00F86DD5" w:rsidP="00DF0191">
      <w:pPr>
        <w:tabs>
          <w:tab w:val="left" w:pos="426"/>
        </w:tabs>
        <w:spacing w:line="300" w:lineRule="auto"/>
        <w:rPr>
          <w:bCs/>
          <w:lang w:val="fr-FR"/>
        </w:rPr>
      </w:pPr>
    </w:p>
    <w:p w:rsidR="00A006C5" w:rsidRDefault="00BD024F" w:rsidP="00DF0191">
      <w:pPr>
        <w:tabs>
          <w:tab w:val="left" w:pos="426"/>
        </w:tabs>
        <w:spacing w:line="300" w:lineRule="auto"/>
        <w:jc w:val="center"/>
        <w:rPr>
          <w:b/>
          <w:bCs/>
          <w:lang w:val="fr-FR"/>
        </w:rPr>
      </w:pPr>
      <w:proofErr w:type="spellStart"/>
      <w:r>
        <w:rPr>
          <w:b/>
          <w:bCs/>
          <w:lang w:val="fr-FR"/>
        </w:rPr>
        <w:t>Acknowledgements</w:t>
      </w:r>
      <w:proofErr w:type="spellEnd"/>
    </w:p>
    <w:p w:rsidR="00462022" w:rsidRPr="00462022" w:rsidRDefault="00462022" w:rsidP="00DF0191">
      <w:pPr>
        <w:tabs>
          <w:tab w:val="left" w:pos="426"/>
        </w:tabs>
        <w:spacing w:line="300" w:lineRule="auto"/>
        <w:jc w:val="center"/>
        <w:rPr>
          <w:b/>
          <w:bCs/>
          <w:sz w:val="8"/>
          <w:szCs w:val="8"/>
          <w:lang w:val="fr-FR"/>
        </w:rPr>
      </w:pPr>
    </w:p>
    <w:p w:rsidR="00BD024F" w:rsidRPr="00BD024F" w:rsidRDefault="00F86DD5" w:rsidP="00DF0191">
      <w:pPr>
        <w:tabs>
          <w:tab w:val="left" w:pos="426"/>
        </w:tabs>
        <w:spacing w:line="300" w:lineRule="auto"/>
        <w:jc w:val="center"/>
        <w:rPr>
          <w:bCs/>
          <w:sz w:val="22"/>
          <w:szCs w:val="22"/>
          <w:lang w:val="fr-FR"/>
        </w:rPr>
      </w:pPr>
      <w:proofErr w:type="spellStart"/>
      <w:r w:rsidRPr="00BD024F">
        <w:rPr>
          <w:bCs/>
          <w:sz w:val="22"/>
          <w:szCs w:val="22"/>
          <w:lang w:val="fr-FR"/>
        </w:rPr>
        <w:t>We</w:t>
      </w:r>
      <w:proofErr w:type="spellEnd"/>
      <w:r w:rsidRPr="00BD024F">
        <w:rPr>
          <w:bCs/>
          <w:sz w:val="22"/>
          <w:szCs w:val="22"/>
          <w:lang w:val="fr-FR"/>
        </w:rPr>
        <w:t xml:space="preserve"> are </w:t>
      </w:r>
      <w:proofErr w:type="spellStart"/>
      <w:r w:rsidRPr="00BD024F">
        <w:rPr>
          <w:bCs/>
          <w:sz w:val="22"/>
          <w:szCs w:val="22"/>
          <w:lang w:val="fr-FR"/>
        </w:rPr>
        <w:t>grateful</w:t>
      </w:r>
      <w:proofErr w:type="spellEnd"/>
      <w:r w:rsidRPr="00BD024F">
        <w:rPr>
          <w:bCs/>
          <w:sz w:val="22"/>
          <w:szCs w:val="22"/>
          <w:lang w:val="fr-FR"/>
        </w:rPr>
        <w:t xml:space="preserve"> to </w:t>
      </w:r>
      <w:proofErr w:type="spellStart"/>
      <w:r w:rsidRPr="00BD024F">
        <w:rPr>
          <w:bCs/>
          <w:sz w:val="22"/>
          <w:szCs w:val="22"/>
          <w:lang w:val="fr-FR"/>
        </w:rPr>
        <w:t>Geua</w:t>
      </w:r>
      <w:proofErr w:type="spellEnd"/>
      <w:r w:rsidRPr="00BD024F">
        <w:rPr>
          <w:bCs/>
          <w:sz w:val="22"/>
          <w:szCs w:val="22"/>
          <w:lang w:val="fr-FR"/>
        </w:rPr>
        <w:t xml:space="preserve"> </w:t>
      </w:r>
      <w:proofErr w:type="spellStart"/>
      <w:r w:rsidRPr="00BD024F">
        <w:rPr>
          <w:bCs/>
          <w:sz w:val="22"/>
          <w:szCs w:val="22"/>
          <w:lang w:val="fr-FR"/>
        </w:rPr>
        <w:t>Boe</w:t>
      </w:r>
      <w:proofErr w:type="spellEnd"/>
      <w:r w:rsidRPr="00BD024F">
        <w:rPr>
          <w:bCs/>
          <w:sz w:val="22"/>
          <w:szCs w:val="22"/>
          <w:lang w:val="fr-FR"/>
        </w:rPr>
        <w:t xml:space="preserve">-Gibson, </w:t>
      </w:r>
      <w:r w:rsidR="00A006C5" w:rsidRPr="00BD024F">
        <w:rPr>
          <w:bCs/>
          <w:sz w:val="22"/>
          <w:szCs w:val="22"/>
          <w:lang w:val="fr-FR"/>
        </w:rPr>
        <w:t xml:space="preserve">Yun </w:t>
      </w:r>
      <w:proofErr w:type="spellStart"/>
      <w:r w:rsidR="00A006C5" w:rsidRPr="00BD024F">
        <w:rPr>
          <w:bCs/>
          <w:sz w:val="22"/>
          <w:szCs w:val="22"/>
          <w:lang w:val="fr-FR"/>
        </w:rPr>
        <w:t>Liang</w:t>
      </w:r>
      <w:proofErr w:type="spellEnd"/>
      <w:r w:rsidR="00A006C5" w:rsidRPr="00BD024F">
        <w:rPr>
          <w:bCs/>
          <w:sz w:val="22"/>
          <w:szCs w:val="22"/>
          <w:lang w:val="fr-FR"/>
        </w:rPr>
        <w:t xml:space="preserve"> and Scott </w:t>
      </w:r>
      <w:proofErr w:type="spellStart"/>
      <w:r w:rsidR="00A006C5" w:rsidRPr="00BD024F">
        <w:rPr>
          <w:bCs/>
          <w:sz w:val="22"/>
          <w:szCs w:val="22"/>
          <w:lang w:val="fr-FR"/>
        </w:rPr>
        <w:t>Rozelle</w:t>
      </w:r>
      <w:proofErr w:type="spellEnd"/>
      <w:r w:rsidR="00A006C5" w:rsidRPr="00BD024F">
        <w:rPr>
          <w:bCs/>
          <w:sz w:val="22"/>
          <w:szCs w:val="22"/>
          <w:lang w:val="fr-FR"/>
        </w:rPr>
        <w:t xml:space="preserve"> for </w:t>
      </w:r>
      <w:r w:rsidRPr="00BD024F">
        <w:rPr>
          <w:bCs/>
          <w:sz w:val="22"/>
          <w:szCs w:val="22"/>
          <w:lang w:val="fr-FR"/>
        </w:rPr>
        <w:t xml:space="preserve">assistance and </w:t>
      </w:r>
      <w:proofErr w:type="spellStart"/>
      <w:r w:rsidRPr="00BD024F">
        <w:rPr>
          <w:bCs/>
          <w:sz w:val="22"/>
          <w:szCs w:val="22"/>
          <w:lang w:val="fr-FR"/>
        </w:rPr>
        <w:t>helpful</w:t>
      </w:r>
      <w:proofErr w:type="spellEnd"/>
      <w:r w:rsidRPr="00BD024F">
        <w:rPr>
          <w:bCs/>
          <w:sz w:val="22"/>
          <w:szCs w:val="22"/>
          <w:lang w:val="fr-FR"/>
        </w:rPr>
        <w:t xml:space="preserve"> </w:t>
      </w:r>
      <w:proofErr w:type="spellStart"/>
      <w:r w:rsidRPr="00BD024F">
        <w:rPr>
          <w:bCs/>
          <w:sz w:val="22"/>
          <w:szCs w:val="22"/>
          <w:lang w:val="fr-FR"/>
        </w:rPr>
        <w:t>advice</w:t>
      </w:r>
      <w:proofErr w:type="spellEnd"/>
      <w:r w:rsidRPr="00BD024F">
        <w:rPr>
          <w:bCs/>
          <w:sz w:val="22"/>
          <w:szCs w:val="22"/>
          <w:lang w:val="fr-FR"/>
        </w:rPr>
        <w:t>.</w:t>
      </w:r>
    </w:p>
    <w:p w:rsidR="00BD024F" w:rsidRDefault="00BD024F" w:rsidP="00DF0191">
      <w:pPr>
        <w:tabs>
          <w:tab w:val="left" w:pos="426"/>
        </w:tabs>
        <w:spacing w:line="300" w:lineRule="auto"/>
        <w:jc w:val="both"/>
        <w:rPr>
          <w:bCs/>
          <w:lang w:val="fr-FR"/>
        </w:rPr>
      </w:pPr>
    </w:p>
    <w:p w:rsidR="00692577" w:rsidRDefault="00BD024F" w:rsidP="004219C6">
      <w:pPr>
        <w:tabs>
          <w:tab w:val="left" w:pos="426"/>
        </w:tabs>
        <w:rPr>
          <w:b/>
        </w:rPr>
      </w:pPr>
      <w:r>
        <w:rPr>
          <w:b/>
        </w:rPr>
        <w:br w:type="page"/>
      </w:r>
      <w:r>
        <w:rPr>
          <w:b/>
        </w:rPr>
        <w:lastRenderedPageBreak/>
        <w:t xml:space="preserve">1. </w:t>
      </w:r>
      <w:r w:rsidR="00DF0191">
        <w:rPr>
          <w:b/>
        </w:rPr>
        <w:tab/>
      </w:r>
      <w:r w:rsidR="00692577" w:rsidRPr="008D4353">
        <w:rPr>
          <w:b/>
        </w:rPr>
        <w:t>INTRODUCTION</w:t>
      </w:r>
    </w:p>
    <w:p w:rsidR="00DF0191" w:rsidRPr="00DF0191" w:rsidRDefault="00DF0191" w:rsidP="00DF0191">
      <w:pPr>
        <w:tabs>
          <w:tab w:val="left" w:pos="426"/>
        </w:tabs>
        <w:spacing w:line="300" w:lineRule="auto"/>
        <w:jc w:val="both"/>
        <w:rPr>
          <w:b/>
          <w:sz w:val="12"/>
          <w:szCs w:val="12"/>
        </w:rPr>
      </w:pPr>
    </w:p>
    <w:p w:rsidR="007D6FC6" w:rsidRDefault="00692577" w:rsidP="00DF0191">
      <w:pPr>
        <w:tabs>
          <w:tab w:val="left" w:pos="426"/>
        </w:tabs>
        <w:spacing w:line="300" w:lineRule="auto"/>
        <w:jc w:val="both"/>
        <w:rPr>
          <w:lang w:val="en-NZ"/>
        </w:rPr>
      </w:pPr>
      <w:r w:rsidRPr="00370890">
        <w:t xml:space="preserve">The large literature on regional inequality in China is hampered by </w:t>
      </w:r>
      <w:r w:rsidR="001A02BB">
        <w:t xml:space="preserve">the </w:t>
      </w:r>
      <w:r>
        <w:t>limited</w:t>
      </w:r>
      <w:r w:rsidRPr="00370890">
        <w:t xml:space="preserve"> evidence on price dispersion across space, </w:t>
      </w:r>
      <w:r>
        <w:t xml:space="preserve">which makes </w:t>
      </w:r>
      <w:r w:rsidR="001A02BB">
        <w:t>it is difficult</w:t>
      </w:r>
      <w:r w:rsidRPr="00370890">
        <w:t xml:space="preserve"> to distinguish real </w:t>
      </w:r>
      <w:r w:rsidR="001A02BB">
        <w:t xml:space="preserve">inequality from </w:t>
      </w:r>
      <w:r w:rsidRPr="00370890">
        <w:t>nominal inequality.</w:t>
      </w:r>
      <w:r>
        <w:rPr>
          <w:bCs/>
        </w:rPr>
        <w:t xml:space="preserve"> </w:t>
      </w:r>
      <w:r w:rsidR="007D6FC6" w:rsidRPr="00370890">
        <w:rPr>
          <w:lang w:val="en-NZ"/>
        </w:rPr>
        <w:t>In common with statistical agencies in most countries, China’s National Bureau of Statistics (NBS) does not publish a spati</w:t>
      </w:r>
      <w:r w:rsidR="00187B28">
        <w:rPr>
          <w:lang w:val="en-NZ"/>
        </w:rPr>
        <w:t>al price index that allows cost-of-</w:t>
      </w:r>
      <w:r w:rsidR="007D6FC6" w:rsidRPr="00370890">
        <w:rPr>
          <w:lang w:val="en-NZ"/>
        </w:rPr>
        <w:t xml:space="preserve">living comparisons over space. Instead, the focus is on the temporal Consumer Price Index (CPI), which is reported at both national and provincial level, and there are also separate CPIs for rural and urban areas at both the national and the provincial level. </w:t>
      </w:r>
      <w:r>
        <w:rPr>
          <w:lang w:val="en-NZ"/>
        </w:rPr>
        <w:t xml:space="preserve">These CPIs allow </w:t>
      </w:r>
      <w:r w:rsidR="007D6FC6" w:rsidRPr="00370890">
        <w:rPr>
          <w:lang w:val="en-NZ"/>
        </w:rPr>
        <w:t xml:space="preserve">rates of change in the </w:t>
      </w:r>
      <w:r w:rsidR="00187B28">
        <w:rPr>
          <w:lang w:val="en-NZ"/>
        </w:rPr>
        <w:t>consumer price level</w:t>
      </w:r>
      <w:r w:rsidR="007D6FC6" w:rsidRPr="00370890">
        <w:rPr>
          <w:lang w:val="en-NZ"/>
        </w:rPr>
        <w:t xml:space="preserve"> to be compared across different locations </w:t>
      </w:r>
      <w:r>
        <w:rPr>
          <w:lang w:val="en-NZ"/>
        </w:rPr>
        <w:t xml:space="preserve">but </w:t>
      </w:r>
      <w:r w:rsidR="005D17DA">
        <w:rPr>
          <w:lang w:val="en-NZ"/>
        </w:rPr>
        <w:t xml:space="preserve">do </w:t>
      </w:r>
      <w:r>
        <w:rPr>
          <w:lang w:val="en-NZ"/>
        </w:rPr>
        <w:t xml:space="preserve">not </w:t>
      </w:r>
      <w:r w:rsidR="005D17DA">
        <w:rPr>
          <w:lang w:val="en-NZ"/>
        </w:rPr>
        <w:t xml:space="preserve">allow </w:t>
      </w:r>
      <w:r w:rsidR="007D6FC6" w:rsidRPr="00370890">
        <w:rPr>
          <w:lang w:val="en-NZ"/>
        </w:rPr>
        <w:t>comparison</w:t>
      </w:r>
      <w:r>
        <w:rPr>
          <w:lang w:val="en-NZ"/>
        </w:rPr>
        <w:t>s</w:t>
      </w:r>
      <w:r w:rsidR="007D6FC6" w:rsidRPr="00370890">
        <w:rPr>
          <w:lang w:val="en-NZ"/>
        </w:rPr>
        <w:t xml:space="preserve"> of absolute price levels </w:t>
      </w:r>
      <w:r w:rsidR="001A02BB">
        <w:rPr>
          <w:lang w:val="en-NZ"/>
        </w:rPr>
        <w:t xml:space="preserve">or </w:t>
      </w:r>
      <w:r w:rsidR="00187B28">
        <w:rPr>
          <w:lang w:val="en-NZ"/>
        </w:rPr>
        <w:t xml:space="preserve">of </w:t>
      </w:r>
      <w:r w:rsidR="001A02BB">
        <w:rPr>
          <w:lang w:val="en-NZ"/>
        </w:rPr>
        <w:t xml:space="preserve">the cost-of-living </w:t>
      </w:r>
      <w:r w:rsidR="007D6FC6" w:rsidRPr="00370890">
        <w:rPr>
          <w:lang w:val="en-NZ"/>
        </w:rPr>
        <w:t>between locations.</w:t>
      </w:r>
    </w:p>
    <w:p w:rsidR="00DF0191" w:rsidRPr="00692577" w:rsidRDefault="00DF0191" w:rsidP="00DF0191">
      <w:pPr>
        <w:tabs>
          <w:tab w:val="left" w:pos="426"/>
        </w:tabs>
        <w:spacing w:line="300" w:lineRule="auto"/>
        <w:jc w:val="both"/>
        <w:rPr>
          <w:bCs/>
        </w:rPr>
      </w:pPr>
    </w:p>
    <w:p w:rsidR="00370890" w:rsidRDefault="001A02BB" w:rsidP="00DF0191">
      <w:pPr>
        <w:tabs>
          <w:tab w:val="left" w:pos="426"/>
        </w:tabs>
        <w:spacing w:line="300" w:lineRule="auto"/>
        <w:jc w:val="both"/>
      </w:pPr>
      <w:r>
        <w:rPr>
          <w:bCs/>
        </w:rPr>
        <w:tab/>
        <w:t xml:space="preserve">Yet there are good reasons </w:t>
      </w:r>
      <w:r w:rsidR="00600907">
        <w:rPr>
          <w:bCs/>
        </w:rPr>
        <w:t>to</w:t>
      </w:r>
      <w:r>
        <w:rPr>
          <w:bCs/>
        </w:rPr>
        <w:t xml:space="preserve"> suspect that price levels and the cost-of-living </w:t>
      </w:r>
      <w:r w:rsidR="00600907">
        <w:rPr>
          <w:bCs/>
        </w:rPr>
        <w:t>vary</w:t>
      </w:r>
      <w:r w:rsidR="005D17DA">
        <w:rPr>
          <w:bCs/>
        </w:rPr>
        <w:t xml:space="preserve"> over space</w:t>
      </w:r>
      <w:r>
        <w:rPr>
          <w:bCs/>
        </w:rPr>
        <w:t>.</w:t>
      </w:r>
      <w:r>
        <w:t xml:space="preserve"> </w:t>
      </w:r>
      <w:r w:rsidR="005D17DA">
        <w:rPr>
          <w:rFonts w:ascii="GaramondThree" w:hAnsi="GaramondThree" w:cs="GaramondThree"/>
          <w:lang w:val="en-NZ"/>
        </w:rPr>
        <w:t>A</w:t>
      </w:r>
      <w:r>
        <w:rPr>
          <w:rFonts w:ascii="GaramondThree" w:hAnsi="GaramondThree" w:cs="GaramondThree"/>
          <w:lang w:val="en-NZ"/>
        </w:rPr>
        <w:t xml:space="preserve"> higher price level </w:t>
      </w:r>
      <w:r w:rsidR="005D17DA">
        <w:rPr>
          <w:rFonts w:ascii="GaramondThree" w:hAnsi="GaramondThree" w:cs="GaramondThree"/>
          <w:lang w:val="en-NZ"/>
        </w:rPr>
        <w:t xml:space="preserve">is expected </w:t>
      </w:r>
      <w:r>
        <w:t>in more producti</w:t>
      </w:r>
      <w:r w:rsidR="006E2415">
        <w:t>ve, richer, economies (</w:t>
      </w:r>
      <w:proofErr w:type="spellStart"/>
      <w:r w:rsidR="006E2415">
        <w:t>Balassa</w:t>
      </w:r>
      <w:proofErr w:type="spellEnd"/>
      <w:r w:rsidR="006E2415">
        <w:t xml:space="preserve"> 1964; Samuelson </w:t>
      </w:r>
      <w:r>
        <w:t>1964)</w:t>
      </w:r>
      <w:r w:rsidR="0047794B">
        <w:t>.</w:t>
      </w:r>
      <w:r>
        <w:t xml:space="preserve"> </w:t>
      </w:r>
      <w:r w:rsidR="0047794B">
        <w:t>T</w:t>
      </w:r>
      <w:r>
        <w:t>he same pattern likely hold</w:t>
      </w:r>
      <w:r w:rsidR="005D17DA">
        <w:t>s</w:t>
      </w:r>
      <w:r>
        <w:t xml:space="preserve"> within</w:t>
      </w:r>
      <w:r w:rsidR="005D17DA">
        <w:t xml:space="preserve"> countries because typical</w:t>
      </w:r>
      <w:r w:rsidR="0047794B">
        <w:t>ly</w:t>
      </w:r>
      <w:r w:rsidR="005D17DA">
        <w:t xml:space="preserve"> </w:t>
      </w:r>
      <w:r>
        <w:t xml:space="preserve">productivity growth </w:t>
      </w:r>
      <w:r w:rsidR="0047794B">
        <w:t xml:space="preserve">is </w:t>
      </w:r>
      <w:r>
        <w:t xml:space="preserve">stronger in the traded </w:t>
      </w:r>
      <w:r w:rsidR="0047794B">
        <w:t xml:space="preserve">sector </w:t>
      </w:r>
      <w:r w:rsidR="00863735">
        <w:t xml:space="preserve">than the non-traded </w:t>
      </w:r>
      <w:r>
        <w:t>sector</w:t>
      </w:r>
      <w:r w:rsidR="005D17DA">
        <w:t>. If</w:t>
      </w:r>
      <w:r>
        <w:t xml:space="preserve"> wag</w:t>
      </w:r>
      <w:r w:rsidR="00863735">
        <w:t>es in the traded</w:t>
      </w:r>
      <w:r>
        <w:t xml:space="preserve"> sector </w:t>
      </w:r>
      <w:r w:rsidR="005D17DA">
        <w:t xml:space="preserve">rise with </w:t>
      </w:r>
      <w:r>
        <w:t xml:space="preserve">productivity </w:t>
      </w:r>
      <w:r w:rsidR="005D17DA">
        <w:t>while non-traded</w:t>
      </w:r>
      <w:r>
        <w:t xml:space="preserve"> sector </w:t>
      </w:r>
      <w:r w:rsidR="005D17DA">
        <w:t xml:space="preserve">wages </w:t>
      </w:r>
      <w:r>
        <w:t xml:space="preserve">are pegged to </w:t>
      </w:r>
      <w:r w:rsidR="00600907">
        <w:t xml:space="preserve">those in </w:t>
      </w:r>
      <w:r w:rsidR="005D17DA">
        <w:t xml:space="preserve">the </w:t>
      </w:r>
      <w:r w:rsidR="00863735">
        <w:t>traded</w:t>
      </w:r>
      <w:r>
        <w:t xml:space="preserve"> sector (both sectors compete for workers in the same labor market)</w:t>
      </w:r>
      <w:r w:rsidR="005D17DA">
        <w:t xml:space="preserve"> then </w:t>
      </w:r>
      <w:r>
        <w:t xml:space="preserve">prices of non-traded items </w:t>
      </w:r>
      <w:r w:rsidR="005D17DA">
        <w:t>will</w:t>
      </w:r>
      <w:r>
        <w:t xml:space="preserve"> grow faster than productivity</w:t>
      </w:r>
      <w:r w:rsidR="005D17DA">
        <w:t xml:space="preserve"> and </w:t>
      </w:r>
      <w:r w:rsidR="00600907">
        <w:t xml:space="preserve">will </w:t>
      </w:r>
      <w:r w:rsidR="005D17DA">
        <w:t>rise in real terms. The overall price level is an average of tr</w:t>
      </w:r>
      <w:r w:rsidR="005A6893">
        <w:t>aded and non-traded prices, so in</w:t>
      </w:r>
      <w:r>
        <w:rPr>
          <w:rFonts w:ascii="GaramondThree" w:hAnsi="GaramondThree" w:cs="GaramondThree"/>
          <w:lang w:val="en-NZ"/>
        </w:rPr>
        <w:t xml:space="preserve"> the context of China</w:t>
      </w:r>
      <w:r w:rsidR="005A6893">
        <w:rPr>
          <w:rFonts w:ascii="GaramondThree" w:hAnsi="GaramondThree" w:cs="GaramondThree"/>
          <w:lang w:val="en-NZ"/>
        </w:rPr>
        <w:t>’s regions</w:t>
      </w:r>
      <w:r>
        <w:rPr>
          <w:rFonts w:ascii="GaramondThree" w:hAnsi="GaramondThree" w:cs="GaramondThree"/>
          <w:lang w:val="en-NZ"/>
        </w:rPr>
        <w:t xml:space="preserve">, this implies </w:t>
      </w:r>
      <w:r w:rsidR="005D17DA">
        <w:rPr>
          <w:rFonts w:ascii="GaramondThree" w:hAnsi="GaramondThree" w:cs="GaramondThree"/>
          <w:lang w:val="en-NZ"/>
        </w:rPr>
        <w:t xml:space="preserve">a higher overall </w:t>
      </w:r>
      <w:r>
        <w:rPr>
          <w:rFonts w:ascii="GaramondThree" w:hAnsi="GaramondThree" w:cs="GaramondThree"/>
          <w:lang w:val="en-NZ"/>
        </w:rPr>
        <w:t xml:space="preserve">price level in </w:t>
      </w:r>
      <w:r w:rsidR="0047794B">
        <w:rPr>
          <w:rFonts w:ascii="GaramondThree" w:hAnsi="GaramondThree" w:cs="GaramondThree"/>
          <w:lang w:val="en-NZ"/>
        </w:rPr>
        <w:t xml:space="preserve">export-oriented, coastal </w:t>
      </w:r>
      <w:r>
        <w:rPr>
          <w:rFonts w:ascii="GaramondThree" w:hAnsi="GaramondThree" w:cs="GaramondThree"/>
          <w:lang w:val="en-NZ"/>
        </w:rPr>
        <w:t>provinces in which nominal income</w:t>
      </w:r>
      <w:r>
        <w:t xml:space="preserve"> </w:t>
      </w:r>
      <w:r>
        <w:rPr>
          <w:rFonts w:ascii="GaramondThree" w:hAnsi="GaramondThree" w:cs="GaramondThree"/>
          <w:lang w:val="en-NZ"/>
        </w:rPr>
        <w:t xml:space="preserve">is higher, </w:t>
      </w:r>
      <w:r w:rsidR="00600907">
        <w:rPr>
          <w:rFonts w:ascii="GaramondThree" w:hAnsi="GaramondThree" w:cs="GaramondThree"/>
          <w:lang w:val="en-NZ"/>
        </w:rPr>
        <w:t>such as</w:t>
      </w:r>
      <w:r>
        <w:rPr>
          <w:rFonts w:ascii="GaramondThree" w:hAnsi="GaramondThree" w:cs="GaramondThree"/>
          <w:lang w:val="en-NZ"/>
        </w:rPr>
        <w:t xml:space="preserve"> Guangdong, than in </w:t>
      </w:r>
      <w:r w:rsidR="005A6893">
        <w:rPr>
          <w:rFonts w:ascii="GaramondThree" w:hAnsi="GaramondThree" w:cs="GaramondThree"/>
          <w:lang w:val="en-NZ"/>
        </w:rPr>
        <w:t>poorer</w:t>
      </w:r>
      <w:r w:rsidR="0047794B">
        <w:rPr>
          <w:rFonts w:ascii="GaramondThree" w:hAnsi="GaramondThree" w:cs="GaramondThree"/>
          <w:lang w:val="en-NZ"/>
        </w:rPr>
        <w:t>, inland,</w:t>
      </w:r>
      <w:r w:rsidR="005A6893">
        <w:rPr>
          <w:rFonts w:ascii="GaramondThree" w:hAnsi="GaramondThree" w:cs="GaramondThree"/>
          <w:lang w:val="en-NZ"/>
        </w:rPr>
        <w:t xml:space="preserve"> </w:t>
      </w:r>
      <w:r>
        <w:rPr>
          <w:rFonts w:ascii="GaramondThree" w:hAnsi="GaramondThree" w:cs="GaramondThree"/>
          <w:lang w:val="en-NZ"/>
        </w:rPr>
        <w:t xml:space="preserve">provinces, </w:t>
      </w:r>
      <w:r w:rsidR="00600907">
        <w:rPr>
          <w:rFonts w:ascii="GaramondThree" w:hAnsi="GaramondThree" w:cs="GaramondThree"/>
          <w:lang w:val="en-NZ"/>
        </w:rPr>
        <w:t>such as</w:t>
      </w:r>
      <w:r>
        <w:t xml:space="preserve"> </w:t>
      </w:r>
      <w:r w:rsidR="000A7E57">
        <w:t>Yunnan</w:t>
      </w:r>
      <w:r w:rsidR="005D17DA">
        <w:t xml:space="preserve">. </w:t>
      </w:r>
    </w:p>
    <w:p w:rsidR="00DF0191" w:rsidRPr="00CF1973" w:rsidRDefault="00DF0191" w:rsidP="00DF0191">
      <w:pPr>
        <w:tabs>
          <w:tab w:val="left" w:pos="426"/>
        </w:tabs>
        <w:spacing w:line="300" w:lineRule="auto"/>
        <w:jc w:val="both"/>
        <w:rPr>
          <w:bCs/>
        </w:rPr>
      </w:pPr>
    </w:p>
    <w:p w:rsidR="00863735" w:rsidRDefault="00600907" w:rsidP="00DF0191">
      <w:pPr>
        <w:tabs>
          <w:tab w:val="left" w:pos="426"/>
        </w:tabs>
        <w:spacing w:line="300" w:lineRule="auto"/>
        <w:ind w:firstLine="720"/>
        <w:jc w:val="both"/>
        <w:rPr>
          <w:bCs/>
        </w:rPr>
      </w:pPr>
      <w:r>
        <w:rPr>
          <w:lang w:val="en-NZ"/>
        </w:rPr>
        <w:t xml:space="preserve">The implications of this pattern are </w:t>
      </w:r>
      <w:r w:rsidR="00370890" w:rsidRPr="00174254">
        <w:rPr>
          <w:lang w:val="en-NZ"/>
        </w:rPr>
        <w:t xml:space="preserve">worth emphasizing in </w:t>
      </w:r>
      <w:r>
        <w:rPr>
          <w:lang w:val="en-NZ"/>
        </w:rPr>
        <w:t>China where there is substantial debate</w:t>
      </w:r>
      <w:r w:rsidR="00370890" w:rsidRPr="00174254">
        <w:rPr>
          <w:lang w:val="en-NZ"/>
        </w:rPr>
        <w:t xml:space="preserve"> about the impacts of economic reform on inequality. </w:t>
      </w:r>
      <w:r w:rsidR="00CF1973">
        <w:rPr>
          <w:lang w:val="en-NZ"/>
        </w:rPr>
        <w:t xml:space="preserve">A common claim in the literature is that spatial inequality </w:t>
      </w:r>
      <w:r w:rsidR="00863735">
        <w:rPr>
          <w:lang w:val="en-NZ"/>
        </w:rPr>
        <w:t xml:space="preserve">rose </w:t>
      </w:r>
      <w:r w:rsidR="00CF1973">
        <w:rPr>
          <w:lang w:val="en-NZ"/>
        </w:rPr>
        <w:t>in the reform era, especially when policy neglect</w:t>
      </w:r>
      <w:r w:rsidR="00863735">
        <w:rPr>
          <w:lang w:val="en-NZ"/>
        </w:rPr>
        <w:t>ed</w:t>
      </w:r>
      <w:r w:rsidR="00CF1973">
        <w:rPr>
          <w:lang w:val="en-NZ"/>
        </w:rPr>
        <w:t xml:space="preserve"> the rura</w:t>
      </w:r>
      <w:r w:rsidR="006E2415">
        <w:rPr>
          <w:lang w:val="en-NZ"/>
        </w:rPr>
        <w:t xml:space="preserve">l sector (Fan, </w:t>
      </w:r>
      <w:proofErr w:type="spellStart"/>
      <w:r w:rsidR="006E2415">
        <w:rPr>
          <w:lang w:val="en-NZ"/>
        </w:rPr>
        <w:t>Kanbur</w:t>
      </w:r>
      <w:proofErr w:type="spellEnd"/>
      <w:r w:rsidR="006E2415">
        <w:rPr>
          <w:lang w:val="en-NZ"/>
        </w:rPr>
        <w:t xml:space="preserve"> and Zhang</w:t>
      </w:r>
      <w:r w:rsidR="00CF1973">
        <w:rPr>
          <w:lang w:val="en-NZ"/>
        </w:rPr>
        <w:t xml:space="preserve"> 2011). This claim has </w:t>
      </w:r>
      <w:r w:rsidR="00863735">
        <w:rPr>
          <w:lang w:val="en-NZ"/>
        </w:rPr>
        <w:t xml:space="preserve">fuelled </w:t>
      </w:r>
      <w:r w:rsidR="00CF1973">
        <w:rPr>
          <w:lang w:val="en-NZ"/>
        </w:rPr>
        <w:t xml:space="preserve">initiatives by China’s </w:t>
      </w:r>
      <w:r w:rsidR="00863735">
        <w:rPr>
          <w:lang w:val="en-NZ"/>
        </w:rPr>
        <w:t xml:space="preserve">leaders </w:t>
      </w:r>
      <w:r w:rsidR="00CF1973">
        <w:rPr>
          <w:lang w:val="en-NZ"/>
        </w:rPr>
        <w:t xml:space="preserve">to help seemingly laggard regions catch up </w:t>
      </w:r>
      <w:r w:rsidR="00187B28">
        <w:rPr>
          <w:lang w:val="en-NZ"/>
        </w:rPr>
        <w:t xml:space="preserve">to </w:t>
      </w:r>
      <w:r w:rsidR="00CF1973">
        <w:rPr>
          <w:lang w:val="en-NZ"/>
        </w:rPr>
        <w:t xml:space="preserve">seemingly advanced regions, including </w:t>
      </w:r>
      <w:r w:rsidR="00CF1973" w:rsidRPr="00C92CD7">
        <w:rPr>
          <w:bCs/>
        </w:rPr>
        <w:t>the West China Development Project (</w:t>
      </w:r>
      <w:r w:rsidR="006E2415">
        <w:rPr>
          <w:bCs/>
        </w:rPr>
        <w:t>Lai</w:t>
      </w:r>
      <w:r w:rsidR="00CF1973">
        <w:rPr>
          <w:bCs/>
        </w:rPr>
        <w:t xml:space="preserve"> 2002</w:t>
      </w:r>
      <w:r w:rsidR="00CF1973" w:rsidRPr="00C92CD7">
        <w:rPr>
          <w:bCs/>
        </w:rPr>
        <w:t xml:space="preserve">), the Northeast China </w:t>
      </w:r>
      <w:r w:rsidR="006E2415">
        <w:rPr>
          <w:bCs/>
        </w:rPr>
        <w:t xml:space="preserve">Revitalization Campaign (Zhang </w:t>
      </w:r>
      <w:r w:rsidR="00CF1973" w:rsidRPr="00C92CD7">
        <w:rPr>
          <w:bCs/>
        </w:rPr>
        <w:t xml:space="preserve">2008) and the </w:t>
      </w:r>
      <w:r w:rsidR="006E2415">
        <w:rPr>
          <w:bCs/>
        </w:rPr>
        <w:t>Rise of Central China Plan (Lai</w:t>
      </w:r>
      <w:r w:rsidR="00CF1973" w:rsidRPr="00C92CD7">
        <w:rPr>
          <w:bCs/>
        </w:rPr>
        <w:t xml:space="preserve"> 2007).</w:t>
      </w:r>
      <w:r w:rsidR="00CF1973">
        <w:rPr>
          <w:bCs/>
        </w:rPr>
        <w:t xml:space="preserve"> </w:t>
      </w:r>
      <w:r w:rsidR="006E2415">
        <w:rPr>
          <w:bCs/>
        </w:rPr>
        <w:t xml:space="preserve"> </w:t>
      </w:r>
      <w:r w:rsidR="00CF1973">
        <w:rPr>
          <w:bCs/>
        </w:rPr>
        <w:t>Just a subset of t</w:t>
      </w:r>
      <w:r w:rsidR="00C152E7">
        <w:rPr>
          <w:bCs/>
        </w:rPr>
        <w:t>hese initiatives saw more than one</w:t>
      </w:r>
      <w:r w:rsidR="00187B28">
        <w:rPr>
          <w:bCs/>
        </w:rPr>
        <w:t> </w:t>
      </w:r>
      <w:r w:rsidR="00CF1973">
        <w:rPr>
          <w:bCs/>
        </w:rPr>
        <w:t xml:space="preserve">trillion Yuan (US$180 billion) of state-led infrastructural investment </w:t>
      </w:r>
      <w:r w:rsidR="006E2415">
        <w:rPr>
          <w:bCs/>
        </w:rPr>
        <w:t xml:space="preserve">directed to western China (Yao </w:t>
      </w:r>
      <w:r w:rsidR="00CF1973">
        <w:rPr>
          <w:bCs/>
        </w:rPr>
        <w:t xml:space="preserve">2009). But without reliable measures of spatial price differences, it is not clear how much of the reported spatial inequality, and its claimed increase, is just due to regional price variation </w:t>
      </w:r>
      <w:r w:rsidR="005A6893">
        <w:rPr>
          <w:bCs/>
        </w:rPr>
        <w:t xml:space="preserve">versus how much </w:t>
      </w:r>
      <w:r w:rsidR="00CF1973">
        <w:rPr>
          <w:bCs/>
        </w:rPr>
        <w:t>reflect</w:t>
      </w:r>
      <w:r w:rsidR="005A6893">
        <w:rPr>
          <w:bCs/>
        </w:rPr>
        <w:t>s</w:t>
      </w:r>
      <w:r w:rsidR="00CF1973">
        <w:rPr>
          <w:bCs/>
        </w:rPr>
        <w:t xml:space="preserve"> differences in </w:t>
      </w:r>
      <w:r w:rsidR="005A6893">
        <w:rPr>
          <w:bCs/>
        </w:rPr>
        <w:t xml:space="preserve">real </w:t>
      </w:r>
      <w:r w:rsidR="00C152E7">
        <w:rPr>
          <w:bCs/>
        </w:rPr>
        <w:t>incomes.</w:t>
      </w:r>
    </w:p>
    <w:p w:rsidR="00DF0191" w:rsidRDefault="00DF0191" w:rsidP="00DF0191">
      <w:pPr>
        <w:tabs>
          <w:tab w:val="left" w:pos="426"/>
        </w:tabs>
        <w:spacing w:line="300" w:lineRule="auto"/>
        <w:ind w:firstLine="720"/>
        <w:jc w:val="both"/>
        <w:rPr>
          <w:lang w:val="en-NZ"/>
        </w:rPr>
      </w:pPr>
    </w:p>
    <w:p w:rsidR="00CF1973" w:rsidRDefault="00187B28" w:rsidP="00DF0191">
      <w:pPr>
        <w:tabs>
          <w:tab w:val="left" w:pos="426"/>
        </w:tabs>
        <w:spacing w:line="300" w:lineRule="auto"/>
        <w:ind w:firstLine="720"/>
        <w:jc w:val="both"/>
      </w:pPr>
      <w:r w:rsidRPr="00370890">
        <w:t xml:space="preserve">In this paper we use newly available </w:t>
      </w:r>
      <w:r w:rsidR="00242765">
        <w:t>data</w:t>
      </w:r>
      <w:r w:rsidRPr="00370890">
        <w:t xml:space="preserve"> on dwelling sales in urban China to develop spatially-disaggregated indices of house prices, which are used as spatial deflators for provinces</w:t>
      </w:r>
      <w:r w:rsidR="00470041">
        <w:t>, urban prefectures,</w:t>
      </w:r>
      <w:r w:rsidRPr="00370890">
        <w:t xml:space="preserve"> and urban </w:t>
      </w:r>
      <w:r w:rsidR="004A10F8">
        <w:t xml:space="preserve">core </w:t>
      </w:r>
      <w:r w:rsidRPr="00370890">
        <w:t>districts.</w:t>
      </w:r>
      <w:r>
        <w:t xml:space="preserve"> Since we account for only one source of cost-of-living variation over space, the impacts on inequality that we find when using these d</w:t>
      </w:r>
      <w:r w:rsidR="00F86DD5">
        <w:t>eflators should be considered a</w:t>
      </w:r>
      <w:r>
        <w:t xml:space="preserve"> conservative, low</w:t>
      </w:r>
      <w:r w:rsidR="004A10F8">
        <w:t>er</w:t>
      </w:r>
      <w:r w:rsidR="00F86DD5">
        <w:t xml:space="preserve"> bound</w:t>
      </w:r>
      <w:r>
        <w:t>. Our approach contrasts with t</w:t>
      </w:r>
      <w:r w:rsidR="00863735" w:rsidRPr="00370890">
        <w:t xml:space="preserve">he </w:t>
      </w:r>
      <w:r w:rsidR="00863735" w:rsidRPr="00370890">
        <w:lastRenderedPageBreak/>
        <w:t xml:space="preserve">two main methods </w:t>
      </w:r>
      <w:r>
        <w:t xml:space="preserve">previously </w:t>
      </w:r>
      <w:r w:rsidR="00863735" w:rsidRPr="00370890">
        <w:t xml:space="preserve">used to calculate spatial deflators </w:t>
      </w:r>
      <w:r>
        <w:t xml:space="preserve">in China, where either </w:t>
      </w:r>
      <w:r w:rsidR="00863735" w:rsidRPr="00370890">
        <w:t xml:space="preserve">a national basket of goods and services </w:t>
      </w:r>
      <w:r>
        <w:t xml:space="preserve">has been priced in </w:t>
      </w:r>
      <w:r w:rsidR="00863735" w:rsidRPr="00370890">
        <w:t xml:space="preserve">different regions or else a food Engel curve </w:t>
      </w:r>
      <w:r>
        <w:t xml:space="preserve">has been estimated </w:t>
      </w:r>
      <w:r w:rsidR="005A6893">
        <w:t xml:space="preserve">and a </w:t>
      </w:r>
      <w:r w:rsidR="00863735" w:rsidRPr="00370890">
        <w:t xml:space="preserve">deflator </w:t>
      </w:r>
      <w:r>
        <w:t xml:space="preserve">derived </w:t>
      </w:r>
      <w:r w:rsidR="005A6893">
        <w:t xml:space="preserve">as that which is </w:t>
      </w:r>
      <w:r w:rsidR="00863735" w:rsidRPr="00370890">
        <w:t>needed for nominally similar households to have the same food budget shares in all regions. Neither approach is convincing with the data available in China</w:t>
      </w:r>
      <w:r>
        <w:t xml:space="preserve">, as we </w:t>
      </w:r>
      <w:r w:rsidR="005A6893">
        <w:t>explain</w:t>
      </w:r>
      <w:r>
        <w:t xml:space="preserve"> below. Moreover, a focus on traded</w:t>
      </w:r>
      <w:r w:rsidR="00863735" w:rsidRPr="00370890">
        <w:t xml:space="preserve"> goods like food may be misplaced because of the emerging literature on the rapid convergence of prices within China that contrasts with earlier claims of fragmented internal markets. </w:t>
      </w:r>
    </w:p>
    <w:p w:rsidR="00DF0191" w:rsidRDefault="00DF0191" w:rsidP="00DF0191">
      <w:pPr>
        <w:tabs>
          <w:tab w:val="left" w:pos="426"/>
        </w:tabs>
        <w:spacing w:line="300" w:lineRule="auto"/>
        <w:ind w:firstLine="720"/>
        <w:jc w:val="both"/>
        <w:rPr>
          <w:lang w:val="en-NZ"/>
        </w:rPr>
      </w:pPr>
    </w:p>
    <w:p w:rsidR="00CF583E" w:rsidRDefault="00C152E7" w:rsidP="00DF0191">
      <w:pPr>
        <w:tabs>
          <w:tab w:val="left" w:pos="426"/>
        </w:tabs>
        <w:spacing w:line="300" w:lineRule="auto"/>
        <w:ind w:firstLine="720"/>
        <w:jc w:val="both"/>
        <w:rPr>
          <w:lang w:val="en-NZ"/>
        </w:rPr>
      </w:pPr>
      <w:r>
        <w:rPr>
          <w:lang w:val="en-NZ"/>
        </w:rPr>
        <w:t>I</w:t>
      </w:r>
      <w:r w:rsidRPr="00174254">
        <w:rPr>
          <w:lang w:val="en-NZ"/>
        </w:rPr>
        <w:t xml:space="preserve">t is </w:t>
      </w:r>
      <w:r>
        <w:rPr>
          <w:lang w:val="en-NZ"/>
        </w:rPr>
        <w:t xml:space="preserve">increasingly </w:t>
      </w:r>
      <w:r w:rsidRPr="00174254">
        <w:rPr>
          <w:lang w:val="en-NZ"/>
        </w:rPr>
        <w:t xml:space="preserve">reasonable to expect </w:t>
      </w:r>
      <w:r>
        <w:rPr>
          <w:lang w:val="en-NZ"/>
        </w:rPr>
        <w:t xml:space="preserve">integrated </w:t>
      </w:r>
      <w:r w:rsidRPr="00174254">
        <w:rPr>
          <w:lang w:val="en-NZ"/>
        </w:rPr>
        <w:t xml:space="preserve">goods markets </w:t>
      </w:r>
      <w:r>
        <w:rPr>
          <w:lang w:val="en-NZ"/>
        </w:rPr>
        <w:t>in China</w:t>
      </w:r>
      <w:r w:rsidRPr="00174254">
        <w:rPr>
          <w:lang w:val="en-NZ"/>
        </w:rPr>
        <w:t>, and for</w:t>
      </w:r>
      <w:r>
        <w:rPr>
          <w:lang w:val="en-NZ"/>
        </w:rPr>
        <w:t xml:space="preserve"> goods prices to obey the law-of-one-</w:t>
      </w:r>
      <w:r w:rsidRPr="00174254">
        <w:rPr>
          <w:lang w:val="en-NZ"/>
        </w:rPr>
        <w:t>pr</w:t>
      </w:r>
      <w:r>
        <w:rPr>
          <w:lang w:val="en-NZ"/>
        </w:rPr>
        <w:t>ice</w:t>
      </w:r>
      <w:r w:rsidRPr="00174254">
        <w:rPr>
          <w:lang w:val="en-NZ"/>
        </w:rPr>
        <w:t xml:space="preserve"> (net of transport costs) </w:t>
      </w:r>
      <w:r>
        <w:rPr>
          <w:lang w:val="en-NZ"/>
        </w:rPr>
        <w:t xml:space="preserve">but </w:t>
      </w:r>
      <w:r w:rsidRPr="00174254">
        <w:rPr>
          <w:lang w:val="en-NZ"/>
        </w:rPr>
        <w:t>the same is not true of housing services.</w:t>
      </w:r>
      <w:r>
        <w:rPr>
          <w:lang w:val="en-NZ"/>
        </w:rPr>
        <w:t xml:space="preserve"> Because of the fixity of the land supply, </w:t>
      </w:r>
      <w:r w:rsidR="00AC535F" w:rsidRPr="00174254">
        <w:rPr>
          <w:lang w:val="en-NZ"/>
        </w:rPr>
        <w:t>accounting for regional differences in housing service prices is fund</w:t>
      </w:r>
      <w:r w:rsidR="009C7442">
        <w:rPr>
          <w:lang w:val="en-NZ"/>
        </w:rPr>
        <w:t xml:space="preserve">amental to the calculation of </w:t>
      </w:r>
      <w:r w:rsidR="00AC535F" w:rsidRPr="00174254">
        <w:rPr>
          <w:lang w:val="en-NZ"/>
        </w:rPr>
        <w:t xml:space="preserve">spatial </w:t>
      </w:r>
      <w:r w:rsidR="009C7442">
        <w:rPr>
          <w:lang w:val="en-NZ"/>
        </w:rPr>
        <w:t>differences in the cost-of-</w:t>
      </w:r>
      <w:r w:rsidR="00AC535F" w:rsidRPr="00174254">
        <w:rPr>
          <w:lang w:val="en-NZ"/>
        </w:rPr>
        <w:t xml:space="preserve">living. While other services also are considered non-tradable, for many of these the long-run supply of the dominant factor of production can spatially adjust to reduce inter-regional price differences. For example, if haircuts are relatively more expensive in </w:t>
      </w:r>
      <w:r w:rsidR="009C7442">
        <w:rPr>
          <w:lang w:val="en-NZ"/>
        </w:rPr>
        <w:t>urban areas of the Pearl River</w:t>
      </w:r>
      <w:r w:rsidR="00AC535F" w:rsidRPr="00174254">
        <w:rPr>
          <w:lang w:val="en-NZ"/>
        </w:rPr>
        <w:t xml:space="preserve"> Delta, hairdressers might be expected to migrate to that region to increase the supply and reduce the regional price premium. There is no similar migration possibility for land – the presence of abundant land (relative to population) in </w:t>
      </w:r>
      <w:r w:rsidR="009C7442">
        <w:rPr>
          <w:lang w:val="en-NZ"/>
        </w:rPr>
        <w:t xml:space="preserve">Western China </w:t>
      </w:r>
      <w:r w:rsidR="00AC535F" w:rsidRPr="00174254">
        <w:rPr>
          <w:lang w:val="en-NZ"/>
        </w:rPr>
        <w:t>and consequently relatively low house prices in that region can do nothing to moderate t</w:t>
      </w:r>
      <w:r w:rsidR="009C7442">
        <w:rPr>
          <w:lang w:val="en-NZ"/>
        </w:rPr>
        <w:t>he high cost of housing in Beijing</w:t>
      </w:r>
      <w:r w:rsidR="00AC535F" w:rsidRPr="00174254">
        <w:rPr>
          <w:lang w:val="en-NZ"/>
        </w:rPr>
        <w:t>.</w:t>
      </w:r>
    </w:p>
    <w:p w:rsidR="00DF0191" w:rsidRPr="00863735" w:rsidRDefault="00DF0191" w:rsidP="00DF0191">
      <w:pPr>
        <w:tabs>
          <w:tab w:val="left" w:pos="426"/>
        </w:tabs>
        <w:spacing w:line="300" w:lineRule="auto"/>
        <w:ind w:firstLine="720"/>
        <w:jc w:val="both"/>
        <w:rPr>
          <w:lang w:val="en-NZ"/>
        </w:rPr>
      </w:pPr>
    </w:p>
    <w:p w:rsidR="00CF583E" w:rsidRDefault="00CF583E" w:rsidP="00DF0191">
      <w:pPr>
        <w:tabs>
          <w:tab w:val="left" w:pos="426"/>
        </w:tabs>
        <w:spacing w:line="300" w:lineRule="auto"/>
        <w:ind w:firstLine="720"/>
        <w:jc w:val="both"/>
        <w:rPr>
          <w:szCs w:val="22"/>
          <w:lang w:val="en-NZ" w:eastAsia="en-NZ"/>
        </w:rPr>
      </w:pPr>
      <w:r>
        <w:t>Our focus on housing costs as the main driver of spatial cost-of-living differences is supported by previous studies</w:t>
      </w:r>
      <w:r w:rsidR="006E6B11">
        <w:t xml:space="preserve"> </w:t>
      </w:r>
      <w:r w:rsidR="00174254">
        <w:t xml:space="preserve">in </w:t>
      </w:r>
      <w:r w:rsidR="006E6B11">
        <w:t>other countries</w:t>
      </w:r>
      <w:r>
        <w:t xml:space="preserve">. </w:t>
      </w:r>
      <w:r w:rsidR="00692577">
        <w:t xml:space="preserve">According to Moulton (1995, p.181): </w:t>
      </w:r>
      <w:r w:rsidR="00600821">
        <w:t>‘</w:t>
      </w:r>
      <w:r w:rsidR="00692577">
        <w:t xml:space="preserve">the cost of shelter is the single most important component of </w:t>
      </w:r>
      <w:proofErr w:type="spellStart"/>
      <w:r w:rsidR="00692577">
        <w:t>interarea</w:t>
      </w:r>
      <w:proofErr w:type="spellEnd"/>
      <w:r w:rsidR="00692577">
        <w:t xml:space="preserve"> differences in the cost-of-living.</w:t>
      </w:r>
      <w:r w:rsidR="00600821">
        <w:t>’</w:t>
      </w:r>
      <w:r w:rsidR="00692577">
        <w:t xml:space="preserve"> Similarly, </w:t>
      </w:r>
      <w:proofErr w:type="spellStart"/>
      <w:r w:rsidR="00692577">
        <w:t>Massari</w:t>
      </w:r>
      <w:proofErr w:type="spellEnd"/>
      <w:r w:rsidR="00692577">
        <w:t xml:space="preserve"> </w:t>
      </w:r>
      <w:r w:rsidR="00692577" w:rsidRPr="001009A7">
        <w:rPr>
          <w:i/>
        </w:rPr>
        <w:t>et al</w:t>
      </w:r>
      <w:r w:rsidR="001009A7" w:rsidRPr="001009A7">
        <w:rPr>
          <w:i/>
        </w:rPr>
        <w:t>.</w:t>
      </w:r>
      <w:r w:rsidR="00692577">
        <w:t xml:space="preserve"> (2010) find housing prices account for almost 70 percent of cost-of-living differences between Northern and Southern Italy.</w:t>
      </w:r>
      <w:r w:rsidR="00042099">
        <w:t xml:space="preserve"> Our approach is perhaps most closely related to </w:t>
      </w:r>
      <w:proofErr w:type="spellStart"/>
      <w:r w:rsidR="00042099">
        <w:t>Jolliffe</w:t>
      </w:r>
      <w:proofErr w:type="spellEnd"/>
      <w:r w:rsidR="00042099">
        <w:t xml:space="preserve"> (2006)</w:t>
      </w:r>
      <w:r w:rsidR="00174254">
        <w:t>,</w:t>
      </w:r>
      <w:r w:rsidR="00042099">
        <w:t xml:space="preserve"> who examines how </w:t>
      </w:r>
      <w:r w:rsidR="00042099">
        <w:rPr>
          <w:szCs w:val="22"/>
          <w:lang w:val="en-NZ" w:eastAsia="en-NZ"/>
        </w:rPr>
        <w:t>adjusting</w:t>
      </w:r>
      <w:r w:rsidR="00174254">
        <w:rPr>
          <w:szCs w:val="22"/>
          <w:lang w:val="en-NZ" w:eastAsia="en-NZ"/>
        </w:rPr>
        <w:t xml:space="preserve"> for cost-of-</w:t>
      </w:r>
      <w:r w:rsidRPr="00CF583E">
        <w:rPr>
          <w:szCs w:val="22"/>
          <w:lang w:val="en-NZ" w:eastAsia="en-NZ"/>
        </w:rPr>
        <w:t>living differences between metropolitan and nonmetropolitan areas in the United</w:t>
      </w:r>
      <w:bookmarkStart w:id="0" w:name="_GoBack"/>
      <w:bookmarkEnd w:id="0"/>
      <w:r w:rsidRPr="00CF583E">
        <w:rPr>
          <w:szCs w:val="22"/>
          <w:lang w:val="en-NZ" w:eastAsia="en-NZ"/>
        </w:rPr>
        <w:t xml:space="preserve"> States </w:t>
      </w:r>
      <w:r w:rsidR="00042099">
        <w:rPr>
          <w:szCs w:val="22"/>
          <w:lang w:val="en-NZ" w:eastAsia="en-NZ"/>
        </w:rPr>
        <w:t xml:space="preserve">causes </w:t>
      </w:r>
      <w:r w:rsidRPr="00CF583E">
        <w:rPr>
          <w:szCs w:val="22"/>
          <w:lang w:val="en-NZ" w:eastAsia="en-NZ"/>
        </w:rPr>
        <w:t>a complete reversal of the poverty ranking of these areas.</w:t>
      </w:r>
      <w:r w:rsidR="00042099">
        <w:rPr>
          <w:szCs w:val="22"/>
          <w:lang w:val="en-NZ" w:eastAsia="en-NZ"/>
        </w:rPr>
        <w:t xml:space="preserve"> In order to measure poverty using spatially </w:t>
      </w:r>
      <w:r w:rsidR="006E6B11">
        <w:rPr>
          <w:szCs w:val="22"/>
          <w:lang w:val="en-NZ" w:eastAsia="en-NZ"/>
        </w:rPr>
        <w:t>deflated</w:t>
      </w:r>
      <w:r w:rsidR="00042099">
        <w:rPr>
          <w:szCs w:val="22"/>
          <w:lang w:val="en-NZ" w:eastAsia="en-NZ"/>
        </w:rPr>
        <w:t xml:space="preserve"> data, </w:t>
      </w:r>
      <w:proofErr w:type="spellStart"/>
      <w:r w:rsidR="00042099">
        <w:rPr>
          <w:szCs w:val="22"/>
          <w:lang w:val="en-NZ" w:eastAsia="en-NZ"/>
        </w:rPr>
        <w:t>Jolliffe</w:t>
      </w:r>
      <w:proofErr w:type="spellEnd"/>
      <w:r w:rsidR="00042099">
        <w:rPr>
          <w:szCs w:val="22"/>
          <w:lang w:val="en-NZ" w:eastAsia="en-NZ"/>
        </w:rPr>
        <w:t xml:space="preserve"> uses the Fair Market Rent (FMR) index, which consists of just two components: housing expenses (with a weight of 0.44), and all other goods an</w:t>
      </w:r>
      <w:r w:rsidR="00470041">
        <w:rPr>
          <w:szCs w:val="22"/>
          <w:lang w:val="en-NZ" w:eastAsia="en-NZ"/>
        </w:rPr>
        <w:t>d services (weight of 0.56). This FMR</w:t>
      </w:r>
      <w:r w:rsidR="00042099">
        <w:rPr>
          <w:szCs w:val="22"/>
          <w:lang w:val="en-NZ" w:eastAsia="en-NZ"/>
        </w:rPr>
        <w:t xml:space="preserve"> index assumes that cost-of-living variation over space reflects variation in housing prices only, and that there is no variation </w:t>
      </w:r>
      <w:r w:rsidR="006E6B11">
        <w:rPr>
          <w:szCs w:val="22"/>
          <w:lang w:val="en-NZ" w:eastAsia="en-NZ"/>
        </w:rPr>
        <w:t xml:space="preserve">over space </w:t>
      </w:r>
      <w:r w:rsidR="00042099">
        <w:rPr>
          <w:szCs w:val="22"/>
          <w:lang w:val="en-NZ" w:eastAsia="en-NZ"/>
        </w:rPr>
        <w:t>in the prices of all other goods and services.</w:t>
      </w:r>
      <w:r w:rsidR="00042099">
        <w:rPr>
          <w:rStyle w:val="FootnoteReference"/>
          <w:szCs w:val="22"/>
          <w:lang w:val="en-NZ" w:eastAsia="en-NZ"/>
        </w:rPr>
        <w:footnoteReference w:id="1"/>
      </w:r>
    </w:p>
    <w:p w:rsidR="00483DD6" w:rsidRDefault="00483DD6" w:rsidP="00DF0191">
      <w:pPr>
        <w:tabs>
          <w:tab w:val="left" w:pos="426"/>
        </w:tabs>
        <w:spacing w:line="300" w:lineRule="auto"/>
        <w:ind w:firstLine="720"/>
        <w:jc w:val="both"/>
        <w:rPr>
          <w:szCs w:val="22"/>
          <w:lang w:val="en-NZ" w:eastAsia="en-NZ"/>
        </w:rPr>
      </w:pPr>
    </w:p>
    <w:p w:rsidR="005F3F3E" w:rsidRPr="00370890" w:rsidRDefault="00DF0191" w:rsidP="00DF0191">
      <w:pPr>
        <w:tabs>
          <w:tab w:val="left" w:pos="426"/>
        </w:tabs>
        <w:spacing w:line="300" w:lineRule="auto"/>
        <w:jc w:val="both"/>
        <w:rPr>
          <w:bCs/>
        </w:rPr>
      </w:pPr>
      <w:r>
        <w:rPr>
          <w:sz w:val="28"/>
        </w:rPr>
        <w:tab/>
      </w:r>
      <w:r w:rsidR="006E6B11">
        <w:t>The remainder of the paper is structured as follows. Section 2 reviews the literature in three areas that help to inform</w:t>
      </w:r>
      <w:r w:rsidR="009C7442">
        <w:t xml:space="preserve"> this study</w:t>
      </w:r>
      <w:r w:rsidR="006E6B11">
        <w:t xml:space="preserve">: </w:t>
      </w:r>
      <w:r w:rsidR="006E6B11" w:rsidRPr="00370890">
        <w:rPr>
          <w:bCs/>
        </w:rPr>
        <w:t xml:space="preserve">spatial deflation studies; market integration studies; </w:t>
      </w:r>
      <w:r w:rsidR="006E6B11" w:rsidRPr="00370890">
        <w:rPr>
          <w:bCs/>
        </w:rPr>
        <w:lastRenderedPageBreak/>
        <w:t>and, housing market studies.</w:t>
      </w:r>
      <w:r w:rsidR="006E6B11">
        <w:t xml:space="preserve"> Section 3 describes the data that we use to create housing-related spatial deflators for China. One concern with using dwelling prices as an indicator of cost-of-living differences is that </w:t>
      </w:r>
      <w:r w:rsidR="00AC535F">
        <w:t xml:space="preserve">dwelling quality may vary </w:t>
      </w:r>
      <w:r w:rsidR="006E6B11">
        <w:t>systematic</w:t>
      </w:r>
      <w:r w:rsidR="00AC535F">
        <w:t>ally</w:t>
      </w:r>
      <w:r w:rsidR="006E6B11">
        <w:t xml:space="preserve"> across space, so in Section 4 we discuss the nature of real estate development in China and provide some empirical evidence </w:t>
      </w:r>
      <w:r w:rsidR="00AC535F">
        <w:t xml:space="preserve">on the importance of location effects relative to </w:t>
      </w:r>
      <w:r w:rsidR="00174254">
        <w:t xml:space="preserve">dwelling </w:t>
      </w:r>
      <w:r w:rsidR="00AC535F">
        <w:t xml:space="preserve">characteristics in determining </w:t>
      </w:r>
      <w:r w:rsidR="00174254">
        <w:t xml:space="preserve">housing </w:t>
      </w:r>
      <w:r w:rsidR="00AC535F">
        <w:t>price</w:t>
      </w:r>
      <w:r w:rsidR="00174254">
        <w:t>s</w:t>
      </w:r>
      <w:r w:rsidR="00AC535F">
        <w:t>.</w:t>
      </w:r>
      <w:r w:rsidR="006E6B11">
        <w:t xml:space="preserve"> </w:t>
      </w:r>
      <w:r w:rsidR="00174254">
        <w:t xml:space="preserve">The calculation of the deflators is described in </w:t>
      </w:r>
      <w:r w:rsidR="006E6B11">
        <w:t xml:space="preserve">Section 5 </w:t>
      </w:r>
      <w:r w:rsidR="00174254">
        <w:t>and the results are contrasted with other spatial deflators for China. The impact of using the deflators when measuring spatial inequality is discussed in Section 6, while the conclusions are in Section 7.</w:t>
      </w:r>
    </w:p>
    <w:p w:rsidR="00370890" w:rsidRDefault="00370890" w:rsidP="00DF0191">
      <w:pPr>
        <w:tabs>
          <w:tab w:val="left" w:pos="426"/>
        </w:tabs>
        <w:spacing w:line="300" w:lineRule="auto"/>
        <w:rPr>
          <w:bCs/>
        </w:rPr>
      </w:pPr>
    </w:p>
    <w:p w:rsidR="008B2140" w:rsidRDefault="00DF0191" w:rsidP="00DF0191">
      <w:pPr>
        <w:pStyle w:val="ListParagraph"/>
        <w:tabs>
          <w:tab w:val="left" w:pos="426"/>
        </w:tabs>
        <w:spacing w:line="300" w:lineRule="auto"/>
        <w:ind w:left="0"/>
        <w:jc w:val="both"/>
        <w:rPr>
          <w:b/>
          <w:bCs/>
        </w:rPr>
      </w:pPr>
      <w:r>
        <w:rPr>
          <w:b/>
          <w:bCs/>
        </w:rPr>
        <w:t xml:space="preserve">2. </w:t>
      </w:r>
      <w:r>
        <w:rPr>
          <w:b/>
          <w:bCs/>
        </w:rPr>
        <w:tab/>
      </w:r>
      <w:r w:rsidR="008B2140" w:rsidRPr="008D4353">
        <w:rPr>
          <w:b/>
          <w:bCs/>
        </w:rPr>
        <w:t>PREVIOUS LITERATURE</w:t>
      </w:r>
    </w:p>
    <w:p w:rsidR="00DF0191" w:rsidRPr="00DF0191" w:rsidRDefault="00DF0191" w:rsidP="00DF0191">
      <w:pPr>
        <w:pStyle w:val="ListParagraph"/>
        <w:tabs>
          <w:tab w:val="left" w:pos="426"/>
        </w:tabs>
        <w:spacing w:line="300" w:lineRule="auto"/>
        <w:ind w:left="0"/>
        <w:jc w:val="both"/>
        <w:rPr>
          <w:b/>
          <w:bCs/>
          <w:sz w:val="12"/>
          <w:szCs w:val="12"/>
        </w:rPr>
      </w:pPr>
    </w:p>
    <w:p w:rsidR="00597F91" w:rsidRDefault="00037121" w:rsidP="00DF0191">
      <w:pPr>
        <w:tabs>
          <w:tab w:val="left" w:pos="426"/>
        </w:tabs>
        <w:spacing w:line="300" w:lineRule="auto"/>
        <w:jc w:val="both"/>
      </w:pPr>
      <w:r w:rsidRPr="00370890">
        <w:rPr>
          <w:bCs/>
        </w:rPr>
        <w:t>The approach we use here, of constructing spatially real income by deflating only for housin</w:t>
      </w:r>
      <w:r w:rsidR="00470041">
        <w:rPr>
          <w:bCs/>
        </w:rPr>
        <w:t>g costs, relies on literature for</w:t>
      </w:r>
      <w:r w:rsidRPr="00370890">
        <w:rPr>
          <w:bCs/>
        </w:rPr>
        <w:t xml:space="preserve"> China that is drawn from three distinct areas: spatial deflation studies; market integration studies; and, housing market studies. Our overall goal is to contribute to the literature on China’s spatial inequality, by examining the impact of using various deflators on </w:t>
      </w:r>
      <w:r w:rsidR="004A10F8">
        <w:rPr>
          <w:bCs/>
        </w:rPr>
        <w:t xml:space="preserve">estimates of spatial </w:t>
      </w:r>
      <w:r w:rsidRPr="00370890">
        <w:rPr>
          <w:bCs/>
        </w:rPr>
        <w:t xml:space="preserve">inequality. </w:t>
      </w:r>
      <w:r w:rsidR="004A10F8">
        <w:rPr>
          <w:bCs/>
        </w:rPr>
        <w:t xml:space="preserve">But </w:t>
      </w:r>
      <w:r w:rsidRPr="00370890">
        <w:rPr>
          <w:bCs/>
        </w:rPr>
        <w:t xml:space="preserve">there is no need to here review the spatial inequality literature, since we have recently done so in Li and Gibson (2013). The focus of our previous study was on the </w:t>
      </w:r>
      <w:r w:rsidR="007C525B" w:rsidRPr="00370890">
        <w:rPr>
          <w:bCs/>
        </w:rPr>
        <w:t>misunderstanding that results from</w:t>
      </w:r>
      <w:r w:rsidR="00242765">
        <w:rPr>
          <w:bCs/>
        </w:rPr>
        <w:t xml:space="preserve"> ignoring the fact that for most</w:t>
      </w:r>
      <w:r w:rsidR="007C525B" w:rsidRPr="00370890">
        <w:rPr>
          <w:bCs/>
        </w:rPr>
        <w:t xml:space="preserve"> of the reform era, China’s statistical authorities denominated local GDP by the number of </w:t>
      </w:r>
      <w:r w:rsidR="007C525B" w:rsidRPr="00370890">
        <w:t xml:space="preserve">people with </w:t>
      </w:r>
      <w:proofErr w:type="spellStart"/>
      <w:r w:rsidR="007C525B" w:rsidRPr="00370890">
        <w:rPr>
          <w:i/>
        </w:rPr>
        <w:t>hukou</w:t>
      </w:r>
      <w:proofErr w:type="spellEnd"/>
      <w:r w:rsidR="007C525B" w:rsidRPr="00370890">
        <w:t xml:space="preserve"> househo</w:t>
      </w:r>
      <w:r w:rsidR="0043232D" w:rsidRPr="00370890">
        <w:t>ld registration from each place</w:t>
      </w:r>
      <w:r w:rsidR="007C525B" w:rsidRPr="00370890">
        <w:t xml:space="preserve"> rather than the number of people actually residing in each place (</w:t>
      </w:r>
      <w:r w:rsidR="004A10F8">
        <w:t>so measured inequality mechanically increased as the number of non-</w:t>
      </w:r>
      <w:proofErr w:type="spellStart"/>
      <w:r w:rsidR="004A10F8" w:rsidRPr="004A10F8">
        <w:rPr>
          <w:i/>
        </w:rPr>
        <w:t>hukou</w:t>
      </w:r>
      <w:proofErr w:type="spellEnd"/>
      <w:r w:rsidR="004A10F8">
        <w:t xml:space="preserve"> migrants rose</w:t>
      </w:r>
      <w:r w:rsidR="007C525B" w:rsidRPr="00370890">
        <w:t>).</w:t>
      </w:r>
      <w:r w:rsidR="0043232D" w:rsidRPr="00370890">
        <w:t xml:space="preserve"> In the current study we use the adjustments to the population denominators created by Li and Gibson (2013) but otherwise do not address population issues and instead pay attention to the impact of adjusting for spatial </w:t>
      </w:r>
      <w:r w:rsidR="00187B28">
        <w:t>cost-of-living</w:t>
      </w:r>
      <w:r w:rsidR="0043232D" w:rsidRPr="00370890">
        <w:t xml:space="preserve"> differences.</w:t>
      </w:r>
    </w:p>
    <w:p w:rsidR="00DF0191" w:rsidRPr="00370890" w:rsidRDefault="00DF0191" w:rsidP="00DF0191">
      <w:pPr>
        <w:tabs>
          <w:tab w:val="left" w:pos="426"/>
        </w:tabs>
        <w:spacing w:line="300" w:lineRule="auto"/>
        <w:jc w:val="both"/>
        <w:rPr>
          <w:bCs/>
        </w:rPr>
      </w:pPr>
    </w:p>
    <w:p w:rsidR="00597F91" w:rsidRDefault="0043232D" w:rsidP="00DF0191">
      <w:pPr>
        <w:tabs>
          <w:tab w:val="left" w:pos="426"/>
        </w:tabs>
        <w:spacing w:line="300" w:lineRule="auto"/>
        <w:rPr>
          <w:b/>
          <w:bCs/>
        </w:rPr>
      </w:pPr>
      <w:r w:rsidRPr="00DF0191">
        <w:rPr>
          <w:b/>
          <w:bCs/>
        </w:rPr>
        <w:t>Spatial Deflation Studies</w:t>
      </w:r>
    </w:p>
    <w:p w:rsidR="00DF0191" w:rsidRPr="00DF0191" w:rsidRDefault="00DF0191" w:rsidP="00DF0191">
      <w:pPr>
        <w:tabs>
          <w:tab w:val="left" w:pos="426"/>
        </w:tabs>
        <w:spacing w:line="300" w:lineRule="auto"/>
        <w:rPr>
          <w:b/>
          <w:bCs/>
          <w:sz w:val="12"/>
          <w:szCs w:val="12"/>
        </w:rPr>
      </w:pPr>
    </w:p>
    <w:p w:rsidR="005F3F3E" w:rsidRDefault="005F3F3E" w:rsidP="00DF0191">
      <w:pPr>
        <w:tabs>
          <w:tab w:val="left" w:pos="426"/>
        </w:tabs>
        <w:autoSpaceDE w:val="0"/>
        <w:autoSpaceDN w:val="0"/>
        <w:adjustRightInd w:val="0"/>
        <w:spacing w:line="300" w:lineRule="auto"/>
        <w:jc w:val="both"/>
        <w:rPr>
          <w:lang w:val="en-NZ"/>
        </w:rPr>
      </w:pPr>
      <w:r w:rsidRPr="00370890">
        <w:rPr>
          <w:lang w:val="en-NZ"/>
        </w:rPr>
        <w:t xml:space="preserve">The most widely used spatial deflators for China appears to be those of Brandt and </w:t>
      </w:r>
      <w:proofErr w:type="spellStart"/>
      <w:r w:rsidRPr="00370890">
        <w:rPr>
          <w:lang w:val="en-NZ"/>
        </w:rPr>
        <w:t>Holz</w:t>
      </w:r>
      <w:proofErr w:type="spellEnd"/>
      <w:r w:rsidRPr="00370890">
        <w:rPr>
          <w:lang w:val="en-NZ"/>
        </w:rPr>
        <w:t xml:space="preserve"> (2006), whose paper has </w:t>
      </w:r>
      <w:r w:rsidRPr="00370890">
        <w:rPr>
          <w:rFonts w:eastAsia="Dotum"/>
          <w:color w:val="000000" w:themeColor="text1"/>
          <w:lang w:val="en-NZ"/>
        </w:rPr>
        <w:t xml:space="preserve">152 </w:t>
      </w:r>
      <w:r w:rsidRPr="00370890">
        <w:rPr>
          <w:rFonts w:eastAsia="Dotum"/>
          <w:i/>
          <w:color w:val="000000" w:themeColor="text1"/>
          <w:lang w:val="en-NZ"/>
        </w:rPr>
        <w:t>Google Scholar</w:t>
      </w:r>
      <w:r w:rsidRPr="00370890">
        <w:rPr>
          <w:rFonts w:eastAsia="Dotum"/>
          <w:color w:val="000000" w:themeColor="text1"/>
          <w:lang w:val="en-NZ"/>
        </w:rPr>
        <w:t xml:space="preserve"> citations as </w:t>
      </w:r>
      <w:r w:rsidR="006E2415">
        <w:rPr>
          <w:rFonts w:eastAsia="Dotum"/>
          <w:color w:val="000000" w:themeColor="text1"/>
          <w:lang w:val="en-NZ"/>
        </w:rPr>
        <w:t>at</w:t>
      </w:r>
      <w:r w:rsidRPr="00370890">
        <w:rPr>
          <w:rFonts w:eastAsia="Dotum"/>
          <w:color w:val="000000" w:themeColor="text1"/>
          <w:lang w:val="en-NZ"/>
        </w:rPr>
        <w:t xml:space="preserve"> March, 2013. These authors </w:t>
      </w:r>
      <w:r w:rsidRPr="00370890">
        <w:rPr>
          <w:lang w:val="en-NZ"/>
        </w:rPr>
        <w:t xml:space="preserve">use provincial price data from 1990 to </w:t>
      </w:r>
      <w:r w:rsidR="00C152E7">
        <w:rPr>
          <w:lang w:val="en-NZ"/>
        </w:rPr>
        <w:t xml:space="preserve">calculate the cost of </w:t>
      </w:r>
      <w:r w:rsidRPr="00370890">
        <w:rPr>
          <w:lang w:val="en-NZ"/>
        </w:rPr>
        <w:t xml:space="preserve">national rural and urban expenditure baskets (containing 40-60 items) and a population-weighted combined basket. </w:t>
      </w:r>
      <w:r w:rsidR="00C152E7">
        <w:rPr>
          <w:lang w:val="en-NZ"/>
        </w:rPr>
        <w:t>T</w:t>
      </w:r>
      <w:r w:rsidRPr="00370890">
        <w:rPr>
          <w:lang w:val="en-NZ"/>
        </w:rPr>
        <w:t xml:space="preserve">he prices had originally been collected by the statistical authorities for the purpose of calculating a temporal index (the CPI) for each province, so </w:t>
      </w:r>
      <w:r w:rsidR="00C152E7">
        <w:rPr>
          <w:lang w:val="en-NZ"/>
        </w:rPr>
        <w:t xml:space="preserve">they do </w:t>
      </w:r>
      <w:r w:rsidRPr="00370890">
        <w:rPr>
          <w:lang w:val="en-NZ"/>
        </w:rPr>
        <w:t xml:space="preserve">not necessarily refer to the same quality of items across provinces. </w:t>
      </w:r>
      <w:r w:rsidR="00D23852" w:rsidRPr="00370890">
        <w:rPr>
          <w:lang w:val="en-NZ"/>
        </w:rPr>
        <w:t xml:space="preserve">Rural prices were not available for all products consumed in rural areas, so provincial capital city prices were used for items constituting just over 40 percent of the </w:t>
      </w:r>
      <w:r w:rsidR="00037C0C">
        <w:rPr>
          <w:lang w:val="en-NZ"/>
        </w:rPr>
        <w:t xml:space="preserve">average </w:t>
      </w:r>
      <w:r w:rsidR="00D23852" w:rsidRPr="00370890">
        <w:rPr>
          <w:lang w:val="en-NZ"/>
        </w:rPr>
        <w:t xml:space="preserve">rural </w:t>
      </w:r>
      <w:r w:rsidR="00037C0C">
        <w:rPr>
          <w:lang w:val="en-NZ"/>
        </w:rPr>
        <w:t xml:space="preserve">household </w:t>
      </w:r>
      <w:r w:rsidR="00D23852" w:rsidRPr="00370890">
        <w:rPr>
          <w:lang w:val="en-NZ"/>
        </w:rPr>
        <w:t>budget.</w:t>
      </w:r>
      <w:r w:rsidR="006F5446" w:rsidRPr="00370890">
        <w:rPr>
          <w:lang w:val="en-NZ"/>
        </w:rPr>
        <w:t xml:space="preserve"> S</w:t>
      </w:r>
      <w:r w:rsidRPr="00370890">
        <w:rPr>
          <w:lang w:val="en-NZ"/>
        </w:rPr>
        <w:t xml:space="preserve">ince there </w:t>
      </w:r>
      <w:r w:rsidR="006F5446" w:rsidRPr="00370890">
        <w:rPr>
          <w:lang w:val="en-NZ"/>
        </w:rPr>
        <w:t xml:space="preserve">were no </w:t>
      </w:r>
      <w:r w:rsidRPr="00370890">
        <w:rPr>
          <w:lang w:val="en-NZ"/>
        </w:rPr>
        <w:t>pr</w:t>
      </w:r>
      <w:r w:rsidR="0047794B">
        <w:rPr>
          <w:lang w:val="en-NZ"/>
        </w:rPr>
        <w:t>ices for non-traded</w:t>
      </w:r>
      <w:r w:rsidRPr="00370890">
        <w:rPr>
          <w:lang w:val="en-NZ"/>
        </w:rPr>
        <w:t xml:space="preserve"> services, average </w:t>
      </w:r>
      <w:r w:rsidR="00D23852" w:rsidRPr="00370890">
        <w:rPr>
          <w:lang w:val="en-NZ"/>
        </w:rPr>
        <w:t xml:space="preserve">labourer </w:t>
      </w:r>
      <w:r w:rsidRPr="00370890">
        <w:rPr>
          <w:lang w:val="en-NZ"/>
        </w:rPr>
        <w:t xml:space="preserve">wages </w:t>
      </w:r>
      <w:r w:rsidR="00D23852" w:rsidRPr="00370890">
        <w:rPr>
          <w:lang w:val="en-NZ"/>
        </w:rPr>
        <w:t xml:space="preserve">in township and village enterprises (TVE) were used </w:t>
      </w:r>
      <w:r w:rsidRPr="00370890">
        <w:rPr>
          <w:lang w:val="en-NZ"/>
        </w:rPr>
        <w:t xml:space="preserve">as a proxy for these. </w:t>
      </w:r>
      <w:r w:rsidR="006F5446" w:rsidRPr="00370890">
        <w:rPr>
          <w:lang w:val="en-NZ"/>
        </w:rPr>
        <w:t xml:space="preserve">Finally, the analysis lacked data on either rent, land prices or real estate prices, so instead the construction costs per square meter of rural household buildings was </w:t>
      </w:r>
      <w:r w:rsidR="006F5446" w:rsidRPr="00370890">
        <w:rPr>
          <w:lang w:val="en-NZ"/>
        </w:rPr>
        <w:lastRenderedPageBreak/>
        <w:t>used as a proxy, with the ‘quantity’ of housing services in the basket set as 0.5625 square meters</w:t>
      </w:r>
      <w:r w:rsidR="00037C0C">
        <w:rPr>
          <w:lang w:val="en-NZ"/>
        </w:rPr>
        <w:t xml:space="preserve"> – chosen to give</w:t>
      </w:r>
      <w:r w:rsidR="006F5446" w:rsidRPr="00370890">
        <w:rPr>
          <w:lang w:val="en-NZ"/>
        </w:rPr>
        <w:t xml:space="preserve"> an expenditure </w:t>
      </w:r>
      <w:r w:rsidR="00037C0C">
        <w:rPr>
          <w:lang w:val="en-NZ"/>
        </w:rPr>
        <w:t xml:space="preserve">that was </w:t>
      </w:r>
      <w:r w:rsidR="006F5446" w:rsidRPr="00370890">
        <w:rPr>
          <w:lang w:val="en-NZ"/>
        </w:rPr>
        <w:t>equivalent to nationwide per capita rural household living expenditures on housing.</w:t>
      </w:r>
    </w:p>
    <w:p w:rsidR="00DF0191" w:rsidRPr="00370890" w:rsidRDefault="00DF0191" w:rsidP="00DF0191">
      <w:pPr>
        <w:tabs>
          <w:tab w:val="left" w:pos="426"/>
        </w:tabs>
        <w:autoSpaceDE w:val="0"/>
        <w:autoSpaceDN w:val="0"/>
        <w:adjustRightInd w:val="0"/>
        <w:spacing w:line="300" w:lineRule="auto"/>
        <w:jc w:val="both"/>
        <w:rPr>
          <w:lang w:val="en-NZ"/>
        </w:rPr>
      </w:pPr>
    </w:p>
    <w:p w:rsidR="00037C0C" w:rsidRDefault="00DF0191" w:rsidP="00DF0191">
      <w:pPr>
        <w:tabs>
          <w:tab w:val="left" w:pos="426"/>
        </w:tabs>
        <w:autoSpaceDE w:val="0"/>
        <w:autoSpaceDN w:val="0"/>
        <w:adjustRightInd w:val="0"/>
        <w:spacing w:line="300" w:lineRule="auto"/>
        <w:jc w:val="both"/>
      </w:pPr>
      <w:r>
        <w:rPr>
          <w:lang w:val="en-NZ"/>
        </w:rPr>
        <w:tab/>
      </w:r>
      <w:r w:rsidR="00037C0C">
        <w:rPr>
          <w:lang w:val="en-NZ"/>
        </w:rPr>
        <w:t xml:space="preserve">Brandt and </w:t>
      </w:r>
      <w:proofErr w:type="spellStart"/>
      <w:r w:rsidR="00037C0C">
        <w:rPr>
          <w:lang w:val="en-NZ"/>
        </w:rPr>
        <w:t>Holz</w:t>
      </w:r>
      <w:proofErr w:type="spellEnd"/>
      <w:r w:rsidR="00037C0C">
        <w:rPr>
          <w:lang w:val="en-NZ"/>
        </w:rPr>
        <w:t xml:space="preserve"> (2006) then use</w:t>
      </w:r>
      <w:r w:rsidR="005F3F3E" w:rsidRPr="00370890">
        <w:rPr>
          <w:lang w:val="en-NZ"/>
        </w:rPr>
        <w:t xml:space="preserve"> the annual rate of change i</w:t>
      </w:r>
      <w:r w:rsidR="00037C0C">
        <w:rPr>
          <w:lang w:val="en-NZ"/>
        </w:rPr>
        <w:t>n the CPI for each province to</w:t>
      </w:r>
      <w:r w:rsidR="005F3F3E" w:rsidRPr="00370890">
        <w:rPr>
          <w:lang w:val="en-NZ"/>
        </w:rPr>
        <w:t xml:space="preserve"> extend from the base year, back and forth in time</w:t>
      </w:r>
      <w:r w:rsidR="00DB6182">
        <w:rPr>
          <w:lang w:val="en-NZ"/>
        </w:rPr>
        <w:t xml:space="preserve"> to form </w:t>
      </w:r>
      <w:r w:rsidR="005F3F3E" w:rsidRPr="00370890">
        <w:rPr>
          <w:lang w:val="en-NZ"/>
        </w:rPr>
        <w:t xml:space="preserve">annual spatial deflators for each province from 1984 to </w:t>
      </w:r>
      <w:r w:rsidR="00DB6182">
        <w:rPr>
          <w:lang w:val="en-NZ"/>
        </w:rPr>
        <w:t>2004. This</w:t>
      </w:r>
      <w:r w:rsidR="005F3F3E" w:rsidRPr="00370890">
        <w:rPr>
          <w:lang w:val="en-NZ"/>
        </w:rPr>
        <w:t xml:space="preserve"> time series </w:t>
      </w:r>
      <w:r w:rsidR="0047794B">
        <w:rPr>
          <w:lang w:val="en-NZ"/>
        </w:rPr>
        <w:t xml:space="preserve">also is </w:t>
      </w:r>
      <w:r w:rsidR="005F3F3E" w:rsidRPr="00370890">
        <w:rPr>
          <w:lang w:val="en-NZ"/>
        </w:rPr>
        <w:t>used by other researchers studying inequality (</w:t>
      </w:r>
      <w:r w:rsidR="006E2415">
        <w:rPr>
          <w:lang w:val="en-NZ"/>
        </w:rPr>
        <w:t>for example,</w:t>
      </w:r>
      <w:r w:rsidR="005F3F3E" w:rsidRPr="00370890">
        <w:rPr>
          <w:lang w:val="en-NZ"/>
        </w:rPr>
        <w:t xml:space="preserve"> </w:t>
      </w:r>
      <w:proofErr w:type="spellStart"/>
      <w:r w:rsidR="005F3F3E" w:rsidRPr="00370890">
        <w:rPr>
          <w:lang w:val="en-NZ"/>
        </w:rPr>
        <w:t>Sicular</w:t>
      </w:r>
      <w:proofErr w:type="spellEnd"/>
      <w:r w:rsidR="005F3F3E" w:rsidRPr="00370890">
        <w:rPr>
          <w:lang w:val="en-NZ"/>
        </w:rPr>
        <w:t xml:space="preserve"> </w:t>
      </w:r>
      <w:r w:rsidR="005F3F3E" w:rsidRPr="006E2415">
        <w:rPr>
          <w:i/>
          <w:lang w:val="en-NZ"/>
        </w:rPr>
        <w:t>et al</w:t>
      </w:r>
      <w:r w:rsidR="006E2415">
        <w:rPr>
          <w:i/>
          <w:lang w:val="en-NZ"/>
        </w:rPr>
        <w:t>.</w:t>
      </w:r>
      <w:r w:rsidR="005F3F3E" w:rsidRPr="00370890">
        <w:rPr>
          <w:lang w:val="en-NZ"/>
        </w:rPr>
        <w:t xml:space="preserve"> 2007</w:t>
      </w:r>
      <w:r w:rsidR="006E2415">
        <w:rPr>
          <w:lang w:val="en-NZ"/>
        </w:rPr>
        <w:t xml:space="preserve"> and Li and Gibson</w:t>
      </w:r>
      <w:r w:rsidR="00037C0C">
        <w:rPr>
          <w:lang w:val="en-NZ"/>
        </w:rPr>
        <w:t xml:space="preserve"> 2013</w:t>
      </w:r>
      <w:r w:rsidR="005F3F3E" w:rsidRPr="00370890">
        <w:rPr>
          <w:lang w:val="en-NZ"/>
        </w:rPr>
        <w:t xml:space="preserve">) </w:t>
      </w:r>
      <w:r w:rsidR="00DB6182">
        <w:rPr>
          <w:lang w:val="en-NZ"/>
        </w:rPr>
        <w:t xml:space="preserve">since it allows </w:t>
      </w:r>
      <w:r w:rsidR="005F3F3E" w:rsidRPr="00370890">
        <w:rPr>
          <w:lang w:val="en-NZ"/>
        </w:rPr>
        <w:t xml:space="preserve">easy updating </w:t>
      </w:r>
      <w:r w:rsidR="00DB6182">
        <w:rPr>
          <w:lang w:val="en-NZ"/>
        </w:rPr>
        <w:t xml:space="preserve">by just using published data </w:t>
      </w:r>
      <w:r w:rsidR="005F3F3E" w:rsidRPr="00370890">
        <w:rPr>
          <w:lang w:val="en-NZ"/>
        </w:rPr>
        <w:t xml:space="preserve">on the annual rate of change in each province’s CPI. </w:t>
      </w:r>
      <w:r w:rsidR="00DB6182">
        <w:rPr>
          <w:lang w:val="en-NZ"/>
        </w:rPr>
        <w:t>Despite this</w:t>
      </w:r>
      <w:r w:rsidR="00037C0C">
        <w:rPr>
          <w:lang w:val="en-NZ"/>
        </w:rPr>
        <w:t xml:space="preserve"> simplicity, there are potential problem</w:t>
      </w:r>
      <w:r w:rsidR="0047794B">
        <w:rPr>
          <w:lang w:val="en-NZ"/>
        </w:rPr>
        <w:t>s in using a temporal index</w:t>
      </w:r>
      <w:r w:rsidR="00037C0C">
        <w:rPr>
          <w:lang w:val="en-NZ"/>
        </w:rPr>
        <w:t xml:space="preserve"> to update a spatial index</w:t>
      </w:r>
      <w:r w:rsidR="00D55E66">
        <w:rPr>
          <w:lang w:val="en-NZ"/>
        </w:rPr>
        <w:t xml:space="preserve"> </w:t>
      </w:r>
      <w:r w:rsidR="0047794B">
        <w:rPr>
          <w:lang w:val="en-NZ"/>
        </w:rPr>
        <w:t xml:space="preserve">so as to </w:t>
      </w:r>
      <w:r w:rsidR="00D55E66">
        <w:rPr>
          <w:lang w:val="en-NZ"/>
        </w:rPr>
        <w:t>create</w:t>
      </w:r>
      <w:r w:rsidR="00037C0C">
        <w:rPr>
          <w:lang w:val="en-NZ"/>
        </w:rPr>
        <w:t xml:space="preserve"> a panel of deflators. </w:t>
      </w:r>
      <w:r w:rsidR="00D55E66">
        <w:rPr>
          <w:lang w:val="en-NZ"/>
        </w:rPr>
        <w:t xml:space="preserve">An example of </w:t>
      </w:r>
      <w:r w:rsidR="00C152E7">
        <w:rPr>
          <w:lang w:val="en-NZ"/>
        </w:rPr>
        <w:t xml:space="preserve">such </w:t>
      </w:r>
      <w:r w:rsidR="00037C0C">
        <w:t xml:space="preserve">bias </w:t>
      </w:r>
      <w:r w:rsidR="00D55E66">
        <w:t xml:space="preserve">comes from Russia; </w:t>
      </w:r>
      <w:proofErr w:type="spellStart"/>
      <w:r w:rsidR="00D55E66">
        <w:t>Gluschenko</w:t>
      </w:r>
      <w:proofErr w:type="spellEnd"/>
      <w:r w:rsidR="00D55E66">
        <w:t xml:space="preserve"> (2006) compares</w:t>
      </w:r>
      <w:r w:rsidR="00037C0C" w:rsidRPr="00370890">
        <w:t xml:space="preserve"> a spatial price index calculated for period </w:t>
      </w:r>
      <w:r w:rsidR="00037C0C" w:rsidRPr="00370890">
        <w:rPr>
          <w:i/>
        </w:rPr>
        <w:t>t</w:t>
      </w:r>
      <w:r w:rsidR="00037C0C" w:rsidRPr="00370890">
        <w:t xml:space="preserve"> using spatial prices for the same period</w:t>
      </w:r>
      <w:r w:rsidR="00DB6182">
        <w:t>,</w:t>
      </w:r>
      <w:r w:rsidR="00037C0C" w:rsidRPr="00370890">
        <w:t xml:space="preserve"> with an index for period </w:t>
      </w:r>
      <w:r w:rsidR="00037C0C" w:rsidRPr="00370890">
        <w:rPr>
          <w:i/>
        </w:rPr>
        <w:t xml:space="preserve">t </w:t>
      </w:r>
      <w:r w:rsidR="00037C0C" w:rsidRPr="00370890">
        <w:t xml:space="preserve">that is extrapolated from a spatial price index for period </w:t>
      </w:r>
      <w:r w:rsidR="00037C0C" w:rsidRPr="00370890">
        <w:rPr>
          <w:i/>
        </w:rPr>
        <w:t>t</w:t>
      </w:r>
      <w:r w:rsidR="00037C0C" w:rsidRPr="00370890">
        <w:rPr>
          <w:vertAlign w:val="subscript"/>
        </w:rPr>
        <w:t>0</w:t>
      </w:r>
      <w:r w:rsidR="00037C0C" w:rsidRPr="00370890">
        <w:t xml:space="preserve"> using local CPIs to update prices from </w:t>
      </w:r>
      <w:r w:rsidR="00037C0C" w:rsidRPr="00370890">
        <w:rPr>
          <w:i/>
        </w:rPr>
        <w:t>t</w:t>
      </w:r>
      <w:r w:rsidR="00037C0C" w:rsidRPr="00370890">
        <w:rPr>
          <w:vertAlign w:val="subscript"/>
        </w:rPr>
        <w:t>0</w:t>
      </w:r>
      <w:r w:rsidR="00037C0C" w:rsidRPr="00370890">
        <w:t xml:space="preserve"> to </w:t>
      </w:r>
      <w:r w:rsidR="00037C0C" w:rsidRPr="00370890">
        <w:rPr>
          <w:i/>
        </w:rPr>
        <w:t>t</w:t>
      </w:r>
      <w:r w:rsidR="00037C0C" w:rsidRPr="00370890">
        <w:t xml:space="preserve">. </w:t>
      </w:r>
      <w:r w:rsidR="006E2415">
        <w:t xml:space="preserve"> </w:t>
      </w:r>
      <w:r w:rsidR="00037C0C" w:rsidRPr="00370890">
        <w:t xml:space="preserve">The direct method gives a spatial price index for each province whose range is 44 percent of the national mean price level, but the indirect method gives a </w:t>
      </w:r>
      <w:r w:rsidR="00C152E7">
        <w:t xml:space="preserve">much wider </w:t>
      </w:r>
      <w:r w:rsidR="00037C0C" w:rsidRPr="00370890">
        <w:t>range</w:t>
      </w:r>
      <w:r w:rsidR="00C152E7">
        <w:t>,</w:t>
      </w:r>
      <w:r w:rsidR="00037C0C" w:rsidRPr="00370890">
        <w:t xml:space="preserve"> of 72 percent. </w:t>
      </w:r>
    </w:p>
    <w:p w:rsidR="00DF0191" w:rsidRPr="00037C0C" w:rsidRDefault="00DF0191" w:rsidP="00DF0191">
      <w:pPr>
        <w:tabs>
          <w:tab w:val="left" w:pos="426"/>
        </w:tabs>
        <w:autoSpaceDE w:val="0"/>
        <w:autoSpaceDN w:val="0"/>
        <w:adjustRightInd w:val="0"/>
        <w:spacing w:line="300" w:lineRule="auto"/>
        <w:jc w:val="both"/>
        <w:rPr>
          <w:lang w:val="en-NZ"/>
        </w:rPr>
      </w:pPr>
    </w:p>
    <w:p w:rsidR="004C2CEB" w:rsidRDefault="00DF0191" w:rsidP="00DF0191">
      <w:pPr>
        <w:tabs>
          <w:tab w:val="left" w:pos="426"/>
        </w:tabs>
        <w:autoSpaceDE w:val="0"/>
        <w:autoSpaceDN w:val="0"/>
        <w:adjustRightInd w:val="0"/>
        <w:spacing w:line="300" w:lineRule="auto"/>
        <w:jc w:val="both"/>
      </w:pPr>
      <w:r>
        <w:rPr>
          <w:lang w:val="en-NZ"/>
        </w:rPr>
        <w:tab/>
      </w:r>
      <w:r w:rsidR="00DB6182">
        <w:rPr>
          <w:lang w:val="en-NZ"/>
        </w:rPr>
        <w:t xml:space="preserve">The </w:t>
      </w:r>
      <w:r w:rsidR="00D55E66">
        <w:rPr>
          <w:lang w:val="en-NZ"/>
        </w:rPr>
        <w:t xml:space="preserve">example from Russia shows that </w:t>
      </w:r>
      <w:r w:rsidR="00765CDC">
        <w:t xml:space="preserve">CPI-updated price levels may </w:t>
      </w:r>
      <w:r w:rsidR="00D55E66" w:rsidRPr="00370890">
        <w:t>not adequately proxy for cross-spatial price levels</w:t>
      </w:r>
      <w:r w:rsidR="00765CDC">
        <w:t xml:space="preserve">. More </w:t>
      </w:r>
      <w:r w:rsidR="00D55E66">
        <w:t>general</w:t>
      </w:r>
      <w:r w:rsidR="00765CDC">
        <w:t>ly,</w:t>
      </w:r>
      <w:r w:rsidR="00D55E66">
        <w:t xml:space="preserve"> it may </w:t>
      </w:r>
      <w:r w:rsidR="00765CDC">
        <w:t xml:space="preserve">not be </w:t>
      </w:r>
      <w:r w:rsidR="00D55E66">
        <w:t xml:space="preserve">possible to construct panel price indexes that are unbiased across both space and time (Hill 2004). The problem is that </w:t>
      </w:r>
      <w:r w:rsidR="004C2CEB" w:rsidRPr="00370890">
        <w:t xml:space="preserve">bilateral index formulae, such as </w:t>
      </w:r>
      <w:r w:rsidR="00D55E66">
        <w:t xml:space="preserve">for the </w:t>
      </w:r>
      <w:proofErr w:type="spellStart"/>
      <w:r w:rsidR="00D55E66">
        <w:t>Laspeyres</w:t>
      </w:r>
      <w:proofErr w:type="spellEnd"/>
      <w:r w:rsidR="00D55E66">
        <w:t xml:space="preserve"> index </w:t>
      </w:r>
      <w:r w:rsidR="004C2CEB" w:rsidRPr="00370890">
        <w:t xml:space="preserve">used by Brandt and </w:t>
      </w:r>
      <w:proofErr w:type="spellStart"/>
      <w:r w:rsidR="004C2CEB" w:rsidRPr="00370890">
        <w:t>Holz</w:t>
      </w:r>
      <w:proofErr w:type="spellEnd"/>
      <w:r w:rsidR="004C2CEB" w:rsidRPr="00370890">
        <w:t xml:space="preserve"> (2006), are unlikely to give transitive results when extended to a multilateral situation</w:t>
      </w:r>
      <w:r w:rsidR="00D55E66">
        <w:t>.</w:t>
      </w:r>
      <w:r w:rsidR="004C2CEB" w:rsidRPr="00370890">
        <w:t xml:space="preserve"> For example, consider a price index calculated for three regions: Beijing, </w:t>
      </w:r>
      <w:r w:rsidR="004C2CEB" w:rsidRPr="00370890">
        <w:rPr>
          <w:i/>
        </w:rPr>
        <w:t>P</w:t>
      </w:r>
      <w:r w:rsidR="004C2CEB" w:rsidRPr="00370890">
        <w:rPr>
          <w:i/>
          <w:vertAlign w:val="subscript"/>
        </w:rPr>
        <w:t>B</w:t>
      </w:r>
      <w:r w:rsidR="004C2CEB" w:rsidRPr="00370890">
        <w:t xml:space="preserve">, other urban areas, </w:t>
      </w:r>
      <w:r w:rsidR="004C2CEB" w:rsidRPr="00370890">
        <w:rPr>
          <w:i/>
        </w:rPr>
        <w:t>P</w:t>
      </w:r>
      <w:r w:rsidR="004C2CEB" w:rsidRPr="00370890">
        <w:rPr>
          <w:i/>
          <w:vertAlign w:val="subscript"/>
        </w:rPr>
        <w:t>U</w:t>
      </w:r>
      <w:r w:rsidR="004C2CEB" w:rsidRPr="00370890">
        <w:t xml:space="preserve">, and rural areas, </w:t>
      </w:r>
      <w:r w:rsidR="004C2CEB" w:rsidRPr="00370890">
        <w:rPr>
          <w:i/>
        </w:rPr>
        <w:t>P</w:t>
      </w:r>
      <w:r w:rsidR="004C2CEB" w:rsidRPr="00370890">
        <w:rPr>
          <w:i/>
          <w:vertAlign w:val="subscript"/>
        </w:rPr>
        <w:t>R</w:t>
      </w:r>
      <w:r w:rsidR="004C2CEB" w:rsidRPr="00370890">
        <w:t xml:space="preserve"> with base weights that differ in each region. A direct comparison between the rural price level in period </w:t>
      </w:r>
      <w:r w:rsidR="004C2CEB" w:rsidRPr="00370890">
        <w:rPr>
          <w:i/>
        </w:rPr>
        <w:t>t</w:t>
      </w:r>
      <w:r w:rsidR="004C2CEB" w:rsidRPr="00370890">
        <w:rPr>
          <w:i/>
          <w:vertAlign w:val="subscript"/>
        </w:rPr>
        <w:t>2</w:t>
      </w:r>
      <w:r w:rsidR="004C2CEB" w:rsidRPr="00370890">
        <w:rPr>
          <w:i/>
        </w:rPr>
        <w:t xml:space="preserve"> </w:t>
      </w:r>
      <w:r w:rsidR="004C2CEB" w:rsidRPr="00370890">
        <w:t xml:space="preserve">and Beijing prices in period </w:t>
      </w:r>
      <w:r w:rsidR="004C2CEB" w:rsidRPr="00370890">
        <w:rPr>
          <w:i/>
        </w:rPr>
        <w:t>t</w:t>
      </w:r>
      <w:r w:rsidR="004C2CEB" w:rsidRPr="00370890">
        <w:rPr>
          <w:i/>
          <w:vertAlign w:val="subscript"/>
        </w:rPr>
        <w:t>0</w:t>
      </w:r>
      <w:r w:rsidR="004C2CEB" w:rsidRPr="00370890">
        <w:t xml:space="preserve"> will not give the same result as constructing an indirect comparison via the third region in an intermediate time period, </w:t>
      </w:r>
      <w:r w:rsidR="004C2CEB" w:rsidRPr="00370890">
        <w:rPr>
          <w:i/>
        </w:rPr>
        <w:t>t</w:t>
      </w:r>
      <w:r w:rsidR="004C2CEB" w:rsidRPr="00370890">
        <w:rPr>
          <w:i/>
          <w:vertAlign w:val="subscript"/>
        </w:rPr>
        <w:t>1</w:t>
      </w:r>
      <w:r w:rsidR="004C2CEB" w:rsidRPr="00370890">
        <w:rPr>
          <w:vertAlign w:val="subscript"/>
        </w:rPr>
        <w:t>:</w:t>
      </w:r>
      <w:r w:rsidR="004C2CEB" w:rsidRPr="00370890">
        <w:t xml:space="preserve"> </w:t>
      </w:r>
    </w:p>
    <w:p w:rsidR="00DF0191" w:rsidRPr="00370890" w:rsidRDefault="00DF0191" w:rsidP="00DF0191">
      <w:pPr>
        <w:tabs>
          <w:tab w:val="left" w:pos="426"/>
        </w:tabs>
        <w:autoSpaceDE w:val="0"/>
        <w:autoSpaceDN w:val="0"/>
        <w:adjustRightInd w:val="0"/>
        <w:spacing w:line="300" w:lineRule="auto"/>
        <w:jc w:val="both"/>
      </w:pPr>
    </w:p>
    <w:p w:rsidR="004C2CEB" w:rsidRPr="00370890" w:rsidRDefault="00D07DA3" w:rsidP="00D07DA3">
      <w:pPr>
        <w:tabs>
          <w:tab w:val="left" w:pos="3544"/>
          <w:tab w:val="right" w:pos="4536"/>
          <w:tab w:val="right" w:pos="8931"/>
        </w:tabs>
        <w:spacing w:line="300" w:lineRule="auto"/>
        <w:jc w:val="center"/>
      </w:pPr>
      <w:r>
        <w:tab/>
      </w:r>
      <w:r w:rsidR="004C2CEB" w:rsidRPr="00370890">
        <w:rPr>
          <w:position w:val="-14"/>
        </w:rPr>
        <w:object w:dxaOrig="210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45pt;height:18.85pt" o:ole="">
            <v:imagedata r:id="rId9" o:title=""/>
          </v:shape>
          <o:OLEObject Type="Embed" ProgID="Equation.3" ShapeID="_x0000_i1025" DrawAspect="Content" ObjectID="_1424786449" r:id="rId10"/>
        </w:object>
      </w:r>
      <w:r>
        <w:tab/>
      </w:r>
      <w:r w:rsidRPr="00D07DA3">
        <w:rPr>
          <w:sz w:val="22"/>
          <w:szCs w:val="22"/>
        </w:rPr>
        <w:t>(1)</w:t>
      </w:r>
    </w:p>
    <w:p w:rsidR="00DF0191" w:rsidRDefault="00DF0191" w:rsidP="00DF0191">
      <w:pPr>
        <w:tabs>
          <w:tab w:val="left" w:pos="426"/>
        </w:tabs>
        <w:spacing w:line="300" w:lineRule="auto"/>
      </w:pPr>
    </w:p>
    <w:p w:rsidR="00765CDC" w:rsidRDefault="00483DD6" w:rsidP="00DF0191">
      <w:pPr>
        <w:tabs>
          <w:tab w:val="left" w:pos="426"/>
        </w:tabs>
        <w:spacing w:line="300" w:lineRule="auto"/>
      </w:pPr>
      <w:r>
        <w:tab/>
      </w:r>
      <w:r w:rsidR="00765CDC">
        <w:t>Instead,</w:t>
      </w:r>
      <w:r w:rsidR="004C2CEB" w:rsidRPr="00370890">
        <w:t xml:space="preserve"> </w:t>
      </w:r>
      <w:r w:rsidR="00765CDC">
        <w:t xml:space="preserve">transitivity requires use of </w:t>
      </w:r>
      <w:r w:rsidR="004C2CEB" w:rsidRPr="00370890">
        <w:t>a multilateral index</w:t>
      </w:r>
      <w:r w:rsidR="00765CDC">
        <w:t xml:space="preserve"> method, such as </w:t>
      </w:r>
      <w:r w:rsidR="004C2CEB" w:rsidRPr="00370890">
        <w:t>the Geary-</w:t>
      </w:r>
      <w:proofErr w:type="spellStart"/>
      <w:r w:rsidR="004C2CEB" w:rsidRPr="00370890">
        <w:t>Khamis</w:t>
      </w:r>
      <w:proofErr w:type="spellEnd"/>
      <w:r w:rsidR="004C2CEB" w:rsidRPr="00370890">
        <w:t xml:space="preserve"> (GK) method that unde</w:t>
      </w:r>
      <w:r w:rsidR="00765CDC">
        <w:t>rlies the Penn World Table or</w:t>
      </w:r>
      <w:r w:rsidR="004C2CEB" w:rsidRPr="00370890">
        <w:t xml:space="preserve"> EKS (</w:t>
      </w:r>
      <w:proofErr w:type="spellStart"/>
      <w:r w:rsidR="004C2CEB" w:rsidRPr="00370890">
        <w:t>Eltetö</w:t>
      </w:r>
      <w:proofErr w:type="spellEnd"/>
      <w:r w:rsidR="004C2CEB" w:rsidRPr="00370890">
        <w:t xml:space="preserve">, </w:t>
      </w:r>
      <w:proofErr w:type="spellStart"/>
      <w:r w:rsidR="004C2CEB" w:rsidRPr="00370890">
        <w:t>Köves</w:t>
      </w:r>
      <w:proofErr w:type="spellEnd"/>
      <w:r w:rsidR="004C2CEB" w:rsidRPr="00370890">
        <w:t xml:space="preserve"> and </w:t>
      </w:r>
      <w:proofErr w:type="spellStart"/>
      <w:r w:rsidR="004C2CEB" w:rsidRPr="00370890">
        <w:t>Szulc</w:t>
      </w:r>
      <w:proofErr w:type="spellEnd"/>
      <w:r w:rsidR="004C2CEB" w:rsidRPr="00370890">
        <w:t>) type methods</w:t>
      </w:r>
      <w:r w:rsidR="00765CDC">
        <w:t>.</w:t>
      </w:r>
      <w:r w:rsidR="00765CDC" w:rsidRPr="00370890">
        <w:rPr>
          <w:rStyle w:val="FootnoteReference"/>
        </w:rPr>
        <w:footnoteReference w:id="2"/>
      </w:r>
    </w:p>
    <w:p w:rsidR="005F3F3E" w:rsidRDefault="00DF0191" w:rsidP="00DF0191">
      <w:pPr>
        <w:tabs>
          <w:tab w:val="left" w:pos="426"/>
        </w:tabs>
        <w:autoSpaceDE w:val="0"/>
        <w:autoSpaceDN w:val="0"/>
        <w:adjustRightInd w:val="0"/>
        <w:spacing w:line="300" w:lineRule="auto"/>
        <w:jc w:val="both"/>
        <w:rPr>
          <w:lang w:val="en-NZ"/>
        </w:rPr>
      </w:pPr>
      <w:r>
        <w:rPr>
          <w:lang w:val="en-NZ"/>
        </w:rPr>
        <w:lastRenderedPageBreak/>
        <w:tab/>
      </w:r>
      <w:r w:rsidR="00765CDC" w:rsidRPr="00C152E7">
        <w:rPr>
          <w:lang w:val="en-NZ"/>
        </w:rPr>
        <w:t>A</w:t>
      </w:r>
      <w:r w:rsidR="00516AC2">
        <w:rPr>
          <w:lang w:val="en-NZ"/>
        </w:rPr>
        <w:t>nother</w:t>
      </w:r>
      <w:r w:rsidR="00765CDC" w:rsidRPr="00C152E7">
        <w:rPr>
          <w:lang w:val="en-NZ"/>
        </w:rPr>
        <w:t xml:space="preserve"> </w:t>
      </w:r>
      <w:r w:rsidR="00516AC2">
        <w:rPr>
          <w:lang w:val="en-NZ"/>
        </w:rPr>
        <w:t xml:space="preserve">issue </w:t>
      </w:r>
      <w:r w:rsidR="00765CDC" w:rsidRPr="00C152E7">
        <w:rPr>
          <w:lang w:val="en-NZ"/>
        </w:rPr>
        <w:t xml:space="preserve">with the </w:t>
      </w:r>
      <w:r w:rsidR="0047794B" w:rsidRPr="00C152E7">
        <w:rPr>
          <w:lang w:val="en-NZ"/>
        </w:rPr>
        <w:t xml:space="preserve">deflator formed by Brandt and </w:t>
      </w:r>
      <w:proofErr w:type="spellStart"/>
      <w:r w:rsidR="0047794B" w:rsidRPr="00C152E7">
        <w:rPr>
          <w:lang w:val="en-NZ"/>
        </w:rPr>
        <w:t>Holz</w:t>
      </w:r>
      <w:proofErr w:type="spellEnd"/>
      <w:r w:rsidR="0047794B" w:rsidRPr="00C152E7">
        <w:rPr>
          <w:lang w:val="en-NZ"/>
        </w:rPr>
        <w:t xml:space="preserve"> is the use of a national</w:t>
      </w:r>
      <w:r w:rsidR="0047794B">
        <w:rPr>
          <w:lang w:val="en-NZ"/>
        </w:rPr>
        <w:t xml:space="preserve"> basket</w:t>
      </w:r>
      <w:r w:rsidR="00C152E7">
        <w:rPr>
          <w:lang w:val="en-NZ"/>
        </w:rPr>
        <w:t xml:space="preserve"> rather than </w:t>
      </w:r>
      <w:r w:rsidR="00CE3B71">
        <w:rPr>
          <w:lang w:val="en-NZ"/>
        </w:rPr>
        <w:t xml:space="preserve">letting </w:t>
      </w:r>
      <w:r w:rsidR="00C152E7">
        <w:rPr>
          <w:lang w:val="en-NZ"/>
        </w:rPr>
        <w:t xml:space="preserve">consumer responses to relative prices and other differences </w:t>
      </w:r>
      <w:r w:rsidR="00242765">
        <w:rPr>
          <w:lang w:val="en-NZ"/>
        </w:rPr>
        <w:t>in</w:t>
      </w:r>
      <w:r w:rsidR="00C152E7">
        <w:rPr>
          <w:lang w:val="en-NZ"/>
        </w:rPr>
        <w:t xml:space="preserve">duce regional variation in the structure of consumption. While sensitivity to consumer responses is a claimed </w:t>
      </w:r>
      <w:r w:rsidR="00516AC2">
        <w:rPr>
          <w:lang w:val="en-NZ"/>
        </w:rPr>
        <w:t xml:space="preserve">feature </w:t>
      </w:r>
      <w:r w:rsidR="00C152E7">
        <w:rPr>
          <w:lang w:val="en-NZ"/>
        </w:rPr>
        <w:t xml:space="preserve">of the ‘no-price’ Engel curve method described below (Gong and </w:t>
      </w:r>
      <w:proofErr w:type="spellStart"/>
      <w:r w:rsidR="00C152E7">
        <w:rPr>
          <w:lang w:val="en-NZ"/>
        </w:rPr>
        <w:t>Meng</w:t>
      </w:r>
      <w:proofErr w:type="spellEnd"/>
      <w:r w:rsidR="00C152E7">
        <w:rPr>
          <w:lang w:val="en-NZ"/>
        </w:rPr>
        <w:t xml:space="preserve">, 2008), </w:t>
      </w:r>
      <w:r w:rsidR="00516AC2">
        <w:rPr>
          <w:lang w:val="en-NZ"/>
        </w:rPr>
        <w:t xml:space="preserve">it is </w:t>
      </w:r>
      <w:r w:rsidR="00C152E7">
        <w:rPr>
          <w:lang w:val="en-NZ"/>
        </w:rPr>
        <w:t>no</w:t>
      </w:r>
      <w:r w:rsidR="00CE3B71">
        <w:rPr>
          <w:lang w:val="en-NZ"/>
        </w:rPr>
        <w:t>t</w:t>
      </w:r>
      <w:r w:rsidR="00C152E7">
        <w:rPr>
          <w:lang w:val="en-NZ"/>
        </w:rPr>
        <w:t xml:space="preserve"> </w:t>
      </w:r>
      <w:r w:rsidR="00242765">
        <w:rPr>
          <w:lang w:val="en-NZ"/>
        </w:rPr>
        <w:t xml:space="preserve">required that </w:t>
      </w:r>
      <w:r w:rsidR="00C152E7">
        <w:rPr>
          <w:lang w:val="en-NZ"/>
        </w:rPr>
        <w:t xml:space="preserve">methods using disaggregated price data ignore variation in the structure of consumption. For example, </w:t>
      </w:r>
      <w:r w:rsidR="00C152E7" w:rsidRPr="00174254">
        <w:rPr>
          <w:lang w:val="en-NZ"/>
        </w:rPr>
        <w:t xml:space="preserve">Deaton and </w:t>
      </w:r>
      <w:proofErr w:type="spellStart"/>
      <w:r w:rsidR="00C152E7" w:rsidRPr="00174254">
        <w:rPr>
          <w:lang w:val="en-NZ"/>
        </w:rPr>
        <w:t>Dupriez</w:t>
      </w:r>
      <w:proofErr w:type="spellEnd"/>
      <w:r w:rsidR="00C152E7" w:rsidRPr="00174254">
        <w:rPr>
          <w:lang w:val="en-NZ"/>
        </w:rPr>
        <w:t xml:space="preserve"> (2011)</w:t>
      </w:r>
      <w:r w:rsidR="00C152E7">
        <w:rPr>
          <w:lang w:val="en-NZ"/>
        </w:rPr>
        <w:t xml:space="preserve"> use unit values from household surveys to calculate spatial price differences in two other large countries</w:t>
      </w:r>
      <w:r w:rsidR="00516AC2">
        <w:rPr>
          <w:lang w:val="en-NZ"/>
        </w:rPr>
        <w:t xml:space="preserve"> – India </w:t>
      </w:r>
      <w:r w:rsidR="00C152E7">
        <w:rPr>
          <w:lang w:val="en-NZ"/>
        </w:rPr>
        <w:t>and Brazil</w:t>
      </w:r>
      <w:r w:rsidR="00516AC2">
        <w:rPr>
          <w:lang w:val="en-NZ"/>
        </w:rPr>
        <w:t xml:space="preserve">, </w:t>
      </w:r>
      <w:r w:rsidR="00CE3B71">
        <w:rPr>
          <w:lang w:val="en-NZ"/>
        </w:rPr>
        <w:t xml:space="preserve">using </w:t>
      </w:r>
      <w:r w:rsidR="00516AC2" w:rsidRPr="00516AC2">
        <w:rPr>
          <w:lang w:val="en-NZ"/>
        </w:rPr>
        <w:t xml:space="preserve">multilateral </w:t>
      </w:r>
      <w:proofErr w:type="spellStart"/>
      <w:r w:rsidR="00516AC2" w:rsidRPr="00516AC2">
        <w:rPr>
          <w:lang w:val="en-NZ"/>
        </w:rPr>
        <w:t>Törnqvist</w:t>
      </w:r>
      <w:proofErr w:type="spellEnd"/>
      <w:r w:rsidR="00516AC2" w:rsidRPr="00516AC2">
        <w:rPr>
          <w:lang w:val="en-NZ"/>
        </w:rPr>
        <w:t xml:space="preserve"> index</w:t>
      </w:r>
      <w:r w:rsidR="00516AC2">
        <w:rPr>
          <w:lang w:val="en-NZ"/>
        </w:rPr>
        <w:t>es</w:t>
      </w:r>
      <w:r w:rsidR="00516AC2" w:rsidRPr="00516AC2">
        <w:rPr>
          <w:lang w:val="en-NZ"/>
        </w:rPr>
        <w:t xml:space="preserve"> </w:t>
      </w:r>
      <w:r w:rsidR="00CE3B71">
        <w:rPr>
          <w:lang w:val="en-NZ"/>
        </w:rPr>
        <w:t xml:space="preserve">that </w:t>
      </w:r>
      <w:r w:rsidR="00516AC2" w:rsidRPr="00516AC2">
        <w:rPr>
          <w:lang w:val="en-NZ"/>
        </w:rPr>
        <w:t xml:space="preserve">are the geometric average of price relativities between each region </w:t>
      </w:r>
      <w:r w:rsidR="00516AC2">
        <w:rPr>
          <w:lang w:val="en-NZ"/>
        </w:rPr>
        <w:t>and the base region</w:t>
      </w:r>
      <w:r w:rsidR="00242765">
        <w:rPr>
          <w:lang w:val="en-NZ"/>
        </w:rPr>
        <w:t>,</w:t>
      </w:r>
      <w:r w:rsidR="00516AC2" w:rsidRPr="00516AC2">
        <w:rPr>
          <w:lang w:val="en-NZ"/>
        </w:rPr>
        <w:t xml:space="preserve"> weighted by the arithmetic average of the budget shares for the two regions.</w:t>
      </w:r>
      <w:r w:rsidR="00516AC2">
        <w:rPr>
          <w:lang w:val="en-NZ"/>
        </w:rPr>
        <w:t xml:space="preserve"> Hence, variation in the structure of consumption, as captured in budget shares for </w:t>
      </w:r>
      <w:r w:rsidR="00242765">
        <w:rPr>
          <w:lang w:val="en-NZ"/>
        </w:rPr>
        <w:t>each region, is accounted for by</w:t>
      </w:r>
      <w:r w:rsidR="00516AC2">
        <w:rPr>
          <w:lang w:val="en-NZ"/>
        </w:rPr>
        <w:t xml:space="preserve"> this type of spatial price index. The results for these two countries show </w:t>
      </w:r>
      <w:r w:rsidR="005A6893" w:rsidRPr="00174254">
        <w:rPr>
          <w:lang w:val="en-NZ"/>
        </w:rPr>
        <w:t>a 20 percent range in average food prices between the cheapest and most expensive regions in India, while in Brazil there is almost no price gradient</w:t>
      </w:r>
      <w:r w:rsidR="00CE3B71">
        <w:rPr>
          <w:lang w:val="en-NZ"/>
        </w:rPr>
        <w:t>; reflect</w:t>
      </w:r>
      <w:r w:rsidR="00470041">
        <w:rPr>
          <w:lang w:val="en-NZ"/>
        </w:rPr>
        <w:t>ing</w:t>
      </w:r>
      <w:r w:rsidR="00CE3B71">
        <w:rPr>
          <w:lang w:val="en-NZ"/>
        </w:rPr>
        <w:t xml:space="preserve"> the higher incomes in Brazil </w:t>
      </w:r>
      <w:r w:rsidR="00470041">
        <w:rPr>
          <w:lang w:val="en-NZ"/>
        </w:rPr>
        <w:t xml:space="preserve">and hence greater importance </w:t>
      </w:r>
      <w:r w:rsidR="00F86DD5">
        <w:rPr>
          <w:lang w:val="en-NZ"/>
        </w:rPr>
        <w:t>o</w:t>
      </w:r>
      <w:r w:rsidR="00470041">
        <w:rPr>
          <w:lang w:val="en-NZ"/>
        </w:rPr>
        <w:t>f</w:t>
      </w:r>
      <w:r w:rsidR="00CE3B71">
        <w:rPr>
          <w:lang w:val="en-NZ"/>
        </w:rPr>
        <w:t xml:space="preserve"> processed foods which likely have much smaller price margins between regions than </w:t>
      </w:r>
      <w:r w:rsidR="00242765">
        <w:rPr>
          <w:lang w:val="en-NZ"/>
        </w:rPr>
        <w:t xml:space="preserve">do </w:t>
      </w:r>
      <w:r w:rsidR="00CE3B71">
        <w:rPr>
          <w:lang w:val="en-NZ"/>
        </w:rPr>
        <w:t>unprocessed foods.</w:t>
      </w:r>
      <w:r w:rsidR="00CE3B71">
        <w:rPr>
          <w:rStyle w:val="FootnoteReference"/>
          <w:lang w:val="en-NZ"/>
        </w:rPr>
        <w:footnoteReference w:id="3"/>
      </w:r>
      <w:r w:rsidR="00CE3B71">
        <w:rPr>
          <w:lang w:val="en-NZ"/>
        </w:rPr>
        <w:t xml:space="preserve"> </w:t>
      </w:r>
    </w:p>
    <w:p w:rsidR="00DF0191" w:rsidRPr="00CE3B71" w:rsidRDefault="00DF0191" w:rsidP="00DF0191">
      <w:pPr>
        <w:tabs>
          <w:tab w:val="left" w:pos="426"/>
        </w:tabs>
        <w:autoSpaceDE w:val="0"/>
        <w:autoSpaceDN w:val="0"/>
        <w:adjustRightInd w:val="0"/>
        <w:spacing w:line="300" w:lineRule="auto"/>
        <w:jc w:val="both"/>
        <w:rPr>
          <w:lang w:val="en-NZ"/>
        </w:rPr>
      </w:pPr>
    </w:p>
    <w:p w:rsidR="008B2140" w:rsidRDefault="00DF0191" w:rsidP="00DF0191">
      <w:pPr>
        <w:tabs>
          <w:tab w:val="left" w:pos="426"/>
        </w:tabs>
        <w:autoSpaceDE w:val="0"/>
        <w:autoSpaceDN w:val="0"/>
        <w:adjustRightInd w:val="0"/>
        <w:spacing w:line="300" w:lineRule="auto"/>
        <w:jc w:val="both"/>
        <w:rPr>
          <w:lang w:val="en-NZ"/>
        </w:rPr>
      </w:pPr>
      <w:r>
        <w:tab/>
      </w:r>
      <w:r w:rsidR="008B2140" w:rsidRPr="00370890">
        <w:t xml:space="preserve">Gong and </w:t>
      </w:r>
      <w:proofErr w:type="spellStart"/>
      <w:r w:rsidR="008B2140" w:rsidRPr="00370890">
        <w:t>Meng</w:t>
      </w:r>
      <w:proofErr w:type="spellEnd"/>
      <w:r w:rsidR="008B2140" w:rsidRPr="00370890">
        <w:t xml:space="preserve"> (2008) use </w:t>
      </w:r>
      <w:r w:rsidR="00C74FA3">
        <w:t xml:space="preserve">an </w:t>
      </w:r>
      <w:r w:rsidR="008B2140" w:rsidRPr="00370890">
        <w:rPr>
          <w:lang w:val="en-NZ"/>
        </w:rPr>
        <w:t xml:space="preserve">Engel curve approach to estimate spatial price deflators for </w:t>
      </w:r>
      <w:r w:rsidR="0047794B">
        <w:rPr>
          <w:lang w:val="en-NZ"/>
        </w:rPr>
        <w:t>each province</w:t>
      </w:r>
      <w:r w:rsidR="008B2140" w:rsidRPr="00370890">
        <w:rPr>
          <w:lang w:val="en-NZ"/>
        </w:rPr>
        <w:t>, using data from the Urban Household Income and Expenditure Survey from 1986 to 2001.</w:t>
      </w:r>
      <w:r w:rsidR="0047794B">
        <w:rPr>
          <w:rStyle w:val="FootnoteReference"/>
          <w:lang w:val="en-NZ"/>
        </w:rPr>
        <w:footnoteReference w:id="4"/>
      </w:r>
      <w:r w:rsidR="008B2140" w:rsidRPr="00370890">
        <w:rPr>
          <w:lang w:val="en-NZ"/>
        </w:rPr>
        <w:t xml:space="preserve"> </w:t>
      </w:r>
      <w:r w:rsidR="00C74FA3">
        <w:rPr>
          <w:lang w:val="en-NZ"/>
        </w:rPr>
        <w:t>The</w:t>
      </w:r>
      <w:r w:rsidR="0047794B">
        <w:rPr>
          <w:lang w:val="en-NZ"/>
        </w:rPr>
        <w:t>ir</w:t>
      </w:r>
      <w:r w:rsidR="00C74FA3" w:rsidRPr="00370890">
        <w:t xml:space="preserve"> deflator </w:t>
      </w:r>
      <w:r w:rsidR="00C74FA3">
        <w:t xml:space="preserve">is defined </w:t>
      </w:r>
      <w:r w:rsidR="00CE3B71">
        <w:t xml:space="preserve">by what </w:t>
      </w:r>
      <w:r w:rsidR="00C74FA3">
        <w:t xml:space="preserve">is </w:t>
      </w:r>
      <w:r w:rsidR="00C74FA3" w:rsidRPr="00370890">
        <w:t>needed for nominally similar households to have the same food budget shares in all regions</w:t>
      </w:r>
      <w:r w:rsidR="00C74FA3">
        <w:t>, following an idea first proposed by H</w:t>
      </w:r>
      <w:r w:rsidR="0044310A">
        <w:t xml:space="preserve">amilton (2001) for measuring </w:t>
      </w:r>
      <w:r w:rsidR="00C74FA3">
        <w:t>bias in a temporal CPI</w:t>
      </w:r>
      <w:r w:rsidR="00C74FA3" w:rsidRPr="00370890">
        <w:t>.</w:t>
      </w:r>
      <w:r w:rsidR="00C74FA3">
        <w:rPr>
          <w:lang w:val="en-NZ"/>
        </w:rPr>
        <w:t xml:space="preserve"> </w:t>
      </w:r>
      <w:r w:rsidR="008B2140" w:rsidRPr="00370890">
        <w:t xml:space="preserve">These authors find implied regional </w:t>
      </w:r>
      <w:r w:rsidR="00187B28">
        <w:t>cost-of-living</w:t>
      </w:r>
      <w:r w:rsidR="008B2140" w:rsidRPr="00370890">
        <w:t xml:space="preserve"> differences from the Engel curve </w:t>
      </w:r>
      <w:r w:rsidR="0044310A">
        <w:t xml:space="preserve">that </w:t>
      </w:r>
      <w:r w:rsidR="008B2140" w:rsidRPr="00370890">
        <w:t xml:space="preserve">are considerably larger than those calculated from pricing a fixed basket, using either provincial average prices or household-level unit values. The difference from </w:t>
      </w:r>
      <w:r w:rsidR="0044310A">
        <w:t xml:space="preserve">fixed </w:t>
      </w:r>
      <w:r w:rsidR="008B2140" w:rsidRPr="00370890">
        <w:t xml:space="preserve">basket </w:t>
      </w:r>
      <w:r w:rsidR="0044310A">
        <w:t xml:space="preserve">results </w:t>
      </w:r>
      <w:r w:rsidR="008B2140" w:rsidRPr="00370890">
        <w:t>was most apparent during the mid- to late-1990s</w:t>
      </w:r>
      <w:r w:rsidR="00242765">
        <w:t xml:space="preserve"> when </w:t>
      </w:r>
      <w:r w:rsidR="008B2140" w:rsidRPr="00370890">
        <w:t>social welfare reforms altered coverage and subsidies for public health, education and housing. In terms of inequality, when no adjustment was made for spatial price differences</w:t>
      </w:r>
      <w:r w:rsidR="00765704">
        <w:t xml:space="preserve">, Gong and </w:t>
      </w:r>
      <w:proofErr w:type="spellStart"/>
      <w:r w:rsidR="00765704">
        <w:t>Meng</w:t>
      </w:r>
      <w:proofErr w:type="spellEnd"/>
      <w:r w:rsidR="00765704">
        <w:t xml:space="preserve"> (2008)</w:t>
      </w:r>
      <w:r w:rsidR="008B2140" w:rsidRPr="00370890">
        <w:t xml:space="preserve"> find that </w:t>
      </w:r>
      <w:r w:rsidR="008B2140" w:rsidRPr="00370890">
        <w:rPr>
          <w:lang w:val="en-NZ"/>
        </w:rPr>
        <w:t xml:space="preserve">the mid 1990s saw the most significant increase in regional income inequality, but after </w:t>
      </w:r>
      <w:r w:rsidR="0044310A">
        <w:rPr>
          <w:lang w:val="en-NZ"/>
        </w:rPr>
        <w:t xml:space="preserve">using </w:t>
      </w:r>
      <w:r w:rsidR="00C74FA3">
        <w:rPr>
          <w:lang w:val="en-NZ"/>
        </w:rPr>
        <w:t xml:space="preserve">the deflator derived from </w:t>
      </w:r>
      <w:r w:rsidR="008B2140" w:rsidRPr="00370890">
        <w:rPr>
          <w:lang w:val="en-NZ"/>
        </w:rPr>
        <w:t xml:space="preserve">their Engel curve results, they find regional income inequality </w:t>
      </w:r>
      <w:r w:rsidR="0044310A">
        <w:rPr>
          <w:lang w:val="en-NZ"/>
        </w:rPr>
        <w:t>to actually increase</w:t>
      </w:r>
      <w:r w:rsidR="008B2140" w:rsidRPr="00370890">
        <w:rPr>
          <w:lang w:val="en-NZ"/>
        </w:rPr>
        <w:t xml:space="preserve"> the most in the late 1980s. </w:t>
      </w:r>
    </w:p>
    <w:p w:rsidR="00DF0191" w:rsidRPr="00370890" w:rsidRDefault="00DF0191" w:rsidP="00DF0191">
      <w:pPr>
        <w:tabs>
          <w:tab w:val="left" w:pos="426"/>
        </w:tabs>
        <w:autoSpaceDE w:val="0"/>
        <w:autoSpaceDN w:val="0"/>
        <w:adjustRightInd w:val="0"/>
        <w:spacing w:line="300" w:lineRule="auto"/>
        <w:jc w:val="both"/>
        <w:rPr>
          <w:lang w:val="en-NZ"/>
        </w:rPr>
      </w:pPr>
    </w:p>
    <w:p w:rsidR="004C2CEB" w:rsidRDefault="00DF0191" w:rsidP="00DF0191">
      <w:pPr>
        <w:tabs>
          <w:tab w:val="left" w:pos="426"/>
        </w:tabs>
        <w:autoSpaceDE w:val="0"/>
        <w:autoSpaceDN w:val="0"/>
        <w:adjustRightInd w:val="0"/>
        <w:spacing w:line="300" w:lineRule="auto"/>
        <w:jc w:val="both"/>
      </w:pPr>
      <w:r>
        <w:tab/>
      </w:r>
      <w:proofErr w:type="spellStart"/>
      <w:r w:rsidR="004C2CEB" w:rsidRPr="00370890">
        <w:t>Alm</w:t>
      </w:r>
      <w:proofErr w:type="spellEnd"/>
      <w:r w:rsidR="004C2CEB" w:rsidRPr="00370890">
        <w:rPr>
          <w:bCs/>
          <w:kern w:val="36"/>
          <w:szCs w:val="48"/>
          <w:lang w:val="en-NZ" w:eastAsia="en-NZ"/>
        </w:rPr>
        <w:t>å</w:t>
      </w:r>
      <w:r w:rsidR="001B28A2">
        <w:t xml:space="preserve">s and </w:t>
      </w:r>
      <w:proofErr w:type="spellStart"/>
      <w:r w:rsidR="001B28A2">
        <w:t>Johnsen</w:t>
      </w:r>
      <w:proofErr w:type="spellEnd"/>
      <w:r w:rsidR="004C2CEB" w:rsidRPr="00370890">
        <w:t xml:space="preserve"> </w:t>
      </w:r>
      <w:r w:rsidR="001B28A2">
        <w:t>(2012) use a similar Engel curve approach, with data from just two years (1995 and 2002)</w:t>
      </w:r>
      <w:r w:rsidR="00274C60">
        <w:t>,</w:t>
      </w:r>
      <w:r w:rsidR="001B28A2">
        <w:t xml:space="preserve"> for rural areas </w:t>
      </w:r>
      <w:r w:rsidR="00274C60">
        <w:t>in</w:t>
      </w:r>
      <w:r w:rsidR="001B28A2">
        <w:t xml:space="preserve"> 19 (of 31) provinces and urban areas </w:t>
      </w:r>
      <w:r w:rsidR="00274C60">
        <w:t>in</w:t>
      </w:r>
      <w:r w:rsidR="001B28A2">
        <w:t xml:space="preserve"> 11 </w:t>
      </w:r>
      <w:r w:rsidR="001B28A2">
        <w:lastRenderedPageBreak/>
        <w:t xml:space="preserve">provinces. Rather than estimating a spatial </w:t>
      </w:r>
      <w:r w:rsidR="00187B28">
        <w:t>cost-of-living</w:t>
      </w:r>
      <w:r w:rsidR="001B28A2">
        <w:t xml:space="preserve"> index year-by-year, they attempt to make incomes comparable over both time and space using a single set of Engel curve estimates. </w:t>
      </w:r>
      <w:r w:rsidR="00274C60">
        <w:t xml:space="preserve">They claim </w:t>
      </w:r>
      <w:r w:rsidR="00274C60" w:rsidRPr="00370890">
        <w:t xml:space="preserve">that the CPI </w:t>
      </w:r>
      <w:r w:rsidR="00274C60">
        <w:t xml:space="preserve">understates </w:t>
      </w:r>
      <w:r w:rsidR="00274C60" w:rsidRPr="00370890">
        <w:t xml:space="preserve">price changes in rural areas </w:t>
      </w:r>
      <w:r w:rsidR="00274C60">
        <w:t xml:space="preserve">and overstates in urban areas; the deflator derived from the Engel curve suggests a 44 percent rise in the rural </w:t>
      </w:r>
      <w:r w:rsidR="00187B28">
        <w:t>cost-of-living</w:t>
      </w:r>
      <w:r w:rsidR="00274C60">
        <w:t xml:space="preserve"> from 1995 to 2002 and zero change in the urban </w:t>
      </w:r>
      <w:r w:rsidR="00187B28">
        <w:t>cost-of-living</w:t>
      </w:r>
      <w:r w:rsidR="00274C60">
        <w:t xml:space="preserve">, versus CPI increases of eight and 11 percent. This closes the rural-urban gap in price levels, with the rural </w:t>
      </w:r>
      <w:r w:rsidR="00187B28">
        <w:t>cost-of-living</w:t>
      </w:r>
      <w:r w:rsidR="00274C60">
        <w:t xml:space="preserve"> rising from 60 percent of the urban level in 1995 to 87 percent of the urban level by 2002. </w:t>
      </w:r>
      <w:r w:rsidR="00F75594">
        <w:t>Thus</w:t>
      </w:r>
      <w:r w:rsidR="00274C60">
        <w:t xml:space="preserve">, </w:t>
      </w:r>
      <w:r w:rsidR="00F75594">
        <w:t>the real income figures calculated with their deflator show a greater rise in inequality and a more modest fall in poverty than is implied by making no spatial adjustment and using the CPI for temporal deflation.</w:t>
      </w:r>
    </w:p>
    <w:p w:rsidR="00DF0191" w:rsidRPr="00370890" w:rsidRDefault="00DF0191" w:rsidP="00DF0191">
      <w:pPr>
        <w:tabs>
          <w:tab w:val="left" w:pos="426"/>
        </w:tabs>
        <w:autoSpaceDE w:val="0"/>
        <w:autoSpaceDN w:val="0"/>
        <w:adjustRightInd w:val="0"/>
        <w:spacing w:line="300" w:lineRule="auto"/>
        <w:jc w:val="both"/>
      </w:pPr>
    </w:p>
    <w:p w:rsidR="00AE444C" w:rsidRDefault="004321EE" w:rsidP="00DF0191">
      <w:pPr>
        <w:tabs>
          <w:tab w:val="left" w:pos="426"/>
        </w:tabs>
        <w:autoSpaceDE w:val="0"/>
        <w:autoSpaceDN w:val="0"/>
        <w:adjustRightInd w:val="0"/>
        <w:spacing w:line="300" w:lineRule="auto"/>
        <w:jc w:val="both"/>
      </w:pPr>
      <w:r w:rsidRPr="00370890">
        <w:tab/>
        <w:t xml:space="preserve">The studies that </w:t>
      </w:r>
      <w:r w:rsidR="001356D1" w:rsidRPr="00370890">
        <w:t xml:space="preserve">use a food Engel curve to </w:t>
      </w:r>
      <w:r w:rsidRPr="00370890">
        <w:t xml:space="preserve">back out regional differences in the </w:t>
      </w:r>
      <w:r w:rsidR="00187B28">
        <w:t>cost-of-living</w:t>
      </w:r>
      <w:r w:rsidRPr="00370890">
        <w:t xml:space="preserve"> (or more generally the bias in any spatial or temporal deflator) are </w:t>
      </w:r>
      <w:r w:rsidR="001356D1" w:rsidRPr="00370890">
        <w:t xml:space="preserve">one strand in </w:t>
      </w:r>
      <w:r w:rsidRPr="00370890">
        <w:t xml:space="preserve">a broad </w:t>
      </w:r>
      <w:r w:rsidR="001356D1" w:rsidRPr="00370890">
        <w:t xml:space="preserve">literature </w:t>
      </w:r>
      <w:r w:rsidR="00A32EE6" w:rsidRPr="00370890">
        <w:t>that relies</w:t>
      </w:r>
      <w:r w:rsidRPr="00370890">
        <w:t xml:space="preserve"> on observable </w:t>
      </w:r>
      <w:r w:rsidR="00A32EE6" w:rsidRPr="00370890">
        <w:t xml:space="preserve">proxies for </w:t>
      </w:r>
      <w:r w:rsidRPr="00370890">
        <w:t xml:space="preserve">well-being to calculate implicit compensation </w:t>
      </w:r>
      <w:r w:rsidR="001356D1" w:rsidRPr="00370890">
        <w:t xml:space="preserve">for </w:t>
      </w:r>
      <w:r w:rsidRPr="00370890">
        <w:t xml:space="preserve">people living in different circumstances (such as family size and structure, or location). </w:t>
      </w:r>
      <w:r w:rsidR="001356D1" w:rsidRPr="00370890">
        <w:t>Timmins (2006)</w:t>
      </w:r>
      <w:r w:rsidR="006E2415">
        <w:t>, for example,</w:t>
      </w:r>
      <w:r w:rsidR="001356D1" w:rsidRPr="00370890">
        <w:t xml:space="preserve"> uses internal migration data from Brazi</w:t>
      </w:r>
      <w:r w:rsidR="00A32EE6" w:rsidRPr="00370890">
        <w:t>l, under the logic that move</w:t>
      </w:r>
      <w:r w:rsidR="001356D1" w:rsidRPr="00370890">
        <w:t xml:space="preserve">s reveal preferences over locations that differ in terms of nominal incomes and the </w:t>
      </w:r>
      <w:r w:rsidR="00187B28">
        <w:t>cost-of-living</w:t>
      </w:r>
      <w:r w:rsidR="001356D1" w:rsidRPr="00370890">
        <w:t xml:space="preserve">, and can thereby reveal spatial differences in the </w:t>
      </w:r>
      <w:r w:rsidR="00187B28">
        <w:t>cost-of-living</w:t>
      </w:r>
      <w:r w:rsidR="001356D1" w:rsidRPr="00370890">
        <w:t xml:space="preserve">. </w:t>
      </w:r>
      <w:proofErr w:type="spellStart"/>
      <w:r w:rsidR="00B55F2B" w:rsidRPr="00370890">
        <w:t>Lanjouw</w:t>
      </w:r>
      <w:proofErr w:type="spellEnd"/>
      <w:r w:rsidR="00B55F2B" w:rsidRPr="00370890">
        <w:t xml:space="preserve"> and </w:t>
      </w:r>
      <w:proofErr w:type="spellStart"/>
      <w:r w:rsidR="00B55F2B" w:rsidRPr="00370890">
        <w:t>Ravallion</w:t>
      </w:r>
      <w:proofErr w:type="spellEnd"/>
      <w:r w:rsidR="00B55F2B" w:rsidRPr="00370890">
        <w:t xml:space="preserve"> (1995) use child anthropometric indicators (stunting and wasting) </w:t>
      </w:r>
      <w:r w:rsidR="00A32EE6" w:rsidRPr="00370890">
        <w:t xml:space="preserve">in addition to the food share, to indicate </w:t>
      </w:r>
      <w:r w:rsidR="00B55F2B" w:rsidRPr="00370890">
        <w:t xml:space="preserve">well-being </w:t>
      </w:r>
      <w:r w:rsidR="00A32EE6" w:rsidRPr="00370890">
        <w:t xml:space="preserve">when </w:t>
      </w:r>
      <w:r w:rsidR="00B55F2B" w:rsidRPr="00370890">
        <w:t>anchoring the</w:t>
      </w:r>
      <w:r w:rsidR="00A32EE6" w:rsidRPr="00370890">
        <w:t>ir</w:t>
      </w:r>
      <w:r w:rsidR="00B55F2B" w:rsidRPr="00370890">
        <w:t xml:space="preserve"> calculation of allowances for household size economies (effectively, the inverse of the compensation needed by people living in smaller households</w:t>
      </w:r>
      <w:r w:rsidR="00A32EE6" w:rsidRPr="00370890">
        <w:t xml:space="preserve"> to be as well off as those in larger ones at the same per capita consumption</w:t>
      </w:r>
      <w:r w:rsidR="00B55F2B" w:rsidRPr="00370890">
        <w:t xml:space="preserve">). </w:t>
      </w:r>
      <w:r w:rsidR="001356D1" w:rsidRPr="00370890">
        <w:t>Subjective data on self-rate</w:t>
      </w:r>
      <w:r w:rsidR="00B55F2B" w:rsidRPr="00370890">
        <w:t>d</w:t>
      </w:r>
      <w:r w:rsidR="001356D1" w:rsidRPr="00370890">
        <w:t xml:space="preserve"> welfare can also be used; </w:t>
      </w:r>
      <w:r w:rsidR="00A32EE6" w:rsidRPr="00370890">
        <w:t xml:space="preserve">Krueger and </w:t>
      </w:r>
      <w:proofErr w:type="spellStart"/>
      <w:r w:rsidR="00A32EE6" w:rsidRPr="00370890">
        <w:t>Siskind</w:t>
      </w:r>
      <w:proofErr w:type="spellEnd"/>
      <w:r w:rsidR="00A32EE6" w:rsidRPr="00370890">
        <w:t xml:space="preserve"> (1998) and Gibson, </w:t>
      </w:r>
      <w:proofErr w:type="spellStart"/>
      <w:r w:rsidR="00A32EE6" w:rsidRPr="00370890">
        <w:t>Stillman</w:t>
      </w:r>
      <w:proofErr w:type="spellEnd"/>
      <w:r w:rsidR="00A32EE6" w:rsidRPr="00370890">
        <w:t xml:space="preserve"> and Le (2008) use survey questions that compare feelings of being better off in the present or the past to adjust for possible biases in the CPI and the same method could be used to make spatial comparisons.</w:t>
      </w:r>
    </w:p>
    <w:p w:rsidR="00DF0191" w:rsidRDefault="00DF0191" w:rsidP="00DF0191">
      <w:pPr>
        <w:tabs>
          <w:tab w:val="left" w:pos="426"/>
        </w:tabs>
        <w:autoSpaceDE w:val="0"/>
        <w:autoSpaceDN w:val="0"/>
        <w:adjustRightInd w:val="0"/>
        <w:spacing w:line="300" w:lineRule="auto"/>
        <w:jc w:val="both"/>
        <w:rPr>
          <w:lang w:val="en-NZ"/>
        </w:rPr>
      </w:pPr>
    </w:p>
    <w:p w:rsidR="00AE444C" w:rsidRDefault="00B55F2B" w:rsidP="00DF0191">
      <w:pPr>
        <w:tabs>
          <w:tab w:val="left" w:pos="426"/>
        </w:tabs>
        <w:autoSpaceDE w:val="0"/>
        <w:autoSpaceDN w:val="0"/>
        <w:adjustRightInd w:val="0"/>
        <w:spacing w:line="300" w:lineRule="auto"/>
        <w:ind w:firstLine="720"/>
        <w:jc w:val="both"/>
      </w:pPr>
      <w:r w:rsidRPr="00370890">
        <w:rPr>
          <w:lang w:val="en-NZ"/>
        </w:rPr>
        <w:t>The problem with all of these approaches is that it is simply an assertion</w:t>
      </w:r>
      <w:r w:rsidR="00AE444C">
        <w:rPr>
          <w:lang w:val="en-NZ"/>
        </w:rPr>
        <w:t xml:space="preserve"> that the welfare indicator</w:t>
      </w:r>
      <w:r w:rsidRPr="00370890">
        <w:rPr>
          <w:lang w:val="en-NZ"/>
        </w:rPr>
        <w:t xml:space="preserve"> – whether food budget shares, anthropometrics, and so forth – does indeed identify people who are equally well off. </w:t>
      </w:r>
      <w:r w:rsidR="00154966">
        <w:rPr>
          <w:lang w:val="en-NZ"/>
        </w:rPr>
        <w:t xml:space="preserve">But at least since Nicholson (1976), a long literature has argued that the food share is not a good indicator of well-being. Consider the example of using the food share to calculate </w:t>
      </w:r>
      <w:r w:rsidR="00154966" w:rsidRPr="00370890">
        <w:t xml:space="preserve">the exact amount of money needed </w:t>
      </w:r>
      <w:r w:rsidR="00AE444C">
        <w:t>for parents to maintain their consumption while providing</w:t>
      </w:r>
      <w:r w:rsidR="00154966" w:rsidRPr="00370890">
        <w:t xml:space="preserve"> for </w:t>
      </w:r>
      <w:r w:rsidR="00AE444C">
        <w:t xml:space="preserve">a </w:t>
      </w:r>
      <w:r w:rsidR="00154966" w:rsidRPr="00370890">
        <w:t>child</w:t>
      </w:r>
      <w:r w:rsidR="00AE444C">
        <w:t>; since child</w:t>
      </w:r>
      <w:r w:rsidR="00AE444C" w:rsidRPr="00370890">
        <w:t xml:space="preserve"> consumption is concentrated more on food than is </w:t>
      </w:r>
      <w:r w:rsidR="00AE444C">
        <w:t xml:space="preserve">adult </w:t>
      </w:r>
      <w:r w:rsidR="00AE444C" w:rsidRPr="00370890">
        <w:t>consumption</w:t>
      </w:r>
      <w:r w:rsidR="00AE444C">
        <w:t>,</w:t>
      </w:r>
      <w:r w:rsidR="00AE444C" w:rsidRPr="00370890">
        <w:t xml:space="preserve"> </w:t>
      </w:r>
      <w:r w:rsidR="00AE444C">
        <w:t xml:space="preserve">the food share would be higher even if exact compensation had been given, and this higher food share </w:t>
      </w:r>
      <w:r w:rsidR="00765704">
        <w:t>would wrongly indicate</w:t>
      </w:r>
      <w:r w:rsidR="00AE444C">
        <w:t xml:space="preserve"> the need for further </w:t>
      </w:r>
      <w:r w:rsidR="00F86DD5">
        <w:t>(over)</w:t>
      </w:r>
      <w:r w:rsidR="00AE444C">
        <w:t>co</w:t>
      </w:r>
      <w:r w:rsidR="00F86DD5">
        <w:t>mpensa</w:t>
      </w:r>
      <w:r w:rsidR="00AE444C">
        <w:t>tion. In the context of the food Engel curve estimates for China, there is a substantial difference between provinces and urban and rural areas in the proportion of household members who are children. The data from the latest wave of the China Health and Nutrition Survey (CHNS) show 0</w:t>
      </w:r>
      <w:r w:rsidR="00AE444C">
        <w:noBreakHyphen/>
        <w:t xml:space="preserve">15 year old children comprise just three percent of the average household in urban areas of </w:t>
      </w:r>
      <w:r w:rsidR="00AE444C" w:rsidRPr="00AE444C">
        <w:t>Liaoning</w:t>
      </w:r>
      <w:r w:rsidR="00AE444C">
        <w:t xml:space="preserve"> province but are 16 percent of the average rural </w:t>
      </w:r>
      <w:r w:rsidR="00AE444C">
        <w:lastRenderedPageBreak/>
        <w:t xml:space="preserve">household in </w:t>
      </w:r>
      <w:r w:rsidR="00AE444C" w:rsidRPr="00AE444C">
        <w:t>Guangxi</w:t>
      </w:r>
      <w:r w:rsidR="00AE444C">
        <w:t>.</w:t>
      </w:r>
      <w:r w:rsidR="00F75594">
        <w:t xml:space="preserve"> Food shares will thus be higher in Guangxi, even if there were no differences in the </w:t>
      </w:r>
      <w:r w:rsidR="00187B28">
        <w:t>cost-of-living</w:t>
      </w:r>
      <w:r w:rsidR="00F75594">
        <w:t>, but the Engel method will not necessarily recognize this.</w:t>
      </w:r>
      <w:r w:rsidR="00F75594">
        <w:rPr>
          <w:rStyle w:val="FootnoteReference"/>
        </w:rPr>
        <w:footnoteReference w:id="5"/>
      </w:r>
      <w:r w:rsidR="00A5707D">
        <w:t xml:space="preserve"> Consequently there are reasons to doubt the reliability of spatial deflators produced by this method.</w:t>
      </w:r>
    </w:p>
    <w:p w:rsidR="00DF0191" w:rsidRPr="00AE444C" w:rsidRDefault="00DF0191" w:rsidP="00DF0191">
      <w:pPr>
        <w:tabs>
          <w:tab w:val="left" w:pos="426"/>
        </w:tabs>
        <w:autoSpaceDE w:val="0"/>
        <w:autoSpaceDN w:val="0"/>
        <w:adjustRightInd w:val="0"/>
        <w:spacing w:line="300" w:lineRule="auto"/>
        <w:ind w:firstLine="720"/>
        <w:jc w:val="both"/>
        <w:rPr>
          <w:lang w:val="en-NZ"/>
        </w:rPr>
      </w:pPr>
    </w:p>
    <w:p w:rsidR="0043232D" w:rsidRDefault="0043232D" w:rsidP="00DF0191">
      <w:pPr>
        <w:tabs>
          <w:tab w:val="left" w:pos="426"/>
        </w:tabs>
        <w:autoSpaceDE w:val="0"/>
        <w:autoSpaceDN w:val="0"/>
        <w:adjustRightInd w:val="0"/>
        <w:spacing w:line="300" w:lineRule="auto"/>
        <w:rPr>
          <w:b/>
          <w:lang w:val="en-NZ"/>
        </w:rPr>
      </w:pPr>
      <w:r w:rsidRPr="00DF0191">
        <w:rPr>
          <w:b/>
          <w:lang w:val="en-NZ"/>
        </w:rPr>
        <w:t>Market Integration Studies</w:t>
      </w:r>
    </w:p>
    <w:p w:rsidR="00DF0191" w:rsidRPr="00DF0191" w:rsidRDefault="00DF0191" w:rsidP="00DF0191">
      <w:pPr>
        <w:tabs>
          <w:tab w:val="left" w:pos="426"/>
        </w:tabs>
        <w:autoSpaceDE w:val="0"/>
        <w:autoSpaceDN w:val="0"/>
        <w:adjustRightInd w:val="0"/>
        <w:spacing w:line="300" w:lineRule="auto"/>
        <w:rPr>
          <w:b/>
          <w:sz w:val="12"/>
          <w:szCs w:val="12"/>
          <w:lang w:val="en-NZ"/>
        </w:rPr>
      </w:pPr>
    </w:p>
    <w:p w:rsidR="00B72ED4" w:rsidRDefault="005A6174" w:rsidP="00DF0191">
      <w:pPr>
        <w:tabs>
          <w:tab w:val="left" w:pos="426"/>
        </w:tabs>
        <w:spacing w:line="300" w:lineRule="auto"/>
        <w:jc w:val="both"/>
        <w:rPr>
          <w:lang w:val="en-NZ" w:eastAsia="en-NZ"/>
        </w:rPr>
      </w:pPr>
      <w:r w:rsidRPr="00370890">
        <w:rPr>
          <w:lang w:val="en-NZ" w:eastAsia="en-NZ"/>
        </w:rPr>
        <w:t xml:space="preserve">Many authors consider China an example of a developing country with segmented markets and </w:t>
      </w:r>
      <w:r w:rsidR="00F84E0C" w:rsidRPr="00370890">
        <w:rPr>
          <w:lang w:val="en-NZ" w:eastAsia="en-NZ"/>
        </w:rPr>
        <w:t xml:space="preserve">much </w:t>
      </w:r>
      <w:r w:rsidRPr="00370890">
        <w:rPr>
          <w:lang w:val="en-NZ" w:eastAsia="en-NZ"/>
        </w:rPr>
        <w:t xml:space="preserve">less integration than developed countries (Gong and </w:t>
      </w:r>
      <w:proofErr w:type="spellStart"/>
      <w:r w:rsidRPr="00370890">
        <w:rPr>
          <w:lang w:val="en-NZ" w:eastAsia="en-NZ"/>
        </w:rPr>
        <w:t>Meng</w:t>
      </w:r>
      <w:proofErr w:type="spellEnd"/>
      <w:r w:rsidRPr="00370890">
        <w:rPr>
          <w:lang w:val="en-NZ" w:eastAsia="en-NZ"/>
        </w:rPr>
        <w:t>, 2008</w:t>
      </w:r>
      <w:r w:rsidR="00EE2DCB" w:rsidRPr="00370890">
        <w:rPr>
          <w:lang w:val="en-NZ" w:eastAsia="en-NZ"/>
        </w:rPr>
        <w:t xml:space="preserve">; </w:t>
      </w:r>
      <w:proofErr w:type="spellStart"/>
      <w:r w:rsidR="00EE2DCB" w:rsidRPr="00370890">
        <w:rPr>
          <w:lang w:val="en-NZ" w:eastAsia="en-NZ"/>
        </w:rPr>
        <w:t>Xu</w:t>
      </w:r>
      <w:proofErr w:type="spellEnd"/>
      <w:r w:rsidR="00EE2DCB" w:rsidRPr="00370890">
        <w:rPr>
          <w:lang w:val="en-NZ" w:eastAsia="en-NZ"/>
        </w:rPr>
        <w:t>, </w:t>
      </w:r>
      <w:r w:rsidR="003E4A3E" w:rsidRPr="00370890">
        <w:rPr>
          <w:lang w:val="en-NZ" w:eastAsia="en-NZ"/>
        </w:rPr>
        <w:t>2002</w:t>
      </w:r>
      <w:r w:rsidRPr="00370890">
        <w:rPr>
          <w:lang w:val="en-NZ" w:eastAsia="en-NZ"/>
        </w:rPr>
        <w:t xml:space="preserve">). </w:t>
      </w:r>
      <w:r w:rsidR="008C1471" w:rsidRPr="00370890">
        <w:rPr>
          <w:lang w:val="en-NZ" w:eastAsia="en-NZ"/>
        </w:rPr>
        <w:t>In the early reform period thi</w:t>
      </w:r>
      <w:r w:rsidR="00593296" w:rsidRPr="00370890">
        <w:rPr>
          <w:lang w:val="en-NZ" w:eastAsia="en-NZ"/>
        </w:rPr>
        <w:t>s description may have been apt</w:t>
      </w:r>
      <w:r w:rsidR="008C1471" w:rsidRPr="00370890">
        <w:rPr>
          <w:lang w:val="en-NZ" w:eastAsia="en-NZ"/>
        </w:rPr>
        <w:t xml:space="preserve"> since </w:t>
      </w:r>
      <w:r w:rsidR="00DD11B0" w:rsidRPr="00370890">
        <w:rPr>
          <w:lang w:val="en-NZ" w:eastAsia="en-NZ"/>
        </w:rPr>
        <w:t xml:space="preserve">economic interaction between provinces </w:t>
      </w:r>
      <w:r w:rsidR="00593296" w:rsidRPr="00370890">
        <w:rPr>
          <w:lang w:val="en-NZ" w:eastAsia="en-NZ"/>
        </w:rPr>
        <w:t>had been</w:t>
      </w:r>
      <w:r w:rsidR="00DD11B0" w:rsidRPr="00370890">
        <w:rPr>
          <w:lang w:val="en-NZ" w:eastAsia="en-NZ"/>
        </w:rPr>
        <w:t xml:space="preserve"> minimized during the planned economy era, making China </w:t>
      </w:r>
      <w:r w:rsidR="00EE2DCB" w:rsidRPr="00370890">
        <w:rPr>
          <w:lang w:val="en-NZ" w:eastAsia="en-NZ"/>
        </w:rPr>
        <w:t xml:space="preserve">more </w:t>
      </w:r>
      <w:r w:rsidR="00DD11B0" w:rsidRPr="00370890">
        <w:rPr>
          <w:lang w:val="en-NZ" w:eastAsia="en-NZ"/>
        </w:rPr>
        <w:t xml:space="preserve">like a cluster of independent economies rather than a large, spatially integrated economy. </w:t>
      </w:r>
      <w:r w:rsidR="008C1471" w:rsidRPr="00370890">
        <w:rPr>
          <w:lang w:val="en-NZ" w:eastAsia="en-NZ"/>
        </w:rPr>
        <w:t xml:space="preserve">But the surprising claim of some influential studies </w:t>
      </w:r>
      <w:r w:rsidR="00DD11B0" w:rsidRPr="00370890">
        <w:rPr>
          <w:lang w:val="en-NZ" w:eastAsia="en-NZ"/>
        </w:rPr>
        <w:t>i</w:t>
      </w:r>
      <w:r w:rsidR="008C1471" w:rsidRPr="00370890">
        <w:rPr>
          <w:lang w:val="en-NZ" w:eastAsia="en-NZ"/>
        </w:rPr>
        <w:t xml:space="preserve">s that market integration declined </w:t>
      </w:r>
      <w:r w:rsidR="00DD11B0" w:rsidRPr="00370890">
        <w:rPr>
          <w:lang w:val="en-NZ" w:eastAsia="en-NZ"/>
        </w:rPr>
        <w:t xml:space="preserve">even more </w:t>
      </w:r>
      <w:r w:rsidR="008C1471" w:rsidRPr="00370890">
        <w:rPr>
          <w:lang w:val="en-NZ" w:eastAsia="en-NZ"/>
        </w:rPr>
        <w:t xml:space="preserve">during the reform period. </w:t>
      </w:r>
      <w:r w:rsidR="00593296" w:rsidRPr="00370890">
        <w:rPr>
          <w:lang w:val="en-NZ" w:eastAsia="en-NZ"/>
        </w:rPr>
        <w:t>According to Young (2000</w:t>
      </w:r>
      <w:r w:rsidR="00B72ED4" w:rsidRPr="00370890">
        <w:rPr>
          <w:lang w:val="en-NZ" w:eastAsia="en-NZ"/>
        </w:rPr>
        <w:t>, p.1128</w:t>
      </w:r>
      <w:r w:rsidR="00593296" w:rsidRPr="00370890">
        <w:rPr>
          <w:lang w:val="en-NZ" w:eastAsia="en-NZ"/>
        </w:rPr>
        <w:t>)</w:t>
      </w:r>
      <w:r w:rsidR="00B72ED4" w:rsidRPr="00370890">
        <w:rPr>
          <w:lang w:val="en-NZ" w:eastAsia="en-NZ"/>
        </w:rPr>
        <w:t xml:space="preserve"> </w:t>
      </w:r>
    </w:p>
    <w:p w:rsidR="00DF0191" w:rsidRPr="00370890" w:rsidRDefault="00DF0191" w:rsidP="00DF0191">
      <w:pPr>
        <w:tabs>
          <w:tab w:val="left" w:pos="426"/>
        </w:tabs>
        <w:spacing w:line="300" w:lineRule="auto"/>
        <w:jc w:val="both"/>
        <w:rPr>
          <w:lang w:val="en-NZ" w:eastAsia="en-NZ"/>
        </w:rPr>
      </w:pPr>
    </w:p>
    <w:p w:rsidR="008C1471" w:rsidRPr="00DF0191" w:rsidRDefault="00600821" w:rsidP="00DF0191">
      <w:pPr>
        <w:tabs>
          <w:tab w:val="left" w:pos="426"/>
        </w:tabs>
        <w:spacing w:line="300" w:lineRule="auto"/>
        <w:ind w:left="397" w:right="397"/>
        <w:jc w:val="both"/>
        <w:rPr>
          <w:sz w:val="22"/>
          <w:szCs w:val="22"/>
          <w:lang w:val="en-NZ" w:eastAsia="en-NZ"/>
        </w:rPr>
      </w:pPr>
      <w:r>
        <w:rPr>
          <w:sz w:val="22"/>
          <w:szCs w:val="22"/>
          <w:lang w:val="en-NZ" w:eastAsia="en-NZ"/>
        </w:rPr>
        <w:t>‘</w:t>
      </w:r>
      <w:r w:rsidR="00B72ED4" w:rsidRPr="00DF0191">
        <w:rPr>
          <w:sz w:val="22"/>
          <w:szCs w:val="22"/>
          <w:lang w:val="en-NZ" w:eastAsia="en-NZ"/>
        </w:rPr>
        <w:t>…twenty years of economic reform</w:t>
      </w:r>
      <w:r w:rsidR="00F84E0C" w:rsidRPr="00DF0191">
        <w:rPr>
          <w:sz w:val="22"/>
          <w:szCs w:val="22"/>
          <w:lang w:val="en-NZ" w:eastAsia="en-NZ"/>
        </w:rPr>
        <w:t xml:space="preserve"> </w:t>
      </w:r>
      <w:r w:rsidR="00B72ED4" w:rsidRPr="00DF0191">
        <w:rPr>
          <w:sz w:val="22"/>
          <w:szCs w:val="22"/>
          <w:lang w:val="en-NZ" w:eastAsia="en-NZ"/>
        </w:rPr>
        <w:t>…</w:t>
      </w:r>
      <w:r w:rsidR="00F84E0C" w:rsidRPr="00DF0191">
        <w:rPr>
          <w:sz w:val="22"/>
          <w:szCs w:val="22"/>
          <w:lang w:val="en-NZ" w:eastAsia="en-NZ"/>
        </w:rPr>
        <w:t xml:space="preserve"> </w:t>
      </w:r>
      <w:r w:rsidR="00B72ED4" w:rsidRPr="00DF0191">
        <w:rPr>
          <w:sz w:val="22"/>
          <w:szCs w:val="22"/>
          <w:lang w:val="en-NZ" w:eastAsia="en-NZ"/>
        </w:rPr>
        <w:t>resulted in a fragmented internal market with fiefdoms controlled by local officials</w:t>
      </w:r>
      <w:r w:rsidR="00EE2DCB" w:rsidRPr="00DF0191">
        <w:rPr>
          <w:sz w:val="22"/>
          <w:szCs w:val="22"/>
          <w:lang w:val="en-NZ" w:eastAsia="en-NZ"/>
        </w:rPr>
        <w:t xml:space="preserve"> whose</w:t>
      </w:r>
      <w:r w:rsidR="00B72ED4" w:rsidRPr="00DF0191">
        <w:rPr>
          <w:sz w:val="22"/>
          <w:szCs w:val="22"/>
          <w:lang w:val="en-NZ" w:eastAsia="en-NZ"/>
        </w:rPr>
        <w:t xml:space="preserve"> economic and political ties to protected industry</w:t>
      </w:r>
      <w:r w:rsidR="00F84E0C" w:rsidRPr="00DF0191">
        <w:rPr>
          <w:sz w:val="22"/>
          <w:szCs w:val="22"/>
          <w:lang w:val="en-NZ" w:eastAsia="en-NZ"/>
        </w:rPr>
        <w:t xml:space="preserve"> resemble those of the Latin American economies of past decades.</w:t>
      </w:r>
      <w:r>
        <w:rPr>
          <w:sz w:val="22"/>
          <w:szCs w:val="22"/>
          <w:lang w:val="en-NZ" w:eastAsia="en-NZ"/>
        </w:rPr>
        <w:t>’</w:t>
      </w:r>
    </w:p>
    <w:p w:rsidR="00B72ED4" w:rsidRPr="00370890" w:rsidRDefault="00B72ED4" w:rsidP="00DF0191">
      <w:pPr>
        <w:tabs>
          <w:tab w:val="left" w:pos="426"/>
        </w:tabs>
        <w:spacing w:line="300" w:lineRule="auto"/>
        <w:ind w:left="340" w:right="340"/>
        <w:jc w:val="both"/>
        <w:rPr>
          <w:lang w:val="en-NZ" w:eastAsia="en-NZ"/>
        </w:rPr>
      </w:pPr>
    </w:p>
    <w:p w:rsidR="008C1471" w:rsidRDefault="00483DD6" w:rsidP="00DF0191">
      <w:pPr>
        <w:tabs>
          <w:tab w:val="left" w:pos="426"/>
        </w:tabs>
        <w:spacing w:line="300" w:lineRule="auto"/>
        <w:jc w:val="both"/>
        <w:rPr>
          <w:lang w:val="en-NZ" w:eastAsia="en-NZ"/>
        </w:rPr>
      </w:pPr>
      <w:r>
        <w:rPr>
          <w:lang w:val="en-NZ" w:eastAsia="en-NZ"/>
        </w:rPr>
        <w:tab/>
      </w:r>
      <w:r w:rsidR="00B72ED4" w:rsidRPr="00370890">
        <w:rPr>
          <w:lang w:val="en-NZ" w:eastAsia="en-NZ"/>
        </w:rPr>
        <w:t>The claimed reason for th</w:t>
      </w:r>
      <w:r w:rsidR="00B40928" w:rsidRPr="00370890">
        <w:rPr>
          <w:lang w:val="en-NZ" w:eastAsia="en-NZ"/>
        </w:rPr>
        <w:t>e</w:t>
      </w:r>
      <w:r w:rsidR="00B72ED4" w:rsidRPr="00370890">
        <w:rPr>
          <w:lang w:val="en-NZ" w:eastAsia="en-NZ"/>
        </w:rPr>
        <w:t xml:space="preserve"> seemingly perverse fragmentation of the internal market while China open</w:t>
      </w:r>
      <w:r w:rsidR="00B40928" w:rsidRPr="00370890">
        <w:rPr>
          <w:lang w:val="en-NZ" w:eastAsia="en-NZ"/>
        </w:rPr>
        <w:t>ed</w:t>
      </w:r>
      <w:r w:rsidR="00B72ED4" w:rsidRPr="00370890">
        <w:rPr>
          <w:lang w:val="en-NZ" w:eastAsia="en-NZ"/>
        </w:rPr>
        <w:t xml:space="preserve"> up internationally </w:t>
      </w:r>
      <w:r w:rsidR="00B40928" w:rsidRPr="00370890">
        <w:rPr>
          <w:lang w:val="en-NZ" w:eastAsia="en-NZ"/>
        </w:rPr>
        <w:t xml:space="preserve">is that devolution of powers </w:t>
      </w:r>
      <w:r w:rsidR="00EE2DCB" w:rsidRPr="00370890">
        <w:rPr>
          <w:lang w:val="en-NZ" w:eastAsia="en-NZ"/>
        </w:rPr>
        <w:t xml:space="preserve">saw </w:t>
      </w:r>
      <w:r w:rsidR="00B40928" w:rsidRPr="00370890">
        <w:rPr>
          <w:lang w:val="en-NZ" w:eastAsia="en-NZ"/>
        </w:rPr>
        <w:t xml:space="preserve">local government revenue </w:t>
      </w:r>
      <w:r w:rsidR="00EE2DCB" w:rsidRPr="00370890">
        <w:rPr>
          <w:lang w:val="en-NZ" w:eastAsia="en-NZ"/>
        </w:rPr>
        <w:t xml:space="preserve">linked to </w:t>
      </w:r>
      <w:r w:rsidR="00B40928" w:rsidRPr="00370890">
        <w:rPr>
          <w:lang w:val="en-NZ" w:eastAsia="en-NZ"/>
        </w:rPr>
        <w:t>local industry protection, leading to inter-regional trade wars. Apparent confirmation comes from</w:t>
      </w:r>
      <w:r w:rsidR="008C1471" w:rsidRPr="00370890">
        <w:rPr>
          <w:lang w:val="en-NZ" w:eastAsia="en-NZ"/>
        </w:rPr>
        <w:t xml:space="preserve"> </w:t>
      </w:r>
      <w:proofErr w:type="spellStart"/>
      <w:r w:rsidR="008C1471" w:rsidRPr="00370890">
        <w:rPr>
          <w:lang w:val="en-NZ" w:eastAsia="en-NZ"/>
        </w:rPr>
        <w:t>Poncet</w:t>
      </w:r>
      <w:proofErr w:type="spellEnd"/>
      <w:r w:rsidR="008C1471" w:rsidRPr="00370890">
        <w:rPr>
          <w:lang w:val="en-NZ" w:eastAsia="en-NZ"/>
        </w:rPr>
        <w:t xml:space="preserve"> (2005)</w:t>
      </w:r>
      <w:r w:rsidR="00B40928" w:rsidRPr="00370890">
        <w:rPr>
          <w:lang w:val="en-NZ" w:eastAsia="en-NZ"/>
        </w:rPr>
        <w:t xml:space="preserve"> who</w:t>
      </w:r>
      <w:r w:rsidR="00F84E0C" w:rsidRPr="00370890">
        <w:rPr>
          <w:lang w:val="en-NZ" w:eastAsia="en-NZ"/>
        </w:rPr>
        <w:t xml:space="preserve"> examined ‘</w:t>
      </w:r>
      <w:r w:rsidR="008C1471" w:rsidRPr="00370890">
        <w:rPr>
          <w:lang w:val="en-NZ" w:eastAsia="en-NZ"/>
        </w:rPr>
        <w:t>border eff</w:t>
      </w:r>
      <w:r w:rsidR="00F84E0C" w:rsidRPr="00370890">
        <w:rPr>
          <w:lang w:val="en-NZ" w:eastAsia="en-NZ"/>
        </w:rPr>
        <w:t>ects’</w:t>
      </w:r>
      <w:r w:rsidR="00B40928" w:rsidRPr="00370890">
        <w:rPr>
          <w:lang w:val="en-NZ" w:eastAsia="en-NZ"/>
        </w:rPr>
        <w:t xml:space="preserve"> between China’s provinces by</w:t>
      </w:r>
      <w:r w:rsidR="008C1471" w:rsidRPr="00370890">
        <w:rPr>
          <w:lang w:val="en-NZ" w:eastAsia="en-NZ"/>
        </w:rPr>
        <w:t xml:space="preserve"> comparing volumes of intra-provincial and inter-provincial trade</w:t>
      </w:r>
      <w:r w:rsidR="00B40928" w:rsidRPr="00370890">
        <w:rPr>
          <w:lang w:val="en-NZ" w:eastAsia="en-NZ"/>
        </w:rPr>
        <w:t>. The trade-reducing</w:t>
      </w:r>
      <w:r w:rsidR="008C1471" w:rsidRPr="00370890">
        <w:rPr>
          <w:lang w:val="en-NZ" w:eastAsia="en-NZ"/>
        </w:rPr>
        <w:t xml:space="preserve"> impact of provincial borders appeared to increase between 1992 and 1997</w:t>
      </w:r>
      <w:r w:rsidR="00B40928" w:rsidRPr="00370890">
        <w:rPr>
          <w:lang w:val="en-NZ" w:eastAsia="en-NZ"/>
        </w:rPr>
        <w:t xml:space="preserve">, from which </w:t>
      </w:r>
      <w:proofErr w:type="spellStart"/>
      <w:r w:rsidR="008C1471" w:rsidRPr="00370890">
        <w:rPr>
          <w:lang w:val="en-NZ" w:eastAsia="en-NZ"/>
        </w:rPr>
        <w:t>Poncet</w:t>
      </w:r>
      <w:proofErr w:type="spellEnd"/>
      <w:r w:rsidR="008C1471" w:rsidRPr="00370890">
        <w:rPr>
          <w:lang w:val="en-NZ" w:eastAsia="en-NZ"/>
        </w:rPr>
        <w:t xml:space="preserve"> </w:t>
      </w:r>
      <w:r w:rsidR="00C74FA3">
        <w:rPr>
          <w:lang w:val="en-NZ" w:eastAsia="en-NZ"/>
        </w:rPr>
        <w:t>concluded</w:t>
      </w:r>
      <w:r w:rsidR="00B40928" w:rsidRPr="00370890">
        <w:rPr>
          <w:lang w:val="en-NZ" w:eastAsia="en-NZ"/>
        </w:rPr>
        <w:t xml:space="preserve"> </w:t>
      </w:r>
      <w:r w:rsidR="008C1471" w:rsidRPr="00370890">
        <w:rPr>
          <w:lang w:val="en-NZ" w:eastAsia="en-NZ"/>
        </w:rPr>
        <w:t>that the Chinese domestic econ</w:t>
      </w:r>
      <w:r w:rsidR="009C0B9A" w:rsidRPr="00370890">
        <w:rPr>
          <w:lang w:val="en-NZ" w:eastAsia="en-NZ"/>
        </w:rPr>
        <w:t>omy</w:t>
      </w:r>
      <w:r w:rsidR="008C1471" w:rsidRPr="00370890">
        <w:rPr>
          <w:lang w:val="en-NZ" w:eastAsia="en-NZ"/>
        </w:rPr>
        <w:t xml:space="preserve"> </w:t>
      </w:r>
      <w:r w:rsidR="009C0B9A" w:rsidRPr="00370890">
        <w:rPr>
          <w:lang w:val="en-NZ" w:eastAsia="en-NZ"/>
        </w:rPr>
        <w:t xml:space="preserve">fragmented </w:t>
      </w:r>
      <w:r w:rsidR="008C1471" w:rsidRPr="00370890">
        <w:rPr>
          <w:lang w:val="en-NZ" w:eastAsia="en-NZ"/>
        </w:rPr>
        <w:t xml:space="preserve">and that </w:t>
      </w:r>
      <w:r w:rsidR="00600821">
        <w:rPr>
          <w:lang w:val="en-NZ" w:eastAsia="en-NZ"/>
        </w:rPr>
        <w:t>‘</w:t>
      </w:r>
      <w:r w:rsidR="008C1471" w:rsidRPr="00370890">
        <w:rPr>
          <w:lang w:val="en-NZ" w:eastAsia="en-NZ"/>
        </w:rPr>
        <w:t>[R]</w:t>
      </w:r>
      <w:proofErr w:type="spellStart"/>
      <w:r w:rsidR="008C1471" w:rsidRPr="00370890">
        <w:rPr>
          <w:lang w:val="en-NZ" w:eastAsia="en-NZ"/>
        </w:rPr>
        <w:t>ather</w:t>
      </w:r>
      <w:proofErr w:type="spellEnd"/>
      <w:r w:rsidR="008C1471" w:rsidRPr="00370890">
        <w:rPr>
          <w:lang w:val="en-NZ" w:eastAsia="en-NZ"/>
        </w:rPr>
        <w:t xml:space="preserve"> than a single market, China appears as a collection of separate regional economies protected by barriers</w:t>
      </w:r>
      <w:r w:rsidR="00600821">
        <w:rPr>
          <w:lang w:val="en-NZ" w:eastAsia="en-NZ"/>
        </w:rPr>
        <w:t>’</w:t>
      </w:r>
      <w:r w:rsidR="008C1471" w:rsidRPr="00370890">
        <w:rPr>
          <w:lang w:val="en-NZ" w:eastAsia="en-NZ"/>
        </w:rPr>
        <w:t xml:space="preserve"> (</w:t>
      </w:r>
      <w:proofErr w:type="spellStart"/>
      <w:r w:rsidR="008C1471" w:rsidRPr="00370890">
        <w:rPr>
          <w:lang w:val="en-NZ" w:eastAsia="en-NZ"/>
        </w:rPr>
        <w:t>Poncet</w:t>
      </w:r>
      <w:proofErr w:type="spellEnd"/>
      <w:r w:rsidR="008C1471" w:rsidRPr="00370890">
        <w:rPr>
          <w:lang w:val="en-NZ" w:eastAsia="en-NZ"/>
        </w:rPr>
        <w:t>, 2005, p. 426).</w:t>
      </w:r>
    </w:p>
    <w:p w:rsidR="00DF0191" w:rsidRPr="00370890" w:rsidRDefault="00DF0191" w:rsidP="00DF0191">
      <w:pPr>
        <w:tabs>
          <w:tab w:val="left" w:pos="426"/>
        </w:tabs>
        <w:spacing w:line="300" w:lineRule="auto"/>
        <w:jc w:val="both"/>
        <w:rPr>
          <w:lang w:val="en-NZ" w:eastAsia="en-NZ"/>
        </w:rPr>
      </w:pPr>
    </w:p>
    <w:p w:rsidR="008C1471" w:rsidRDefault="00E04283" w:rsidP="00DF0191">
      <w:pPr>
        <w:tabs>
          <w:tab w:val="left" w:pos="426"/>
        </w:tabs>
        <w:spacing w:line="300" w:lineRule="auto"/>
        <w:ind w:firstLine="720"/>
        <w:jc w:val="both"/>
        <w:rPr>
          <w:lang w:val="en-NZ" w:eastAsia="en-NZ"/>
        </w:rPr>
      </w:pPr>
      <w:r w:rsidRPr="00370890">
        <w:rPr>
          <w:lang w:val="en-NZ" w:eastAsia="en-NZ"/>
        </w:rPr>
        <w:t>A</w:t>
      </w:r>
      <w:r w:rsidR="00B40928" w:rsidRPr="00370890">
        <w:rPr>
          <w:lang w:val="en-NZ" w:eastAsia="en-NZ"/>
        </w:rPr>
        <w:t xml:space="preserve"> critical </w:t>
      </w:r>
      <w:r w:rsidR="000B2966" w:rsidRPr="00370890">
        <w:rPr>
          <w:lang w:val="en-NZ" w:eastAsia="en-NZ"/>
        </w:rPr>
        <w:t>re</w:t>
      </w:r>
      <w:r w:rsidR="00B40928" w:rsidRPr="00370890">
        <w:rPr>
          <w:lang w:val="en-NZ" w:eastAsia="en-NZ"/>
        </w:rPr>
        <w:t xml:space="preserve">appraisal </w:t>
      </w:r>
      <w:r w:rsidR="000B2966" w:rsidRPr="00370890">
        <w:rPr>
          <w:lang w:val="en-NZ" w:eastAsia="en-NZ"/>
        </w:rPr>
        <w:t xml:space="preserve">shows </w:t>
      </w:r>
      <w:r w:rsidR="00B40928" w:rsidRPr="00370890">
        <w:rPr>
          <w:lang w:val="en-NZ" w:eastAsia="en-NZ"/>
        </w:rPr>
        <w:t xml:space="preserve">the evidence </w:t>
      </w:r>
      <w:r w:rsidR="000B2966" w:rsidRPr="00370890">
        <w:rPr>
          <w:lang w:val="en-NZ" w:eastAsia="en-NZ"/>
        </w:rPr>
        <w:t xml:space="preserve">from </w:t>
      </w:r>
      <w:r w:rsidR="00B40928" w:rsidRPr="00370890">
        <w:rPr>
          <w:lang w:val="en-NZ" w:eastAsia="en-NZ"/>
        </w:rPr>
        <w:t xml:space="preserve">Young (2000) </w:t>
      </w:r>
      <w:r w:rsidR="000B2966" w:rsidRPr="00370890">
        <w:rPr>
          <w:lang w:val="en-NZ" w:eastAsia="en-NZ"/>
        </w:rPr>
        <w:t xml:space="preserve">is </w:t>
      </w:r>
      <w:r w:rsidR="00B40928" w:rsidRPr="00370890">
        <w:rPr>
          <w:lang w:val="en-NZ" w:eastAsia="en-NZ"/>
        </w:rPr>
        <w:t xml:space="preserve">not robust and </w:t>
      </w:r>
      <w:r w:rsidR="000B2966" w:rsidRPr="00370890">
        <w:rPr>
          <w:lang w:val="en-NZ" w:eastAsia="en-NZ"/>
        </w:rPr>
        <w:t xml:space="preserve">also shows that </w:t>
      </w:r>
      <w:r w:rsidR="00B40928" w:rsidRPr="00370890">
        <w:rPr>
          <w:lang w:val="en-NZ" w:eastAsia="en-NZ"/>
        </w:rPr>
        <w:t xml:space="preserve">China </w:t>
      </w:r>
      <w:r w:rsidR="000B2966" w:rsidRPr="00370890">
        <w:rPr>
          <w:lang w:val="en-NZ" w:eastAsia="en-NZ"/>
        </w:rPr>
        <w:t xml:space="preserve">is </w:t>
      </w:r>
      <w:r w:rsidR="00B40928" w:rsidRPr="00370890">
        <w:rPr>
          <w:lang w:val="en-NZ" w:eastAsia="en-NZ"/>
        </w:rPr>
        <w:t xml:space="preserve">comparable to the United States in </w:t>
      </w:r>
      <w:r w:rsidR="000B2966" w:rsidRPr="00370890">
        <w:rPr>
          <w:lang w:val="en-NZ" w:eastAsia="en-NZ"/>
        </w:rPr>
        <w:t xml:space="preserve">terms of </w:t>
      </w:r>
      <w:r w:rsidR="00B40928" w:rsidRPr="00370890">
        <w:rPr>
          <w:lang w:val="en-NZ" w:eastAsia="en-NZ"/>
        </w:rPr>
        <w:t>being a relatively integrated</w:t>
      </w:r>
      <w:r w:rsidR="00765704">
        <w:rPr>
          <w:lang w:val="en-NZ" w:eastAsia="en-NZ"/>
        </w:rPr>
        <w:t>,</w:t>
      </w:r>
      <w:r w:rsidR="00B40928" w:rsidRPr="00370890">
        <w:rPr>
          <w:lang w:val="en-NZ" w:eastAsia="en-NZ"/>
        </w:rPr>
        <w:t xml:space="preserve"> large economy (</w:t>
      </w:r>
      <w:proofErr w:type="spellStart"/>
      <w:r w:rsidR="00B40928" w:rsidRPr="00370890">
        <w:rPr>
          <w:lang w:val="en-NZ" w:eastAsia="en-NZ"/>
        </w:rPr>
        <w:t>Holz</w:t>
      </w:r>
      <w:proofErr w:type="spellEnd"/>
      <w:r w:rsidR="00B40928" w:rsidRPr="00370890">
        <w:rPr>
          <w:lang w:val="en-NZ" w:eastAsia="en-NZ"/>
        </w:rPr>
        <w:t xml:space="preserve"> 2009). For example, </w:t>
      </w:r>
      <w:r w:rsidRPr="00370890">
        <w:rPr>
          <w:lang w:val="en-NZ" w:eastAsia="en-NZ"/>
        </w:rPr>
        <w:t>Young showed a rise in the (</w:t>
      </w:r>
      <w:proofErr w:type="spellStart"/>
      <w:r w:rsidRPr="00370890">
        <w:rPr>
          <w:lang w:val="en-NZ" w:eastAsia="en-NZ"/>
        </w:rPr>
        <w:t>ln</w:t>
      </w:r>
      <w:proofErr w:type="spellEnd"/>
      <w:r w:rsidRPr="00370890">
        <w:rPr>
          <w:lang w:val="en-NZ" w:eastAsia="en-NZ"/>
        </w:rPr>
        <w:t xml:space="preserve"> of the) inter-provincial standard deviation of (the </w:t>
      </w:r>
      <w:proofErr w:type="spellStart"/>
      <w:r w:rsidRPr="00370890">
        <w:rPr>
          <w:lang w:val="en-NZ" w:eastAsia="en-NZ"/>
        </w:rPr>
        <w:t>ln</w:t>
      </w:r>
      <w:proofErr w:type="spellEnd"/>
      <w:r w:rsidRPr="00370890">
        <w:rPr>
          <w:lang w:val="en-NZ" w:eastAsia="en-NZ"/>
        </w:rPr>
        <w:t xml:space="preserve"> of) prices of various consumer and agricultural goods</w:t>
      </w:r>
      <w:r w:rsidR="008A4F72" w:rsidRPr="00370890">
        <w:rPr>
          <w:lang w:val="en-NZ" w:eastAsia="en-NZ"/>
        </w:rPr>
        <w:t>,</w:t>
      </w:r>
      <w:r w:rsidRPr="00370890">
        <w:rPr>
          <w:lang w:val="en-NZ" w:eastAsia="en-NZ"/>
        </w:rPr>
        <w:t xml:space="preserve"> which was taken as evidence of trade barriers segment</w:t>
      </w:r>
      <w:r w:rsidR="00470041">
        <w:rPr>
          <w:lang w:val="en-NZ" w:eastAsia="en-NZ"/>
        </w:rPr>
        <w:t>ing</w:t>
      </w:r>
      <w:r w:rsidRPr="00370890">
        <w:rPr>
          <w:lang w:val="en-NZ" w:eastAsia="en-NZ"/>
        </w:rPr>
        <w:t xml:space="preserve"> markets. But this calculation was neither robust to inflation nor to the growth in product variety in the reform period. Once </w:t>
      </w:r>
      <w:proofErr w:type="spellStart"/>
      <w:r w:rsidRPr="00370890">
        <w:rPr>
          <w:lang w:val="en-NZ" w:eastAsia="en-NZ"/>
        </w:rPr>
        <w:t>Holz</w:t>
      </w:r>
      <w:proofErr w:type="spellEnd"/>
      <w:r w:rsidRPr="00370890">
        <w:rPr>
          <w:lang w:val="en-NZ" w:eastAsia="en-NZ"/>
        </w:rPr>
        <w:t xml:space="preserve"> (2009) accounts for these factors there is no trend in inter-provincial price dispersion, </w:t>
      </w:r>
      <w:r w:rsidRPr="00370890">
        <w:rPr>
          <w:lang w:val="en-NZ" w:eastAsia="en-NZ"/>
        </w:rPr>
        <w:lastRenderedPageBreak/>
        <w:t xml:space="preserve">and the range of variation matches that in inter-city data for products in the United States. Similarly, Young found </w:t>
      </w:r>
      <w:r w:rsidR="00EE2DCB" w:rsidRPr="00370890">
        <w:rPr>
          <w:lang w:val="en-NZ" w:eastAsia="en-NZ"/>
        </w:rPr>
        <w:t xml:space="preserve">a </w:t>
      </w:r>
      <w:r w:rsidRPr="00370890">
        <w:rPr>
          <w:lang w:val="en-NZ" w:eastAsia="en-NZ"/>
        </w:rPr>
        <w:t xml:space="preserve">convergence in the </w:t>
      </w:r>
      <w:r w:rsidR="00F84E0C" w:rsidRPr="00370890">
        <w:rPr>
          <w:lang w:val="en-NZ" w:eastAsia="en-NZ"/>
        </w:rPr>
        <w:t xml:space="preserve">output structure of each province </w:t>
      </w:r>
      <w:r w:rsidRPr="00370890">
        <w:rPr>
          <w:lang w:val="en-NZ" w:eastAsia="en-NZ"/>
        </w:rPr>
        <w:t>during the reform period</w:t>
      </w:r>
      <w:r w:rsidR="00EE2DCB" w:rsidRPr="00370890">
        <w:rPr>
          <w:lang w:val="en-NZ" w:eastAsia="en-NZ"/>
        </w:rPr>
        <w:t>, which was</w:t>
      </w:r>
      <w:r w:rsidR="008A4F72" w:rsidRPr="00370890">
        <w:rPr>
          <w:lang w:val="en-NZ" w:eastAsia="en-NZ"/>
        </w:rPr>
        <w:t xml:space="preserve"> taken as evidence of </w:t>
      </w:r>
      <w:r w:rsidRPr="00370890">
        <w:rPr>
          <w:lang w:val="en-NZ" w:eastAsia="en-NZ"/>
        </w:rPr>
        <w:t xml:space="preserve">provinces duplicating each other’s industries rather than allowing regional specialization. Yet the degree of convergence in the composition of value added across U.S. states in the same period was approximately the same as for </w:t>
      </w:r>
      <w:r w:rsidR="008A4F72" w:rsidRPr="00370890">
        <w:rPr>
          <w:lang w:val="en-NZ" w:eastAsia="en-NZ"/>
        </w:rPr>
        <w:t xml:space="preserve">provinces in </w:t>
      </w:r>
      <w:r w:rsidR="00EE2DCB" w:rsidRPr="00370890">
        <w:rPr>
          <w:lang w:val="en-NZ" w:eastAsia="en-NZ"/>
        </w:rPr>
        <w:t xml:space="preserve">China </w:t>
      </w:r>
      <w:r w:rsidR="00F86DD5">
        <w:rPr>
          <w:lang w:val="en-NZ" w:eastAsia="en-NZ"/>
        </w:rPr>
        <w:t xml:space="preserve">but </w:t>
      </w:r>
      <w:r w:rsidR="008A4F72" w:rsidRPr="00370890">
        <w:rPr>
          <w:lang w:val="en-NZ" w:eastAsia="en-NZ"/>
        </w:rPr>
        <w:t xml:space="preserve">there were </w:t>
      </w:r>
      <w:r w:rsidRPr="00370890">
        <w:rPr>
          <w:lang w:val="en-NZ" w:eastAsia="en-NZ"/>
        </w:rPr>
        <w:t>no claims of rising inter-state trade barriers in the United States at that time.</w:t>
      </w:r>
    </w:p>
    <w:p w:rsidR="00DF0191" w:rsidRPr="00370890" w:rsidRDefault="00DF0191" w:rsidP="00DF0191">
      <w:pPr>
        <w:tabs>
          <w:tab w:val="left" w:pos="426"/>
        </w:tabs>
        <w:spacing w:line="300" w:lineRule="auto"/>
        <w:ind w:firstLine="720"/>
        <w:jc w:val="both"/>
        <w:rPr>
          <w:lang w:val="en-NZ" w:eastAsia="en-NZ"/>
        </w:rPr>
      </w:pPr>
    </w:p>
    <w:p w:rsidR="00A81740" w:rsidRDefault="00145F42" w:rsidP="00DF0191">
      <w:pPr>
        <w:tabs>
          <w:tab w:val="left" w:pos="426"/>
        </w:tabs>
        <w:spacing w:line="300" w:lineRule="auto"/>
        <w:ind w:firstLine="720"/>
        <w:jc w:val="both"/>
        <w:rPr>
          <w:lang w:val="en-NZ"/>
        </w:rPr>
      </w:pPr>
      <w:r w:rsidRPr="00370890">
        <w:rPr>
          <w:bCs/>
        </w:rPr>
        <w:t xml:space="preserve">In keeping with the reappraisal by </w:t>
      </w:r>
      <w:proofErr w:type="spellStart"/>
      <w:r w:rsidRPr="00370890">
        <w:rPr>
          <w:bCs/>
        </w:rPr>
        <w:t>Holz</w:t>
      </w:r>
      <w:proofErr w:type="spellEnd"/>
      <w:r w:rsidRPr="00370890">
        <w:rPr>
          <w:bCs/>
        </w:rPr>
        <w:t xml:space="preserve"> (2009), a number of more recent studies find</w:t>
      </w:r>
      <w:r w:rsidR="005A6174" w:rsidRPr="00370890">
        <w:rPr>
          <w:bCs/>
        </w:rPr>
        <w:t xml:space="preserve"> China to be a relatively well integrated market economy. </w:t>
      </w:r>
      <w:r w:rsidR="00641630" w:rsidRPr="00370890">
        <w:t xml:space="preserve">Fan and Wei (2006) apply panel unit root tests to data on monthly prices for a group of </w:t>
      </w:r>
      <w:r w:rsidR="002F07E9" w:rsidRPr="00370890">
        <w:t xml:space="preserve">93 </w:t>
      </w:r>
      <w:r w:rsidR="00641630" w:rsidRPr="00370890">
        <w:t>industrial products, agricultural goods, other consumer goods, and services in 36 major Chinese cities, finding that prices do converge to the law of one price.</w:t>
      </w:r>
      <w:r w:rsidR="002F07E9" w:rsidRPr="00370890">
        <w:rPr>
          <w:bCs/>
        </w:rPr>
        <w:t xml:space="preserve"> </w:t>
      </w:r>
      <w:r w:rsidR="00641630" w:rsidRPr="00370890">
        <w:t xml:space="preserve">Similarly, Ma, Oxley and Gibson (2009) </w:t>
      </w:r>
      <w:r w:rsidR="002F07E9" w:rsidRPr="00370890">
        <w:t xml:space="preserve">use spot energy prices in 35 major cities in China to </w:t>
      </w:r>
      <w:r w:rsidR="00641630" w:rsidRPr="00370890">
        <w:t>test for convergence</w:t>
      </w:r>
      <w:r w:rsidR="002F07E9" w:rsidRPr="00370890">
        <w:t>, with their</w:t>
      </w:r>
      <w:r w:rsidR="00641630" w:rsidRPr="00370890">
        <w:t xml:space="preserve"> panel unit root tests </w:t>
      </w:r>
      <w:r w:rsidR="002F07E9" w:rsidRPr="00370890">
        <w:t>indicating that</w:t>
      </w:r>
      <w:r w:rsidR="00641630" w:rsidRPr="00370890">
        <w:t xml:space="preserve"> </w:t>
      </w:r>
      <w:r w:rsidR="002F07E9" w:rsidRPr="00370890">
        <w:t>the energy market is</w:t>
      </w:r>
      <w:r w:rsidR="00641630" w:rsidRPr="00370890">
        <w:t xml:space="preserve"> integrated in China</w:t>
      </w:r>
      <w:r w:rsidR="002F07E9" w:rsidRPr="00370890">
        <w:t>.</w:t>
      </w:r>
      <w:r w:rsidR="00641630" w:rsidRPr="00370890">
        <w:t xml:space="preserve"> </w:t>
      </w:r>
      <w:r w:rsidR="006F66C1" w:rsidRPr="00370890">
        <w:t xml:space="preserve">Huang, </w:t>
      </w:r>
      <w:proofErr w:type="spellStart"/>
      <w:r w:rsidR="006F66C1" w:rsidRPr="00370890">
        <w:t>Rozelle</w:t>
      </w:r>
      <w:proofErr w:type="spellEnd"/>
      <w:r w:rsidR="006F66C1" w:rsidRPr="00370890">
        <w:t xml:space="preserve"> and Chang (2004) examine prices for rice, maize and soybeans from almost 50 locations in 15 provinces, on the eve </w:t>
      </w:r>
      <w:r w:rsidR="00C74FA3">
        <w:t>of China’s accession to the WTO. These authors find</w:t>
      </w:r>
      <w:r w:rsidR="006F66C1" w:rsidRPr="00370890">
        <w:t xml:space="preserve"> </w:t>
      </w:r>
      <w:r w:rsidR="00C74FA3">
        <w:t xml:space="preserve">most </w:t>
      </w:r>
      <w:r w:rsidR="006F66C1" w:rsidRPr="00370890">
        <w:t xml:space="preserve">market pairs </w:t>
      </w:r>
      <w:r w:rsidR="00F84E0C" w:rsidRPr="00370890">
        <w:t xml:space="preserve">to be </w:t>
      </w:r>
      <w:r w:rsidR="006F66C1" w:rsidRPr="00370890">
        <w:t>integrated (</w:t>
      </w:r>
      <w:r w:rsidR="00EE2DCB" w:rsidRPr="00370890">
        <w:t xml:space="preserve">and </w:t>
      </w:r>
      <w:r w:rsidR="006F66C1" w:rsidRPr="00370890">
        <w:t xml:space="preserve">this integration </w:t>
      </w:r>
      <w:r w:rsidR="00F84E0C" w:rsidRPr="00370890">
        <w:t>to extend</w:t>
      </w:r>
      <w:r w:rsidR="006F66C1" w:rsidRPr="00370890">
        <w:t xml:space="preserve"> down to village level)</w:t>
      </w:r>
      <w:r w:rsidR="00470041">
        <w:t>,</w:t>
      </w:r>
      <w:r w:rsidR="006F66C1" w:rsidRPr="00370890">
        <w:t xml:space="preserve"> and market integration </w:t>
      </w:r>
      <w:r w:rsidR="00F84E0C" w:rsidRPr="00370890">
        <w:t xml:space="preserve">to be </w:t>
      </w:r>
      <w:r w:rsidR="006F66C1" w:rsidRPr="00370890">
        <w:t>substantially higher than even five years earlier.</w:t>
      </w:r>
      <w:r w:rsidR="00F84E0C" w:rsidRPr="00370890">
        <w:rPr>
          <w:rStyle w:val="FootnoteReference"/>
        </w:rPr>
        <w:footnoteReference w:id="6"/>
      </w:r>
      <w:r w:rsidR="006F66C1" w:rsidRPr="00370890">
        <w:t xml:space="preserve"> </w:t>
      </w:r>
      <w:r w:rsidR="00EE2DCB" w:rsidRPr="00370890">
        <w:rPr>
          <w:lang w:val="en-NZ"/>
        </w:rPr>
        <w:t xml:space="preserve">A longer term </w:t>
      </w:r>
      <w:r w:rsidR="00F84E0C" w:rsidRPr="00370890">
        <w:rPr>
          <w:lang w:val="en-NZ"/>
        </w:rPr>
        <w:t>perspective on grain prices found</w:t>
      </w:r>
      <w:r w:rsidR="00EE2DCB" w:rsidRPr="00370890">
        <w:rPr>
          <w:lang w:val="en-NZ"/>
        </w:rPr>
        <w:t xml:space="preserve"> that on the eve of the industrial revolution, market integration in China was as high as it was in most of the advanced areas of W</w:t>
      </w:r>
      <w:r w:rsidR="006E2415">
        <w:rPr>
          <w:lang w:val="en-NZ"/>
        </w:rPr>
        <w:t xml:space="preserve">estern Europe (Keller and </w:t>
      </w:r>
      <w:proofErr w:type="spellStart"/>
      <w:r w:rsidR="006E2415">
        <w:rPr>
          <w:lang w:val="en-NZ"/>
        </w:rPr>
        <w:t>Shiue</w:t>
      </w:r>
      <w:proofErr w:type="spellEnd"/>
      <w:r w:rsidR="00EE2DCB" w:rsidRPr="00370890">
        <w:rPr>
          <w:lang w:val="en-NZ"/>
        </w:rPr>
        <w:t xml:space="preserve"> 2007</w:t>
      </w:r>
      <w:r w:rsidR="004F3007">
        <w:rPr>
          <w:lang w:val="en-NZ"/>
        </w:rPr>
        <w:t>a</w:t>
      </w:r>
      <w:r w:rsidR="00EE2DCB" w:rsidRPr="00370890">
        <w:rPr>
          <w:lang w:val="en-NZ"/>
        </w:rPr>
        <w:t xml:space="preserve">), while contemporary markets are even more integrated. Keller and </w:t>
      </w:r>
      <w:proofErr w:type="spellStart"/>
      <w:r w:rsidR="004F3007">
        <w:rPr>
          <w:lang w:val="en-NZ"/>
        </w:rPr>
        <w:t>Shuie</w:t>
      </w:r>
      <w:proofErr w:type="spellEnd"/>
      <w:r w:rsidR="004F3007">
        <w:rPr>
          <w:lang w:val="en-NZ"/>
        </w:rPr>
        <w:t xml:space="preserve"> (2007b</w:t>
      </w:r>
      <w:r w:rsidR="00EE2DCB" w:rsidRPr="00370890">
        <w:rPr>
          <w:lang w:val="en-NZ"/>
        </w:rPr>
        <w:t xml:space="preserve">, p. 107) conclude that for China </w:t>
      </w:r>
      <w:r w:rsidR="00600821">
        <w:rPr>
          <w:lang w:val="en-NZ"/>
        </w:rPr>
        <w:t>‘</w:t>
      </w:r>
      <w:r w:rsidR="00EE2DCB" w:rsidRPr="00370890">
        <w:rPr>
          <w:lang w:val="en-NZ"/>
        </w:rPr>
        <w:t>in the late twentieth century local and national prices essentially move one-to-one.</w:t>
      </w:r>
      <w:r w:rsidR="00600821">
        <w:rPr>
          <w:lang w:val="en-NZ"/>
        </w:rPr>
        <w:t>’</w:t>
      </w:r>
      <w:r w:rsidR="00EE2DCB" w:rsidRPr="00370890">
        <w:rPr>
          <w:lang w:val="en-NZ"/>
        </w:rPr>
        <w:t xml:space="preserve"> Thus, it is mainly the central planning era </w:t>
      </w:r>
      <w:r w:rsidR="00F84E0C" w:rsidRPr="00370890">
        <w:rPr>
          <w:lang w:val="en-NZ"/>
        </w:rPr>
        <w:t>that deviated</w:t>
      </w:r>
      <w:r w:rsidR="00EE2DCB" w:rsidRPr="00370890">
        <w:rPr>
          <w:lang w:val="en-NZ"/>
        </w:rPr>
        <w:t xml:space="preserve"> from </w:t>
      </w:r>
      <w:r w:rsidR="00F84E0C" w:rsidRPr="00370890">
        <w:rPr>
          <w:lang w:val="en-NZ"/>
        </w:rPr>
        <w:t xml:space="preserve">the pattern of </w:t>
      </w:r>
      <w:r w:rsidR="00EE2DCB" w:rsidRPr="00370890">
        <w:rPr>
          <w:lang w:val="en-NZ"/>
        </w:rPr>
        <w:t>China being a normal, relatively integrated</w:t>
      </w:r>
      <w:r w:rsidR="00F84E0C" w:rsidRPr="00370890">
        <w:rPr>
          <w:lang w:val="en-NZ"/>
        </w:rPr>
        <w:t>,</w:t>
      </w:r>
      <w:r w:rsidR="00EE2DCB" w:rsidRPr="00370890">
        <w:rPr>
          <w:lang w:val="en-NZ"/>
        </w:rPr>
        <w:t xml:space="preserve"> large economy.</w:t>
      </w:r>
    </w:p>
    <w:p w:rsidR="00DF0191" w:rsidRPr="00370890" w:rsidRDefault="00DF0191" w:rsidP="00DF0191">
      <w:pPr>
        <w:tabs>
          <w:tab w:val="left" w:pos="426"/>
        </w:tabs>
        <w:spacing w:line="300" w:lineRule="auto"/>
        <w:ind w:firstLine="720"/>
        <w:jc w:val="both"/>
        <w:rPr>
          <w:bCs/>
        </w:rPr>
      </w:pPr>
    </w:p>
    <w:p w:rsidR="00A81740" w:rsidRDefault="0077508B" w:rsidP="00DF0191">
      <w:pPr>
        <w:tabs>
          <w:tab w:val="left" w:pos="426"/>
        </w:tabs>
        <w:autoSpaceDE w:val="0"/>
        <w:autoSpaceDN w:val="0"/>
        <w:adjustRightInd w:val="0"/>
        <w:spacing w:line="300" w:lineRule="auto"/>
        <w:ind w:firstLine="720"/>
        <w:jc w:val="both"/>
        <w:rPr>
          <w:color w:val="231F20"/>
          <w:szCs w:val="16"/>
          <w:lang w:val="en-NZ" w:eastAsia="en-NZ"/>
        </w:rPr>
      </w:pPr>
      <w:r w:rsidRPr="00370890">
        <w:t xml:space="preserve">Another way to examine </w:t>
      </w:r>
      <w:r w:rsidR="00A81740" w:rsidRPr="00370890">
        <w:t>market integration is to test how long it takes prices to</w:t>
      </w:r>
      <w:r w:rsidR="00A81740" w:rsidRPr="00370890">
        <w:rPr>
          <w:bCs/>
        </w:rPr>
        <w:t xml:space="preserve"> </w:t>
      </w:r>
      <w:r w:rsidR="00A81740" w:rsidRPr="00370890">
        <w:t xml:space="preserve">converge following idiosyncratic shocks. </w:t>
      </w:r>
      <w:r w:rsidR="00A81740" w:rsidRPr="00370890">
        <w:rPr>
          <w:lang w:val="en-NZ"/>
        </w:rPr>
        <w:t>For example, Parsley and Wei (1996) find convergence r</w:t>
      </w:r>
      <w:r w:rsidR="00C74FA3">
        <w:rPr>
          <w:lang w:val="en-NZ"/>
        </w:rPr>
        <w:t>ates to purchasing power parity</w:t>
      </w:r>
      <w:r w:rsidR="00A81740" w:rsidRPr="00370890">
        <w:rPr>
          <w:lang w:val="en-NZ"/>
        </w:rPr>
        <w:t xml:space="preserve"> of five quarters for tradable goods and fifteen quarters for services</w:t>
      </w:r>
      <w:r w:rsidR="00C74FA3">
        <w:rPr>
          <w:lang w:val="en-NZ"/>
        </w:rPr>
        <w:t xml:space="preserve">, </w:t>
      </w:r>
      <w:r w:rsidR="00C74FA3" w:rsidRPr="00370890">
        <w:rPr>
          <w:lang w:val="en-NZ"/>
        </w:rPr>
        <w:t>for a sample of</w:t>
      </w:r>
      <w:r w:rsidR="00C74FA3">
        <w:rPr>
          <w:lang w:val="en-NZ"/>
        </w:rPr>
        <w:t xml:space="preserve"> 48 cities in the United States</w:t>
      </w:r>
      <w:r w:rsidR="00A81740" w:rsidRPr="00370890">
        <w:rPr>
          <w:lang w:val="en-NZ"/>
        </w:rPr>
        <w:t>. When the comparable approach is used in China, convergence rates appear to be much faster</w:t>
      </w:r>
      <w:r w:rsidR="00C33174" w:rsidRPr="00370890">
        <w:rPr>
          <w:lang w:val="en-NZ"/>
        </w:rPr>
        <w:t>.</w:t>
      </w:r>
      <w:r w:rsidR="00A81740" w:rsidRPr="00370890">
        <w:rPr>
          <w:lang w:val="en-NZ"/>
        </w:rPr>
        <w:t xml:space="preserve"> </w:t>
      </w:r>
      <w:proofErr w:type="spellStart"/>
      <w:r w:rsidR="005A6174" w:rsidRPr="00370890">
        <w:t>Lan</w:t>
      </w:r>
      <w:proofErr w:type="spellEnd"/>
      <w:r w:rsidR="005A6174" w:rsidRPr="00370890">
        <w:t xml:space="preserve"> and </w:t>
      </w:r>
      <w:proofErr w:type="spellStart"/>
      <w:r w:rsidR="005A6174" w:rsidRPr="00370890">
        <w:t>Sylwester</w:t>
      </w:r>
      <w:proofErr w:type="spellEnd"/>
      <w:r w:rsidR="005A6174" w:rsidRPr="00370890">
        <w:t xml:space="preserve"> (2010) </w:t>
      </w:r>
      <w:r w:rsidR="00A81740" w:rsidRPr="00370890">
        <w:t xml:space="preserve">study the prices of 44 products in 36 </w:t>
      </w:r>
      <w:r w:rsidR="00C33174" w:rsidRPr="00370890">
        <w:t xml:space="preserve">Chinese </w:t>
      </w:r>
      <w:r w:rsidR="00A81740" w:rsidRPr="00370890">
        <w:t xml:space="preserve">cities and estimate </w:t>
      </w:r>
      <w:r w:rsidR="005A6174" w:rsidRPr="00370890">
        <w:t>half-live divergences from the law-of-one-price</w:t>
      </w:r>
      <w:r w:rsidR="00A81740" w:rsidRPr="00370890">
        <w:t xml:space="preserve"> that </w:t>
      </w:r>
      <w:r w:rsidR="00F2439E" w:rsidRPr="00370890">
        <w:t>average just 2.4 months</w:t>
      </w:r>
      <w:r w:rsidR="00A81740" w:rsidRPr="00370890">
        <w:t>. This is approximately twice</w:t>
      </w:r>
      <w:r w:rsidR="005A6174" w:rsidRPr="00370890">
        <w:t xml:space="preserve"> the speed of adjustment found in the United States</w:t>
      </w:r>
      <w:r w:rsidR="00A81740" w:rsidRPr="00370890">
        <w:t xml:space="preserve">, leading these authors to conclude: </w:t>
      </w:r>
      <w:r w:rsidR="00600821">
        <w:rPr>
          <w:color w:val="231F20"/>
          <w:szCs w:val="16"/>
          <w:lang w:val="en-NZ" w:eastAsia="en-NZ"/>
        </w:rPr>
        <w:t>‘</w:t>
      </w:r>
      <w:r w:rsidR="00A81740" w:rsidRPr="00370890">
        <w:rPr>
          <w:color w:val="231F20"/>
          <w:szCs w:val="16"/>
          <w:lang w:val="en-NZ" w:eastAsia="en-NZ"/>
        </w:rPr>
        <w:t>[O]</w:t>
      </w:r>
      <w:proofErr w:type="spellStart"/>
      <w:r w:rsidR="00A81740" w:rsidRPr="00370890">
        <w:rPr>
          <w:color w:val="231F20"/>
          <w:szCs w:val="16"/>
          <w:lang w:val="en-NZ" w:eastAsia="en-NZ"/>
        </w:rPr>
        <w:t>ur</w:t>
      </w:r>
      <w:proofErr w:type="spellEnd"/>
      <w:r w:rsidR="00A81740" w:rsidRPr="00370890">
        <w:rPr>
          <w:color w:val="231F20"/>
          <w:szCs w:val="16"/>
          <w:lang w:val="en-NZ" w:eastAsia="en-NZ"/>
        </w:rPr>
        <w:t xml:space="preserve"> findings suggest that prices within China converge to relative parity extremely quickly</w:t>
      </w:r>
      <w:r w:rsidR="00600821">
        <w:rPr>
          <w:color w:val="231F20"/>
          <w:szCs w:val="16"/>
          <w:lang w:val="en-NZ" w:eastAsia="en-NZ"/>
        </w:rPr>
        <w:t>’</w:t>
      </w:r>
      <w:r w:rsidR="00A81740" w:rsidRPr="00370890">
        <w:rPr>
          <w:color w:val="231F20"/>
          <w:szCs w:val="16"/>
          <w:lang w:val="en-NZ" w:eastAsia="en-NZ"/>
        </w:rPr>
        <w:t xml:space="preserve"> (</w:t>
      </w:r>
      <w:proofErr w:type="spellStart"/>
      <w:r w:rsidR="00A81740" w:rsidRPr="00370890">
        <w:rPr>
          <w:color w:val="231F20"/>
          <w:szCs w:val="16"/>
          <w:lang w:val="en-NZ" w:eastAsia="en-NZ"/>
        </w:rPr>
        <w:t>Lan</w:t>
      </w:r>
      <w:proofErr w:type="spellEnd"/>
      <w:r w:rsidR="00A81740" w:rsidRPr="00370890">
        <w:rPr>
          <w:color w:val="231F20"/>
          <w:szCs w:val="16"/>
          <w:lang w:val="en-NZ" w:eastAsia="en-NZ"/>
        </w:rPr>
        <w:t xml:space="preserve"> and </w:t>
      </w:r>
      <w:proofErr w:type="spellStart"/>
      <w:r w:rsidR="00A81740" w:rsidRPr="00370890">
        <w:rPr>
          <w:color w:val="231F20"/>
          <w:szCs w:val="16"/>
          <w:lang w:val="en-NZ" w:eastAsia="en-NZ"/>
        </w:rPr>
        <w:t>Sylwester</w:t>
      </w:r>
      <w:proofErr w:type="spellEnd"/>
      <w:r w:rsidR="00A81740" w:rsidRPr="00370890">
        <w:rPr>
          <w:color w:val="231F20"/>
          <w:szCs w:val="16"/>
          <w:lang w:val="en-NZ" w:eastAsia="en-NZ"/>
        </w:rPr>
        <w:t>, 2010, p. 231).</w:t>
      </w:r>
    </w:p>
    <w:p w:rsidR="00DF0191" w:rsidRPr="00370890" w:rsidRDefault="00DF0191" w:rsidP="00DF0191">
      <w:pPr>
        <w:tabs>
          <w:tab w:val="left" w:pos="426"/>
        </w:tabs>
        <w:autoSpaceDE w:val="0"/>
        <w:autoSpaceDN w:val="0"/>
        <w:adjustRightInd w:val="0"/>
        <w:spacing w:line="300" w:lineRule="auto"/>
        <w:ind w:firstLine="720"/>
        <w:jc w:val="both"/>
        <w:rPr>
          <w:sz w:val="40"/>
          <w:lang w:val="en-NZ"/>
        </w:rPr>
      </w:pPr>
    </w:p>
    <w:p w:rsidR="001B4A0F" w:rsidRDefault="00DF0191" w:rsidP="00DF0191">
      <w:pPr>
        <w:tabs>
          <w:tab w:val="left" w:pos="426"/>
        </w:tabs>
        <w:autoSpaceDE w:val="0"/>
        <w:autoSpaceDN w:val="0"/>
        <w:adjustRightInd w:val="0"/>
        <w:spacing w:line="300" w:lineRule="auto"/>
        <w:jc w:val="both"/>
      </w:pPr>
      <w:r>
        <w:rPr>
          <w:lang w:val="en-NZ"/>
        </w:rPr>
        <w:lastRenderedPageBreak/>
        <w:tab/>
      </w:r>
      <w:r w:rsidR="00A81740" w:rsidRPr="00370890">
        <w:rPr>
          <w:lang w:val="en-NZ"/>
        </w:rPr>
        <w:t xml:space="preserve">A recent review of product, </w:t>
      </w:r>
      <w:proofErr w:type="spellStart"/>
      <w:r w:rsidR="00A81740" w:rsidRPr="00370890">
        <w:rPr>
          <w:lang w:val="en-NZ"/>
        </w:rPr>
        <w:t>labor</w:t>
      </w:r>
      <w:proofErr w:type="spellEnd"/>
      <w:r w:rsidR="00A81740" w:rsidRPr="00370890">
        <w:rPr>
          <w:lang w:val="en-NZ"/>
        </w:rPr>
        <w:t xml:space="preserve"> and capital market integration in China summarizes the evidence as showing: </w:t>
      </w:r>
      <w:r w:rsidR="00600821">
        <w:rPr>
          <w:lang w:val="en-NZ"/>
        </w:rPr>
        <w:t>‘</w:t>
      </w:r>
      <w:r w:rsidR="00D36F23" w:rsidRPr="00370890">
        <w:rPr>
          <w:lang w:val="en-NZ"/>
        </w:rPr>
        <w:t>[P]</w:t>
      </w:r>
      <w:proofErr w:type="spellStart"/>
      <w:r w:rsidR="00D36F23" w:rsidRPr="00370890">
        <w:rPr>
          <w:lang w:val="en-NZ"/>
        </w:rPr>
        <w:t>roduct</w:t>
      </w:r>
      <w:proofErr w:type="spellEnd"/>
      <w:r w:rsidR="00D36F23" w:rsidRPr="00370890">
        <w:rPr>
          <w:lang w:val="en-NZ"/>
        </w:rPr>
        <w:t xml:space="preserve"> markets became more integrated over time, as regional trade increased and product prices were increasingly similar throughout the country</w:t>
      </w:r>
      <w:r w:rsidR="00600821">
        <w:rPr>
          <w:lang w:val="en-NZ"/>
        </w:rPr>
        <w:t>’</w:t>
      </w:r>
      <w:r w:rsidR="00D36F23" w:rsidRPr="00370890">
        <w:rPr>
          <w:lang w:val="en-NZ"/>
        </w:rPr>
        <w:t xml:space="preserve"> (Chen, </w:t>
      </w:r>
      <w:proofErr w:type="spellStart"/>
      <w:r w:rsidR="00D36F23" w:rsidRPr="00370890">
        <w:rPr>
          <w:lang w:val="en-NZ"/>
        </w:rPr>
        <w:t>Goh</w:t>
      </w:r>
      <w:proofErr w:type="spellEnd"/>
      <w:r w:rsidR="00D36F23" w:rsidRPr="00370890">
        <w:rPr>
          <w:lang w:val="en-NZ"/>
        </w:rPr>
        <w:t xml:space="preserve">, Sun and </w:t>
      </w:r>
      <w:proofErr w:type="spellStart"/>
      <w:r w:rsidR="00D36F23" w:rsidRPr="00370890">
        <w:rPr>
          <w:lang w:val="en-NZ"/>
        </w:rPr>
        <w:t>Xu</w:t>
      </w:r>
      <w:proofErr w:type="spellEnd"/>
      <w:r w:rsidR="00D36F23" w:rsidRPr="00370890">
        <w:rPr>
          <w:lang w:val="en-NZ"/>
        </w:rPr>
        <w:t>, 2011, p.73).</w:t>
      </w:r>
      <w:r w:rsidR="00C33174" w:rsidRPr="00370890">
        <w:rPr>
          <w:lang w:val="en-NZ"/>
        </w:rPr>
        <w:t xml:space="preserve"> Given this similarity over space of the prices of tradable goods, the focus of many of the previous spatial deflation studies summarised above may be misplaced.  </w:t>
      </w:r>
      <w:r w:rsidR="00C33174" w:rsidRPr="00370890">
        <w:t>In an environment where traded goods prices converge rapidly, the main source of price dispersion across space should come from the non-traded components of consumption, and especially from housing, given the fixity of land. We therefore briefly review the literature on spatial var</w:t>
      </w:r>
      <w:r w:rsidR="003B05BC">
        <w:t>iation in house prices in China before turning to the data that we use to develop housing-related deflators.</w:t>
      </w:r>
    </w:p>
    <w:p w:rsidR="00DF0191" w:rsidRPr="00420649" w:rsidRDefault="00DF0191" w:rsidP="00DF0191">
      <w:pPr>
        <w:tabs>
          <w:tab w:val="left" w:pos="426"/>
        </w:tabs>
        <w:autoSpaceDE w:val="0"/>
        <w:autoSpaceDN w:val="0"/>
        <w:adjustRightInd w:val="0"/>
        <w:spacing w:line="300" w:lineRule="auto"/>
        <w:jc w:val="both"/>
        <w:rPr>
          <w:sz w:val="20"/>
          <w:szCs w:val="20"/>
          <w:lang w:val="en-NZ"/>
        </w:rPr>
      </w:pPr>
    </w:p>
    <w:p w:rsidR="0043232D" w:rsidRDefault="0043232D" w:rsidP="00DF0191">
      <w:pPr>
        <w:tabs>
          <w:tab w:val="left" w:pos="426"/>
        </w:tabs>
        <w:autoSpaceDE w:val="0"/>
        <w:autoSpaceDN w:val="0"/>
        <w:adjustRightInd w:val="0"/>
        <w:spacing w:line="300" w:lineRule="auto"/>
        <w:rPr>
          <w:b/>
          <w:lang w:val="en-NZ"/>
        </w:rPr>
      </w:pPr>
      <w:r w:rsidRPr="00DF0191">
        <w:rPr>
          <w:b/>
          <w:lang w:val="en-NZ"/>
        </w:rPr>
        <w:t>Housing Market Studies</w:t>
      </w:r>
    </w:p>
    <w:p w:rsidR="00DF0191" w:rsidRPr="00420649" w:rsidRDefault="00DF0191" w:rsidP="00DF0191">
      <w:pPr>
        <w:tabs>
          <w:tab w:val="left" w:pos="426"/>
        </w:tabs>
        <w:autoSpaceDE w:val="0"/>
        <w:autoSpaceDN w:val="0"/>
        <w:adjustRightInd w:val="0"/>
        <w:spacing w:line="300" w:lineRule="auto"/>
        <w:rPr>
          <w:b/>
          <w:sz w:val="8"/>
          <w:szCs w:val="8"/>
          <w:lang w:val="en-NZ"/>
        </w:rPr>
      </w:pPr>
    </w:p>
    <w:p w:rsidR="009551A3" w:rsidRDefault="009551A3" w:rsidP="00DF0191">
      <w:pPr>
        <w:widowControl w:val="0"/>
        <w:tabs>
          <w:tab w:val="left" w:pos="426"/>
        </w:tabs>
        <w:spacing w:line="300" w:lineRule="auto"/>
        <w:jc w:val="both"/>
      </w:pPr>
      <w:r w:rsidRPr="007E4D95">
        <w:t xml:space="preserve">In the planned economy era, government agencies such as work units provided all urban housing. Rents were low and the dwelling one was allocated depended </w:t>
      </w:r>
      <w:r w:rsidR="006E2415">
        <w:t xml:space="preserve">on administrative criteria, for example, </w:t>
      </w:r>
      <w:r w:rsidRPr="007E4D95">
        <w:t>job rank (</w:t>
      </w:r>
      <w:proofErr w:type="spellStart"/>
      <w:r w:rsidRPr="007E4D95">
        <w:t>Bian</w:t>
      </w:r>
      <w:proofErr w:type="spellEnd"/>
      <w:r w:rsidRPr="007E4D95">
        <w:t xml:space="preserve"> </w:t>
      </w:r>
      <w:r w:rsidR="006E2415">
        <w:rPr>
          <w:i/>
        </w:rPr>
        <w:t>et al.</w:t>
      </w:r>
      <w:r w:rsidRPr="007E4D95">
        <w:t xml:space="preserve"> 1997). Housing reform was launched in 1988 (State Council, 1988), with privatization and creation of an urban housing market as the aim. Thereafter, commodity houses built by private developers could be bought on the housing market (Huang and Clark, 2002). For the first decade of reform a dual track system developed, </w:t>
      </w:r>
      <w:r w:rsidR="00656D42">
        <w:t xml:space="preserve">with </w:t>
      </w:r>
      <w:r w:rsidRPr="007E4D95">
        <w:t>large numbers of commodity houses bought by work units and then distributed to workers at dis</w:t>
      </w:r>
      <w:r w:rsidR="006E2415">
        <w:t>counted prices (Huang</w:t>
      </w:r>
      <w:r w:rsidRPr="007E4D95">
        <w:t xml:space="preserve"> 2003). In 1998, the State Council abolished the old housing system completely (State Council, 1998) and thereafter any provision of subsidized housing by work un</w:t>
      </w:r>
      <w:r w:rsidR="006E2415">
        <w:t xml:space="preserve">its was strictly banned (Huang </w:t>
      </w:r>
      <w:r w:rsidRPr="007E4D95">
        <w:t>2003). Since then, the urban housing system has become totall</w:t>
      </w:r>
      <w:r w:rsidR="00656D42">
        <w:t>y market-oriented.</w:t>
      </w:r>
    </w:p>
    <w:p w:rsidR="00DF0191" w:rsidRPr="00420649" w:rsidRDefault="00DF0191" w:rsidP="00DF0191">
      <w:pPr>
        <w:widowControl w:val="0"/>
        <w:tabs>
          <w:tab w:val="left" w:pos="426"/>
        </w:tabs>
        <w:spacing w:line="300" w:lineRule="auto"/>
        <w:jc w:val="both"/>
        <w:rPr>
          <w:sz w:val="18"/>
          <w:szCs w:val="18"/>
        </w:rPr>
      </w:pPr>
    </w:p>
    <w:p w:rsidR="0043232D" w:rsidRDefault="009551A3" w:rsidP="00DF0191">
      <w:pPr>
        <w:tabs>
          <w:tab w:val="left" w:pos="426"/>
        </w:tabs>
        <w:autoSpaceDE w:val="0"/>
        <w:autoSpaceDN w:val="0"/>
        <w:adjustRightInd w:val="0"/>
        <w:spacing w:line="300" w:lineRule="auto"/>
        <w:ind w:firstLine="360"/>
        <w:jc w:val="both"/>
      </w:pPr>
      <w:r w:rsidRPr="007E4D95">
        <w:t xml:space="preserve">In contrast to the urban sector, rural houses were (and remain now) self-funded, </w:t>
      </w:r>
      <w:r w:rsidR="00CD1794" w:rsidRPr="007E4D95">
        <w:t xml:space="preserve">self-built </w:t>
      </w:r>
      <w:r w:rsidR="00CD1794">
        <w:t xml:space="preserve">and </w:t>
      </w:r>
      <w:r w:rsidRPr="007E4D95">
        <w:t>self-renovated by residents (Liu, 2010). The right to use rural residential land (</w:t>
      </w:r>
      <w:proofErr w:type="spellStart"/>
      <w:r w:rsidRPr="007E4D95">
        <w:rPr>
          <w:i/>
        </w:rPr>
        <w:t>Nongcun</w:t>
      </w:r>
      <w:proofErr w:type="spellEnd"/>
      <w:r w:rsidRPr="007E4D95">
        <w:rPr>
          <w:i/>
        </w:rPr>
        <w:t xml:space="preserve"> </w:t>
      </w:r>
      <w:proofErr w:type="spellStart"/>
      <w:r w:rsidRPr="007E4D95">
        <w:rPr>
          <w:i/>
        </w:rPr>
        <w:t>Zhaijidi</w:t>
      </w:r>
      <w:proofErr w:type="spellEnd"/>
      <w:r w:rsidRPr="007E4D95">
        <w:rPr>
          <w:i/>
        </w:rPr>
        <w:t xml:space="preserve"> </w:t>
      </w:r>
      <w:proofErr w:type="spellStart"/>
      <w:r w:rsidRPr="007E4D95">
        <w:rPr>
          <w:i/>
        </w:rPr>
        <w:t>Shiyongquan</w:t>
      </w:r>
      <w:proofErr w:type="spellEnd"/>
      <w:r w:rsidRPr="007E4D95">
        <w:t>) is evenly distributed and free of charge for village co</w:t>
      </w:r>
      <w:r w:rsidR="00CD1794">
        <w:t>llective members. L</w:t>
      </w:r>
      <w:r w:rsidRPr="007E4D95">
        <w:t xml:space="preserve">and </w:t>
      </w:r>
      <w:r w:rsidR="00CD1794">
        <w:t xml:space="preserve">is </w:t>
      </w:r>
      <w:r w:rsidRPr="007E4D95">
        <w:t xml:space="preserve">collectively owned by the village and the occupant is not allowed to mortgage or trade the land, although transfers within the village collective community are permitted. The occupant </w:t>
      </w:r>
      <w:r w:rsidR="00CD1794">
        <w:t xml:space="preserve">may build new houses or </w:t>
      </w:r>
      <w:r w:rsidRPr="007E4D95">
        <w:t>renovate old houses with their own funds for all kinds of needs e.g. marriage, tourism (</w:t>
      </w:r>
      <w:proofErr w:type="spellStart"/>
      <w:r w:rsidRPr="007E4D95">
        <w:rPr>
          <w:i/>
        </w:rPr>
        <w:t>Nongjiale</w:t>
      </w:r>
      <w:proofErr w:type="spellEnd"/>
      <w:r w:rsidRPr="007E4D95">
        <w:t xml:space="preserve">, akin to a motel, for urban tourists to taste rural life), family workshop, and handicraft production, etc. (Liu, 2010). Thus, the rural housing system enables rural residents to satisfy their housing needs at much lower cost than is incurred by urban residents in the current era. Though rural self-built houses are generally large and cheap, they are poor in quality relative to urban housing in terms of housing attributes such as the energy source for cooking, bath facilities and individual toilets (Logan </w:t>
      </w:r>
      <w:r w:rsidRPr="006E2415">
        <w:rPr>
          <w:i/>
        </w:rPr>
        <w:t>et al</w:t>
      </w:r>
      <w:r w:rsidR="006E2415">
        <w:rPr>
          <w:i/>
        </w:rPr>
        <w:t>.</w:t>
      </w:r>
      <w:r w:rsidRPr="007E4D95">
        <w:t xml:space="preserve"> 2009).</w:t>
      </w:r>
    </w:p>
    <w:p w:rsidR="00420649" w:rsidRPr="00420649" w:rsidRDefault="00420649" w:rsidP="0082462D">
      <w:pPr>
        <w:tabs>
          <w:tab w:val="left" w:pos="426"/>
        </w:tabs>
        <w:autoSpaceDE w:val="0"/>
        <w:autoSpaceDN w:val="0"/>
        <w:adjustRightInd w:val="0"/>
        <w:spacing w:line="300" w:lineRule="auto"/>
        <w:jc w:val="both"/>
        <w:rPr>
          <w:sz w:val="16"/>
          <w:szCs w:val="16"/>
        </w:rPr>
      </w:pPr>
    </w:p>
    <w:p w:rsidR="0021043A" w:rsidRDefault="00420649" w:rsidP="0082462D">
      <w:pPr>
        <w:tabs>
          <w:tab w:val="left" w:pos="426"/>
        </w:tabs>
        <w:autoSpaceDE w:val="0"/>
        <w:autoSpaceDN w:val="0"/>
        <w:adjustRightInd w:val="0"/>
        <w:spacing w:line="300" w:lineRule="auto"/>
        <w:jc w:val="both"/>
      </w:pPr>
      <w:r>
        <w:tab/>
      </w:r>
      <w:r w:rsidR="00F86DD5">
        <w:t>The</w:t>
      </w:r>
      <w:r w:rsidR="0021043A">
        <w:t xml:space="preserve"> reforms have led to a large literature on </w:t>
      </w:r>
      <w:r w:rsidR="0021043A" w:rsidRPr="007E4D95">
        <w:t>urban housing in China</w:t>
      </w:r>
      <w:r w:rsidR="0021043A">
        <w:t xml:space="preserve">, with early studies </w:t>
      </w:r>
      <w:r w:rsidR="00AE7CEC">
        <w:t>on</w:t>
      </w:r>
      <w:r w:rsidR="0021043A">
        <w:t xml:space="preserve"> determinants of home-ownership (</w:t>
      </w:r>
      <w:r w:rsidR="006E2415">
        <w:t>Huang</w:t>
      </w:r>
      <w:r w:rsidR="0082462D">
        <w:t xml:space="preserve"> 2003,</w:t>
      </w:r>
      <w:r w:rsidR="006E2415">
        <w:t xml:space="preserve"> Pan </w:t>
      </w:r>
      <w:r w:rsidR="0021043A" w:rsidRPr="007E4D95">
        <w:t>2004)</w:t>
      </w:r>
      <w:r w:rsidR="0021043A">
        <w:t>.</w:t>
      </w:r>
      <w:r w:rsidR="0021043A" w:rsidRPr="007E4D95">
        <w:t xml:space="preserve"> </w:t>
      </w:r>
      <w:r w:rsidR="006E2415">
        <w:t xml:space="preserve"> </w:t>
      </w:r>
      <w:r w:rsidR="0021043A">
        <w:t xml:space="preserve">But after the full </w:t>
      </w:r>
      <w:r w:rsidR="0021043A" w:rsidRPr="007E4D95">
        <w:t xml:space="preserve">marketization </w:t>
      </w:r>
      <w:r w:rsidR="0021043A">
        <w:t xml:space="preserve">of urban housing in 1998, the </w:t>
      </w:r>
      <w:r w:rsidR="00F25E61">
        <w:t xml:space="preserve">focus </w:t>
      </w:r>
      <w:r w:rsidR="0021043A">
        <w:t xml:space="preserve">shifts to affordability due to the </w:t>
      </w:r>
      <w:r w:rsidR="0021043A" w:rsidRPr="007E4D95">
        <w:t xml:space="preserve">sharp increases in house prices. </w:t>
      </w:r>
      <w:r w:rsidR="0021043A">
        <w:t xml:space="preserve">For example, the </w:t>
      </w:r>
      <w:r w:rsidR="0021043A" w:rsidRPr="007E4D95">
        <w:t xml:space="preserve">Shanghai Housing Price Index </w:t>
      </w:r>
      <w:r w:rsidR="0021043A">
        <w:t>(</w:t>
      </w:r>
      <w:r w:rsidR="0021043A" w:rsidRPr="007E4D95">
        <w:t>SHHPI</w:t>
      </w:r>
      <w:r w:rsidR="0021043A">
        <w:t>) of the</w:t>
      </w:r>
      <w:r w:rsidR="0021043A" w:rsidRPr="007E4D95">
        <w:t xml:space="preserve"> </w:t>
      </w:r>
      <w:r w:rsidR="0021043A" w:rsidRPr="007E4D95">
        <w:lastRenderedPageBreak/>
        <w:t xml:space="preserve">China Real Estate Index System </w:t>
      </w:r>
      <w:r w:rsidR="0021043A">
        <w:t>(</w:t>
      </w:r>
      <w:r w:rsidR="0021043A" w:rsidRPr="007E4D95">
        <w:t>CREIS</w:t>
      </w:r>
      <w:r w:rsidR="0021043A">
        <w:t>)</w:t>
      </w:r>
      <w:r w:rsidR="0021043A" w:rsidRPr="007E4D95">
        <w:t xml:space="preserve"> </w:t>
      </w:r>
      <w:r w:rsidR="0021043A">
        <w:t xml:space="preserve">rose by 63 percent within two years from </w:t>
      </w:r>
      <w:r w:rsidR="0021043A" w:rsidRPr="007E4D95">
        <w:t>January 2001 (</w:t>
      </w:r>
      <w:proofErr w:type="spellStart"/>
      <w:r w:rsidR="0021043A" w:rsidRPr="007E4D95">
        <w:t>Hui</w:t>
      </w:r>
      <w:proofErr w:type="spellEnd"/>
      <w:r w:rsidR="0021043A" w:rsidRPr="007E4D95">
        <w:t xml:space="preserve"> and </w:t>
      </w:r>
      <w:proofErr w:type="spellStart"/>
      <w:r w:rsidR="0021043A" w:rsidRPr="007E4D95">
        <w:t>Yue</w:t>
      </w:r>
      <w:proofErr w:type="spellEnd"/>
      <w:r w:rsidR="0021043A" w:rsidRPr="007E4D95">
        <w:t xml:space="preserve">, 2006). Liu </w:t>
      </w:r>
      <w:r w:rsidR="0021043A" w:rsidRPr="0082462D">
        <w:rPr>
          <w:i/>
        </w:rPr>
        <w:t>et al</w:t>
      </w:r>
      <w:r w:rsidR="0082462D">
        <w:rPr>
          <w:i/>
        </w:rPr>
        <w:t>.</w:t>
      </w:r>
      <w:r w:rsidR="0021043A" w:rsidRPr="007E4D95">
        <w:t xml:space="preserve"> (2008) document poor housing affordability in Beijing during </w:t>
      </w:r>
      <w:r w:rsidR="0021043A">
        <w:t xml:space="preserve">the </w:t>
      </w:r>
      <w:r w:rsidR="0021043A" w:rsidRPr="007E4D95">
        <w:t xml:space="preserve">2000s using </w:t>
      </w:r>
      <w:r w:rsidR="0021043A">
        <w:t xml:space="preserve">the </w:t>
      </w:r>
      <w:r w:rsidR="0021043A" w:rsidRPr="007E4D95">
        <w:t xml:space="preserve">house price to income ratio (PIR) and </w:t>
      </w:r>
      <w:r w:rsidR="0021043A">
        <w:t xml:space="preserve">the </w:t>
      </w:r>
      <w:r w:rsidR="0021043A" w:rsidRPr="007E4D95">
        <w:t>home affordability index (HAI).</w:t>
      </w:r>
      <w:r w:rsidR="0021043A">
        <w:t xml:space="preserve"> The PIR is defined as</w:t>
      </w:r>
      <w:r w:rsidR="00BC7323">
        <w:t xml:space="preserve"> </w:t>
      </w:r>
      <w:r w:rsidR="00BC7323" w:rsidRPr="002B1729">
        <w:t xml:space="preserve">the ratio of the average market value of a typical dwelling to the average annual </w:t>
      </w:r>
      <w:r w:rsidR="00BC7323">
        <w:t xml:space="preserve">household income and the HAI </w:t>
      </w:r>
      <w:r w:rsidR="00BC7323" w:rsidRPr="00FA2527">
        <w:rPr>
          <w:rFonts w:eastAsia="AdvCENTO.55"/>
        </w:rPr>
        <w:t>measure</w:t>
      </w:r>
      <w:r w:rsidR="00BC7323">
        <w:rPr>
          <w:rFonts w:eastAsia="AdvCENTO.55"/>
        </w:rPr>
        <w:t>s</w:t>
      </w:r>
      <w:r w:rsidR="00BC7323" w:rsidRPr="00FA2527">
        <w:rPr>
          <w:rFonts w:eastAsia="AdvCENTO.55"/>
        </w:rPr>
        <w:t xml:space="preserve"> the ability of a household with an average income to pay back a mortgage on a typical home.</w:t>
      </w:r>
      <w:r w:rsidR="00BC7323">
        <w:t xml:space="preserve"> In a more comprehensive study, </w:t>
      </w:r>
      <w:r w:rsidR="0021043A" w:rsidRPr="007E4D95">
        <w:t xml:space="preserve">Xiang and Long (2007) </w:t>
      </w:r>
      <w:r w:rsidR="00BC7323">
        <w:t>calculate PIR and HAI indices for</w:t>
      </w:r>
      <w:r w:rsidR="0021043A" w:rsidRPr="007E4D95">
        <w:t xml:space="preserve"> 34 major Chinese cities and find Beijing, Shanghai, Shenyan</w:t>
      </w:r>
      <w:r w:rsidR="00BC7323">
        <w:t>g</w:t>
      </w:r>
      <w:r w:rsidR="0021043A" w:rsidRPr="007E4D95">
        <w:t xml:space="preserve">, Xiamen and Haikou </w:t>
      </w:r>
      <w:r w:rsidR="0021043A">
        <w:t xml:space="preserve">to </w:t>
      </w:r>
      <w:r w:rsidR="0021043A" w:rsidRPr="007E4D95">
        <w:t xml:space="preserve">have poor housing affordability while </w:t>
      </w:r>
      <w:r w:rsidR="00F86DD5">
        <w:t xml:space="preserve">inland cities of </w:t>
      </w:r>
      <w:r w:rsidR="0021043A" w:rsidRPr="007E4D95">
        <w:t>Hohhot, Changsha, Chongqing and Urumqi are relative</w:t>
      </w:r>
      <w:r w:rsidR="0021043A">
        <w:t>ly</w:t>
      </w:r>
      <w:r w:rsidR="0021043A" w:rsidRPr="007E4D95">
        <w:t xml:space="preserve"> better.</w:t>
      </w:r>
      <w:r w:rsidR="00BC7323">
        <w:t xml:space="preserve"> </w:t>
      </w:r>
    </w:p>
    <w:p w:rsidR="0082462D" w:rsidRPr="00BC7323" w:rsidRDefault="0082462D" w:rsidP="0082462D">
      <w:pPr>
        <w:tabs>
          <w:tab w:val="left" w:pos="426"/>
        </w:tabs>
        <w:autoSpaceDE w:val="0"/>
        <w:autoSpaceDN w:val="0"/>
        <w:adjustRightInd w:val="0"/>
        <w:spacing w:line="300" w:lineRule="auto"/>
        <w:jc w:val="both"/>
      </w:pPr>
    </w:p>
    <w:p w:rsidR="008B2140" w:rsidRDefault="00AE7CEC" w:rsidP="00DF0191">
      <w:pPr>
        <w:tabs>
          <w:tab w:val="left" w:pos="426"/>
        </w:tabs>
        <w:autoSpaceDE w:val="0"/>
        <w:autoSpaceDN w:val="0"/>
        <w:adjustRightInd w:val="0"/>
        <w:spacing w:line="300" w:lineRule="auto"/>
        <w:jc w:val="both"/>
      </w:pPr>
      <w:r>
        <w:rPr>
          <w:lang w:val="en-NZ"/>
        </w:rPr>
        <w:tab/>
        <w:t xml:space="preserve">In addition to affordability, the other focus of recent literature on the urban housing market is price determination. </w:t>
      </w:r>
      <w:r w:rsidRPr="007E4D95">
        <w:t>Zhang and</w:t>
      </w:r>
      <w:r w:rsidR="00F25E61">
        <w:t xml:space="preserve"> </w:t>
      </w:r>
      <w:proofErr w:type="spellStart"/>
      <w:r w:rsidR="00F25E61">
        <w:t>Tian</w:t>
      </w:r>
      <w:proofErr w:type="spellEnd"/>
      <w:r w:rsidR="00F25E61">
        <w:t xml:space="preserve"> (2010) study</w:t>
      </w:r>
      <w:r w:rsidRPr="007E4D95">
        <w:t xml:space="preserve"> </w:t>
      </w:r>
      <w:r>
        <w:t xml:space="preserve">sales of </w:t>
      </w:r>
      <w:r w:rsidRPr="007E4D95">
        <w:t xml:space="preserve">new </w:t>
      </w:r>
      <w:r>
        <w:t xml:space="preserve">dwellings </w:t>
      </w:r>
      <w:r w:rsidRPr="007E4D95">
        <w:t xml:space="preserve">in 35 major </w:t>
      </w:r>
      <w:r>
        <w:t>c</w:t>
      </w:r>
      <w:r w:rsidRPr="007E4D95">
        <w:t>ities between 1995 and 2006</w:t>
      </w:r>
      <w:r w:rsidR="000A429F">
        <w:t>,</w:t>
      </w:r>
      <w:r>
        <w:t xml:space="preserve"> find</w:t>
      </w:r>
      <w:r w:rsidR="000A429F">
        <w:t>ing</w:t>
      </w:r>
      <w:r>
        <w:t xml:space="preserve"> </w:t>
      </w:r>
      <w:r w:rsidR="000A429F">
        <w:t xml:space="preserve">stable long-run inter-city </w:t>
      </w:r>
      <w:r>
        <w:t xml:space="preserve">price relativities, </w:t>
      </w:r>
      <w:r w:rsidR="000A429F">
        <w:t xml:space="preserve">which </w:t>
      </w:r>
      <w:proofErr w:type="gramStart"/>
      <w:r w:rsidR="000A429F">
        <w:t>implies</w:t>
      </w:r>
      <w:proofErr w:type="gramEnd"/>
      <w:r>
        <w:t xml:space="preserve"> that the</w:t>
      </w:r>
      <w:r w:rsidRPr="007E4D95">
        <w:t xml:space="preserve"> urban housing market in China is segmented and specific </w:t>
      </w:r>
      <w:r w:rsidR="00F86DD5">
        <w:t xml:space="preserve">local </w:t>
      </w:r>
      <w:r w:rsidRPr="007E4D95">
        <w:t>economic characteristics</w:t>
      </w:r>
      <w:r w:rsidR="00F86DD5">
        <w:t xml:space="preserve"> matter</w:t>
      </w:r>
      <w:r w:rsidRPr="007E4D95">
        <w:t xml:space="preserve">. Deng </w:t>
      </w:r>
      <w:r w:rsidR="006E2415">
        <w:rPr>
          <w:i/>
        </w:rPr>
        <w:t>et al.</w:t>
      </w:r>
      <w:r w:rsidRPr="007E4D95">
        <w:t xml:space="preserve"> (2012)</w:t>
      </w:r>
      <w:r>
        <w:t xml:space="preserve"> examine land </w:t>
      </w:r>
      <w:r w:rsidRPr="000B57DE">
        <w:t>auctions for 35 major cities from 2003 to 2011 to</w:t>
      </w:r>
      <w:r w:rsidRPr="007E4D95">
        <w:t xml:space="preserve"> construct a </w:t>
      </w:r>
      <w:r>
        <w:t xml:space="preserve">model of </w:t>
      </w:r>
      <w:r w:rsidRPr="007E4D95">
        <w:t xml:space="preserve">land supply </w:t>
      </w:r>
      <w:r>
        <w:t xml:space="preserve">and also for use in a hedonic model of dwelling prices, finding that </w:t>
      </w:r>
      <w:r w:rsidR="00F86DD5">
        <w:t>hou</w:t>
      </w:r>
      <w:r>
        <w:t xml:space="preserve">se prices are </w:t>
      </w:r>
      <w:r w:rsidRPr="000B57DE">
        <w:t>driven by the land market rather than by construction costs.</w:t>
      </w:r>
      <w:r w:rsidR="000A429F">
        <w:t xml:space="preserve"> </w:t>
      </w:r>
      <w:proofErr w:type="spellStart"/>
      <w:r w:rsidR="000A429F" w:rsidRPr="007E4D95">
        <w:t>Zheng</w:t>
      </w:r>
      <w:proofErr w:type="spellEnd"/>
      <w:r w:rsidR="000A429F" w:rsidRPr="007E4D95">
        <w:t xml:space="preserve"> </w:t>
      </w:r>
      <w:r w:rsidR="006E2415">
        <w:rPr>
          <w:i/>
        </w:rPr>
        <w:t>et al.</w:t>
      </w:r>
      <w:r w:rsidR="006E2415" w:rsidRPr="007E4D95">
        <w:t xml:space="preserve"> </w:t>
      </w:r>
      <w:r w:rsidR="000A429F" w:rsidRPr="007E4D95">
        <w:t xml:space="preserve">(2009) </w:t>
      </w:r>
      <w:r w:rsidR="000A429F">
        <w:t xml:space="preserve">estimate a </w:t>
      </w:r>
      <w:r w:rsidR="000A429F" w:rsidRPr="007E4D95">
        <w:t xml:space="preserve">hedonic house price </w:t>
      </w:r>
      <w:r w:rsidR="000A429F">
        <w:t xml:space="preserve">regression </w:t>
      </w:r>
      <w:r w:rsidR="000A429F" w:rsidRPr="007E4D95">
        <w:t>for 35 major cities</w:t>
      </w:r>
      <w:r w:rsidR="000A429F">
        <w:t>,</w:t>
      </w:r>
      <w:r w:rsidR="000A429F" w:rsidRPr="007E4D95">
        <w:t xml:space="preserve"> and find </w:t>
      </w:r>
      <w:r w:rsidR="000A429F">
        <w:t xml:space="preserve">significant location effects in </w:t>
      </w:r>
      <w:r w:rsidR="000A429F" w:rsidRPr="007E4D95">
        <w:t>determining prices</w:t>
      </w:r>
      <w:r w:rsidR="00F86DD5">
        <w:t xml:space="preserve"> and</w:t>
      </w:r>
      <w:r w:rsidR="000A429F">
        <w:t xml:space="preserve"> </w:t>
      </w:r>
      <w:r w:rsidR="000A429F" w:rsidRPr="007E4D95">
        <w:t xml:space="preserve">Wu </w:t>
      </w:r>
      <w:r w:rsidR="006E2415">
        <w:rPr>
          <w:i/>
        </w:rPr>
        <w:t>et al.</w:t>
      </w:r>
      <w:r w:rsidR="006E2415" w:rsidRPr="007E4D95">
        <w:t xml:space="preserve"> </w:t>
      </w:r>
      <w:r w:rsidR="000A429F" w:rsidRPr="007E4D95">
        <w:t xml:space="preserve">(2012) </w:t>
      </w:r>
      <w:r w:rsidR="000A429F">
        <w:t xml:space="preserve">use a similar model but examine the role of intra-city </w:t>
      </w:r>
      <w:proofErr w:type="spellStart"/>
      <w:r w:rsidR="006E2415">
        <w:t>locational</w:t>
      </w:r>
      <w:proofErr w:type="spellEnd"/>
      <w:r w:rsidR="006E2415">
        <w:t xml:space="preserve"> factors (for example, </w:t>
      </w:r>
      <w:r w:rsidR="000A429F" w:rsidRPr="007E4D95">
        <w:t>distance to city centre)</w:t>
      </w:r>
      <w:r w:rsidR="000A429F">
        <w:t>. Overall, this research indicates the importance of location in determining dwelling prices in urban China, with the most plausible source of inter-area variation coming from land prices.</w:t>
      </w:r>
    </w:p>
    <w:p w:rsidR="00420649" w:rsidRPr="00420649" w:rsidRDefault="00420649" w:rsidP="0082462D">
      <w:pPr>
        <w:pStyle w:val="ListParagraph"/>
        <w:tabs>
          <w:tab w:val="left" w:pos="426"/>
        </w:tabs>
        <w:autoSpaceDE w:val="0"/>
        <w:autoSpaceDN w:val="0"/>
        <w:adjustRightInd w:val="0"/>
        <w:spacing w:line="300" w:lineRule="auto"/>
        <w:ind w:left="0"/>
        <w:jc w:val="both"/>
        <w:rPr>
          <w:b/>
          <w:sz w:val="20"/>
          <w:szCs w:val="20"/>
          <w:lang w:val="en-NZ"/>
        </w:rPr>
      </w:pPr>
    </w:p>
    <w:p w:rsidR="008D4353" w:rsidRDefault="0082462D" w:rsidP="0082462D">
      <w:pPr>
        <w:pStyle w:val="ListParagraph"/>
        <w:tabs>
          <w:tab w:val="left" w:pos="426"/>
        </w:tabs>
        <w:autoSpaceDE w:val="0"/>
        <w:autoSpaceDN w:val="0"/>
        <w:adjustRightInd w:val="0"/>
        <w:spacing w:line="300" w:lineRule="auto"/>
        <w:ind w:left="0"/>
        <w:jc w:val="both"/>
        <w:rPr>
          <w:b/>
          <w:lang w:val="en-NZ"/>
        </w:rPr>
      </w:pPr>
      <w:r>
        <w:rPr>
          <w:b/>
          <w:lang w:val="en-NZ"/>
        </w:rPr>
        <w:t xml:space="preserve">3. </w:t>
      </w:r>
      <w:r>
        <w:rPr>
          <w:b/>
          <w:lang w:val="en-NZ"/>
        </w:rPr>
        <w:tab/>
      </w:r>
      <w:r w:rsidR="008D4353" w:rsidRPr="00F86DD5">
        <w:rPr>
          <w:b/>
          <w:lang w:val="en-NZ"/>
        </w:rPr>
        <w:t>DATA</w:t>
      </w:r>
    </w:p>
    <w:p w:rsidR="0082462D" w:rsidRPr="00420649" w:rsidRDefault="0082462D" w:rsidP="0082462D">
      <w:pPr>
        <w:pStyle w:val="ListParagraph"/>
        <w:tabs>
          <w:tab w:val="left" w:pos="426"/>
        </w:tabs>
        <w:autoSpaceDE w:val="0"/>
        <w:autoSpaceDN w:val="0"/>
        <w:adjustRightInd w:val="0"/>
        <w:spacing w:line="300" w:lineRule="auto"/>
        <w:ind w:left="0"/>
        <w:jc w:val="both"/>
        <w:rPr>
          <w:b/>
          <w:sz w:val="10"/>
          <w:szCs w:val="10"/>
          <w:lang w:val="en-NZ"/>
        </w:rPr>
      </w:pPr>
    </w:p>
    <w:p w:rsidR="00F109D5" w:rsidRDefault="00F86DD5" w:rsidP="0082462D">
      <w:pPr>
        <w:tabs>
          <w:tab w:val="left" w:pos="426"/>
        </w:tabs>
        <w:spacing w:line="300" w:lineRule="auto"/>
        <w:jc w:val="both"/>
      </w:pPr>
      <w:r>
        <w:rPr>
          <w:bCs/>
        </w:rPr>
        <w:t xml:space="preserve">For our main analyses we use administrative data on the average selling price for new </w:t>
      </w:r>
      <w:r w:rsidR="00F109D5">
        <w:rPr>
          <w:bCs/>
        </w:rPr>
        <w:t xml:space="preserve">residential </w:t>
      </w:r>
      <w:r>
        <w:rPr>
          <w:bCs/>
        </w:rPr>
        <w:t>dwellings</w:t>
      </w:r>
      <w:r w:rsidR="00F109D5">
        <w:rPr>
          <w:bCs/>
        </w:rPr>
        <w:t xml:space="preserve"> that </w:t>
      </w:r>
      <w:r w:rsidR="00F109D5">
        <w:t xml:space="preserve">real estate developers are required to report to the NBS. Specifically, every transaction for new housing sales is meant to be reported </w:t>
      </w:r>
      <w:r w:rsidR="00C8417F">
        <w:t xml:space="preserve">(both monthly and annually, directly to the NBS through an electronic portal) </w:t>
      </w:r>
      <w:r w:rsidR="00F109D5">
        <w:t>and these are the most commonly u</w:t>
      </w:r>
      <w:r w:rsidR="00F25E61">
        <w:t>sed data in China for studies of</w:t>
      </w:r>
      <w:r w:rsidR="00F109D5">
        <w:t xml:space="preserve"> the urban housing market (</w:t>
      </w:r>
      <w:proofErr w:type="spellStart"/>
      <w:r w:rsidR="00F109D5">
        <w:t>Zheng</w:t>
      </w:r>
      <w:proofErr w:type="spellEnd"/>
      <w:r w:rsidR="00F109D5">
        <w:t xml:space="preserve"> </w:t>
      </w:r>
      <w:r w:rsidR="006E2415">
        <w:rPr>
          <w:i/>
        </w:rPr>
        <w:t>et al.</w:t>
      </w:r>
      <w:r w:rsidR="006E2415" w:rsidRPr="007E4D95">
        <w:t xml:space="preserve"> </w:t>
      </w:r>
      <w:r w:rsidR="00F109D5">
        <w:t xml:space="preserve">2009). </w:t>
      </w:r>
      <w:r w:rsidR="00134470">
        <w:t xml:space="preserve">Since most of the housing market is new construction rather than repeat sales (Deng et al, 2012) an index derived from prices of new units is broadly representative. </w:t>
      </w:r>
      <w:r w:rsidR="00F109D5">
        <w:t>The a</w:t>
      </w:r>
      <w:r w:rsidR="00134470">
        <w:t>verage selling price is given</w:t>
      </w:r>
      <w:r w:rsidR="00F109D5">
        <w:t xml:space="preserve"> for e</w:t>
      </w:r>
      <w:r w:rsidR="00134470">
        <w:t>ach</w:t>
      </w:r>
      <w:r w:rsidR="00F109D5">
        <w:t xml:space="preserve"> province in the China Real Estate Statistics Yearbook (NBS, 2011</w:t>
      </w:r>
      <w:r w:rsidR="00AA6853">
        <w:t>a</w:t>
      </w:r>
      <w:r w:rsidR="00F109D5">
        <w:t>)</w:t>
      </w:r>
      <w:r w:rsidR="00AA6853">
        <w:t>, for urban prefectures it is shown in the China Statistical Yearbook for Regional Economy (NBS, 2011c),</w:t>
      </w:r>
      <w:r w:rsidR="00F109D5">
        <w:t xml:space="preserve"> and for urban core districts (which are more consistently urban than the prefecture they belong to) </w:t>
      </w:r>
      <w:r w:rsidR="00AA6853">
        <w:t xml:space="preserve">they are </w:t>
      </w:r>
      <w:r w:rsidR="00F109D5">
        <w:t xml:space="preserve">reported </w:t>
      </w:r>
      <w:r w:rsidR="00AA6853">
        <w:t xml:space="preserve">for 2009 (but not 2010) </w:t>
      </w:r>
      <w:r w:rsidR="00F109D5">
        <w:t>in the China Urban Life and Price Yearbook (NBS, 2010).</w:t>
      </w:r>
      <w:r w:rsidR="00936B86">
        <w:rPr>
          <w:rStyle w:val="FootnoteReference"/>
        </w:rPr>
        <w:footnoteReference w:id="7"/>
      </w:r>
      <w:r w:rsidR="00F109D5">
        <w:t xml:space="preserve"> </w:t>
      </w:r>
    </w:p>
    <w:p w:rsidR="00420649" w:rsidRDefault="00420649" w:rsidP="0082462D">
      <w:pPr>
        <w:tabs>
          <w:tab w:val="left" w:pos="426"/>
        </w:tabs>
        <w:spacing w:line="300" w:lineRule="auto"/>
        <w:jc w:val="both"/>
      </w:pPr>
    </w:p>
    <w:p w:rsidR="00F109D5" w:rsidRDefault="00C26DA3" w:rsidP="00C26DA3">
      <w:pPr>
        <w:tabs>
          <w:tab w:val="left" w:pos="426"/>
        </w:tabs>
        <w:spacing w:line="300" w:lineRule="auto"/>
        <w:jc w:val="both"/>
      </w:pPr>
      <w:r>
        <w:lastRenderedPageBreak/>
        <w:tab/>
      </w:r>
      <w:r w:rsidR="00134470">
        <w:t xml:space="preserve">We obtain data on </w:t>
      </w:r>
      <w:r w:rsidR="00C8417F">
        <w:t xml:space="preserve">average </w:t>
      </w:r>
      <w:r w:rsidR="00134470">
        <w:t xml:space="preserve">GDP for every province, </w:t>
      </w:r>
      <w:r w:rsidR="00C8417F">
        <w:t xml:space="preserve">every urban </w:t>
      </w:r>
      <w:r w:rsidR="00134470">
        <w:t xml:space="preserve">prefecture and </w:t>
      </w:r>
      <w:r w:rsidR="00C8417F">
        <w:t xml:space="preserve">every </w:t>
      </w:r>
      <w:r w:rsidR="00134470">
        <w:t>urban core district from the China Statistical Yearbook for Regional Economy (NBS, 201</w:t>
      </w:r>
      <w:r w:rsidR="00AA6853">
        <w:t>1c</w:t>
      </w:r>
      <w:r w:rsidR="00134470">
        <w:t>) and the China City Statistical Yearbook (</w:t>
      </w:r>
      <w:r w:rsidR="00AA6853">
        <w:t>2011b</w:t>
      </w:r>
      <w:r w:rsidR="00AB5E23">
        <w:t>).</w:t>
      </w:r>
      <w:r w:rsidR="00F25E61">
        <w:t xml:space="preserve"> These same two sources provide</w:t>
      </w:r>
      <w:r w:rsidR="00AB5E23">
        <w:t xml:space="preserve"> information on the value of total urban real estate investments on residential assets (IRA). The data on the resident population, which are needed for correct calculation of per capita values (rather than using the misleading registered population figures), are year-end </w:t>
      </w:r>
      <w:r w:rsidR="00C8417F">
        <w:t xml:space="preserve">2010 </w:t>
      </w:r>
      <w:r w:rsidR="00AB5E23">
        <w:t>figures for provinces from NBS (2011c) and are 1</w:t>
      </w:r>
      <w:r w:rsidR="00AB5E23" w:rsidRPr="00AB5E23">
        <w:rPr>
          <w:vertAlign w:val="superscript"/>
        </w:rPr>
        <w:t>st</w:t>
      </w:r>
      <w:r w:rsidR="00AB5E23">
        <w:t xml:space="preserve"> November, 2010 figures for prefectures and districts as reported in the county-level tabulations of the 2010 Census of Population (NBS, 2012).</w:t>
      </w:r>
    </w:p>
    <w:p w:rsidR="0082462D" w:rsidRPr="00F86DD5" w:rsidRDefault="0082462D" w:rsidP="00DF0191">
      <w:pPr>
        <w:tabs>
          <w:tab w:val="left" w:pos="426"/>
        </w:tabs>
        <w:spacing w:line="300" w:lineRule="auto"/>
        <w:ind w:firstLine="720"/>
        <w:jc w:val="both"/>
        <w:rPr>
          <w:bCs/>
        </w:rPr>
      </w:pPr>
    </w:p>
    <w:p w:rsidR="008D4353" w:rsidRDefault="00C8417F" w:rsidP="00DF0191">
      <w:pPr>
        <w:tabs>
          <w:tab w:val="left" w:pos="426"/>
        </w:tabs>
        <w:spacing w:line="300" w:lineRule="auto"/>
        <w:jc w:val="both"/>
        <w:rPr>
          <w:bCs/>
        </w:rPr>
      </w:pPr>
      <w:r>
        <w:rPr>
          <w:bCs/>
        </w:rPr>
        <w:tab/>
        <w:t xml:space="preserve">In addition to these data provided by the NBS we gathered our own data on sales prices and attributes of new apartment units from </w:t>
      </w:r>
      <w:hyperlink r:id="rId11" w:history="1">
        <w:r w:rsidRPr="001009A7">
          <w:rPr>
            <w:rStyle w:val="Hyperlink"/>
            <w:bCs/>
            <w:color w:val="auto"/>
          </w:rPr>
          <w:t>www.Soufun.com</w:t>
        </w:r>
      </w:hyperlink>
      <w:r w:rsidRPr="001009A7">
        <w:rPr>
          <w:bCs/>
        </w:rPr>
        <w:t>,</w:t>
      </w:r>
      <w:r>
        <w:rPr>
          <w:bCs/>
        </w:rPr>
        <w:t xml:space="preserve"> which is the largest real estate listing site in China. In conjunction with the </w:t>
      </w:r>
      <w:r>
        <w:t xml:space="preserve">China Real Estate Index System (CREIS), Soufun.com </w:t>
      </w:r>
      <w:proofErr w:type="gramStart"/>
      <w:r>
        <w:t>co-publish</w:t>
      </w:r>
      <w:proofErr w:type="gramEnd"/>
      <w:r>
        <w:t xml:space="preserve"> the China Real Estate Statistical Yearbook. For the primary data collection we only considered the dominant type of urban residence, which is a private apartment in a complex. We did not consider subsidized public rental housing, economically affordable housing, and high-grade apartments and villas</w:t>
      </w:r>
      <w:r w:rsidR="00F25E61">
        <w:t>,</w:t>
      </w:r>
      <w:r>
        <w:t xml:space="preserve"> </w:t>
      </w:r>
      <w:r w:rsidR="00F25E61">
        <w:t xml:space="preserve">which </w:t>
      </w:r>
      <w:r>
        <w:t xml:space="preserve">are </w:t>
      </w:r>
      <w:r w:rsidR="00F25E61">
        <w:t xml:space="preserve">just </w:t>
      </w:r>
      <w:r>
        <w:t xml:space="preserve">minor components of the urban housing system. According to the China Real Estate Yearbook 2011, </w:t>
      </w:r>
      <w:r w:rsidR="00F25E61">
        <w:t xml:space="preserve">of 8.82 million </w:t>
      </w:r>
      <w:r>
        <w:t xml:space="preserve">new urban housing units sold in 2010, just </w:t>
      </w:r>
      <w:r w:rsidR="00F25E61">
        <w:t xml:space="preserve">2.5 percent were high-grade apartments or villas and </w:t>
      </w:r>
      <w:r>
        <w:t>3.7 percent were economic</w:t>
      </w:r>
      <w:r w:rsidR="00F25E61">
        <w:t>ally affordable housing. T</w:t>
      </w:r>
      <w:r>
        <w:t xml:space="preserve">he </w:t>
      </w:r>
      <w:r w:rsidR="00F25E61">
        <w:t xml:space="preserve">other </w:t>
      </w:r>
      <w:r>
        <w:t xml:space="preserve">94 percent </w:t>
      </w:r>
      <w:r w:rsidR="00F25E61">
        <w:t xml:space="preserve">were </w:t>
      </w:r>
      <w:r>
        <w:t>standard private apartments</w:t>
      </w:r>
      <w:r w:rsidR="00F25E61">
        <w:t xml:space="preserve">, so </w:t>
      </w:r>
      <w:r>
        <w:t>our primary dat</w:t>
      </w:r>
      <w:r w:rsidR="00F25E61">
        <w:t>a collection concentrated on this</w:t>
      </w:r>
      <w:r>
        <w:t xml:space="preserve"> dominant form of urban housing.</w:t>
      </w:r>
    </w:p>
    <w:p w:rsidR="00C8417F" w:rsidRPr="00F86DD5" w:rsidRDefault="00C8417F" w:rsidP="00DF0191">
      <w:pPr>
        <w:tabs>
          <w:tab w:val="left" w:pos="426"/>
        </w:tabs>
        <w:spacing w:line="300" w:lineRule="auto"/>
        <w:jc w:val="both"/>
        <w:rPr>
          <w:bCs/>
        </w:rPr>
      </w:pPr>
    </w:p>
    <w:p w:rsidR="008D4353" w:rsidRDefault="0082462D" w:rsidP="0082462D">
      <w:pPr>
        <w:pStyle w:val="ListParagraph"/>
        <w:tabs>
          <w:tab w:val="left" w:pos="426"/>
        </w:tabs>
        <w:spacing w:line="300" w:lineRule="auto"/>
        <w:ind w:left="0"/>
        <w:jc w:val="both"/>
        <w:rPr>
          <w:b/>
          <w:bCs/>
        </w:rPr>
      </w:pPr>
      <w:r>
        <w:rPr>
          <w:b/>
          <w:bCs/>
        </w:rPr>
        <w:t>4.</w:t>
      </w:r>
      <w:r>
        <w:rPr>
          <w:b/>
          <w:bCs/>
        </w:rPr>
        <w:tab/>
      </w:r>
      <w:r w:rsidR="008D4353" w:rsidRPr="00AA66C9">
        <w:rPr>
          <w:b/>
          <w:bCs/>
        </w:rPr>
        <w:t xml:space="preserve">CHINA’S </w:t>
      </w:r>
      <w:r w:rsidR="0024622F">
        <w:rPr>
          <w:b/>
          <w:bCs/>
        </w:rPr>
        <w:t xml:space="preserve">URBAN </w:t>
      </w:r>
      <w:r w:rsidR="008D4353" w:rsidRPr="00AA66C9">
        <w:rPr>
          <w:b/>
          <w:bCs/>
        </w:rPr>
        <w:t>HOUSING MARKET AND PRICE DETERMINANTS</w:t>
      </w:r>
    </w:p>
    <w:p w:rsidR="0082462D" w:rsidRPr="0082462D" w:rsidRDefault="0082462D" w:rsidP="0082462D">
      <w:pPr>
        <w:pStyle w:val="ListParagraph"/>
        <w:tabs>
          <w:tab w:val="left" w:pos="426"/>
        </w:tabs>
        <w:spacing w:line="300" w:lineRule="auto"/>
        <w:ind w:left="0"/>
        <w:jc w:val="both"/>
        <w:rPr>
          <w:b/>
          <w:bCs/>
          <w:sz w:val="12"/>
          <w:szCs w:val="12"/>
        </w:rPr>
      </w:pPr>
    </w:p>
    <w:p w:rsidR="0024622F" w:rsidRDefault="0024622F" w:rsidP="0082462D">
      <w:pPr>
        <w:tabs>
          <w:tab w:val="left" w:pos="426"/>
        </w:tabs>
        <w:spacing w:line="300" w:lineRule="auto"/>
        <w:jc w:val="both"/>
      </w:pPr>
      <w:r>
        <w:rPr>
          <w:rFonts w:eastAsia="Calibri"/>
          <w:lang w:val="en-NZ"/>
        </w:rPr>
        <w:t xml:space="preserve">If </w:t>
      </w:r>
      <w:r w:rsidR="00AC2D7C">
        <w:rPr>
          <w:rFonts w:eastAsia="Calibri"/>
          <w:szCs w:val="22"/>
          <w:lang w:val="en-NZ"/>
        </w:rPr>
        <w:t xml:space="preserve">dwelling quality varies systematically over space </w:t>
      </w:r>
      <w:r>
        <w:rPr>
          <w:rFonts w:eastAsia="Calibri"/>
          <w:szCs w:val="22"/>
          <w:lang w:val="en-NZ"/>
        </w:rPr>
        <w:t xml:space="preserve">it </w:t>
      </w:r>
      <w:r w:rsidR="00AC2D7C">
        <w:rPr>
          <w:rFonts w:eastAsia="Calibri"/>
          <w:szCs w:val="22"/>
          <w:lang w:val="en-NZ"/>
        </w:rPr>
        <w:t xml:space="preserve">may interfere with using published </w:t>
      </w:r>
      <w:r w:rsidR="005C1D16">
        <w:rPr>
          <w:rFonts w:eastAsia="Calibri"/>
          <w:szCs w:val="22"/>
          <w:lang w:val="en-NZ"/>
        </w:rPr>
        <w:t xml:space="preserve">average </w:t>
      </w:r>
      <w:r w:rsidR="001B080B">
        <w:rPr>
          <w:rFonts w:eastAsia="Calibri"/>
          <w:szCs w:val="22"/>
          <w:lang w:val="en-NZ"/>
        </w:rPr>
        <w:t xml:space="preserve">new </w:t>
      </w:r>
      <w:r w:rsidR="005C1D16">
        <w:rPr>
          <w:rFonts w:eastAsia="Calibri"/>
          <w:szCs w:val="22"/>
          <w:lang w:val="en-NZ"/>
        </w:rPr>
        <w:t xml:space="preserve">dwelling selling </w:t>
      </w:r>
      <w:r w:rsidR="00AC2D7C">
        <w:rPr>
          <w:rFonts w:eastAsia="Calibri"/>
          <w:szCs w:val="22"/>
          <w:lang w:val="en-NZ"/>
        </w:rPr>
        <w:t>price</w:t>
      </w:r>
      <w:r w:rsidR="005C1D16">
        <w:rPr>
          <w:rFonts w:eastAsia="Calibri"/>
          <w:szCs w:val="22"/>
          <w:lang w:val="en-NZ"/>
        </w:rPr>
        <w:t>s</w:t>
      </w:r>
      <w:r w:rsidR="00AC2D7C">
        <w:rPr>
          <w:rFonts w:eastAsia="Calibri"/>
          <w:szCs w:val="22"/>
          <w:lang w:val="en-NZ"/>
        </w:rPr>
        <w:t xml:space="preserve"> as an indicator of </w:t>
      </w:r>
      <w:r w:rsidR="005C1D16">
        <w:rPr>
          <w:rFonts w:eastAsia="Calibri"/>
          <w:szCs w:val="22"/>
          <w:lang w:val="en-NZ"/>
        </w:rPr>
        <w:t xml:space="preserve">standardized housing </w:t>
      </w:r>
      <w:r w:rsidR="00AC2D7C">
        <w:rPr>
          <w:rFonts w:eastAsia="Calibri"/>
          <w:szCs w:val="22"/>
          <w:lang w:val="en-NZ"/>
        </w:rPr>
        <w:t>costs</w:t>
      </w:r>
      <w:r w:rsidR="001B080B">
        <w:rPr>
          <w:rFonts w:eastAsia="Calibri"/>
          <w:szCs w:val="22"/>
          <w:lang w:val="en-NZ"/>
        </w:rPr>
        <w:t xml:space="preserve"> for urban areas</w:t>
      </w:r>
      <w:r>
        <w:rPr>
          <w:rFonts w:eastAsia="Calibri"/>
          <w:szCs w:val="22"/>
          <w:lang w:val="en-NZ"/>
        </w:rPr>
        <w:t xml:space="preserve">. </w:t>
      </w:r>
      <w:r w:rsidR="001B080B">
        <w:rPr>
          <w:rFonts w:eastAsia="Calibri"/>
          <w:szCs w:val="22"/>
          <w:lang w:val="en-NZ"/>
        </w:rPr>
        <w:t xml:space="preserve">The way </w:t>
      </w:r>
      <w:r w:rsidR="00B94A24">
        <w:rPr>
          <w:rFonts w:eastAsia="Calibri"/>
          <w:szCs w:val="22"/>
          <w:lang w:val="en-NZ"/>
        </w:rPr>
        <w:t xml:space="preserve">that </w:t>
      </w:r>
      <w:r w:rsidR="001B080B">
        <w:rPr>
          <w:rFonts w:eastAsia="Calibri"/>
          <w:szCs w:val="22"/>
          <w:lang w:val="en-NZ"/>
        </w:rPr>
        <w:t>real estate development is organized in China makes systematic quality differences</w:t>
      </w:r>
      <w:r w:rsidR="00B94A24">
        <w:rPr>
          <w:rFonts w:eastAsia="Calibri"/>
          <w:szCs w:val="22"/>
          <w:lang w:val="en-NZ"/>
        </w:rPr>
        <w:t xml:space="preserve"> between cities unlikely</w:t>
      </w:r>
      <w:r w:rsidR="001B080B">
        <w:rPr>
          <w:rFonts w:eastAsia="Calibri"/>
          <w:szCs w:val="22"/>
          <w:lang w:val="en-NZ"/>
        </w:rPr>
        <w:t xml:space="preserve">, since many apartment complexes in different cities are developed by </w:t>
      </w:r>
      <w:r w:rsidR="00B94A24">
        <w:rPr>
          <w:rFonts w:eastAsia="Calibri"/>
          <w:szCs w:val="22"/>
          <w:lang w:val="en-NZ"/>
        </w:rPr>
        <w:t xml:space="preserve">the same </w:t>
      </w:r>
      <w:r w:rsidR="001B080B">
        <w:rPr>
          <w:rFonts w:eastAsia="Calibri"/>
          <w:szCs w:val="22"/>
          <w:lang w:val="en-NZ"/>
        </w:rPr>
        <w:t xml:space="preserve">national-level real estate development companies (sometimes even using the same names for their complexes in each city). </w:t>
      </w:r>
      <w:r w:rsidR="00B94A24">
        <w:t xml:space="preserve">While each complex may have dozens of multi-story towers, each containing more than 50 individual housing units, within a complex there are only a few (typically less than 10) floor plans available and the selling price in terms of </w:t>
      </w:r>
      <w:proofErr w:type="spellStart"/>
      <w:r w:rsidR="00B94A24">
        <w:t>yuan</w:t>
      </w:r>
      <w:proofErr w:type="spellEnd"/>
      <w:r w:rsidR="00B94A24">
        <w:t xml:space="preserve"> per square </w:t>
      </w:r>
      <w:proofErr w:type="spellStart"/>
      <w:r w:rsidR="00B94A24">
        <w:t>metre</w:t>
      </w:r>
      <w:proofErr w:type="spellEnd"/>
      <w:r w:rsidR="00B94A24">
        <w:t xml:space="preserve"> varies little across the individual units. But there is considerable variation in selling price between complexes in different areas, including between different districts of the same city (</w:t>
      </w:r>
      <w:r w:rsidR="006E2415">
        <w:t>for example,</w:t>
      </w:r>
      <w:r w:rsidR="00B94A24">
        <w:t xml:space="preserve"> Beijing has 16 city districts</w:t>
      </w:r>
      <w:r w:rsidR="005D071F">
        <w:t xml:space="preserve"> and complexes in different </w:t>
      </w:r>
      <w:r w:rsidR="0067442A">
        <w:t xml:space="preserve">Beijing </w:t>
      </w:r>
      <w:r w:rsidR="005D071F">
        <w:t xml:space="preserve">districts may have prices that vary by up to 30,000 </w:t>
      </w:r>
      <w:proofErr w:type="spellStart"/>
      <w:r w:rsidR="005D071F">
        <w:t>yuan</w:t>
      </w:r>
      <w:proofErr w:type="spellEnd"/>
      <w:r w:rsidR="005D071F">
        <w:t xml:space="preserve"> (US$4,800) per square </w:t>
      </w:r>
      <w:proofErr w:type="spellStart"/>
      <w:r w:rsidR="005D071F">
        <w:t>metre</w:t>
      </w:r>
      <w:proofErr w:type="spellEnd"/>
      <w:r w:rsidR="0067442A">
        <w:t>)</w:t>
      </w:r>
      <w:r w:rsidR="00B94A24">
        <w:t>.</w:t>
      </w:r>
      <w:r w:rsidR="005D071F">
        <w:t xml:space="preserve"> </w:t>
      </w:r>
      <w:r w:rsidR="006E2415">
        <w:t xml:space="preserve"> </w:t>
      </w:r>
      <w:r w:rsidR="005D071F">
        <w:t xml:space="preserve">This variation is consistent with the finding of Deng </w:t>
      </w:r>
      <w:r w:rsidR="006E2415">
        <w:rPr>
          <w:i/>
        </w:rPr>
        <w:t>et al.</w:t>
      </w:r>
      <w:r w:rsidR="006E2415" w:rsidRPr="007E4D95">
        <w:t xml:space="preserve"> </w:t>
      </w:r>
      <w:r w:rsidR="005D071F">
        <w:t xml:space="preserve">(2012) that variation in new dwelling prices is </w:t>
      </w:r>
      <w:r w:rsidR="005D071F" w:rsidRPr="000B57DE">
        <w:t>driven by the land market</w:t>
      </w:r>
      <w:r w:rsidR="005D071F">
        <w:t>.</w:t>
      </w:r>
    </w:p>
    <w:p w:rsidR="0082462D" w:rsidRDefault="0082462D" w:rsidP="0082462D">
      <w:pPr>
        <w:tabs>
          <w:tab w:val="left" w:pos="426"/>
        </w:tabs>
        <w:spacing w:line="300" w:lineRule="auto"/>
        <w:jc w:val="both"/>
        <w:rPr>
          <w:rFonts w:eastAsia="Calibri"/>
          <w:szCs w:val="22"/>
          <w:lang w:val="en-NZ"/>
        </w:rPr>
      </w:pPr>
    </w:p>
    <w:p w:rsidR="00DF518F" w:rsidRDefault="00C26DA3" w:rsidP="00C26DA3">
      <w:pPr>
        <w:tabs>
          <w:tab w:val="left" w:pos="426"/>
        </w:tabs>
        <w:spacing w:line="300" w:lineRule="auto"/>
        <w:jc w:val="both"/>
      </w:pPr>
      <w:r>
        <w:rPr>
          <w:rFonts w:eastAsia="Calibri"/>
          <w:szCs w:val="22"/>
          <w:lang w:val="en-NZ"/>
        </w:rPr>
        <w:lastRenderedPageBreak/>
        <w:tab/>
      </w:r>
      <w:r w:rsidR="0067442A">
        <w:rPr>
          <w:rFonts w:eastAsia="Calibri"/>
          <w:szCs w:val="22"/>
          <w:lang w:val="en-NZ"/>
        </w:rPr>
        <w:t>In order to verify if dwelling quality varies systematically over space</w:t>
      </w:r>
      <w:r w:rsidR="00AC2D7C">
        <w:rPr>
          <w:rFonts w:eastAsia="Calibri"/>
          <w:szCs w:val="22"/>
          <w:lang w:val="en-NZ"/>
        </w:rPr>
        <w:t xml:space="preserve">, </w:t>
      </w:r>
      <w:r w:rsidR="0067442A">
        <w:rPr>
          <w:rFonts w:eastAsia="Calibri"/>
          <w:szCs w:val="22"/>
          <w:lang w:val="en-NZ"/>
        </w:rPr>
        <w:t xml:space="preserve">in February 2013 </w:t>
      </w:r>
      <w:r w:rsidR="00AC2D7C">
        <w:rPr>
          <w:rFonts w:eastAsia="Calibri"/>
          <w:szCs w:val="22"/>
          <w:lang w:val="en-NZ"/>
        </w:rPr>
        <w:t xml:space="preserve">we gathered data on sales prices for </w:t>
      </w:r>
      <w:r w:rsidR="0067442A">
        <w:rPr>
          <w:rFonts w:eastAsia="Calibri"/>
          <w:szCs w:val="22"/>
          <w:lang w:val="en-NZ"/>
        </w:rPr>
        <w:t xml:space="preserve">150 new </w:t>
      </w:r>
      <w:r w:rsidR="00AC2D7C">
        <w:rPr>
          <w:rFonts w:eastAsia="Calibri"/>
          <w:szCs w:val="22"/>
          <w:lang w:val="en-NZ"/>
        </w:rPr>
        <w:t xml:space="preserve">apartments </w:t>
      </w:r>
      <w:r w:rsidR="0067442A">
        <w:rPr>
          <w:rFonts w:eastAsia="Calibri"/>
          <w:szCs w:val="22"/>
          <w:lang w:val="en-NZ"/>
        </w:rPr>
        <w:t xml:space="preserve">in </w:t>
      </w:r>
      <w:r w:rsidR="00AC2D7C">
        <w:rPr>
          <w:rFonts w:eastAsia="Calibri"/>
          <w:szCs w:val="22"/>
          <w:lang w:val="en-NZ"/>
        </w:rPr>
        <w:t xml:space="preserve">three cities. Each city </w:t>
      </w:r>
      <w:r w:rsidR="005C1D16">
        <w:rPr>
          <w:rFonts w:eastAsia="Calibri"/>
          <w:szCs w:val="22"/>
          <w:lang w:val="en-NZ"/>
        </w:rPr>
        <w:t xml:space="preserve">is </w:t>
      </w:r>
      <w:r w:rsidR="00AC2D7C">
        <w:rPr>
          <w:rFonts w:eastAsia="Calibri"/>
          <w:szCs w:val="22"/>
          <w:lang w:val="en-NZ"/>
        </w:rPr>
        <w:t xml:space="preserve">from a different level of China’s administrative hierarchy: Beijing is a municipality-level city with </w:t>
      </w:r>
      <w:r w:rsidR="005C1D16">
        <w:rPr>
          <w:rFonts w:eastAsia="Calibri"/>
          <w:szCs w:val="22"/>
          <w:lang w:val="en-NZ"/>
        </w:rPr>
        <w:t xml:space="preserve">an </w:t>
      </w:r>
      <w:r w:rsidR="00AC2D7C">
        <w:rPr>
          <w:rFonts w:eastAsia="Calibri"/>
          <w:szCs w:val="22"/>
          <w:lang w:val="en-NZ"/>
        </w:rPr>
        <w:t xml:space="preserve">equivalent status to a province; Nanjing is </w:t>
      </w:r>
      <w:r w:rsidR="005C1D16">
        <w:rPr>
          <w:rFonts w:eastAsia="Calibri"/>
          <w:szCs w:val="22"/>
          <w:lang w:val="en-NZ"/>
        </w:rPr>
        <w:t xml:space="preserve">the capital of Jiangsu province and </w:t>
      </w:r>
      <w:r w:rsidR="0024622F">
        <w:rPr>
          <w:rFonts w:eastAsia="Calibri"/>
          <w:szCs w:val="22"/>
          <w:lang w:val="en-NZ"/>
        </w:rPr>
        <w:t xml:space="preserve">is </w:t>
      </w:r>
      <w:r w:rsidR="00AC2D7C">
        <w:rPr>
          <w:rFonts w:eastAsia="Calibri"/>
          <w:szCs w:val="22"/>
          <w:lang w:val="en-NZ"/>
        </w:rPr>
        <w:t xml:space="preserve">one of 15 sub-provincial cities in China, which have </w:t>
      </w:r>
      <w:r w:rsidR="005C1D16">
        <w:rPr>
          <w:rFonts w:eastAsia="Calibri"/>
          <w:szCs w:val="22"/>
          <w:lang w:val="en-NZ"/>
        </w:rPr>
        <w:t xml:space="preserve">much greater autonomy and </w:t>
      </w:r>
      <w:r w:rsidR="00AC2D7C">
        <w:rPr>
          <w:rFonts w:eastAsia="Calibri"/>
          <w:szCs w:val="22"/>
          <w:lang w:val="en-NZ"/>
        </w:rPr>
        <w:t xml:space="preserve">higher status than prefecture-level cities; </w:t>
      </w:r>
      <w:r w:rsidR="005C1D16">
        <w:rPr>
          <w:rFonts w:eastAsia="Calibri"/>
          <w:szCs w:val="22"/>
          <w:lang w:val="en-NZ"/>
        </w:rPr>
        <w:t xml:space="preserve">while </w:t>
      </w:r>
      <w:r w:rsidR="00AC2D7C">
        <w:rPr>
          <w:rFonts w:eastAsia="Calibri"/>
          <w:szCs w:val="22"/>
          <w:lang w:val="en-NZ"/>
        </w:rPr>
        <w:t>Changs</w:t>
      </w:r>
      <w:r w:rsidR="00A0189F">
        <w:rPr>
          <w:rFonts w:eastAsia="Calibri"/>
          <w:szCs w:val="22"/>
          <w:lang w:val="en-NZ"/>
        </w:rPr>
        <w:t>h</w:t>
      </w:r>
      <w:r w:rsidR="00AC2D7C">
        <w:rPr>
          <w:rFonts w:eastAsia="Calibri"/>
          <w:szCs w:val="22"/>
          <w:lang w:val="en-NZ"/>
        </w:rPr>
        <w:t xml:space="preserve">a is a prefecture-level city and the capital of Hunan province. </w:t>
      </w:r>
      <w:r w:rsidR="00F94B1A">
        <w:rPr>
          <w:rFonts w:eastAsia="Calibri"/>
          <w:szCs w:val="22"/>
          <w:lang w:val="en-NZ"/>
        </w:rPr>
        <w:t>The data collection was restricted to these three cities because</w:t>
      </w:r>
      <w:r w:rsidR="00DF518F">
        <w:rPr>
          <w:rFonts w:eastAsia="Calibri"/>
          <w:szCs w:val="22"/>
          <w:lang w:val="en-NZ"/>
        </w:rPr>
        <w:t xml:space="preserve"> </w:t>
      </w:r>
      <w:r w:rsidR="0067442A">
        <w:rPr>
          <w:rFonts w:eastAsia="Calibri"/>
          <w:szCs w:val="22"/>
          <w:lang w:val="en-NZ"/>
        </w:rPr>
        <w:t xml:space="preserve">advertisements from </w:t>
      </w:r>
      <w:r w:rsidR="00DF518F" w:rsidRPr="006169E4">
        <w:rPr>
          <w:rFonts w:eastAsia="Calibri"/>
          <w:szCs w:val="22"/>
          <w:lang w:val="en-NZ"/>
        </w:rPr>
        <w:t xml:space="preserve">most of the 323 cities </w:t>
      </w:r>
      <w:r w:rsidR="0024622F">
        <w:rPr>
          <w:rFonts w:eastAsia="Calibri"/>
          <w:szCs w:val="22"/>
          <w:lang w:val="en-NZ"/>
        </w:rPr>
        <w:t>in Soufun.com lack</w:t>
      </w:r>
      <w:r w:rsidR="00DF518F" w:rsidRPr="006169E4">
        <w:rPr>
          <w:rFonts w:eastAsia="Calibri"/>
          <w:szCs w:val="22"/>
          <w:lang w:val="en-NZ"/>
        </w:rPr>
        <w:t xml:space="preserve"> data on key attributes (both unit and complex characteristics). </w:t>
      </w:r>
      <w:r w:rsidR="0024622F">
        <w:rPr>
          <w:rFonts w:eastAsia="Calibri"/>
          <w:szCs w:val="22"/>
          <w:lang w:val="en-NZ"/>
        </w:rPr>
        <w:t>T</w:t>
      </w:r>
      <w:r w:rsidR="00DF518F" w:rsidRPr="006169E4">
        <w:rPr>
          <w:rFonts w:eastAsia="Calibri"/>
          <w:szCs w:val="22"/>
          <w:lang w:val="en-NZ"/>
        </w:rPr>
        <w:t xml:space="preserve">he majority of advertisements just </w:t>
      </w:r>
      <w:r w:rsidR="00DF518F" w:rsidRPr="006169E4">
        <w:t xml:space="preserve">list the average selling </w:t>
      </w:r>
      <w:r w:rsidR="0024622F">
        <w:t>price of all units in a complex but</w:t>
      </w:r>
      <w:r w:rsidR="00DF518F" w:rsidRPr="006169E4">
        <w:t xml:space="preserve"> for the three selected cities the unique price (per square </w:t>
      </w:r>
      <w:proofErr w:type="spellStart"/>
      <w:r w:rsidR="00DF518F" w:rsidRPr="006169E4">
        <w:t>metre</w:t>
      </w:r>
      <w:proofErr w:type="spellEnd"/>
      <w:r w:rsidR="00DF518F" w:rsidRPr="006169E4">
        <w:t>) for every</w:t>
      </w:r>
      <w:r w:rsidR="00DF518F" w:rsidRPr="006169E4">
        <w:rPr>
          <w:rFonts w:eastAsia="Calibri"/>
          <w:szCs w:val="22"/>
          <w:lang w:val="en-NZ"/>
        </w:rPr>
        <w:t xml:space="preserve"> apartment in a complex</w:t>
      </w:r>
      <w:r w:rsidR="0024622F">
        <w:rPr>
          <w:rFonts w:eastAsia="Calibri"/>
          <w:szCs w:val="22"/>
          <w:lang w:val="en-NZ"/>
        </w:rPr>
        <w:t xml:space="preserve"> is consistently listed</w:t>
      </w:r>
      <w:r w:rsidR="00DF518F" w:rsidRPr="006169E4">
        <w:rPr>
          <w:rFonts w:eastAsia="Calibri"/>
          <w:szCs w:val="22"/>
          <w:lang w:val="en-NZ"/>
        </w:rPr>
        <w:t xml:space="preserve">. Furthermore, only for these three cities do the advertisements </w:t>
      </w:r>
      <w:r w:rsidR="0024622F">
        <w:rPr>
          <w:rFonts w:eastAsia="Calibri"/>
          <w:szCs w:val="22"/>
          <w:lang w:val="en-NZ"/>
        </w:rPr>
        <w:t xml:space="preserve">always </w:t>
      </w:r>
      <w:r w:rsidR="00DF518F" w:rsidRPr="006169E4">
        <w:rPr>
          <w:rFonts w:eastAsia="Calibri"/>
          <w:szCs w:val="22"/>
          <w:lang w:val="en-NZ"/>
        </w:rPr>
        <w:t xml:space="preserve">list the complex opening date, completion date, and the sales ratio, while for other cities these </w:t>
      </w:r>
      <w:r w:rsidR="0024622F">
        <w:rPr>
          <w:rFonts w:eastAsia="Calibri"/>
          <w:szCs w:val="22"/>
          <w:lang w:val="en-NZ"/>
        </w:rPr>
        <w:t xml:space="preserve">data </w:t>
      </w:r>
      <w:r w:rsidR="00DF518F" w:rsidRPr="006169E4">
        <w:rPr>
          <w:rFonts w:eastAsia="Calibri"/>
          <w:szCs w:val="22"/>
          <w:lang w:val="en-NZ"/>
        </w:rPr>
        <w:t xml:space="preserve">are </w:t>
      </w:r>
      <w:r w:rsidR="0024622F">
        <w:rPr>
          <w:rFonts w:eastAsia="Calibri"/>
          <w:szCs w:val="22"/>
          <w:lang w:val="en-NZ"/>
        </w:rPr>
        <w:t>missing</w:t>
      </w:r>
      <w:r w:rsidR="00DF518F" w:rsidRPr="006169E4">
        <w:rPr>
          <w:rFonts w:eastAsia="Calibri"/>
          <w:szCs w:val="22"/>
          <w:lang w:val="en-NZ"/>
        </w:rPr>
        <w:t>. Previous research has found that t</w:t>
      </w:r>
      <w:r w:rsidR="0024622F">
        <w:rPr>
          <w:rFonts w:eastAsia="Calibri"/>
          <w:szCs w:val="22"/>
          <w:lang w:val="en-NZ"/>
        </w:rPr>
        <w:t>hese factors play a significant role</w:t>
      </w:r>
      <w:r w:rsidR="00DF518F" w:rsidRPr="006169E4">
        <w:rPr>
          <w:rFonts w:eastAsia="Calibri"/>
          <w:szCs w:val="22"/>
          <w:lang w:val="en-NZ"/>
        </w:rPr>
        <w:t xml:space="preserve"> in determining </w:t>
      </w:r>
      <w:r w:rsidR="0067442A">
        <w:rPr>
          <w:rFonts w:eastAsia="Calibri"/>
          <w:szCs w:val="22"/>
          <w:lang w:val="en-NZ"/>
        </w:rPr>
        <w:t xml:space="preserve">new </w:t>
      </w:r>
      <w:r w:rsidR="00DF518F" w:rsidRPr="006169E4">
        <w:rPr>
          <w:rFonts w:eastAsia="Calibri"/>
          <w:szCs w:val="22"/>
          <w:lang w:val="en-NZ"/>
        </w:rPr>
        <w:t xml:space="preserve">apartment prices because they represent </w:t>
      </w:r>
      <w:r w:rsidR="0024622F" w:rsidRPr="006169E4">
        <w:rPr>
          <w:rFonts w:eastAsia="Calibri"/>
          <w:szCs w:val="22"/>
          <w:lang w:val="en-NZ"/>
        </w:rPr>
        <w:t xml:space="preserve">changing pricing behaviour </w:t>
      </w:r>
      <w:r w:rsidR="0024622F">
        <w:rPr>
          <w:rFonts w:eastAsia="Calibri"/>
          <w:szCs w:val="22"/>
          <w:lang w:val="en-NZ"/>
        </w:rPr>
        <w:t>of the real estate developer</w:t>
      </w:r>
      <w:r w:rsidR="00DF518F" w:rsidRPr="006169E4">
        <w:rPr>
          <w:rFonts w:eastAsia="Calibri"/>
          <w:szCs w:val="22"/>
          <w:lang w:val="en-NZ"/>
        </w:rPr>
        <w:t xml:space="preserve"> at the different stages </w:t>
      </w:r>
      <w:r w:rsidR="0024622F">
        <w:rPr>
          <w:rFonts w:eastAsia="Calibri"/>
          <w:szCs w:val="22"/>
          <w:lang w:val="en-NZ"/>
        </w:rPr>
        <w:t xml:space="preserve">to </w:t>
      </w:r>
      <w:r w:rsidR="00DF518F" w:rsidRPr="006169E4">
        <w:rPr>
          <w:rFonts w:eastAsia="Calibri"/>
          <w:szCs w:val="22"/>
          <w:lang w:val="en-NZ"/>
        </w:rPr>
        <w:t>completion of an apa</w:t>
      </w:r>
      <w:r w:rsidR="0024622F">
        <w:rPr>
          <w:rFonts w:eastAsia="Calibri"/>
          <w:szCs w:val="22"/>
          <w:lang w:val="en-NZ"/>
        </w:rPr>
        <w:t xml:space="preserve">rtment complex (Wu </w:t>
      </w:r>
      <w:r w:rsidR="0024622F" w:rsidRPr="0082462D">
        <w:rPr>
          <w:rFonts w:eastAsia="Calibri"/>
          <w:i/>
          <w:szCs w:val="22"/>
          <w:lang w:val="en-NZ"/>
        </w:rPr>
        <w:t>et al</w:t>
      </w:r>
      <w:r w:rsidR="0082462D">
        <w:rPr>
          <w:rFonts w:eastAsia="Calibri"/>
          <w:szCs w:val="22"/>
          <w:lang w:val="en-NZ"/>
        </w:rPr>
        <w:t>.</w:t>
      </w:r>
      <w:r w:rsidR="00DF518F" w:rsidRPr="006169E4">
        <w:rPr>
          <w:rFonts w:eastAsia="Calibri"/>
          <w:szCs w:val="22"/>
          <w:lang w:val="en-NZ"/>
        </w:rPr>
        <w:t xml:space="preserve"> 2012).</w:t>
      </w:r>
      <w:r w:rsidR="0067442A">
        <w:rPr>
          <w:rFonts w:eastAsia="Calibri"/>
          <w:szCs w:val="22"/>
          <w:lang w:val="en-NZ"/>
        </w:rPr>
        <w:t xml:space="preserve"> We sampled prices from </w:t>
      </w:r>
      <w:r w:rsidR="0067442A" w:rsidRPr="003A2A2E">
        <w:t>3-5 complexes for each of the 13 districts of Beijing,</w:t>
      </w:r>
      <w:r w:rsidR="00F25E61">
        <w:t xml:space="preserve"> 5-8 complexes f</w:t>
      </w:r>
      <w:r w:rsidR="0067442A">
        <w:t>r</w:t>
      </w:r>
      <w:r w:rsidR="00F25E61">
        <w:t>om</w:t>
      </w:r>
      <w:r w:rsidR="0067442A">
        <w:t xml:space="preserve"> each of the nine</w:t>
      </w:r>
      <w:r w:rsidR="0067442A" w:rsidRPr="003A2A2E">
        <w:t xml:space="preserve"> districts o</w:t>
      </w:r>
      <w:r w:rsidR="00F25E61">
        <w:t>f Nanjing, and 5-12 complexes f</w:t>
      </w:r>
      <w:r w:rsidR="0067442A" w:rsidRPr="003A2A2E">
        <w:t>r</w:t>
      </w:r>
      <w:r w:rsidR="00F25E61">
        <w:t>om</w:t>
      </w:r>
      <w:r w:rsidR="0067442A" w:rsidRPr="003A2A2E">
        <w:t xml:space="preserve"> each o</w:t>
      </w:r>
      <w:r w:rsidR="0067442A">
        <w:t>f the five</w:t>
      </w:r>
      <w:r w:rsidR="0067442A" w:rsidRPr="003A2A2E">
        <w:t xml:space="preserve"> districts of Changsha</w:t>
      </w:r>
      <w:r w:rsidR="0067442A">
        <w:t>.</w:t>
      </w:r>
    </w:p>
    <w:p w:rsidR="0082462D" w:rsidRDefault="0082462D" w:rsidP="00DF0191">
      <w:pPr>
        <w:tabs>
          <w:tab w:val="left" w:pos="426"/>
        </w:tabs>
        <w:spacing w:line="300" w:lineRule="auto"/>
        <w:ind w:firstLine="720"/>
        <w:jc w:val="both"/>
        <w:rPr>
          <w:rFonts w:eastAsia="Calibri"/>
          <w:szCs w:val="22"/>
          <w:lang w:val="en-NZ"/>
        </w:rPr>
      </w:pPr>
    </w:p>
    <w:p w:rsidR="0082462D" w:rsidRDefault="00C26DA3" w:rsidP="00C26DA3">
      <w:pPr>
        <w:tabs>
          <w:tab w:val="left" w:pos="426"/>
        </w:tabs>
        <w:spacing w:line="300" w:lineRule="auto"/>
        <w:jc w:val="both"/>
        <w:rPr>
          <w:lang w:val="en-NZ"/>
        </w:rPr>
      </w:pPr>
      <w:r>
        <w:rPr>
          <w:rFonts w:eastAsia="Calibri"/>
          <w:szCs w:val="22"/>
          <w:lang w:val="en-NZ"/>
        </w:rPr>
        <w:tab/>
      </w:r>
      <w:r w:rsidR="00C666CB" w:rsidRPr="00172659">
        <w:rPr>
          <w:rFonts w:eastAsia="Calibri"/>
          <w:szCs w:val="22"/>
          <w:lang w:val="en-NZ"/>
        </w:rPr>
        <w:t>The data used for the hedonic apartment price regres</w:t>
      </w:r>
      <w:r w:rsidR="002C7FEC">
        <w:rPr>
          <w:rFonts w:eastAsia="Calibri"/>
          <w:szCs w:val="22"/>
          <w:lang w:val="en-NZ"/>
        </w:rPr>
        <w:t xml:space="preserve">sion are described in </w:t>
      </w:r>
      <w:r>
        <w:rPr>
          <w:rFonts w:eastAsia="Calibri"/>
          <w:szCs w:val="22"/>
          <w:lang w:val="en-NZ"/>
        </w:rPr>
        <w:br/>
      </w:r>
      <w:r w:rsidR="002C7FEC">
        <w:rPr>
          <w:rFonts w:eastAsia="Calibri"/>
          <w:szCs w:val="22"/>
          <w:lang w:val="en-NZ"/>
        </w:rPr>
        <w:t>Appendix A</w:t>
      </w:r>
      <w:r w:rsidR="00C666CB" w:rsidRPr="00172659">
        <w:rPr>
          <w:rFonts w:eastAsia="Calibri"/>
          <w:szCs w:val="22"/>
          <w:lang w:val="en-NZ"/>
        </w:rPr>
        <w:t>.  For some characteristics, apartments in Nanjing and Changsha appear to have more desirable qualities than those in Beijing, with more green space and a higher proportion of the complex area being green space (despite the complexes in Nanjing and Changs</w:t>
      </w:r>
      <w:r w:rsidR="00A0189F">
        <w:rPr>
          <w:rFonts w:eastAsia="Calibri"/>
          <w:szCs w:val="22"/>
          <w:lang w:val="en-NZ"/>
        </w:rPr>
        <w:t>h</w:t>
      </w:r>
      <w:r w:rsidR="00C666CB" w:rsidRPr="00172659">
        <w:rPr>
          <w:rFonts w:eastAsia="Calibri"/>
          <w:szCs w:val="22"/>
          <w:lang w:val="en-NZ"/>
        </w:rPr>
        <w:t>a rising higher, on average, than those in Beijing). Also, the listings for Changs</w:t>
      </w:r>
      <w:r w:rsidR="00A0189F">
        <w:rPr>
          <w:rFonts w:eastAsia="Calibri"/>
          <w:szCs w:val="22"/>
          <w:lang w:val="en-NZ"/>
        </w:rPr>
        <w:t>h</w:t>
      </w:r>
      <w:r w:rsidR="00C666CB" w:rsidRPr="00172659">
        <w:rPr>
          <w:rFonts w:eastAsia="Calibri"/>
          <w:szCs w:val="22"/>
          <w:lang w:val="en-NZ"/>
        </w:rPr>
        <w:t>a are for slightly newer complexes than for Beijing, as seen from the fewer months elapsed since the complex was opened for sale and the greater number of months to completion of the complex. On the other hand, the apartments in Beijing in the sample are larger than those in Changs</w:t>
      </w:r>
      <w:r w:rsidR="00A0189F">
        <w:rPr>
          <w:rFonts w:eastAsia="Calibri"/>
          <w:szCs w:val="22"/>
          <w:lang w:val="en-NZ"/>
        </w:rPr>
        <w:t>h</w:t>
      </w:r>
      <w:r w:rsidR="00C666CB" w:rsidRPr="00172659">
        <w:rPr>
          <w:rFonts w:eastAsia="Calibri"/>
          <w:szCs w:val="22"/>
          <w:lang w:val="en-NZ"/>
        </w:rPr>
        <w:t>a, which is likely to be a desirable characteristic showing up in higher prices, even when we concentrate on the price per square metre. The apartment complexes from Beijing also have a higher car park ratio (the number of car parks per dwelling)</w:t>
      </w:r>
      <w:r w:rsidR="00F25E61">
        <w:rPr>
          <w:rFonts w:eastAsia="Calibri"/>
          <w:szCs w:val="22"/>
          <w:lang w:val="en-NZ"/>
        </w:rPr>
        <w:t xml:space="preserve"> – note that</w:t>
      </w:r>
      <w:r w:rsidR="0024622F">
        <w:rPr>
          <w:rFonts w:eastAsia="Calibri"/>
          <w:szCs w:val="22"/>
          <w:lang w:val="en-NZ"/>
        </w:rPr>
        <w:t xml:space="preserve"> </w:t>
      </w:r>
      <w:r w:rsidR="00C666CB" w:rsidRPr="00172659">
        <w:rPr>
          <w:rFonts w:eastAsia="Calibri"/>
          <w:szCs w:val="22"/>
          <w:lang w:val="en-NZ"/>
        </w:rPr>
        <w:t xml:space="preserve">these are rented or sold separately, while most observations for Nanjing and Changsha leave this attribute blank so it is unclear if car parking is bundled with the price of the apartment in those cities. Overall, there is no clear </w:t>
      </w:r>
      <w:r w:rsidR="00C666CB">
        <w:rPr>
          <w:rFonts w:eastAsia="Calibri"/>
          <w:szCs w:val="22"/>
          <w:lang w:val="en-NZ"/>
        </w:rPr>
        <w:t>sign</w:t>
      </w:r>
      <w:r w:rsidR="00C666CB" w:rsidRPr="00172659">
        <w:rPr>
          <w:rFonts w:eastAsia="Calibri"/>
          <w:szCs w:val="22"/>
          <w:lang w:val="en-NZ"/>
        </w:rPr>
        <w:t xml:space="preserve"> that Beijing apartments have better quality relative to </w:t>
      </w:r>
      <w:r w:rsidR="00C666CB">
        <w:rPr>
          <w:rFonts w:eastAsia="Calibri"/>
          <w:szCs w:val="22"/>
          <w:lang w:val="en-NZ"/>
        </w:rPr>
        <w:t xml:space="preserve">those in </w:t>
      </w:r>
      <w:r w:rsidR="00C666CB" w:rsidRPr="00172659">
        <w:rPr>
          <w:rFonts w:eastAsia="Calibri"/>
          <w:szCs w:val="22"/>
          <w:lang w:val="en-NZ"/>
        </w:rPr>
        <w:t xml:space="preserve">the other two cities; </w:t>
      </w:r>
      <w:r w:rsidR="0024622F">
        <w:rPr>
          <w:rFonts w:eastAsia="Calibri"/>
          <w:szCs w:val="22"/>
          <w:lang w:val="en-NZ"/>
        </w:rPr>
        <w:t xml:space="preserve">for example, </w:t>
      </w:r>
      <w:r w:rsidR="00C666CB" w:rsidRPr="00172659">
        <w:rPr>
          <w:rFonts w:eastAsia="Calibri"/>
          <w:szCs w:val="22"/>
          <w:lang w:val="en-NZ"/>
        </w:rPr>
        <w:t xml:space="preserve">the new trend in the real estate market in </w:t>
      </w:r>
      <w:r w:rsidR="0024622F">
        <w:rPr>
          <w:rFonts w:eastAsia="Calibri"/>
          <w:szCs w:val="22"/>
          <w:lang w:val="en-NZ"/>
        </w:rPr>
        <w:t xml:space="preserve">urban </w:t>
      </w:r>
      <w:r w:rsidR="00C666CB" w:rsidRPr="00172659">
        <w:rPr>
          <w:rFonts w:eastAsia="Calibri"/>
          <w:szCs w:val="22"/>
          <w:lang w:val="en-NZ"/>
        </w:rPr>
        <w:t xml:space="preserve">China of </w:t>
      </w:r>
      <w:r w:rsidR="0024622F">
        <w:rPr>
          <w:rFonts w:eastAsia="Calibri"/>
          <w:szCs w:val="22"/>
          <w:lang w:val="en-NZ"/>
        </w:rPr>
        <w:t xml:space="preserve">developers </w:t>
      </w:r>
      <w:r w:rsidR="00C666CB" w:rsidRPr="00172659">
        <w:rPr>
          <w:rFonts w:eastAsia="Calibri"/>
          <w:szCs w:val="22"/>
          <w:lang w:val="en-NZ"/>
        </w:rPr>
        <w:t xml:space="preserve">selling decorated new houses rather than </w:t>
      </w:r>
      <w:r w:rsidR="0024622F">
        <w:rPr>
          <w:rFonts w:eastAsia="Calibri"/>
          <w:szCs w:val="22"/>
          <w:lang w:val="en-NZ"/>
        </w:rPr>
        <w:t xml:space="preserve">unfinished </w:t>
      </w:r>
      <w:r w:rsidR="00C666CB" w:rsidRPr="00172659">
        <w:rPr>
          <w:rFonts w:eastAsia="Calibri"/>
          <w:szCs w:val="22"/>
          <w:lang w:val="en-NZ"/>
        </w:rPr>
        <w:t>ones is just as apparent in all three cities.</w:t>
      </w:r>
      <w:r w:rsidR="001009A7">
        <w:rPr>
          <w:rFonts w:eastAsia="Calibri"/>
          <w:szCs w:val="22"/>
          <w:lang w:val="en-NZ"/>
        </w:rPr>
        <w:t xml:space="preserve">  </w:t>
      </w:r>
      <w:r w:rsidR="00DD1161">
        <w:rPr>
          <w:lang w:val="en-NZ"/>
        </w:rPr>
        <w:t xml:space="preserve">The results of the hedonic house price regressions are shown in Table 1. </w:t>
      </w:r>
    </w:p>
    <w:p w:rsidR="008D5BF6" w:rsidRDefault="008D5BF6">
      <w:pPr>
        <w:rPr>
          <w:rFonts w:eastAsia="Calibri"/>
          <w:szCs w:val="22"/>
          <w:lang w:val="en-NZ"/>
        </w:rPr>
      </w:pPr>
      <w:r>
        <w:rPr>
          <w:rFonts w:eastAsia="Calibri"/>
          <w:szCs w:val="22"/>
          <w:lang w:val="en-NZ"/>
        </w:rPr>
        <w:br w:type="page"/>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55"/>
        <w:gridCol w:w="2030"/>
        <w:gridCol w:w="2030"/>
        <w:gridCol w:w="2028"/>
      </w:tblGrid>
      <w:tr w:rsidR="0082462D" w:rsidRPr="00FC1A20" w:rsidTr="00462022">
        <w:tc>
          <w:tcPr>
            <w:tcW w:w="5000" w:type="pct"/>
            <w:gridSpan w:val="4"/>
            <w:tcBorders>
              <w:bottom w:val="single" w:sz="4" w:space="0" w:color="auto"/>
            </w:tcBorders>
            <w:vAlign w:val="center"/>
          </w:tcPr>
          <w:p w:rsidR="0082462D" w:rsidRPr="0082462D" w:rsidRDefault="0082462D" w:rsidP="00D07DA3">
            <w:pPr>
              <w:pStyle w:val="PlainText"/>
              <w:tabs>
                <w:tab w:val="left" w:pos="426"/>
              </w:tabs>
              <w:spacing w:after="60"/>
              <w:jc w:val="center"/>
              <w:rPr>
                <w:rFonts w:ascii="Times New Roman" w:hAnsi="Times New Roman" w:cs="Times New Roman"/>
                <w:b/>
                <w:sz w:val="22"/>
                <w:szCs w:val="22"/>
              </w:rPr>
            </w:pPr>
            <w:r w:rsidRPr="0082462D">
              <w:rPr>
                <w:rFonts w:ascii="Times New Roman" w:hAnsi="Times New Roman" w:cs="Times New Roman"/>
                <w:b/>
                <w:sz w:val="22"/>
                <w:szCs w:val="22"/>
              </w:rPr>
              <w:lastRenderedPageBreak/>
              <w:t>Table 1. Effect of Location and Dwelling Characteristics on House Prices in Urban China</w:t>
            </w:r>
          </w:p>
        </w:tc>
      </w:tr>
      <w:tr w:rsidR="0082462D" w:rsidRPr="00FC1A20" w:rsidTr="00462022">
        <w:tc>
          <w:tcPr>
            <w:tcW w:w="1707" w:type="pct"/>
            <w:tcBorders>
              <w:top w:val="single" w:sz="4" w:space="0" w:color="auto"/>
            </w:tcBorders>
            <w:vAlign w:val="center"/>
          </w:tcPr>
          <w:p w:rsidR="0082462D" w:rsidRPr="00142780" w:rsidRDefault="0082462D" w:rsidP="00462022">
            <w:pPr>
              <w:pStyle w:val="PlainText"/>
              <w:tabs>
                <w:tab w:val="left" w:pos="426"/>
              </w:tabs>
              <w:rPr>
                <w:rFonts w:ascii="Times New Roman" w:hAnsi="Times New Roman" w:cs="Times New Roman"/>
                <w:sz w:val="22"/>
                <w:szCs w:val="22"/>
              </w:rPr>
            </w:pPr>
          </w:p>
        </w:tc>
        <w:tc>
          <w:tcPr>
            <w:tcW w:w="3293" w:type="pct"/>
            <w:gridSpan w:val="3"/>
            <w:tcBorders>
              <w:top w:val="single" w:sz="4" w:space="0" w:color="auto"/>
              <w:bottom w:val="single" w:sz="4" w:space="0" w:color="auto"/>
            </w:tcBorders>
            <w:vAlign w:val="center"/>
          </w:tcPr>
          <w:p w:rsidR="0082462D" w:rsidRPr="00142780" w:rsidRDefault="0082462D" w:rsidP="00462022">
            <w:pPr>
              <w:pStyle w:val="PlainText"/>
              <w:tabs>
                <w:tab w:val="left" w:pos="426"/>
              </w:tabs>
              <w:jc w:val="center"/>
              <w:rPr>
                <w:rFonts w:ascii="Times New Roman" w:hAnsi="Times New Roman" w:cs="Times New Roman"/>
                <w:sz w:val="22"/>
                <w:szCs w:val="22"/>
              </w:rPr>
            </w:pPr>
            <w:proofErr w:type="spellStart"/>
            <w:r w:rsidRPr="00142780">
              <w:rPr>
                <w:rFonts w:ascii="Times New Roman" w:hAnsi="Times New Roman" w:cs="Times New Roman"/>
                <w:sz w:val="22"/>
                <w:szCs w:val="22"/>
              </w:rPr>
              <w:t>ln</w:t>
            </w:r>
            <w:proofErr w:type="spellEnd"/>
            <w:r w:rsidRPr="00142780">
              <w:rPr>
                <w:rFonts w:ascii="Times New Roman" w:hAnsi="Times New Roman" w:cs="Times New Roman"/>
                <w:sz w:val="22"/>
                <w:szCs w:val="22"/>
              </w:rPr>
              <w:t xml:space="preserve">(price of apartment unit in 1,000 </w:t>
            </w:r>
            <w:proofErr w:type="spellStart"/>
            <w:r w:rsidRPr="00142780">
              <w:rPr>
                <w:rFonts w:ascii="Times New Roman" w:hAnsi="Times New Roman" w:cs="Times New Roman"/>
                <w:sz w:val="22"/>
                <w:szCs w:val="22"/>
              </w:rPr>
              <w:t>yuan</w:t>
            </w:r>
            <w:proofErr w:type="spellEnd"/>
            <w:r w:rsidRPr="00142780">
              <w:rPr>
                <w:rFonts w:ascii="Times New Roman" w:hAnsi="Times New Roman" w:cs="Times New Roman"/>
                <w:sz w:val="22"/>
                <w:szCs w:val="22"/>
              </w:rPr>
              <w:t>/square metre)</w:t>
            </w:r>
          </w:p>
        </w:tc>
      </w:tr>
      <w:tr w:rsidR="0082462D" w:rsidRPr="00FC1A20" w:rsidTr="00462022">
        <w:tc>
          <w:tcPr>
            <w:tcW w:w="1707" w:type="pct"/>
            <w:tcBorders>
              <w:bottom w:val="single" w:sz="4" w:space="0" w:color="auto"/>
            </w:tcBorders>
            <w:vAlign w:val="center"/>
          </w:tcPr>
          <w:p w:rsidR="0082462D" w:rsidRPr="00142780" w:rsidRDefault="0082462D" w:rsidP="00462022">
            <w:pPr>
              <w:pStyle w:val="PlainText"/>
              <w:tabs>
                <w:tab w:val="left" w:pos="426"/>
              </w:tabs>
              <w:rPr>
                <w:rFonts w:ascii="Times New Roman" w:hAnsi="Times New Roman" w:cs="Times New Roman"/>
                <w:sz w:val="22"/>
                <w:szCs w:val="22"/>
              </w:rPr>
            </w:pPr>
          </w:p>
        </w:tc>
        <w:tc>
          <w:tcPr>
            <w:tcW w:w="1098" w:type="pct"/>
            <w:tcBorders>
              <w:top w:val="single" w:sz="4" w:space="0" w:color="auto"/>
              <w:bottom w:val="single" w:sz="4" w:space="0" w:color="auto"/>
            </w:tcBorders>
            <w:vAlign w:val="center"/>
          </w:tcPr>
          <w:p w:rsidR="0082462D" w:rsidRPr="00142780" w:rsidRDefault="0082462D" w:rsidP="006E2415">
            <w:pPr>
              <w:pStyle w:val="PlainText"/>
              <w:tabs>
                <w:tab w:val="left" w:pos="426"/>
              </w:tabs>
              <w:rPr>
                <w:rFonts w:ascii="Times New Roman" w:hAnsi="Times New Roman" w:cs="Times New Roman"/>
                <w:sz w:val="22"/>
                <w:szCs w:val="22"/>
              </w:rPr>
            </w:pPr>
            <w:r w:rsidRPr="00142780">
              <w:rPr>
                <w:rFonts w:ascii="Times New Roman" w:hAnsi="Times New Roman" w:cs="Times New Roman"/>
                <w:sz w:val="22"/>
                <w:szCs w:val="22"/>
              </w:rPr>
              <w:t>(1)</w:t>
            </w:r>
          </w:p>
        </w:tc>
        <w:tc>
          <w:tcPr>
            <w:tcW w:w="1098" w:type="pct"/>
            <w:tcBorders>
              <w:top w:val="single" w:sz="4" w:space="0" w:color="auto"/>
              <w:bottom w:val="single" w:sz="4" w:space="0" w:color="auto"/>
            </w:tcBorders>
            <w:vAlign w:val="center"/>
          </w:tcPr>
          <w:p w:rsidR="0082462D" w:rsidRPr="00142780" w:rsidRDefault="0082462D" w:rsidP="006E2415">
            <w:pPr>
              <w:pStyle w:val="PlainText"/>
              <w:tabs>
                <w:tab w:val="left" w:pos="426"/>
              </w:tabs>
              <w:rPr>
                <w:rFonts w:ascii="Times New Roman" w:hAnsi="Times New Roman" w:cs="Times New Roman"/>
                <w:sz w:val="22"/>
                <w:szCs w:val="22"/>
              </w:rPr>
            </w:pPr>
            <w:r w:rsidRPr="00142780">
              <w:rPr>
                <w:rFonts w:ascii="Times New Roman" w:hAnsi="Times New Roman" w:cs="Times New Roman"/>
                <w:sz w:val="22"/>
                <w:szCs w:val="22"/>
              </w:rPr>
              <w:t>(2)</w:t>
            </w:r>
          </w:p>
        </w:tc>
        <w:tc>
          <w:tcPr>
            <w:tcW w:w="1097" w:type="pct"/>
            <w:tcBorders>
              <w:top w:val="single" w:sz="4" w:space="0" w:color="auto"/>
              <w:bottom w:val="single" w:sz="4" w:space="0" w:color="auto"/>
            </w:tcBorders>
            <w:vAlign w:val="center"/>
          </w:tcPr>
          <w:p w:rsidR="0082462D" w:rsidRPr="00142780" w:rsidRDefault="0082462D" w:rsidP="006E2415">
            <w:pPr>
              <w:pStyle w:val="PlainText"/>
              <w:tabs>
                <w:tab w:val="left" w:pos="426"/>
              </w:tabs>
              <w:rPr>
                <w:rFonts w:ascii="Times New Roman" w:hAnsi="Times New Roman" w:cs="Times New Roman"/>
                <w:sz w:val="22"/>
                <w:szCs w:val="22"/>
              </w:rPr>
            </w:pPr>
            <w:r w:rsidRPr="00142780">
              <w:rPr>
                <w:rFonts w:ascii="Times New Roman" w:hAnsi="Times New Roman" w:cs="Times New Roman"/>
                <w:sz w:val="22"/>
                <w:szCs w:val="22"/>
              </w:rPr>
              <w:t>(3)</w:t>
            </w:r>
          </w:p>
        </w:tc>
      </w:tr>
      <w:tr w:rsidR="0082462D" w:rsidRPr="00FC1A20" w:rsidTr="00462022">
        <w:tc>
          <w:tcPr>
            <w:tcW w:w="1707" w:type="pct"/>
            <w:tcBorders>
              <w:top w:val="single" w:sz="4" w:space="0" w:color="auto"/>
            </w:tcBorders>
            <w:vAlign w:val="center"/>
          </w:tcPr>
          <w:p w:rsidR="0082462D" w:rsidRPr="00142780" w:rsidRDefault="0082462D" w:rsidP="00D07DA3">
            <w:pPr>
              <w:pStyle w:val="PlainText"/>
              <w:tabs>
                <w:tab w:val="left" w:pos="426"/>
              </w:tabs>
              <w:spacing w:before="60"/>
              <w:rPr>
                <w:rFonts w:ascii="Times New Roman" w:hAnsi="Times New Roman" w:cs="Times New Roman"/>
                <w:sz w:val="22"/>
                <w:szCs w:val="22"/>
              </w:rPr>
            </w:pPr>
            <w:r w:rsidRPr="00142780">
              <w:rPr>
                <w:rFonts w:ascii="Times New Roman" w:hAnsi="Times New Roman" w:cs="Times New Roman"/>
                <w:sz w:val="22"/>
                <w:szCs w:val="22"/>
              </w:rPr>
              <w:t>Beijing=1, otherwise=0</w:t>
            </w:r>
          </w:p>
        </w:tc>
        <w:tc>
          <w:tcPr>
            <w:tcW w:w="1098" w:type="pct"/>
            <w:tcBorders>
              <w:top w:val="single" w:sz="4" w:space="0" w:color="auto"/>
            </w:tcBorders>
            <w:vAlign w:val="center"/>
          </w:tcPr>
          <w:p w:rsidR="0082462D" w:rsidRPr="00142780" w:rsidRDefault="0082462D" w:rsidP="00D07DA3">
            <w:pPr>
              <w:pStyle w:val="PlainText"/>
              <w:tabs>
                <w:tab w:val="left" w:pos="426"/>
                <w:tab w:val="decimal" w:pos="851"/>
              </w:tabs>
              <w:spacing w:before="60"/>
              <w:rPr>
                <w:rFonts w:ascii="Times New Roman" w:hAnsi="Times New Roman" w:cs="Times New Roman"/>
                <w:sz w:val="22"/>
                <w:szCs w:val="22"/>
              </w:rPr>
            </w:pPr>
            <w:r w:rsidRPr="00142780">
              <w:rPr>
                <w:rFonts w:ascii="Times New Roman" w:hAnsi="Times New Roman" w:cs="Times New Roman"/>
                <w:sz w:val="22"/>
                <w:szCs w:val="22"/>
              </w:rPr>
              <w:t>1.270</w:t>
            </w:r>
          </w:p>
        </w:tc>
        <w:tc>
          <w:tcPr>
            <w:tcW w:w="1098" w:type="pct"/>
            <w:tcBorders>
              <w:top w:val="single" w:sz="4" w:space="0" w:color="auto"/>
            </w:tcBorders>
            <w:vAlign w:val="center"/>
          </w:tcPr>
          <w:p w:rsidR="0082462D" w:rsidRPr="00142780" w:rsidRDefault="0082462D" w:rsidP="00D07DA3">
            <w:pPr>
              <w:pStyle w:val="PlainText"/>
              <w:tabs>
                <w:tab w:val="left" w:pos="426"/>
                <w:tab w:val="decimal" w:pos="851"/>
              </w:tabs>
              <w:spacing w:before="60"/>
              <w:rPr>
                <w:rFonts w:ascii="Times New Roman" w:hAnsi="Times New Roman" w:cs="Times New Roman"/>
                <w:sz w:val="22"/>
                <w:szCs w:val="22"/>
              </w:rPr>
            </w:pPr>
          </w:p>
        </w:tc>
        <w:tc>
          <w:tcPr>
            <w:tcW w:w="1097" w:type="pct"/>
            <w:tcBorders>
              <w:top w:val="single" w:sz="4" w:space="0" w:color="auto"/>
            </w:tcBorders>
            <w:vAlign w:val="center"/>
          </w:tcPr>
          <w:p w:rsidR="0082462D" w:rsidRPr="00142780" w:rsidRDefault="0082462D" w:rsidP="00D07DA3">
            <w:pPr>
              <w:pStyle w:val="PlainText"/>
              <w:tabs>
                <w:tab w:val="left" w:pos="426"/>
                <w:tab w:val="decimal" w:pos="851"/>
              </w:tabs>
              <w:spacing w:before="60"/>
              <w:rPr>
                <w:rFonts w:ascii="Times New Roman" w:hAnsi="Times New Roman" w:cs="Times New Roman"/>
                <w:sz w:val="22"/>
                <w:szCs w:val="22"/>
              </w:rPr>
            </w:pPr>
            <w:r w:rsidRPr="00142780">
              <w:rPr>
                <w:rFonts w:ascii="Times New Roman" w:hAnsi="Times New Roman" w:cs="Times New Roman"/>
                <w:sz w:val="22"/>
                <w:szCs w:val="22"/>
              </w:rPr>
              <w:t>1.190</w:t>
            </w:r>
          </w:p>
        </w:tc>
      </w:tr>
      <w:tr w:rsidR="0082462D" w:rsidRPr="00FC1A20" w:rsidTr="00462022">
        <w:tc>
          <w:tcPr>
            <w:tcW w:w="1707" w:type="pct"/>
            <w:vAlign w:val="center"/>
          </w:tcPr>
          <w:p w:rsidR="0082462D" w:rsidRPr="00142780" w:rsidRDefault="0082462D" w:rsidP="00462022">
            <w:pPr>
              <w:pStyle w:val="PlainText"/>
              <w:tabs>
                <w:tab w:val="left" w:pos="426"/>
              </w:tabs>
              <w:rPr>
                <w:rFonts w:ascii="Times New Roman" w:hAnsi="Times New Roman" w:cs="Times New Roman"/>
                <w:sz w:val="22"/>
                <w:szCs w:val="22"/>
              </w:rPr>
            </w:pPr>
          </w:p>
        </w:tc>
        <w:tc>
          <w:tcPr>
            <w:tcW w:w="1098" w:type="pct"/>
            <w:vAlign w:val="center"/>
          </w:tcPr>
          <w:p w:rsidR="0082462D" w:rsidRPr="00142780" w:rsidRDefault="0082462D" w:rsidP="00462022">
            <w:pPr>
              <w:pStyle w:val="PlainText"/>
              <w:tabs>
                <w:tab w:val="left" w:pos="426"/>
                <w:tab w:val="decimal" w:pos="851"/>
              </w:tabs>
              <w:rPr>
                <w:rFonts w:ascii="Times New Roman" w:hAnsi="Times New Roman" w:cs="Times New Roman"/>
                <w:sz w:val="22"/>
                <w:szCs w:val="22"/>
              </w:rPr>
            </w:pPr>
            <w:r w:rsidRPr="00142780">
              <w:rPr>
                <w:rFonts w:ascii="Times New Roman" w:hAnsi="Times New Roman" w:cs="Times New Roman"/>
                <w:sz w:val="22"/>
                <w:szCs w:val="22"/>
              </w:rPr>
              <w:t>(15.28)***</w:t>
            </w:r>
          </w:p>
        </w:tc>
        <w:tc>
          <w:tcPr>
            <w:tcW w:w="1098" w:type="pct"/>
            <w:vAlign w:val="center"/>
          </w:tcPr>
          <w:p w:rsidR="0082462D" w:rsidRPr="00142780" w:rsidRDefault="0082462D" w:rsidP="00462022">
            <w:pPr>
              <w:pStyle w:val="PlainText"/>
              <w:tabs>
                <w:tab w:val="left" w:pos="426"/>
                <w:tab w:val="decimal" w:pos="851"/>
              </w:tabs>
              <w:rPr>
                <w:rFonts w:ascii="Times New Roman" w:hAnsi="Times New Roman" w:cs="Times New Roman"/>
                <w:sz w:val="22"/>
                <w:szCs w:val="22"/>
              </w:rPr>
            </w:pPr>
          </w:p>
        </w:tc>
        <w:tc>
          <w:tcPr>
            <w:tcW w:w="1097" w:type="pct"/>
            <w:vAlign w:val="center"/>
          </w:tcPr>
          <w:p w:rsidR="0082462D" w:rsidRPr="00142780" w:rsidRDefault="0082462D" w:rsidP="00462022">
            <w:pPr>
              <w:pStyle w:val="PlainText"/>
              <w:tabs>
                <w:tab w:val="left" w:pos="426"/>
                <w:tab w:val="decimal" w:pos="851"/>
              </w:tabs>
              <w:rPr>
                <w:rFonts w:ascii="Times New Roman" w:hAnsi="Times New Roman" w:cs="Times New Roman"/>
                <w:sz w:val="22"/>
                <w:szCs w:val="22"/>
              </w:rPr>
            </w:pPr>
            <w:r w:rsidRPr="00142780">
              <w:rPr>
                <w:rFonts w:ascii="Times New Roman" w:hAnsi="Times New Roman" w:cs="Times New Roman"/>
                <w:sz w:val="22"/>
                <w:szCs w:val="22"/>
              </w:rPr>
              <w:t>(13.85)***</w:t>
            </w:r>
          </w:p>
        </w:tc>
      </w:tr>
      <w:tr w:rsidR="0082462D" w:rsidRPr="00FC1A20" w:rsidTr="00462022">
        <w:tc>
          <w:tcPr>
            <w:tcW w:w="1707" w:type="pct"/>
            <w:vAlign w:val="center"/>
          </w:tcPr>
          <w:p w:rsidR="0082462D" w:rsidRPr="00142780" w:rsidRDefault="0082462D" w:rsidP="00462022">
            <w:pPr>
              <w:pStyle w:val="PlainText"/>
              <w:tabs>
                <w:tab w:val="left" w:pos="426"/>
              </w:tabs>
              <w:rPr>
                <w:rFonts w:ascii="Times New Roman" w:hAnsi="Times New Roman" w:cs="Times New Roman"/>
                <w:sz w:val="22"/>
                <w:szCs w:val="22"/>
              </w:rPr>
            </w:pPr>
            <w:r w:rsidRPr="00142780">
              <w:rPr>
                <w:rFonts w:ascii="Times New Roman" w:hAnsi="Times New Roman" w:cs="Times New Roman"/>
                <w:sz w:val="22"/>
                <w:szCs w:val="22"/>
              </w:rPr>
              <w:t>Nanjing =1, otherwise=0</w:t>
            </w:r>
          </w:p>
        </w:tc>
        <w:tc>
          <w:tcPr>
            <w:tcW w:w="1098" w:type="pct"/>
            <w:vAlign w:val="center"/>
          </w:tcPr>
          <w:p w:rsidR="0082462D" w:rsidRPr="00142780" w:rsidRDefault="0082462D" w:rsidP="00462022">
            <w:pPr>
              <w:pStyle w:val="PlainText"/>
              <w:tabs>
                <w:tab w:val="left" w:pos="426"/>
                <w:tab w:val="decimal" w:pos="851"/>
              </w:tabs>
              <w:rPr>
                <w:rFonts w:ascii="Times New Roman" w:hAnsi="Times New Roman" w:cs="Times New Roman"/>
                <w:sz w:val="22"/>
                <w:szCs w:val="22"/>
              </w:rPr>
            </w:pPr>
            <w:r w:rsidRPr="00142780">
              <w:rPr>
                <w:rFonts w:ascii="Times New Roman" w:hAnsi="Times New Roman" w:cs="Times New Roman"/>
                <w:sz w:val="22"/>
                <w:szCs w:val="22"/>
              </w:rPr>
              <w:t>0.610</w:t>
            </w:r>
          </w:p>
        </w:tc>
        <w:tc>
          <w:tcPr>
            <w:tcW w:w="1098" w:type="pct"/>
            <w:vAlign w:val="center"/>
          </w:tcPr>
          <w:p w:rsidR="0082462D" w:rsidRPr="00142780" w:rsidRDefault="0082462D" w:rsidP="00462022">
            <w:pPr>
              <w:pStyle w:val="PlainText"/>
              <w:tabs>
                <w:tab w:val="left" w:pos="426"/>
                <w:tab w:val="decimal" w:pos="851"/>
              </w:tabs>
              <w:rPr>
                <w:rFonts w:ascii="Times New Roman" w:hAnsi="Times New Roman" w:cs="Times New Roman"/>
                <w:sz w:val="22"/>
                <w:szCs w:val="22"/>
              </w:rPr>
            </w:pPr>
          </w:p>
        </w:tc>
        <w:tc>
          <w:tcPr>
            <w:tcW w:w="1097" w:type="pct"/>
            <w:vAlign w:val="center"/>
          </w:tcPr>
          <w:p w:rsidR="0082462D" w:rsidRPr="00142780" w:rsidRDefault="0082462D" w:rsidP="00462022">
            <w:pPr>
              <w:pStyle w:val="PlainText"/>
              <w:tabs>
                <w:tab w:val="left" w:pos="426"/>
                <w:tab w:val="decimal" w:pos="851"/>
              </w:tabs>
              <w:rPr>
                <w:rFonts w:ascii="Times New Roman" w:hAnsi="Times New Roman" w:cs="Times New Roman"/>
                <w:sz w:val="22"/>
                <w:szCs w:val="22"/>
              </w:rPr>
            </w:pPr>
            <w:r w:rsidRPr="00142780">
              <w:rPr>
                <w:rFonts w:ascii="Times New Roman" w:hAnsi="Times New Roman" w:cs="Times New Roman"/>
                <w:sz w:val="22"/>
                <w:szCs w:val="22"/>
              </w:rPr>
              <w:t>0.716</w:t>
            </w:r>
          </w:p>
        </w:tc>
      </w:tr>
      <w:tr w:rsidR="0082462D" w:rsidRPr="00FC1A20" w:rsidTr="00462022">
        <w:tc>
          <w:tcPr>
            <w:tcW w:w="1707" w:type="pct"/>
            <w:vAlign w:val="center"/>
          </w:tcPr>
          <w:p w:rsidR="0082462D" w:rsidRPr="00142780" w:rsidRDefault="0082462D" w:rsidP="00462022">
            <w:pPr>
              <w:pStyle w:val="PlainText"/>
              <w:tabs>
                <w:tab w:val="left" w:pos="426"/>
              </w:tabs>
              <w:rPr>
                <w:rFonts w:ascii="Times New Roman" w:hAnsi="Times New Roman" w:cs="Times New Roman"/>
                <w:sz w:val="22"/>
                <w:szCs w:val="22"/>
              </w:rPr>
            </w:pPr>
          </w:p>
        </w:tc>
        <w:tc>
          <w:tcPr>
            <w:tcW w:w="1098" w:type="pct"/>
            <w:vAlign w:val="center"/>
          </w:tcPr>
          <w:p w:rsidR="0082462D" w:rsidRPr="00142780" w:rsidRDefault="0082462D" w:rsidP="00462022">
            <w:pPr>
              <w:pStyle w:val="PlainText"/>
              <w:tabs>
                <w:tab w:val="left" w:pos="426"/>
                <w:tab w:val="decimal" w:pos="851"/>
              </w:tabs>
              <w:rPr>
                <w:rFonts w:ascii="Times New Roman" w:hAnsi="Times New Roman" w:cs="Times New Roman"/>
                <w:sz w:val="22"/>
                <w:szCs w:val="22"/>
              </w:rPr>
            </w:pPr>
            <w:r w:rsidRPr="00142780">
              <w:rPr>
                <w:rFonts w:ascii="Times New Roman" w:hAnsi="Times New Roman" w:cs="Times New Roman"/>
                <w:sz w:val="22"/>
                <w:szCs w:val="22"/>
              </w:rPr>
              <w:t>(7.34)***</w:t>
            </w:r>
          </w:p>
        </w:tc>
        <w:tc>
          <w:tcPr>
            <w:tcW w:w="1098" w:type="pct"/>
            <w:vAlign w:val="center"/>
          </w:tcPr>
          <w:p w:rsidR="0082462D" w:rsidRPr="00142780" w:rsidRDefault="0082462D" w:rsidP="00462022">
            <w:pPr>
              <w:pStyle w:val="PlainText"/>
              <w:tabs>
                <w:tab w:val="left" w:pos="426"/>
                <w:tab w:val="decimal" w:pos="851"/>
              </w:tabs>
              <w:rPr>
                <w:rFonts w:ascii="Times New Roman" w:hAnsi="Times New Roman" w:cs="Times New Roman"/>
                <w:sz w:val="22"/>
                <w:szCs w:val="22"/>
              </w:rPr>
            </w:pPr>
          </w:p>
        </w:tc>
        <w:tc>
          <w:tcPr>
            <w:tcW w:w="1097" w:type="pct"/>
            <w:vAlign w:val="center"/>
          </w:tcPr>
          <w:p w:rsidR="0082462D" w:rsidRPr="00142780" w:rsidRDefault="0082462D" w:rsidP="00462022">
            <w:pPr>
              <w:pStyle w:val="PlainText"/>
              <w:tabs>
                <w:tab w:val="left" w:pos="426"/>
                <w:tab w:val="decimal" w:pos="851"/>
              </w:tabs>
              <w:rPr>
                <w:rFonts w:ascii="Times New Roman" w:hAnsi="Times New Roman" w:cs="Times New Roman"/>
                <w:sz w:val="22"/>
                <w:szCs w:val="22"/>
              </w:rPr>
            </w:pPr>
            <w:r w:rsidRPr="00142780">
              <w:rPr>
                <w:rFonts w:ascii="Times New Roman" w:hAnsi="Times New Roman" w:cs="Times New Roman"/>
                <w:sz w:val="22"/>
                <w:szCs w:val="22"/>
              </w:rPr>
              <w:t>(9.59)***</w:t>
            </w:r>
          </w:p>
        </w:tc>
      </w:tr>
      <w:tr w:rsidR="0082462D" w:rsidRPr="00FC1A20" w:rsidTr="00462022">
        <w:tc>
          <w:tcPr>
            <w:tcW w:w="1707" w:type="pct"/>
            <w:vAlign w:val="center"/>
          </w:tcPr>
          <w:p w:rsidR="0082462D" w:rsidRPr="00462022" w:rsidRDefault="0082462D" w:rsidP="00462022">
            <w:pPr>
              <w:pStyle w:val="PlainText"/>
              <w:tabs>
                <w:tab w:val="left" w:pos="426"/>
              </w:tabs>
              <w:rPr>
                <w:rFonts w:ascii="Times New Roman" w:hAnsi="Times New Roman" w:cs="Times New Roman"/>
                <w:i/>
                <w:sz w:val="22"/>
                <w:szCs w:val="22"/>
              </w:rPr>
            </w:pPr>
            <w:r w:rsidRPr="00462022">
              <w:rPr>
                <w:rFonts w:ascii="Times New Roman" w:hAnsi="Times New Roman" w:cs="Times New Roman"/>
                <w:i/>
                <w:sz w:val="22"/>
                <w:szCs w:val="22"/>
              </w:rPr>
              <w:t>Unit characteristics</w:t>
            </w:r>
          </w:p>
        </w:tc>
        <w:tc>
          <w:tcPr>
            <w:tcW w:w="1098" w:type="pct"/>
            <w:vAlign w:val="center"/>
          </w:tcPr>
          <w:p w:rsidR="0082462D" w:rsidRPr="00142780" w:rsidRDefault="0082462D" w:rsidP="00462022">
            <w:pPr>
              <w:pStyle w:val="PlainText"/>
              <w:tabs>
                <w:tab w:val="left" w:pos="426"/>
                <w:tab w:val="decimal" w:pos="851"/>
              </w:tabs>
              <w:rPr>
                <w:rFonts w:ascii="Times New Roman" w:hAnsi="Times New Roman" w:cs="Times New Roman"/>
                <w:sz w:val="22"/>
                <w:szCs w:val="22"/>
              </w:rPr>
            </w:pPr>
          </w:p>
        </w:tc>
        <w:tc>
          <w:tcPr>
            <w:tcW w:w="1098" w:type="pct"/>
            <w:vAlign w:val="center"/>
          </w:tcPr>
          <w:p w:rsidR="0082462D" w:rsidRPr="00142780" w:rsidRDefault="0082462D" w:rsidP="00462022">
            <w:pPr>
              <w:pStyle w:val="PlainText"/>
              <w:tabs>
                <w:tab w:val="left" w:pos="426"/>
                <w:tab w:val="decimal" w:pos="851"/>
              </w:tabs>
              <w:rPr>
                <w:rFonts w:ascii="Times New Roman" w:hAnsi="Times New Roman" w:cs="Times New Roman"/>
                <w:sz w:val="22"/>
                <w:szCs w:val="22"/>
              </w:rPr>
            </w:pPr>
          </w:p>
        </w:tc>
        <w:tc>
          <w:tcPr>
            <w:tcW w:w="1097" w:type="pct"/>
            <w:vAlign w:val="center"/>
          </w:tcPr>
          <w:p w:rsidR="0082462D" w:rsidRPr="00142780" w:rsidRDefault="0082462D" w:rsidP="00462022">
            <w:pPr>
              <w:pStyle w:val="PlainText"/>
              <w:tabs>
                <w:tab w:val="left" w:pos="426"/>
                <w:tab w:val="decimal" w:pos="851"/>
              </w:tabs>
              <w:rPr>
                <w:rFonts w:ascii="Times New Roman" w:hAnsi="Times New Roman" w:cs="Times New Roman"/>
                <w:sz w:val="22"/>
                <w:szCs w:val="22"/>
              </w:rPr>
            </w:pPr>
          </w:p>
        </w:tc>
      </w:tr>
      <w:tr w:rsidR="0082462D" w:rsidRPr="00FC1A20" w:rsidTr="00462022">
        <w:tc>
          <w:tcPr>
            <w:tcW w:w="1707" w:type="pct"/>
            <w:vAlign w:val="center"/>
          </w:tcPr>
          <w:p w:rsidR="0082462D" w:rsidRPr="00142780" w:rsidRDefault="0082462D" w:rsidP="00462022">
            <w:pPr>
              <w:pStyle w:val="PlainText"/>
              <w:tabs>
                <w:tab w:val="left" w:pos="426"/>
              </w:tabs>
              <w:rPr>
                <w:rFonts w:ascii="Times New Roman" w:hAnsi="Times New Roman" w:cs="Times New Roman"/>
                <w:sz w:val="22"/>
                <w:szCs w:val="22"/>
              </w:rPr>
            </w:pPr>
            <w:r w:rsidRPr="00142780">
              <w:rPr>
                <w:rFonts w:ascii="Times New Roman" w:hAnsi="Times New Roman" w:cs="Times New Roman"/>
                <w:sz w:val="22"/>
                <w:szCs w:val="22"/>
              </w:rPr>
              <w:t>Apartment area (sq metres)</w:t>
            </w:r>
          </w:p>
        </w:tc>
        <w:tc>
          <w:tcPr>
            <w:tcW w:w="1098" w:type="pct"/>
            <w:vAlign w:val="center"/>
          </w:tcPr>
          <w:p w:rsidR="0082462D" w:rsidRPr="00142780" w:rsidRDefault="0082462D" w:rsidP="00462022">
            <w:pPr>
              <w:pStyle w:val="PlainText"/>
              <w:tabs>
                <w:tab w:val="left" w:pos="426"/>
                <w:tab w:val="decimal" w:pos="851"/>
              </w:tabs>
              <w:rPr>
                <w:rFonts w:ascii="Times New Roman" w:hAnsi="Times New Roman" w:cs="Times New Roman"/>
                <w:sz w:val="22"/>
                <w:szCs w:val="22"/>
              </w:rPr>
            </w:pPr>
          </w:p>
        </w:tc>
        <w:tc>
          <w:tcPr>
            <w:tcW w:w="1098" w:type="pct"/>
            <w:vAlign w:val="center"/>
          </w:tcPr>
          <w:p w:rsidR="0082462D" w:rsidRPr="00142780" w:rsidRDefault="0082462D" w:rsidP="00462022">
            <w:pPr>
              <w:pStyle w:val="PlainText"/>
              <w:tabs>
                <w:tab w:val="left" w:pos="426"/>
                <w:tab w:val="decimal" w:pos="851"/>
              </w:tabs>
              <w:rPr>
                <w:rFonts w:ascii="Times New Roman" w:hAnsi="Times New Roman" w:cs="Times New Roman"/>
                <w:sz w:val="22"/>
                <w:szCs w:val="22"/>
              </w:rPr>
            </w:pPr>
            <w:r w:rsidRPr="00142780">
              <w:rPr>
                <w:rFonts w:ascii="Times New Roman" w:hAnsi="Times New Roman" w:cs="Times New Roman"/>
                <w:sz w:val="22"/>
                <w:szCs w:val="22"/>
              </w:rPr>
              <w:t>0.005</w:t>
            </w:r>
          </w:p>
        </w:tc>
        <w:tc>
          <w:tcPr>
            <w:tcW w:w="1097" w:type="pct"/>
            <w:vAlign w:val="center"/>
          </w:tcPr>
          <w:p w:rsidR="0082462D" w:rsidRPr="00142780" w:rsidRDefault="0082462D" w:rsidP="00462022">
            <w:pPr>
              <w:pStyle w:val="PlainText"/>
              <w:tabs>
                <w:tab w:val="left" w:pos="426"/>
                <w:tab w:val="decimal" w:pos="851"/>
              </w:tabs>
              <w:rPr>
                <w:rFonts w:ascii="Times New Roman" w:hAnsi="Times New Roman" w:cs="Times New Roman"/>
                <w:sz w:val="22"/>
                <w:szCs w:val="22"/>
              </w:rPr>
            </w:pPr>
            <w:r w:rsidRPr="00142780">
              <w:rPr>
                <w:rFonts w:ascii="Times New Roman" w:hAnsi="Times New Roman" w:cs="Times New Roman"/>
                <w:sz w:val="22"/>
                <w:szCs w:val="22"/>
              </w:rPr>
              <w:t>0.002</w:t>
            </w:r>
          </w:p>
        </w:tc>
      </w:tr>
      <w:tr w:rsidR="0082462D" w:rsidRPr="00FC1A20" w:rsidTr="00462022">
        <w:tc>
          <w:tcPr>
            <w:tcW w:w="1707" w:type="pct"/>
            <w:vAlign w:val="center"/>
          </w:tcPr>
          <w:p w:rsidR="0082462D" w:rsidRPr="00142780" w:rsidRDefault="0082462D" w:rsidP="00462022">
            <w:pPr>
              <w:pStyle w:val="PlainText"/>
              <w:tabs>
                <w:tab w:val="left" w:pos="426"/>
              </w:tabs>
              <w:rPr>
                <w:rFonts w:ascii="Times New Roman" w:hAnsi="Times New Roman" w:cs="Times New Roman"/>
                <w:sz w:val="22"/>
                <w:szCs w:val="22"/>
              </w:rPr>
            </w:pPr>
          </w:p>
        </w:tc>
        <w:tc>
          <w:tcPr>
            <w:tcW w:w="1098" w:type="pct"/>
            <w:vAlign w:val="center"/>
          </w:tcPr>
          <w:p w:rsidR="0082462D" w:rsidRPr="00142780" w:rsidRDefault="0082462D" w:rsidP="00462022">
            <w:pPr>
              <w:pStyle w:val="PlainText"/>
              <w:tabs>
                <w:tab w:val="left" w:pos="426"/>
                <w:tab w:val="decimal" w:pos="851"/>
              </w:tabs>
              <w:rPr>
                <w:rFonts w:ascii="Times New Roman" w:hAnsi="Times New Roman" w:cs="Times New Roman"/>
                <w:sz w:val="22"/>
                <w:szCs w:val="22"/>
              </w:rPr>
            </w:pPr>
          </w:p>
        </w:tc>
        <w:tc>
          <w:tcPr>
            <w:tcW w:w="1098" w:type="pct"/>
            <w:vAlign w:val="center"/>
          </w:tcPr>
          <w:p w:rsidR="0082462D" w:rsidRPr="00142780" w:rsidRDefault="0082462D" w:rsidP="00462022">
            <w:pPr>
              <w:pStyle w:val="PlainText"/>
              <w:tabs>
                <w:tab w:val="left" w:pos="426"/>
                <w:tab w:val="decimal" w:pos="851"/>
              </w:tabs>
              <w:rPr>
                <w:rFonts w:ascii="Times New Roman" w:hAnsi="Times New Roman" w:cs="Times New Roman"/>
                <w:sz w:val="22"/>
                <w:szCs w:val="22"/>
              </w:rPr>
            </w:pPr>
            <w:r w:rsidRPr="00142780">
              <w:rPr>
                <w:rFonts w:ascii="Times New Roman" w:hAnsi="Times New Roman" w:cs="Times New Roman"/>
                <w:sz w:val="22"/>
                <w:szCs w:val="22"/>
              </w:rPr>
              <w:t>(4.75)***</w:t>
            </w:r>
          </w:p>
        </w:tc>
        <w:tc>
          <w:tcPr>
            <w:tcW w:w="1097" w:type="pct"/>
            <w:vAlign w:val="center"/>
          </w:tcPr>
          <w:p w:rsidR="0082462D" w:rsidRPr="00142780" w:rsidRDefault="0082462D" w:rsidP="00462022">
            <w:pPr>
              <w:pStyle w:val="PlainText"/>
              <w:tabs>
                <w:tab w:val="left" w:pos="426"/>
                <w:tab w:val="decimal" w:pos="851"/>
              </w:tabs>
              <w:rPr>
                <w:rFonts w:ascii="Times New Roman" w:hAnsi="Times New Roman" w:cs="Times New Roman"/>
                <w:sz w:val="22"/>
                <w:szCs w:val="22"/>
              </w:rPr>
            </w:pPr>
            <w:r w:rsidRPr="00142780">
              <w:rPr>
                <w:rFonts w:ascii="Times New Roman" w:hAnsi="Times New Roman" w:cs="Times New Roman"/>
                <w:sz w:val="22"/>
                <w:szCs w:val="22"/>
              </w:rPr>
              <w:t>(2.60)**</w:t>
            </w:r>
          </w:p>
        </w:tc>
      </w:tr>
      <w:tr w:rsidR="0082462D" w:rsidRPr="00FC1A20" w:rsidTr="00462022">
        <w:tc>
          <w:tcPr>
            <w:tcW w:w="1707" w:type="pct"/>
            <w:vAlign w:val="center"/>
          </w:tcPr>
          <w:p w:rsidR="0082462D" w:rsidRPr="00142780" w:rsidRDefault="0082462D" w:rsidP="00462022">
            <w:pPr>
              <w:pStyle w:val="PlainText"/>
              <w:tabs>
                <w:tab w:val="left" w:pos="426"/>
              </w:tabs>
              <w:rPr>
                <w:rFonts w:ascii="Times New Roman" w:hAnsi="Times New Roman" w:cs="Times New Roman"/>
                <w:sz w:val="22"/>
                <w:szCs w:val="22"/>
              </w:rPr>
            </w:pPr>
            <w:r w:rsidRPr="00142780">
              <w:rPr>
                <w:rFonts w:ascii="Times New Roman" w:hAnsi="Times New Roman" w:cs="Times New Roman"/>
                <w:sz w:val="22"/>
                <w:szCs w:val="22"/>
              </w:rPr>
              <w:t>Number of bedrooms</w:t>
            </w:r>
          </w:p>
        </w:tc>
        <w:tc>
          <w:tcPr>
            <w:tcW w:w="1098" w:type="pct"/>
            <w:vAlign w:val="center"/>
          </w:tcPr>
          <w:p w:rsidR="0082462D" w:rsidRPr="00142780" w:rsidRDefault="0082462D" w:rsidP="00462022">
            <w:pPr>
              <w:pStyle w:val="PlainText"/>
              <w:tabs>
                <w:tab w:val="left" w:pos="426"/>
                <w:tab w:val="decimal" w:pos="851"/>
              </w:tabs>
              <w:rPr>
                <w:rFonts w:ascii="Times New Roman" w:hAnsi="Times New Roman" w:cs="Times New Roman"/>
                <w:sz w:val="22"/>
                <w:szCs w:val="22"/>
              </w:rPr>
            </w:pPr>
          </w:p>
        </w:tc>
        <w:tc>
          <w:tcPr>
            <w:tcW w:w="1098" w:type="pct"/>
            <w:vAlign w:val="center"/>
          </w:tcPr>
          <w:p w:rsidR="0082462D" w:rsidRPr="00142780" w:rsidRDefault="0082462D" w:rsidP="00462022">
            <w:pPr>
              <w:pStyle w:val="PlainText"/>
              <w:tabs>
                <w:tab w:val="left" w:pos="426"/>
                <w:tab w:val="decimal" w:pos="851"/>
              </w:tabs>
              <w:rPr>
                <w:rFonts w:ascii="Times New Roman" w:hAnsi="Times New Roman" w:cs="Times New Roman"/>
                <w:sz w:val="22"/>
                <w:szCs w:val="22"/>
              </w:rPr>
            </w:pPr>
            <w:r w:rsidRPr="00142780">
              <w:rPr>
                <w:rFonts w:ascii="Times New Roman" w:hAnsi="Times New Roman" w:cs="Times New Roman"/>
                <w:sz w:val="22"/>
                <w:szCs w:val="22"/>
              </w:rPr>
              <w:t>-0.432</w:t>
            </w:r>
          </w:p>
        </w:tc>
        <w:tc>
          <w:tcPr>
            <w:tcW w:w="1097" w:type="pct"/>
            <w:vAlign w:val="center"/>
          </w:tcPr>
          <w:p w:rsidR="0082462D" w:rsidRPr="00142780" w:rsidRDefault="0082462D" w:rsidP="00462022">
            <w:pPr>
              <w:pStyle w:val="PlainText"/>
              <w:tabs>
                <w:tab w:val="left" w:pos="426"/>
                <w:tab w:val="decimal" w:pos="851"/>
              </w:tabs>
              <w:rPr>
                <w:rFonts w:ascii="Times New Roman" w:hAnsi="Times New Roman" w:cs="Times New Roman"/>
                <w:sz w:val="22"/>
                <w:szCs w:val="22"/>
              </w:rPr>
            </w:pPr>
            <w:r w:rsidRPr="00142780">
              <w:rPr>
                <w:rFonts w:ascii="Times New Roman" w:hAnsi="Times New Roman" w:cs="Times New Roman"/>
                <w:sz w:val="22"/>
                <w:szCs w:val="22"/>
              </w:rPr>
              <w:t>-0.191</w:t>
            </w:r>
          </w:p>
        </w:tc>
      </w:tr>
      <w:tr w:rsidR="0082462D" w:rsidRPr="00FC1A20" w:rsidTr="00462022">
        <w:tc>
          <w:tcPr>
            <w:tcW w:w="1707" w:type="pct"/>
            <w:vAlign w:val="center"/>
          </w:tcPr>
          <w:p w:rsidR="0082462D" w:rsidRPr="00142780" w:rsidRDefault="0082462D" w:rsidP="00462022">
            <w:pPr>
              <w:pStyle w:val="PlainText"/>
              <w:tabs>
                <w:tab w:val="left" w:pos="426"/>
              </w:tabs>
              <w:rPr>
                <w:rFonts w:ascii="Times New Roman" w:hAnsi="Times New Roman" w:cs="Times New Roman"/>
                <w:sz w:val="22"/>
                <w:szCs w:val="22"/>
              </w:rPr>
            </w:pPr>
          </w:p>
        </w:tc>
        <w:tc>
          <w:tcPr>
            <w:tcW w:w="1098" w:type="pct"/>
            <w:vAlign w:val="center"/>
          </w:tcPr>
          <w:p w:rsidR="0082462D" w:rsidRPr="00142780" w:rsidRDefault="0082462D" w:rsidP="00462022">
            <w:pPr>
              <w:pStyle w:val="PlainText"/>
              <w:tabs>
                <w:tab w:val="left" w:pos="426"/>
                <w:tab w:val="decimal" w:pos="851"/>
              </w:tabs>
              <w:rPr>
                <w:rFonts w:ascii="Times New Roman" w:hAnsi="Times New Roman" w:cs="Times New Roman"/>
                <w:sz w:val="22"/>
                <w:szCs w:val="22"/>
              </w:rPr>
            </w:pPr>
          </w:p>
        </w:tc>
        <w:tc>
          <w:tcPr>
            <w:tcW w:w="1098" w:type="pct"/>
            <w:vAlign w:val="center"/>
          </w:tcPr>
          <w:p w:rsidR="0082462D" w:rsidRPr="00142780" w:rsidRDefault="0082462D" w:rsidP="00462022">
            <w:pPr>
              <w:pStyle w:val="PlainText"/>
              <w:tabs>
                <w:tab w:val="left" w:pos="426"/>
                <w:tab w:val="decimal" w:pos="851"/>
              </w:tabs>
              <w:rPr>
                <w:rFonts w:ascii="Times New Roman" w:hAnsi="Times New Roman" w:cs="Times New Roman"/>
                <w:sz w:val="22"/>
                <w:szCs w:val="22"/>
              </w:rPr>
            </w:pPr>
            <w:r w:rsidRPr="00142780">
              <w:rPr>
                <w:rFonts w:ascii="Times New Roman" w:hAnsi="Times New Roman" w:cs="Times New Roman"/>
                <w:sz w:val="22"/>
                <w:szCs w:val="22"/>
              </w:rPr>
              <w:t>(5.80)***</w:t>
            </w:r>
          </w:p>
        </w:tc>
        <w:tc>
          <w:tcPr>
            <w:tcW w:w="1097" w:type="pct"/>
            <w:vAlign w:val="center"/>
          </w:tcPr>
          <w:p w:rsidR="0082462D" w:rsidRPr="00142780" w:rsidRDefault="0082462D" w:rsidP="00462022">
            <w:pPr>
              <w:pStyle w:val="PlainText"/>
              <w:tabs>
                <w:tab w:val="left" w:pos="426"/>
                <w:tab w:val="decimal" w:pos="851"/>
              </w:tabs>
              <w:rPr>
                <w:rFonts w:ascii="Times New Roman" w:hAnsi="Times New Roman" w:cs="Times New Roman"/>
                <w:sz w:val="22"/>
                <w:szCs w:val="22"/>
              </w:rPr>
            </w:pPr>
            <w:r w:rsidRPr="00142780">
              <w:rPr>
                <w:rFonts w:ascii="Times New Roman" w:hAnsi="Times New Roman" w:cs="Times New Roman"/>
                <w:sz w:val="22"/>
                <w:szCs w:val="22"/>
              </w:rPr>
              <w:t>(3.82)***</w:t>
            </w:r>
          </w:p>
        </w:tc>
      </w:tr>
      <w:tr w:rsidR="0082462D" w:rsidRPr="00FC1A20" w:rsidTr="00462022">
        <w:tc>
          <w:tcPr>
            <w:tcW w:w="1707" w:type="pct"/>
            <w:vAlign w:val="center"/>
          </w:tcPr>
          <w:p w:rsidR="0082462D" w:rsidRPr="00142780" w:rsidRDefault="0082462D" w:rsidP="00462022">
            <w:pPr>
              <w:pStyle w:val="PlainText"/>
              <w:tabs>
                <w:tab w:val="left" w:pos="426"/>
              </w:tabs>
              <w:rPr>
                <w:rFonts w:ascii="Times New Roman" w:hAnsi="Times New Roman" w:cs="Times New Roman"/>
                <w:sz w:val="22"/>
                <w:szCs w:val="22"/>
              </w:rPr>
            </w:pPr>
            <w:r w:rsidRPr="00142780">
              <w:rPr>
                <w:rFonts w:ascii="Times New Roman" w:hAnsi="Times New Roman" w:cs="Times New Roman"/>
                <w:sz w:val="22"/>
                <w:szCs w:val="22"/>
              </w:rPr>
              <w:t>Number of bathrooms</w:t>
            </w:r>
          </w:p>
        </w:tc>
        <w:tc>
          <w:tcPr>
            <w:tcW w:w="1098" w:type="pct"/>
            <w:vAlign w:val="center"/>
          </w:tcPr>
          <w:p w:rsidR="0082462D" w:rsidRPr="00142780" w:rsidRDefault="0082462D" w:rsidP="00462022">
            <w:pPr>
              <w:pStyle w:val="PlainText"/>
              <w:tabs>
                <w:tab w:val="left" w:pos="426"/>
                <w:tab w:val="decimal" w:pos="851"/>
              </w:tabs>
              <w:rPr>
                <w:rFonts w:ascii="Times New Roman" w:hAnsi="Times New Roman" w:cs="Times New Roman"/>
                <w:sz w:val="22"/>
                <w:szCs w:val="22"/>
              </w:rPr>
            </w:pPr>
          </w:p>
        </w:tc>
        <w:tc>
          <w:tcPr>
            <w:tcW w:w="1098" w:type="pct"/>
            <w:vAlign w:val="center"/>
          </w:tcPr>
          <w:p w:rsidR="0082462D" w:rsidRPr="00142780" w:rsidRDefault="0082462D" w:rsidP="00462022">
            <w:pPr>
              <w:pStyle w:val="PlainText"/>
              <w:tabs>
                <w:tab w:val="left" w:pos="426"/>
                <w:tab w:val="decimal" w:pos="851"/>
              </w:tabs>
              <w:rPr>
                <w:rFonts w:ascii="Times New Roman" w:hAnsi="Times New Roman" w:cs="Times New Roman"/>
                <w:sz w:val="22"/>
                <w:szCs w:val="22"/>
              </w:rPr>
            </w:pPr>
            <w:r w:rsidRPr="00142780">
              <w:rPr>
                <w:rFonts w:ascii="Times New Roman" w:hAnsi="Times New Roman" w:cs="Times New Roman"/>
                <w:sz w:val="22"/>
                <w:szCs w:val="22"/>
              </w:rPr>
              <w:t>0.348</w:t>
            </w:r>
          </w:p>
        </w:tc>
        <w:tc>
          <w:tcPr>
            <w:tcW w:w="1097" w:type="pct"/>
            <w:vAlign w:val="center"/>
          </w:tcPr>
          <w:p w:rsidR="0082462D" w:rsidRPr="00142780" w:rsidRDefault="0082462D" w:rsidP="00462022">
            <w:pPr>
              <w:pStyle w:val="PlainText"/>
              <w:tabs>
                <w:tab w:val="left" w:pos="426"/>
                <w:tab w:val="decimal" w:pos="851"/>
              </w:tabs>
              <w:rPr>
                <w:rFonts w:ascii="Times New Roman" w:hAnsi="Times New Roman" w:cs="Times New Roman"/>
                <w:sz w:val="22"/>
                <w:szCs w:val="22"/>
              </w:rPr>
            </w:pPr>
            <w:r w:rsidRPr="00142780">
              <w:rPr>
                <w:rFonts w:ascii="Times New Roman" w:hAnsi="Times New Roman" w:cs="Times New Roman"/>
                <w:sz w:val="22"/>
                <w:szCs w:val="22"/>
              </w:rPr>
              <w:t>0.283</w:t>
            </w:r>
          </w:p>
        </w:tc>
      </w:tr>
      <w:tr w:rsidR="0082462D" w:rsidRPr="00FC1A20" w:rsidTr="00462022">
        <w:tc>
          <w:tcPr>
            <w:tcW w:w="1707" w:type="pct"/>
            <w:vAlign w:val="center"/>
          </w:tcPr>
          <w:p w:rsidR="0082462D" w:rsidRPr="00142780" w:rsidRDefault="0082462D" w:rsidP="00462022">
            <w:pPr>
              <w:pStyle w:val="PlainText"/>
              <w:tabs>
                <w:tab w:val="left" w:pos="426"/>
              </w:tabs>
              <w:rPr>
                <w:rFonts w:ascii="Times New Roman" w:hAnsi="Times New Roman" w:cs="Times New Roman"/>
                <w:sz w:val="22"/>
                <w:szCs w:val="22"/>
              </w:rPr>
            </w:pPr>
          </w:p>
        </w:tc>
        <w:tc>
          <w:tcPr>
            <w:tcW w:w="1098" w:type="pct"/>
            <w:vAlign w:val="center"/>
          </w:tcPr>
          <w:p w:rsidR="0082462D" w:rsidRPr="00142780" w:rsidRDefault="0082462D" w:rsidP="00462022">
            <w:pPr>
              <w:pStyle w:val="PlainText"/>
              <w:tabs>
                <w:tab w:val="left" w:pos="426"/>
                <w:tab w:val="decimal" w:pos="851"/>
              </w:tabs>
              <w:rPr>
                <w:rFonts w:ascii="Times New Roman" w:hAnsi="Times New Roman" w:cs="Times New Roman"/>
                <w:sz w:val="22"/>
                <w:szCs w:val="22"/>
              </w:rPr>
            </w:pPr>
          </w:p>
        </w:tc>
        <w:tc>
          <w:tcPr>
            <w:tcW w:w="1098" w:type="pct"/>
            <w:vAlign w:val="center"/>
          </w:tcPr>
          <w:p w:rsidR="0082462D" w:rsidRPr="00142780" w:rsidRDefault="0082462D" w:rsidP="00462022">
            <w:pPr>
              <w:pStyle w:val="PlainText"/>
              <w:tabs>
                <w:tab w:val="left" w:pos="426"/>
                <w:tab w:val="decimal" w:pos="851"/>
              </w:tabs>
              <w:rPr>
                <w:rFonts w:ascii="Times New Roman" w:hAnsi="Times New Roman" w:cs="Times New Roman"/>
                <w:sz w:val="22"/>
                <w:szCs w:val="22"/>
              </w:rPr>
            </w:pPr>
            <w:r w:rsidRPr="00142780">
              <w:rPr>
                <w:rFonts w:ascii="Times New Roman" w:hAnsi="Times New Roman" w:cs="Times New Roman"/>
                <w:sz w:val="22"/>
                <w:szCs w:val="22"/>
              </w:rPr>
              <w:t>(4.38)***</w:t>
            </w:r>
          </w:p>
        </w:tc>
        <w:tc>
          <w:tcPr>
            <w:tcW w:w="1097" w:type="pct"/>
            <w:vAlign w:val="center"/>
          </w:tcPr>
          <w:p w:rsidR="0082462D" w:rsidRPr="00142780" w:rsidRDefault="0082462D" w:rsidP="00462022">
            <w:pPr>
              <w:pStyle w:val="PlainText"/>
              <w:tabs>
                <w:tab w:val="left" w:pos="426"/>
                <w:tab w:val="decimal" w:pos="851"/>
              </w:tabs>
              <w:rPr>
                <w:rFonts w:ascii="Times New Roman" w:hAnsi="Times New Roman" w:cs="Times New Roman"/>
                <w:sz w:val="22"/>
                <w:szCs w:val="22"/>
              </w:rPr>
            </w:pPr>
            <w:r w:rsidRPr="00142780">
              <w:rPr>
                <w:rFonts w:ascii="Times New Roman" w:hAnsi="Times New Roman" w:cs="Times New Roman"/>
                <w:sz w:val="22"/>
                <w:szCs w:val="22"/>
              </w:rPr>
              <w:t>(5.50)***</w:t>
            </w:r>
          </w:p>
        </w:tc>
      </w:tr>
      <w:tr w:rsidR="0082462D" w:rsidRPr="00FC1A20" w:rsidTr="00462022">
        <w:tc>
          <w:tcPr>
            <w:tcW w:w="1707" w:type="pct"/>
            <w:vAlign w:val="center"/>
          </w:tcPr>
          <w:p w:rsidR="0082462D" w:rsidRPr="00142780" w:rsidRDefault="0082462D" w:rsidP="00462022">
            <w:pPr>
              <w:pStyle w:val="PlainText"/>
              <w:tabs>
                <w:tab w:val="left" w:pos="426"/>
              </w:tabs>
              <w:rPr>
                <w:rFonts w:ascii="Times New Roman" w:hAnsi="Times New Roman" w:cs="Times New Roman"/>
                <w:sz w:val="22"/>
                <w:szCs w:val="22"/>
              </w:rPr>
            </w:pPr>
            <w:r w:rsidRPr="00142780">
              <w:rPr>
                <w:rFonts w:ascii="Times New Roman" w:hAnsi="Times New Roman" w:cs="Times New Roman"/>
                <w:sz w:val="22"/>
                <w:szCs w:val="22"/>
              </w:rPr>
              <w:t>Number of living rooms</w:t>
            </w:r>
          </w:p>
        </w:tc>
        <w:tc>
          <w:tcPr>
            <w:tcW w:w="1098" w:type="pct"/>
            <w:vAlign w:val="center"/>
          </w:tcPr>
          <w:p w:rsidR="0082462D" w:rsidRPr="00142780" w:rsidRDefault="0082462D" w:rsidP="00462022">
            <w:pPr>
              <w:pStyle w:val="PlainText"/>
              <w:tabs>
                <w:tab w:val="left" w:pos="426"/>
                <w:tab w:val="decimal" w:pos="851"/>
              </w:tabs>
              <w:rPr>
                <w:rFonts w:ascii="Times New Roman" w:hAnsi="Times New Roman" w:cs="Times New Roman"/>
                <w:sz w:val="22"/>
                <w:szCs w:val="22"/>
              </w:rPr>
            </w:pPr>
          </w:p>
        </w:tc>
        <w:tc>
          <w:tcPr>
            <w:tcW w:w="1098" w:type="pct"/>
            <w:vAlign w:val="center"/>
          </w:tcPr>
          <w:p w:rsidR="0082462D" w:rsidRPr="00142780" w:rsidRDefault="0082462D" w:rsidP="00462022">
            <w:pPr>
              <w:pStyle w:val="PlainText"/>
              <w:tabs>
                <w:tab w:val="left" w:pos="426"/>
                <w:tab w:val="decimal" w:pos="851"/>
              </w:tabs>
              <w:rPr>
                <w:rFonts w:ascii="Times New Roman" w:hAnsi="Times New Roman" w:cs="Times New Roman"/>
                <w:sz w:val="22"/>
                <w:szCs w:val="22"/>
              </w:rPr>
            </w:pPr>
            <w:r w:rsidRPr="00142780">
              <w:rPr>
                <w:rFonts w:ascii="Times New Roman" w:hAnsi="Times New Roman" w:cs="Times New Roman"/>
                <w:sz w:val="22"/>
                <w:szCs w:val="22"/>
              </w:rPr>
              <w:t>0.030</w:t>
            </w:r>
          </w:p>
        </w:tc>
        <w:tc>
          <w:tcPr>
            <w:tcW w:w="1097" w:type="pct"/>
            <w:vAlign w:val="center"/>
          </w:tcPr>
          <w:p w:rsidR="0082462D" w:rsidRPr="00142780" w:rsidRDefault="0082462D" w:rsidP="00462022">
            <w:pPr>
              <w:pStyle w:val="PlainText"/>
              <w:tabs>
                <w:tab w:val="left" w:pos="426"/>
                <w:tab w:val="decimal" w:pos="851"/>
              </w:tabs>
              <w:rPr>
                <w:rFonts w:ascii="Times New Roman" w:hAnsi="Times New Roman" w:cs="Times New Roman"/>
                <w:sz w:val="22"/>
                <w:szCs w:val="22"/>
              </w:rPr>
            </w:pPr>
            <w:r w:rsidRPr="00142780">
              <w:rPr>
                <w:rFonts w:ascii="Times New Roman" w:hAnsi="Times New Roman" w:cs="Times New Roman"/>
                <w:sz w:val="22"/>
                <w:szCs w:val="22"/>
              </w:rPr>
              <w:t>0.127</w:t>
            </w:r>
          </w:p>
        </w:tc>
      </w:tr>
      <w:tr w:rsidR="0082462D" w:rsidRPr="00FC1A20" w:rsidTr="00462022">
        <w:tc>
          <w:tcPr>
            <w:tcW w:w="1707" w:type="pct"/>
            <w:vAlign w:val="center"/>
          </w:tcPr>
          <w:p w:rsidR="0082462D" w:rsidRPr="00142780" w:rsidRDefault="0082462D" w:rsidP="00462022">
            <w:pPr>
              <w:pStyle w:val="PlainText"/>
              <w:tabs>
                <w:tab w:val="left" w:pos="426"/>
              </w:tabs>
              <w:rPr>
                <w:rFonts w:ascii="Times New Roman" w:hAnsi="Times New Roman" w:cs="Times New Roman"/>
                <w:sz w:val="22"/>
                <w:szCs w:val="22"/>
              </w:rPr>
            </w:pPr>
          </w:p>
        </w:tc>
        <w:tc>
          <w:tcPr>
            <w:tcW w:w="1098" w:type="pct"/>
            <w:vAlign w:val="center"/>
          </w:tcPr>
          <w:p w:rsidR="0082462D" w:rsidRPr="00142780" w:rsidRDefault="0082462D" w:rsidP="00462022">
            <w:pPr>
              <w:pStyle w:val="PlainText"/>
              <w:tabs>
                <w:tab w:val="left" w:pos="426"/>
                <w:tab w:val="decimal" w:pos="851"/>
              </w:tabs>
              <w:rPr>
                <w:rFonts w:ascii="Times New Roman" w:hAnsi="Times New Roman" w:cs="Times New Roman"/>
                <w:sz w:val="22"/>
                <w:szCs w:val="22"/>
              </w:rPr>
            </w:pPr>
          </w:p>
        </w:tc>
        <w:tc>
          <w:tcPr>
            <w:tcW w:w="1098" w:type="pct"/>
            <w:vAlign w:val="center"/>
          </w:tcPr>
          <w:p w:rsidR="0082462D" w:rsidRPr="00142780" w:rsidRDefault="0082462D" w:rsidP="00462022">
            <w:pPr>
              <w:pStyle w:val="PlainText"/>
              <w:tabs>
                <w:tab w:val="left" w:pos="426"/>
                <w:tab w:val="decimal" w:pos="851"/>
              </w:tabs>
              <w:rPr>
                <w:rFonts w:ascii="Times New Roman" w:hAnsi="Times New Roman" w:cs="Times New Roman"/>
                <w:sz w:val="22"/>
                <w:szCs w:val="22"/>
              </w:rPr>
            </w:pPr>
            <w:r w:rsidRPr="00142780">
              <w:rPr>
                <w:rFonts w:ascii="Times New Roman" w:hAnsi="Times New Roman" w:cs="Times New Roman"/>
                <w:sz w:val="22"/>
                <w:szCs w:val="22"/>
              </w:rPr>
              <w:t>(0.29)</w:t>
            </w:r>
          </w:p>
        </w:tc>
        <w:tc>
          <w:tcPr>
            <w:tcW w:w="1097" w:type="pct"/>
            <w:vAlign w:val="center"/>
          </w:tcPr>
          <w:p w:rsidR="0082462D" w:rsidRPr="00142780" w:rsidRDefault="0082462D" w:rsidP="00462022">
            <w:pPr>
              <w:pStyle w:val="PlainText"/>
              <w:tabs>
                <w:tab w:val="left" w:pos="426"/>
                <w:tab w:val="decimal" w:pos="851"/>
              </w:tabs>
              <w:rPr>
                <w:rFonts w:ascii="Times New Roman" w:hAnsi="Times New Roman" w:cs="Times New Roman"/>
                <w:sz w:val="22"/>
                <w:szCs w:val="22"/>
              </w:rPr>
            </w:pPr>
            <w:r w:rsidRPr="00142780">
              <w:rPr>
                <w:rFonts w:ascii="Times New Roman" w:hAnsi="Times New Roman" w:cs="Times New Roman"/>
                <w:sz w:val="22"/>
                <w:szCs w:val="22"/>
              </w:rPr>
              <w:t>(1.89)*</w:t>
            </w:r>
          </w:p>
        </w:tc>
      </w:tr>
      <w:tr w:rsidR="0082462D" w:rsidRPr="00FC1A20" w:rsidTr="00462022">
        <w:tc>
          <w:tcPr>
            <w:tcW w:w="1707" w:type="pct"/>
            <w:vAlign w:val="center"/>
          </w:tcPr>
          <w:p w:rsidR="0082462D" w:rsidRPr="00142780" w:rsidRDefault="0082462D" w:rsidP="00462022">
            <w:pPr>
              <w:pStyle w:val="PlainText"/>
              <w:tabs>
                <w:tab w:val="left" w:pos="426"/>
              </w:tabs>
              <w:rPr>
                <w:rFonts w:ascii="Times New Roman" w:hAnsi="Times New Roman" w:cs="Times New Roman"/>
                <w:sz w:val="22"/>
                <w:szCs w:val="22"/>
              </w:rPr>
            </w:pPr>
            <w:r w:rsidRPr="00142780">
              <w:rPr>
                <w:rFonts w:ascii="Times New Roman" w:hAnsi="Times New Roman" w:cs="Times New Roman"/>
                <w:sz w:val="22"/>
                <w:szCs w:val="22"/>
              </w:rPr>
              <w:t>Decorated=1, otherwise=0</w:t>
            </w:r>
          </w:p>
        </w:tc>
        <w:tc>
          <w:tcPr>
            <w:tcW w:w="1098" w:type="pct"/>
            <w:vAlign w:val="center"/>
          </w:tcPr>
          <w:p w:rsidR="0082462D" w:rsidRPr="00142780" w:rsidRDefault="0082462D" w:rsidP="00462022">
            <w:pPr>
              <w:pStyle w:val="PlainText"/>
              <w:tabs>
                <w:tab w:val="left" w:pos="426"/>
                <w:tab w:val="decimal" w:pos="851"/>
              </w:tabs>
              <w:rPr>
                <w:rFonts w:ascii="Times New Roman" w:hAnsi="Times New Roman" w:cs="Times New Roman"/>
                <w:sz w:val="22"/>
                <w:szCs w:val="22"/>
              </w:rPr>
            </w:pPr>
          </w:p>
        </w:tc>
        <w:tc>
          <w:tcPr>
            <w:tcW w:w="1098" w:type="pct"/>
            <w:vAlign w:val="center"/>
          </w:tcPr>
          <w:p w:rsidR="0082462D" w:rsidRPr="00142780" w:rsidRDefault="0082462D" w:rsidP="00462022">
            <w:pPr>
              <w:pStyle w:val="PlainText"/>
              <w:tabs>
                <w:tab w:val="left" w:pos="426"/>
                <w:tab w:val="decimal" w:pos="851"/>
              </w:tabs>
              <w:rPr>
                <w:rFonts w:ascii="Times New Roman" w:hAnsi="Times New Roman" w:cs="Times New Roman"/>
                <w:sz w:val="22"/>
                <w:szCs w:val="22"/>
              </w:rPr>
            </w:pPr>
            <w:r w:rsidRPr="00142780">
              <w:rPr>
                <w:rFonts w:ascii="Times New Roman" w:hAnsi="Times New Roman" w:cs="Times New Roman"/>
                <w:sz w:val="22"/>
                <w:szCs w:val="22"/>
              </w:rPr>
              <w:t>0.337</w:t>
            </w:r>
          </w:p>
        </w:tc>
        <w:tc>
          <w:tcPr>
            <w:tcW w:w="1097" w:type="pct"/>
            <w:vAlign w:val="center"/>
          </w:tcPr>
          <w:p w:rsidR="0082462D" w:rsidRPr="00142780" w:rsidRDefault="0082462D" w:rsidP="00462022">
            <w:pPr>
              <w:pStyle w:val="PlainText"/>
              <w:tabs>
                <w:tab w:val="left" w:pos="426"/>
                <w:tab w:val="decimal" w:pos="851"/>
              </w:tabs>
              <w:rPr>
                <w:rFonts w:ascii="Times New Roman" w:hAnsi="Times New Roman" w:cs="Times New Roman"/>
                <w:sz w:val="22"/>
                <w:szCs w:val="22"/>
              </w:rPr>
            </w:pPr>
            <w:r w:rsidRPr="00142780">
              <w:rPr>
                <w:rFonts w:ascii="Times New Roman" w:hAnsi="Times New Roman" w:cs="Times New Roman"/>
                <w:sz w:val="22"/>
                <w:szCs w:val="22"/>
              </w:rPr>
              <w:t>0.256</w:t>
            </w:r>
          </w:p>
        </w:tc>
      </w:tr>
      <w:tr w:rsidR="0082462D" w:rsidRPr="00FC1A20" w:rsidTr="00462022">
        <w:tc>
          <w:tcPr>
            <w:tcW w:w="1707" w:type="pct"/>
            <w:vAlign w:val="center"/>
          </w:tcPr>
          <w:p w:rsidR="0082462D" w:rsidRPr="00142780" w:rsidRDefault="0082462D" w:rsidP="00462022">
            <w:pPr>
              <w:pStyle w:val="PlainText"/>
              <w:tabs>
                <w:tab w:val="left" w:pos="426"/>
              </w:tabs>
              <w:rPr>
                <w:rFonts w:ascii="Times New Roman" w:hAnsi="Times New Roman" w:cs="Times New Roman"/>
                <w:sz w:val="22"/>
                <w:szCs w:val="22"/>
              </w:rPr>
            </w:pPr>
          </w:p>
        </w:tc>
        <w:tc>
          <w:tcPr>
            <w:tcW w:w="1098" w:type="pct"/>
            <w:vAlign w:val="center"/>
          </w:tcPr>
          <w:p w:rsidR="0082462D" w:rsidRPr="00142780" w:rsidRDefault="0082462D" w:rsidP="00462022">
            <w:pPr>
              <w:pStyle w:val="PlainText"/>
              <w:tabs>
                <w:tab w:val="left" w:pos="426"/>
                <w:tab w:val="decimal" w:pos="851"/>
              </w:tabs>
              <w:rPr>
                <w:rFonts w:ascii="Times New Roman" w:hAnsi="Times New Roman" w:cs="Times New Roman"/>
                <w:sz w:val="22"/>
                <w:szCs w:val="22"/>
              </w:rPr>
            </w:pPr>
          </w:p>
        </w:tc>
        <w:tc>
          <w:tcPr>
            <w:tcW w:w="1098" w:type="pct"/>
            <w:vAlign w:val="center"/>
          </w:tcPr>
          <w:p w:rsidR="0082462D" w:rsidRPr="00142780" w:rsidRDefault="0082462D" w:rsidP="00462022">
            <w:pPr>
              <w:pStyle w:val="PlainText"/>
              <w:tabs>
                <w:tab w:val="left" w:pos="426"/>
                <w:tab w:val="decimal" w:pos="851"/>
              </w:tabs>
              <w:rPr>
                <w:rFonts w:ascii="Times New Roman" w:hAnsi="Times New Roman" w:cs="Times New Roman"/>
                <w:sz w:val="22"/>
                <w:szCs w:val="22"/>
              </w:rPr>
            </w:pPr>
            <w:r w:rsidRPr="00142780">
              <w:rPr>
                <w:rFonts w:ascii="Times New Roman" w:hAnsi="Times New Roman" w:cs="Times New Roman"/>
                <w:sz w:val="22"/>
                <w:szCs w:val="22"/>
              </w:rPr>
              <w:t>(3.93)***</w:t>
            </w:r>
          </w:p>
        </w:tc>
        <w:tc>
          <w:tcPr>
            <w:tcW w:w="1097" w:type="pct"/>
            <w:vAlign w:val="center"/>
          </w:tcPr>
          <w:p w:rsidR="0082462D" w:rsidRPr="00142780" w:rsidRDefault="0082462D" w:rsidP="00462022">
            <w:pPr>
              <w:pStyle w:val="PlainText"/>
              <w:tabs>
                <w:tab w:val="left" w:pos="426"/>
                <w:tab w:val="decimal" w:pos="851"/>
              </w:tabs>
              <w:rPr>
                <w:rFonts w:ascii="Times New Roman" w:hAnsi="Times New Roman" w:cs="Times New Roman"/>
                <w:sz w:val="22"/>
                <w:szCs w:val="22"/>
              </w:rPr>
            </w:pPr>
            <w:r w:rsidRPr="00142780">
              <w:rPr>
                <w:rFonts w:ascii="Times New Roman" w:hAnsi="Times New Roman" w:cs="Times New Roman"/>
                <w:sz w:val="22"/>
                <w:szCs w:val="22"/>
              </w:rPr>
              <w:t>(4.71)***</w:t>
            </w:r>
          </w:p>
        </w:tc>
      </w:tr>
      <w:tr w:rsidR="0082462D" w:rsidRPr="00FC1A20" w:rsidTr="00462022">
        <w:tc>
          <w:tcPr>
            <w:tcW w:w="1707" w:type="pct"/>
            <w:vAlign w:val="center"/>
          </w:tcPr>
          <w:p w:rsidR="0082462D" w:rsidRPr="00142780" w:rsidRDefault="0082462D" w:rsidP="00462022">
            <w:pPr>
              <w:pStyle w:val="PlainText"/>
              <w:tabs>
                <w:tab w:val="left" w:pos="426"/>
              </w:tabs>
              <w:rPr>
                <w:rFonts w:ascii="Times New Roman" w:hAnsi="Times New Roman" w:cs="Times New Roman"/>
                <w:sz w:val="22"/>
                <w:szCs w:val="22"/>
              </w:rPr>
            </w:pPr>
            <w:r w:rsidRPr="00142780">
              <w:rPr>
                <w:rFonts w:ascii="Times New Roman" w:hAnsi="Times New Roman" w:cs="Times New Roman"/>
                <w:sz w:val="22"/>
                <w:szCs w:val="22"/>
              </w:rPr>
              <w:t>Level (floor) in complex</w:t>
            </w:r>
          </w:p>
        </w:tc>
        <w:tc>
          <w:tcPr>
            <w:tcW w:w="1098" w:type="pct"/>
            <w:vAlign w:val="center"/>
          </w:tcPr>
          <w:p w:rsidR="0082462D" w:rsidRPr="00142780" w:rsidRDefault="0082462D" w:rsidP="00462022">
            <w:pPr>
              <w:pStyle w:val="PlainText"/>
              <w:tabs>
                <w:tab w:val="left" w:pos="426"/>
                <w:tab w:val="decimal" w:pos="851"/>
              </w:tabs>
              <w:rPr>
                <w:rFonts w:ascii="Times New Roman" w:hAnsi="Times New Roman" w:cs="Times New Roman"/>
                <w:sz w:val="22"/>
                <w:szCs w:val="22"/>
              </w:rPr>
            </w:pPr>
          </w:p>
        </w:tc>
        <w:tc>
          <w:tcPr>
            <w:tcW w:w="1098" w:type="pct"/>
            <w:vAlign w:val="center"/>
          </w:tcPr>
          <w:p w:rsidR="0082462D" w:rsidRPr="00142780" w:rsidRDefault="0082462D" w:rsidP="00462022">
            <w:pPr>
              <w:pStyle w:val="PlainText"/>
              <w:tabs>
                <w:tab w:val="left" w:pos="426"/>
                <w:tab w:val="decimal" w:pos="851"/>
              </w:tabs>
              <w:rPr>
                <w:rFonts w:ascii="Times New Roman" w:hAnsi="Times New Roman" w:cs="Times New Roman"/>
                <w:sz w:val="22"/>
                <w:szCs w:val="22"/>
              </w:rPr>
            </w:pPr>
            <w:r w:rsidRPr="00142780">
              <w:rPr>
                <w:rFonts w:ascii="Times New Roman" w:hAnsi="Times New Roman" w:cs="Times New Roman"/>
                <w:sz w:val="22"/>
                <w:szCs w:val="22"/>
              </w:rPr>
              <w:t>-0.011</w:t>
            </w:r>
          </w:p>
        </w:tc>
        <w:tc>
          <w:tcPr>
            <w:tcW w:w="1097" w:type="pct"/>
            <w:vAlign w:val="center"/>
          </w:tcPr>
          <w:p w:rsidR="0082462D" w:rsidRPr="00142780" w:rsidRDefault="0082462D" w:rsidP="00462022">
            <w:pPr>
              <w:pStyle w:val="PlainText"/>
              <w:tabs>
                <w:tab w:val="left" w:pos="426"/>
                <w:tab w:val="decimal" w:pos="851"/>
              </w:tabs>
              <w:rPr>
                <w:rFonts w:ascii="Times New Roman" w:hAnsi="Times New Roman" w:cs="Times New Roman"/>
                <w:sz w:val="22"/>
                <w:szCs w:val="22"/>
              </w:rPr>
            </w:pPr>
            <w:r w:rsidRPr="00142780">
              <w:rPr>
                <w:rFonts w:ascii="Times New Roman" w:hAnsi="Times New Roman" w:cs="Times New Roman"/>
                <w:sz w:val="22"/>
                <w:szCs w:val="22"/>
              </w:rPr>
              <w:t>-0.005</w:t>
            </w:r>
          </w:p>
        </w:tc>
      </w:tr>
      <w:tr w:rsidR="0082462D" w:rsidRPr="00FC1A20" w:rsidTr="00462022">
        <w:tc>
          <w:tcPr>
            <w:tcW w:w="1707" w:type="pct"/>
            <w:vAlign w:val="center"/>
          </w:tcPr>
          <w:p w:rsidR="0082462D" w:rsidRPr="00142780" w:rsidRDefault="0082462D" w:rsidP="00462022">
            <w:pPr>
              <w:pStyle w:val="PlainText"/>
              <w:tabs>
                <w:tab w:val="left" w:pos="426"/>
              </w:tabs>
              <w:rPr>
                <w:rFonts w:ascii="Times New Roman" w:hAnsi="Times New Roman" w:cs="Times New Roman"/>
                <w:sz w:val="22"/>
                <w:szCs w:val="22"/>
              </w:rPr>
            </w:pPr>
          </w:p>
        </w:tc>
        <w:tc>
          <w:tcPr>
            <w:tcW w:w="1098" w:type="pct"/>
            <w:vAlign w:val="center"/>
          </w:tcPr>
          <w:p w:rsidR="0082462D" w:rsidRPr="00142780" w:rsidRDefault="0082462D" w:rsidP="00462022">
            <w:pPr>
              <w:pStyle w:val="PlainText"/>
              <w:tabs>
                <w:tab w:val="left" w:pos="426"/>
                <w:tab w:val="decimal" w:pos="851"/>
              </w:tabs>
              <w:rPr>
                <w:rFonts w:ascii="Times New Roman" w:hAnsi="Times New Roman" w:cs="Times New Roman"/>
                <w:sz w:val="22"/>
                <w:szCs w:val="22"/>
              </w:rPr>
            </w:pPr>
          </w:p>
        </w:tc>
        <w:tc>
          <w:tcPr>
            <w:tcW w:w="1098" w:type="pct"/>
            <w:vAlign w:val="center"/>
          </w:tcPr>
          <w:p w:rsidR="0082462D" w:rsidRPr="00142780" w:rsidRDefault="0082462D" w:rsidP="00462022">
            <w:pPr>
              <w:pStyle w:val="PlainText"/>
              <w:tabs>
                <w:tab w:val="left" w:pos="426"/>
                <w:tab w:val="decimal" w:pos="851"/>
              </w:tabs>
              <w:rPr>
                <w:rFonts w:ascii="Times New Roman" w:hAnsi="Times New Roman" w:cs="Times New Roman"/>
                <w:sz w:val="22"/>
                <w:szCs w:val="22"/>
              </w:rPr>
            </w:pPr>
            <w:r w:rsidRPr="00142780">
              <w:rPr>
                <w:rFonts w:ascii="Times New Roman" w:hAnsi="Times New Roman" w:cs="Times New Roman"/>
                <w:sz w:val="22"/>
                <w:szCs w:val="22"/>
              </w:rPr>
              <w:t>(1.44)</w:t>
            </w:r>
          </w:p>
        </w:tc>
        <w:tc>
          <w:tcPr>
            <w:tcW w:w="1097" w:type="pct"/>
            <w:vAlign w:val="center"/>
          </w:tcPr>
          <w:p w:rsidR="0082462D" w:rsidRPr="00142780" w:rsidRDefault="0082462D" w:rsidP="00462022">
            <w:pPr>
              <w:pStyle w:val="PlainText"/>
              <w:tabs>
                <w:tab w:val="left" w:pos="426"/>
                <w:tab w:val="decimal" w:pos="851"/>
              </w:tabs>
              <w:rPr>
                <w:rFonts w:ascii="Times New Roman" w:hAnsi="Times New Roman" w:cs="Times New Roman"/>
                <w:sz w:val="22"/>
                <w:szCs w:val="22"/>
              </w:rPr>
            </w:pPr>
            <w:r w:rsidRPr="00142780">
              <w:rPr>
                <w:rFonts w:ascii="Times New Roman" w:hAnsi="Times New Roman" w:cs="Times New Roman"/>
                <w:sz w:val="22"/>
                <w:szCs w:val="22"/>
              </w:rPr>
              <w:t>(0.97)</w:t>
            </w:r>
          </w:p>
        </w:tc>
      </w:tr>
      <w:tr w:rsidR="0082462D" w:rsidRPr="00FC1A20" w:rsidTr="00462022">
        <w:tc>
          <w:tcPr>
            <w:tcW w:w="1707" w:type="pct"/>
            <w:vAlign w:val="center"/>
          </w:tcPr>
          <w:p w:rsidR="0082462D" w:rsidRPr="00462022" w:rsidRDefault="0082462D" w:rsidP="00462022">
            <w:pPr>
              <w:pStyle w:val="PlainText"/>
              <w:tabs>
                <w:tab w:val="left" w:pos="426"/>
              </w:tabs>
              <w:rPr>
                <w:rFonts w:ascii="Times New Roman" w:hAnsi="Times New Roman" w:cs="Times New Roman"/>
                <w:i/>
                <w:sz w:val="22"/>
                <w:szCs w:val="22"/>
              </w:rPr>
            </w:pPr>
            <w:r w:rsidRPr="00462022">
              <w:rPr>
                <w:rFonts w:ascii="Times New Roman" w:hAnsi="Times New Roman" w:cs="Times New Roman"/>
                <w:i/>
                <w:sz w:val="22"/>
                <w:szCs w:val="22"/>
              </w:rPr>
              <w:t>Complex characteristics</w:t>
            </w:r>
          </w:p>
        </w:tc>
        <w:tc>
          <w:tcPr>
            <w:tcW w:w="1098" w:type="pct"/>
            <w:vAlign w:val="center"/>
          </w:tcPr>
          <w:p w:rsidR="0082462D" w:rsidRPr="00142780" w:rsidRDefault="0082462D" w:rsidP="00462022">
            <w:pPr>
              <w:pStyle w:val="PlainText"/>
              <w:tabs>
                <w:tab w:val="left" w:pos="426"/>
                <w:tab w:val="decimal" w:pos="851"/>
              </w:tabs>
              <w:rPr>
                <w:rFonts w:ascii="Times New Roman" w:hAnsi="Times New Roman" w:cs="Times New Roman"/>
                <w:sz w:val="22"/>
                <w:szCs w:val="22"/>
              </w:rPr>
            </w:pPr>
          </w:p>
        </w:tc>
        <w:tc>
          <w:tcPr>
            <w:tcW w:w="1098" w:type="pct"/>
            <w:vAlign w:val="center"/>
          </w:tcPr>
          <w:p w:rsidR="0082462D" w:rsidRPr="00142780" w:rsidRDefault="0082462D" w:rsidP="00462022">
            <w:pPr>
              <w:pStyle w:val="PlainText"/>
              <w:tabs>
                <w:tab w:val="left" w:pos="426"/>
                <w:tab w:val="decimal" w:pos="851"/>
              </w:tabs>
              <w:rPr>
                <w:rFonts w:ascii="Times New Roman" w:hAnsi="Times New Roman" w:cs="Times New Roman"/>
                <w:sz w:val="22"/>
                <w:szCs w:val="22"/>
              </w:rPr>
            </w:pPr>
          </w:p>
        </w:tc>
        <w:tc>
          <w:tcPr>
            <w:tcW w:w="1097" w:type="pct"/>
            <w:vAlign w:val="center"/>
          </w:tcPr>
          <w:p w:rsidR="0082462D" w:rsidRPr="00142780" w:rsidRDefault="0082462D" w:rsidP="00462022">
            <w:pPr>
              <w:pStyle w:val="PlainText"/>
              <w:tabs>
                <w:tab w:val="left" w:pos="426"/>
                <w:tab w:val="decimal" w:pos="851"/>
              </w:tabs>
              <w:rPr>
                <w:rFonts w:ascii="Times New Roman" w:hAnsi="Times New Roman" w:cs="Times New Roman"/>
                <w:sz w:val="22"/>
                <w:szCs w:val="22"/>
              </w:rPr>
            </w:pPr>
          </w:p>
        </w:tc>
      </w:tr>
      <w:tr w:rsidR="0082462D" w:rsidRPr="00FC1A20" w:rsidTr="00462022">
        <w:tc>
          <w:tcPr>
            <w:tcW w:w="1707" w:type="pct"/>
            <w:vAlign w:val="center"/>
          </w:tcPr>
          <w:p w:rsidR="0082462D" w:rsidRPr="00142780" w:rsidRDefault="0082462D" w:rsidP="00462022">
            <w:pPr>
              <w:pStyle w:val="PlainText"/>
              <w:tabs>
                <w:tab w:val="left" w:pos="426"/>
              </w:tabs>
              <w:rPr>
                <w:rFonts w:ascii="Times New Roman" w:hAnsi="Times New Roman" w:cs="Times New Roman"/>
                <w:sz w:val="22"/>
                <w:szCs w:val="22"/>
              </w:rPr>
            </w:pPr>
            <w:r w:rsidRPr="00142780">
              <w:rPr>
                <w:rFonts w:ascii="Times New Roman" w:hAnsi="Times New Roman" w:cs="Times New Roman"/>
                <w:sz w:val="22"/>
                <w:szCs w:val="22"/>
              </w:rPr>
              <w:t>Land area (1,000 sq metres)</w:t>
            </w:r>
          </w:p>
        </w:tc>
        <w:tc>
          <w:tcPr>
            <w:tcW w:w="1098" w:type="pct"/>
            <w:vAlign w:val="center"/>
          </w:tcPr>
          <w:p w:rsidR="0082462D" w:rsidRPr="00142780" w:rsidRDefault="0082462D" w:rsidP="00462022">
            <w:pPr>
              <w:pStyle w:val="PlainText"/>
              <w:tabs>
                <w:tab w:val="left" w:pos="426"/>
                <w:tab w:val="decimal" w:pos="851"/>
              </w:tabs>
              <w:rPr>
                <w:rFonts w:ascii="Times New Roman" w:hAnsi="Times New Roman" w:cs="Times New Roman"/>
                <w:sz w:val="22"/>
                <w:szCs w:val="22"/>
              </w:rPr>
            </w:pPr>
          </w:p>
        </w:tc>
        <w:tc>
          <w:tcPr>
            <w:tcW w:w="1098" w:type="pct"/>
            <w:vAlign w:val="center"/>
          </w:tcPr>
          <w:p w:rsidR="0082462D" w:rsidRPr="00142780" w:rsidRDefault="0082462D" w:rsidP="00462022">
            <w:pPr>
              <w:pStyle w:val="PlainText"/>
              <w:tabs>
                <w:tab w:val="left" w:pos="426"/>
                <w:tab w:val="decimal" w:pos="851"/>
              </w:tabs>
              <w:rPr>
                <w:rFonts w:ascii="Times New Roman" w:hAnsi="Times New Roman" w:cs="Times New Roman"/>
                <w:sz w:val="22"/>
                <w:szCs w:val="22"/>
              </w:rPr>
            </w:pPr>
            <w:r w:rsidRPr="00142780">
              <w:rPr>
                <w:rFonts w:ascii="Times New Roman" w:hAnsi="Times New Roman" w:cs="Times New Roman"/>
                <w:sz w:val="22"/>
                <w:szCs w:val="22"/>
              </w:rPr>
              <w:t>-0.002</w:t>
            </w:r>
          </w:p>
        </w:tc>
        <w:tc>
          <w:tcPr>
            <w:tcW w:w="1097" w:type="pct"/>
            <w:vAlign w:val="center"/>
          </w:tcPr>
          <w:p w:rsidR="0082462D" w:rsidRPr="00142780" w:rsidRDefault="0082462D" w:rsidP="00462022">
            <w:pPr>
              <w:pStyle w:val="PlainText"/>
              <w:tabs>
                <w:tab w:val="left" w:pos="426"/>
                <w:tab w:val="decimal" w:pos="851"/>
              </w:tabs>
              <w:rPr>
                <w:rFonts w:ascii="Times New Roman" w:hAnsi="Times New Roman" w:cs="Times New Roman"/>
                <w:sz w:val="22"/>
                <w:szCs w:val="22"/>
              </w:rPr>
            </w:pPr>
            <w:r w:rsidRPr="00142780">
              <w:rPr>
                <w:rFonts w:ascii="Times New Roman" w:hAnsi="Times New Roman" w:cs="Times New Roman"/>
                <w:sz w:val="22"/>
                <w:szCs w:val="22"/>
              </w:rPr>
              <w:t>-0.001</w:t>
            </w:r>
          </w:p>
        </w:tc>
      </w:tr>
      <w:tr w:rsidR="0082462D" w:rsidRPr="00FC1A20" w:rsidTr="00462022">
        <w:tc>
          <w:tcPr>
            <w:tcW w:w="1707" w:type="pct"/>
            <w:vAlign w:val="center"/>
          </w:tcPr>
          <w:p w:rsidR="0082462D" w:rsidRPr="00142780" w:rsidRDefault="0082462D" w:rsidP="00462022">
            <w:pPr>
              <w:pStyle w:val="PlainText"/>
              <w:tabs>
                <w:tab w:val="left" w:pos="426"/>
              </w:tabs>
              <w:rPr>
                <w:rFonts w:ascii="Times New Roman" w:hAnsi="Times New Roman" w:cs="Times New Roman"/>
                <w:sz w:val="22"/>
                <w:szCs w:val="22"/>
              </w:rPr>
            </w:pPr>
          </w:p>
        </w:tc>
        <w:tc>
          <w:tcPr>
            <w:tcW w:w="1098" w:type="pct"/>
            <w:vAlign w:val="center"/>
          </w:tcPr>
          <w:p w:rsidR="0082462D" w:rsidRPr="00142780" w:rsidRDefault="0082462D" w:rsidP="00462022">
            <w:pPr>
              <w:pStyle w:val="PlainText"/>
              <w:tabs>
                <w:tab w:val="left" w:pos="426"/>
                <w:tab w:val="decimal" w:pos="851"/>
              </w:tabs>
              <w:rPr>
                <w:rFonts w:ascii="Times New Roman" w:hAnsi="Times New Roman" w:cs="Times New Roman"/>
                <w:sz w:val="22"/>
                <w:szCs w:val="22"/>
              </w:rPr>
            </w:pPr>
          </w:p>
        </w:tc>
        <w:tc>
          <w:tcPr>
            <w:tcW w:w="1098" w:type="pct"/>
            <w:vAlign w:val="center"/>
          </w:tcPr>
          <w:p w:rsidR="0082462D" w:rsidRPr="00142780" w:rsidRDefault="0082462D" w:rsidP="00462022">
            <w:pPr>
              <w:pStyle w:val="PlainText"/>
              <w:tabs>
                <w:tab w:val="left" w:pos="426"/>
                <w:tab w:val="decimal" w:pos="851"/>
              </w:tabs>
              <w:rPr>
                <w:rFonts w:ascii="Times New Roman" w:hAnsi="Times New Roman" w:cs="Times New Roman"/>
                <w:sz w:val="22"/>
                <w:szCs w:val="22"/>
              </w:rPr>
            </w:pPr>
            <w:r w:rsidRPr="00142780">
              <w:rPr>
                <w:rFonts w:ascii="Times New Roman" w:hAnsi="Times New Roman" w:cs="Times New Roman"/>
                <w:sz w:val="22"/>
                <w:szCs w:val="22"/>
              </w:rPr>
              <w:t>(2.13)**</w:t>
            </w:r>
          </w:p>
        </w:tc>
        <w:tc>
          <w:tcPr>
            <w:tcW w:w="1097" w:type="pct"/>
            <w:vAlign w:val="center"/>
          </w:tcPr>
          <w:p w:rsidR="0082462D" w:rsidRPr="00142780" w:rsidRDefault="0082462D" w:rsidP="00462022">
            <w:pPr>
              <w:pStyle w:val="PlainText"/>
              <w:tabs>
                <w:tab w:val="left" w:pos="426"/>
                <w:tab w:val="decimal" w:pos="851"/>
              </w:tabs>
              <w:rPr>
                <w:rFonts w:ascii="Times New Roman" w:hAnsi="Times New Roman" w:cs="Times New Roman"/>
                <w:sz w:val="22"/>
                <w:szCs w:val="22"/>
              </w:rPr>
            </w:pPr>
            <w:r w:rsidRPr="00142780">
              <w:rPr>
                <w:rFonts w:ascii="Times New Roman" w:hAnsi="Times New Roman" w:cs="Times New Roman"/>
                <w:sz w:val="22"/>
                <w:szCs w:val="22"/>
              </w:rPr>
              <w:t>(1.62)</w:t>
            </w:r>
          </w:p>
        </w:tc>
      </w:tr>
      <w:tr w:rsidR="0082462D" w:rsidRPr="00FC1A20" w:rsidTr="00462022">
        <w:tc>
          <w:tcPr>
            <w:tcW w:w="1707" w:type="pct"/>
            <w:vAlign w:val="center"/>
          </w:tcPr>
          <w:p w:rsidR="0082462D" w:rsidRPr="00142780" w:rsidRDefault="0082462D" w:rsidP="00462022">
            <w:pPr>
              <w:pStyle w:val="PlainText"/>
              <w:tabs>
                <w:tab w:val="left" w:pos="426"/>
              </w:tabs>
              <w:rPr>
                <w:rFonts w:ascii="Times New Roman" w:hAnsi="Times New Roman" w:cs="Times New Roman"/>
                <w:sz w:val="22"/>
                <w:szCs w:val="22"/>
              </w:rPr>
            </w:pPr>
            <w:r w:rsidRPr="00142780">
              <w:rPr>
                <w:rFonts w:ascii="Times New Roman" w:hAnsi="Times New Roman" w:cs="Times New Roman"/>
                <w:sz w:val="22"/>
                <w:szCs w:val="22"/>
              </w:rPr>
              <w:t>Total number of floors</w:t>
            </w:r>
          </w:p>
        </w:tc>
        <w:tc>
          <w:tcPr>
            <w:tcW w:w="1098" w:type="pct"/>
            <w:vAlign w:val="center"/>
          </w:tcPr>
          <w:p w:rsidR="0082462D" w:rsidRPr="00142780" w:rsidRDefault="0082462D" w:rsidP="00462022">
            <w:pPr>
              <w:pStyle w:val="PlainText"/>
              <w:tabs>
                <w:tab w:val="left" w:pos="426"/>
                <w:tab w:val="decimal" w:pos="851"/>
              </w:tabs>
              <w:rPr>
                <w:rFonts w:ascii="Times New Roman" w:hAnsi="Times New Roman" w:cs="Times New Roman"/>
                <w:sz w:val="22"/>
                <w:szCs w:val="22"/>
              </w:rPr>
            </w:pPr>
          </w:p>
        </w:tc>
        <w:tc>
          <w:tcPr>
            <w:tcW w:w="1098" w:type="pct"/>
            <w:vAlign w:val="center"/>
          </w:tcPr>
          <w:p w:rsidR="0082462D" w:rsidRPr="00142780" w:rsidRDefault="0082462D" w:rsidP="00462022">
            <w:pPr>
              <w:pStyle w:val="PlainText"/>
              <w:tabs>
                <w:tab w:val="left" w:pos="426"/>
                <w:tab w:val="decimal" w:pos="851"/>
              </w:tabs>
              <w:rPr>
                <w:rFonts w:ascii="Times New Roman" w:hAnsi="Times New Roman" w:cs="Times New Roman"/>
                <w:sz w:val="22"/>
                <w:szCs w:val="22"/>
              </w:rPr>
            </w:pPr>
            <w:r w:rsidRPr="00142780">
              <w:rPr>
                <w:rFonts w:ascii="Times New Roman" w:hAnsi="Times New Roman" w:cs="Times New Roman"/>
                <w:sz w:val="22"/>
                <w:szCs w:val="22"/>
              </w:rPr>
              <w:t>-0.002</w:t>
            </w:r>
          </w:p>
        </w:tc>
        <w:tc>
          <w:tcPr>
            <w:tcW w:w="1097" w:type="pct"/>
            <w:vAlign w:val="center"/>
          </w:tcPr>
          <w:p w:rsidR="0082462D" w:rsidRPr="00142780" w:rsidRDefault="0082462D" w:rsidP="00462022">
            <w:pPr>
              <w:pStyle w:val="PlainText"/>
              <w:tabs>
                <w:tab w:val="left" w:pos="426"/>
                <w:tab w:val="decimal" w:pos="851"/>
              </w:tabs>
              <w:rPr>
                <w:rFonts w:ascii="Times New Roman" w:hAnsi="Times New Roman" w:cs="Times New Roman"/>
                <w:sz w:val="22"/>
                <w:szCs w:val="22"/>
              </w:rPr>
            </w:pPr>
            <w:r w:rsidRPr="00142780">
              <w:rPr>
                <w:rFonts w:ascii="Times New Roman" w:hAnsi="Times New Roman" w:cs="Times New Roman"/>
                <w:sz w:val="22"/>
                <w:szCs w:val="22"/>
              </w:rPr>
              <w:t>0.003</w:t>
            </w:r>
          </w:p>
        </w:tc>
      </w:tr>
      <w:tr w:rsidR="0082462D" w:rsidRPr="00FC1A20" w:rsidTr="00462022">
        <w:tc>
          <w:tcPr>
            <w:tcW w:w="1707" w:type="pct"/>
            <w:vAlign w:val="center"/>
          </w:tcPr>
          <w:p w:rsidR="0082462D" w:rsidRPr="00142780" w:rsidRDefault="0082462D" w:rsidP="00462022">
            <w:pPr>
              <w:pStyle w:val="PlainText"/>
              <w:tabs>
                <w:tab w:val="left" w:pos="426"/>
              </w:tabs>
              <w:rPr>
                <w:rFonts w:ascii="Times New Roman" w:hAnsi="Times New Roman" w:cs="Times New Roman"/>
                <w:sz w:val="22"/>
                <w:szCs w:val="22"/>
              </w:rPr>
            </w:pPr>
          </w:p>
        </w:tc>
        <w:tc>
          <w:tcPr>
            <w:tcW w:w="1098" w:type="pct"/>
            <w:vAlign w:val="center"/>
          </w:tcPr>
          <w:p w:rsidR="0082462D" w:rsidRPr="00142780" w:rsidRDefault="0082462D" w:rsidP="00462022">
            <w:pPr>
              <w:pStyle w:val="PlainText"/>
              <w:tabs>
                <w:tab w:val="left" w:pos="426"/>
                <w:tab w:val="decimal" w:pos="851"/>
              </w:tabs>
              <w:rPr>
                <w:rFonts w:ascii="Times New Roman" w:hAnsi="Times New Roman" w:cs="Times New Roman"/>
                <w:sz w:val="22"/>
                <w:szCs w:val="22"/>
              </w:rPr>
            </w:pPr>
          </w:p>
        </w:tc>
        <w:tc>
          <w:tcPr>
            <w:tcW w:w="1098" w:type="pct"/>
            <w:vAlign w:val="center"/>
          </w:tcPr>
          <w:p w:rsidR="0082462D" w:rsidRPr="00142780" w:rsidRDefault="0082462D" w:rsidP="00462022">
            <w:pPr>
              <w:pStyle w:val="PlainText"/>
              <w:tabs>
                <w:tab w:val="left" w:pos="426"/>
                <w:tab w:val="decimal" w:pos="851"/>
              </w:tabs>
              <w:rPr>
                <w:rFonts w:ascii="Times New Roman" w:hAnsi="Times New Roman" w:cs="Times New Roman"/>
                <w:sz w:val="22"/>
                <w:szCs w:val="22"/>
              </w:rPr>
            </w:pPr>
            <w:r w:rsidRPr="00142780">
              <w:rPr>
                <w:rFonts w:ascii="Times New Roman" w:hAnsi="Times New Roman" w:cs="Times New Roman"/>
                <w:sz w:val="22"/>
                <w:szCs w:val="22"/>
              </w:rPr>
              <w:t>(0.34)</w:t>
            </w:r>
          </w:p>
        </w:tc>
        <w:tc>
          <w:tcPr>
            <w:tcW w:w="1097" w:type="pct"/>
            <w:vAlign w:val="center"/>
          </w:tcPr>
          <w:p w:rsidR="0082462D" w:rsidRPr="00142780" w:rsidRDefault="0082462D" w:rsidP="00462022">
            <w:pPr>
              <w:pStyle w:val="PlainText"/>
              <w:tabs>
                <w:tab w:val="left" w:pos="426"/>
                <w:tab w:val="decimal" w:pos="851"/>
              </w:tabs>
              <w:rPr>
                <w:rFonts w:ascii="Times New Roman" w:hAnsi="Times New Roman" w:cs="Times New Roman"/>
                <w:sz w:val="22"/>
                <w:szCs w:val="22"/>
              </w:rPr>
            </w:pPr>
            <w:r w:rsidRPr="00142780">
              <w:rPr>
                <w:rFonts w:ascii="Times New Roman" w:hAnsi="Times New Roman" w:cs="Times New Roman"/>
                <w:sz w:val="22"/>
                <w:szCs w:val="22"/>
              </w:rPr>
              <w:t>(0.83)</w:t>
            </w:r>
          </w:p>
        </w:tc>
      </w:tr>
      <w:tr w:rsidR="0082462D" w:rsidRPr="00FC1A20" w:rsidTr="00462022">
        <w:tc>
          <w:tcPr>
            <w:tcW w:w="1707" w:type="pct"/>
            <w:vAlign w:val="center"/>
          </w:tcPr>
          <w:p w:rsidR="0082462D" w:rsidRPr="00142780" w:rsidRDefault="0082462D" w:rsidP="00462022">
            <w:pPr>
              <w:pStyle w:val="PlainText"/>
              <w:tabs>
                <w:tab w:val="left" w:pos="426"/>
              </w:tabs>
              <w:rPr>
                <w:rFonts w:ascii="Times New Roman" w:hAnsi="Times New Roman" w:cs="Times New Roman"/>
                <w:sz w:val="22"/>
                <w:szCs w:val="22"/>
              </w:rPr>
            </w:pPr>
            <w:r w:rsidRPr="00142780">
              <w:rPr>
                <w:rFonts w:ascii="Times New Roman" w:hAnsi="Times New Roman" w:cs="Times New Roman"/>
                <w:sz w:val="22"/>
                <w:szCs w:val="22"/>
              </w:rPr>
              <w:t>Floor area ratio</w:t>
            </w:r>
          </w:p>
        </w:tc>
        <w:tc>
          <w:tcPr>
            <w:tcW w:w="1098" w:type="pct"/>
            <w:vAlign w:val="center"/>
          </w:tcPr>
          <w:p w:rsidR="0082462D" w:rsidRPr="00142780" w:rsidRDefault="0082462D" w:rsidP="00462022">
            <w:pPr>
              <w:pStyle w:val="PlainText"/>
              <w:tabs>
                <w:tab w:val="left" w:pos="426"/>
                <w:tab w:val="decimal" w:pos="851"/>
              </w:tabs>
              <w:rPr>
                <w:rFonts w:ascii="Times New Roman" w:hAnsi="Times New Roman" w:cs="Times New Roman"/>
                <w:sz w:val="22"/>
                <w:szCs w:val="22"/>
              </w:rPr>
            </w:pPr>
          </w:p>
        </w:tc>
        <w:tc>
          <w:tcPr>
            <w:tcW w:w="1098" w:type="pct"/>
            <w:vAlign w:val="center"/>
          </w:tcPr>
          <w:p w:rsidR="0082462D" w:rsidRPr="00142780" w:rsidRDefault="0082462D" w:rsidP="00462022">
            <w:pPr>
              <w:pStyle w:val="PlainText"/>
              <w:tabs>
                <w:tab w:val="left" w:pos="426"/>
                <w:tab w:val="decimal" w:pos="851"/>
              </w:tabs>
              <w:rPr>
                <w:rFonts w:ascii="Times New Roman" w:hAnsi="Times New Roman" w:cs="Times New Roman"/>
                <w:sz w:val="22"/>
                <w:szCs w:val="22"/>
              </w:rPr>
            </w:pPr>
            <w:r w:rsidRPr="00142780">
              <w:rPr>
                <w:rFonts w:ascii="Times New Roman" w:hAnsi="Times New Roman" w:cs="Times New Roman"/>
                <w:sz w:val="22"/>
                <w:szCs w:val="22"/>
              </w:rPr>
              <w:t>-0.104</w:t>
            </w:r>
          </w:p>
        </w:tc>
        <w:tc>
          <w:tcPr>
            <w:tcW w:w="1097" w:type="pct"/>
            <w:vAlign w:val="center"/>
          </w:tcPr>
          <w:p w:rsidR="0082462D" w:rsidRPr="00142780" w:rsidRDefault="0082462D" w:rsidP="00462022">
            <w:pPr>
              <w:pStyle w:val="PlainText"/>
              <w:tabs>
                <w:tab w:val="left" w:pos="426"/>
                <w:tab w:val="decimal" w:pos="851"/>
              </w:tabs>
              <w:rPr>
                <w:rFonts w:ascii="Times New Roman" w:hAnsi="Times New Roman" w:cs="Times New Roman"/>
                <w:sz w:val="22"/>
                <w:szCs w:val="22"/>
              </w:rPr>
            </w:pPr>
            <w:r w:rsidRPr="00142780">
              <w:rPr>
                <w:rFonts w:ascii="Times New Roman" w:hAnsi="Times New Roman" w:cs="Times New Roman"/>
                <w:sz w:val="22"/>
                <w:szCs w:val="22"/>
              </w:rPr>
              <w:t>0.072</w:t>
            </w:r>
          </w:p>
        </w:tc>
      </w:tr>
      <w:tr w:rsidR="0082462D" w:rsidRPr="00FC1A20" w:rsidTr="00462022">
        <w:tc>
          <w:tcPr>
            <w:tcW w:w="1707" w:type="pct"/>
            <w:vAlign w:val="center"/>
          </w:tcPr>
          <w:p w:rsidR="0082462D" w:rsidRPr="00142780" w:rsidRDefault="0082462D" w:rsidP="00462022">
            <w:pPr>
              <w:pStyle w:val="PlainText"/>
              <w:tabs>
                <w:tab w:val="left" w:pos="426"/>
              </w:tabs>
              <w:rPr>
                <w:rFonts w:ascii="Times New Roman" w:hAnsi="Times New Roman" w:cs="Times New Roman"/>
                <w:sz w:val="22"/>
                <w:szCs w:val="22"/>
              </w:rPr>
            </w:pPr>
          </w:p>
        </w:tc>
        <w:tc>
          <w:tcPr>
            <w:tcW w:w="1098" w:type="pct"/>
            <w:vAlign w:val="center"/>
          </w:tcPr>
          <w:p w:rsidR="0082462D" w:rsidRPr="00142780" w:rsidRDefault="0082462D" w:rsidP="00462022">
            <w:pPr>
              <w:pStyle w:val="PlainText"/>
              <w:tabs>
                <w:tab w:val="left" w:pos="426"/>
                <w:tab w:val="decimal" w:pos="851"/>
              </w:tabs>
              <w:rPr>
                <w:rFonts w:ascii="Times New Roman" w:hAnsi="Times New Roman" w:cs="Times New Roman"/>
                <w:sz w:val="22"/>
                <w:szCs w:val="22"/>
              </w:rPr>
            </w:pPr>
          </w:p>
        </w:tc>
        <w:tc>
          <w:tcPr>
            <w:tcW w:w="1098" w:type="pct"/>
            <w:vAlign w:val="center"/>
          </w:tcPr>
          <w:p w:rsidR="0082462D" w:rsidRPr="00142780" w:rsidRDefault="0082462D" w:rsidP="00462022">
            <w:pPr>
              <w:pStyle w:val="PlainText"/>
              <w:tabs>
                <w:tab w:val="left" w:pos="426"/>
                <w:tab w:val="decimal" w:pos="851"/>
              </w:tabs>
              <w:rPr>
                <w:rFonts w:ascii="Times New Roman" w:hAnsi="Times New Roman" w:cs="Times New Roman"/>
                <w:sz w:val="22"/>
                <w:szCs w:val="22"/>
              </w:rPr>
            </w:pPr>
            <w:r w:rsidRPr="00142780">
              <w:rPr>
                <w:rFonts w:ascii="Times New Roman" w:hAnsi="Times New Roman" w:cs="Times New Roman"/>
                <w:sz w:val="22"/>
                <w:szCs w:val="22"/>
              </w:rPr>
              <w:t>(2.57)**</w:t>
            </w:r>
          </w:p>
        </w:tc>
        <w:tc>
          <w:tcPr>
            <w:tcW w:w="1097" w:type="pct"/>
            <w:vAlign w:val="center"/>
          </w:tcPr>
          <w:p w:rsidR="0082462D" w:rsidRPr="00142780" w:rsidRDefault="0082462D" w:rsidP="00462022">
            <w:pPr>
              <w:pStyle w:val="PlainText"/>
              <w:tabs>
                <w:tab w:val="left" w:pos="426"/>
                <w:tab w:val="decimal" w:pos="851"/>
              </w:tabs>
              <w:rPr>
                <w:rFonts w:ascii="Times New Roman" w:hAnsi="Times New Roman" w:cs="Times New Roman"/>
                <w:sz w:val="22"/>
                <w:szCs w:val="22"/>
              </w:rPr>
            </w:pPr>
            <w:r w:rsidRPr="00142780">
              <w:rPr>
                <w:rFonts w:ascii="Times New Roman" w:hAnsi="Times New Roman" w:cs="Times New Roman"/>
                <w:sz w:val="22"/>
                <w:szCs w:val="22"/>
              </w:rPr>
              <w:t>(2.51)**</w:t>
            </w:r>
          </w:p>
        </w:tc>
      </w:tr>
      <w:tr w:rsidR="0082462D" w:rsidRPr="00FC1A20" w:rsidTr="00462022">
        <w:tc>
          <w:tcPr>
            <w:tcW w:w="1707" w:type="pct"/>
            <w:vAlign w:val="center"/>
          </w:tcPr>
          <w:p w:rsidR="0082462D" w:rsidRPr="00142780" w:rsidRDefault="0082462D" w:rsidP="00462022">
            <w:pPr>
              <w:pStyle w:val="PlainText"/>
              <w:tabs>
                <w:tab w:val="left" w:pos="426"/>
              </w:tabs>
              <w:rPr>
                <w:rFonts w:ascii="Times New Roman" w:hAnsi="Times New Roman" w:cs="Times New Roman"/>
                <w:sz w:val="22"/>
                <w:szCs w:val="22"/>
              </w:rPr>
            </w:pPr>
            <w:r w:rsidRPr="00142780">
              <w:rPr>
                <w:rFonts w:ascii="Times New Roman" w:hAnsi="Times New Roman" w:cs="Times New Roman"/>
                <w:sz w:val="22"/>
                <w:szCs w:val="22"/>
              </w:rPr>
              <w:t>Green area (1,000 sq metres)</w:t>
            </w:r>
          </w:p>
        </w:tc>
        <w:tc>
          <w:tcPr>
            <w:tcW w:w="1098" w:type="pct"/>
            <w:vAlign w:val="center"/>
          </w:tcPr>
          <w:p w:rsidR="0082462D" w:rsidRPr="00142780" w:rsidRDefault="0082462D" w:rsidP="00462022">
            <w:pPr>
              <w:pStyle w:val="PlainText"/>
              <w:tabs>
                <w:tab w:val="left" w:pos="426"/>
                <w:tab w:val="decimal" w:pos="851"/>
              </w:tabs>
              <w:rPr>
                <w:rFonts w:ascii="Times New Roman" w:hAnsi="Times New Roman" w:cs="Times New Roman"/>
                <w:sz w:val="22"/>
                <w:szCs w:val="22"/>
              </w:rPr>
            </w:pPr>
          </w:p>
        </w:tc>
        <w:tc>
          <w:tcPr>
            <w:tcW w:w="1098" w:type="pct"/>
            <w:vAlign w:val="center"/>
          </w:tcPr>
          <w:p w:rsidR="0082462D" w:rsidRPr="00142780" w:rsidRDefault="0082462D" w:rsidP="00462022">
            <w:pPr>
              <w:pStyle w:val="PlainText"/>
              <w:tabs>
                <w:tab w:val="left" w:pos="426"/>
                <w:tab w:val="decimal" w:pos="851"/>
              </w:tabs>
              <w:rPr>
                <w:rFonts w:ascii="Times New Roman" w:hAnsi="Times New Roman" w:cs="Times New Roman"/>
                <w:sz w:val="22"/>
                <w:szCs w:val="22"/>
              </w:rPr>
            </w:pPr>
            <w:r w:rsidRPr="00142780">
              <w:rPr>
                <w:rFonts w:ascii="Times New Roman" w:hAnsi="Times New Roman" w:cs="Times New Roman"/>
                <w:sz w:val="22"/>
                <w:szCs w:val="22"/>
              </w:rPr>
              <w:t>0.005</w:t>
            </w:r>
          </w:p>
        </w:tc>
        <w:tc>
          <w:tcPr>
            <w:tcW w:w="1097" w:type="pct"/>
            <w:vAlign w:val="center"/>
          </w:tcPr>
          <w:p w:rsidR="0082462D" w:rsidRPr="00142780" w:rsidRDefault="0082462D" w:rsidP="00462022">
            <w:pPr>
              <w:pStyle w:val="PlainText"/>
              <w:tabs>
                <w:tab w:val="left" w:pos="426"/>
                <w:tab w:val="decimal" w:pos="851"/>
              </w:tabs>
              <w:rPr>
                <w:rFonts w:ascii="Times New Roman" w:hAnsi="Times New Roman" w:cs="Times New Roman"/>
                <w:sz w:val="22"/>
                <w:szCs w:val="22"/>
              </w:rPr>
            </w:pPr>
            <w:r w:rsidRPr="00142780">
              <w:rPr>
                <w:rFonts w:ascii="Times New Roman" w:hAnsi="Times New Roman" w:cs="Times New Roman"/>
                <w:sz w:val="22"/>
                <w:szCs w:val="22"/>
              </w:rPr>
              <w:t>0.003</w:t>
            </w:r>
          </w:p>
        </w:tc>
      </w:tr>
      <w:tr w:rsidR="0082462D" w:rsidRPr="00FC1A20" w:rsidTr="00462022">
        <w:tc>
          <w:tcPr>
            <w:tcW w:w="1707" w:type="pct"/>
            <w:vAlign w:val="center"/>
          </w:tcPr>
          <w:p w:rsidR="0082462D" w:rsidRPr="00142780" w:rsidRDefault="0082462D" w:rsidP="00462022">
            <w:pPr>
              <w:pStyle w:val="PlainText"/>
              <w:tabs>
                <w:tab w:val="left" w:pos="426"/>
              </w:tabs>
              <w:rPr>
                <w:rFonts w:ascii="Times New Roman" w:hAnsi="Times New Roman" w:cs="Times New Roman"/>
                <w:sz w:val="22"/>
                <w:szCs w:val="22"/>
              </w:rPr>
            </w:pPr>
          </w:p>
        </w:tc>
        <w:tc>
          <w:tcPr>
            <w:tcW w:w="1098" w:type="pct"/>
            <w:vAlign w:val="center"/>
          </w:tcPr>
          <w:p w:rsidR="0082462D" w:rsidRPr="00142780" w:rsidRDefault="0082462D" w:rsidP="00462022">
            <w:pPr>
              <w:pStyle w:val="PlainText"/>
              <w:tabs>
                <w:tab w:val="left" w:pos="426"/>
                <w:tab w:val="decimal" w:pos="851"/>
              </w:tabs>
              <w:rPr>
                <w:rFonts w:ascii="Times New Roman" w:hAnsi="Times New Roman" w:cs="Times New Roman"/>
                <w:sz w:val="22"/>
                <w:szCs w:val="22"/>
              </w:rPr>
            </w:pPr>
          </w:p>
        </w:tc>
        <w:tc>
          <w:tcPr>
            <w:tcW w:w="1098" w:type="pct"/>
            <w:vAlign w:val="center"/>
          </w:tcPr>
          <w:p w:rsidR="0082462D" w:rsidRPr="00142780" w:rsidRDefault="0082462D" w:rsidP="00462022">
            <w:pPr>
              <w:pStyle w:val="PlainText"/>
              <w:tabs>
                <w:tab w:val="left" w:pos="426"/>
                <w:tab w:val="decimal" w:pos="851"/>
              </w:tabs>
              <w:rPr>
                <w:rFonts w:ascii="Times New Roman" w:hAnsi="Times New Roman" w:cs="Times New Roman"/>
                <w:sz w:val="22"/>
                <w:szCs w:val="22"/>
              </w:rPr>
            </w:pPr>
            <w:r w:rsidRPr="00142780">
              <w:rPr>
                <w:rFonts w:ascii="Times New Roman" w:hAnsi="Times New Roman" w:cs="Times New Roman"/>
                <w:sz w:val="22"/>
                <w:szCs w:val="22"/>
              </w:rPr>
              <w:t>(2.07)**</w:t>
            </w:r>
          </w:p>
        </w:tc>
        <w:tc>
          <w:tcPr>
            <w:tcW w:w="1097" w:type="pct"/>
            <w:vAlign w:val="center"/>
          </w:tcPr>
          <w:p w:rsidR="0082462D" w:rsidRPr="00142780" w:rsidRDefault="0082462D" w:rsidP="00462022">
            <w:pPr>
              <w:pStyle w:val="PlainText"/>
              <w:tabs>
                <w:tab w:val="left" w:pos="426"/>
                <w:tab w:val="decimal" w:pos="851"/>
              </w:tabs>
              <w:rPr>
                <w:rFonts w:ascii="Times New Roman" w:hAnsi="Times New Roman" w:cs="Times New Roman"/>
                <w:sz w:val="22"/>
                <w:szCs w:val="22"/>
              </w:rPr>
            </w:pPr>
            <w:r w:rsidRPr="00142780">
              <w:rPr>
                <w:rFonts w:ascii="Times New Roman" w:hAnsi="Times New Roman" w:cs="Times New Roman"/>
                <w:sz w:val="22"/>
                <w:szCs w:val="22"/>
              </w:rPr>
              <w:t>(1.56)</w:t>
            </w:r>
          </w:p>
        </w:tc>
      </w:tr>
      <w:tr w:rsidR="0082462D" w:rsidRPr="00FC1A20" w:rsidTr="00462022">
        <w:tc>
          <w:tcPr>
            <w:tcW w:w="1707" w:type="pct"/>
            <w:vAlign w:val="center"/>
          </w:tcPr>
          <w:p w:rsidR="0082462D" w:rsidRPr="00142780" w:rsidRDefault="0082462D" w:rsidP="00462022">
            <w:pPr>
              <w:pStyle w:val="PlainText"/>
              <w:tabs>
                <w:tab w:val="left" w:pos="426"/>
              </w:tabs>
              <w:rPr>
                <w:rFonts w:ascii="Times New Roman" w:hAnsi="Times New Roman" w:cs="Times New Roman"/>
                <w:sz w:val="22"/>
                <w:szCs w:val="22"/>
              </w:rPr>
            </w:pPr>
            <w:r w:rsidRPr="00142780">
              <w:rPr>
                <w:rFonts w:ascii="Times New Roman" w:hAnsi="Times New Roman" w:cs="Times New Roman"/>
                <w:sz w:val="22"/>
                <w:szCs w:val="22"/>
              </w:rPr>
              <w:t>Green area / total area</w:t>
            </w:r>
          </w:p>
        </w:tc>
        <w:tc>
          <w:tcPr>
            <w:tcW w:w="1098" w:type="pct"/>
            <w:vAlign w:val="center"/>
          </w:tcPr>
          <w:p w:rsidR="0082462D" w:rsidRPr="00142780" w:rsidRDefault="0082462D" w:rsidP="00462022">
            <w:pPr>
              <w:pStyle w:val="PlainText"/>
              <w:tabs>
                <w:tab w:val="left" w:pos="426"/>
                <w:tab w:val="decimal" w:pos="851"/>
              </w:tabs>
              <w:rPr>
                <w:rFonts w:ascii="Times New Roman" w:hAnsi="Times New Roman" w:cs="Times New Roman"/>
                <w:sz w:val="22"/>
                <w:szCs w:val="22"/>
              </w:rPr>
            </w:pPr>
          </w:p>
        </w:tc>
        <w:tc>
          <w:tcPr>
            <w:tcW w:w="1098" w:type="pct"/>
            <w:vAlign w:val="center"/>
          </w:tcPr>
          <w:p w:rsidR="0082462D" w:rsidRPr="00142780" w:rsidRDefault="0082462D" w:rsidP="00462022">
            <w:pPr>
              <w:pStyle w:val="PlainText"/>
              <w:tabs>
                <w:tab w:val="left" w:pos="426"/>
                <w:tab w:val="decimal" w:pos="851"/>
              </w:tabs>
              <w:rPr>
                <w:rFonts w:ascii="Times New Roman" w:hAnsi="Times New Roman" w:cs="Times New Roman"/>
                <w:sz w:val="22"/>
                <w:szCs w:val="22"/>
              </w:rPr>
            </w:pPr>
            <w:r w:rsidRPr="00142780">
              <w:rPr>
                <w:rFonts w:ascii="Times New Roman" w:hAnsi="Times New Roman" w:cs="Times New Roman"/>
                <w:sz w:val="22"/>
                <w:szCs w:val="22"/>
              </w:rPr>
              <w:t>-3.035</w:t>
            </w:r>
          </w:p>
        </w:tc>
        <w:tc>
          <w:tcPr>
            <w:tcW w:w="1097" w:type="pct"/>
            <w:vAlign w:val="center"/>
          </w:tcPr>
          <w:p w:rsidR="0082462D" w:rsidRPr="00142780" w:rsidRDefault="0082462D" w:rsidP="00462022">
            <w:pPr>
              <w:pStyle w:val="PlainText"/>
              <w:tabs>
                <w:tab w:val="left" w:pos="426"/>
                <w:tab w:val="decimal" w:pos="851"/>
              </w:tabs>
              <w:rPr>
                <w:rFonts w:ascii="Times New Roman" w:hAnsi="Times New Roman" w:cs="Times New Roman"/>
                <w:sz w:val="22"/>
                <w:szCs w:val="22"/>
              </w:rPr>
            </w:pPr>
            <w:r w:rsidRPr="00142780">
              <w:rPr>
                <w:rFonts w:ascii="Times New Roman" w:hAnsi="Times New Roman" w:cs="Times New Roman"/>
                <w:sz w:val="22"/>
                <w:szCs w:val="22"/>
              </w:rPr>
              <w:t>-0.466</w:t>
            </w:r>
          </w:p>
        </w:tc>
      </w:tr>
      <w:tr w:rsidR="0082462D" w:rsidRPr="00FC1A20" w:rsidTr="00462022">
        <w:tc>
          <w:tcPr>
            <w:tcW w:w="1707" w:type="pct"/>
            <w:vAlign w:val="center"/>
          </w:tcPr>
          <w:p w:rsidR="0082462D" w:rsidRPr="00142780" w:rsidRDefault="0082462D" w:rsidP="00462022">
            <w:pPr>
              <w:pStyle w:val="PlainText"/>
              <w:tabs>
                <w:tab w:val="left" w:pos="426"/>
              </w:tabs>
              <w:rPr>
                <w:rFonts w:ascii="Times New Roman" w:hAnsi="Times New Roman" w:cs="Times New Roman"/>
                <w:sz w:val="22"/>
                <w:szCs w:val="22"/>
              </w:rPr>
            </w:pPr>
          </w:p>
        </w:tc>
        <w:tc>
          <w:tcPr>
            <w:tcW w:w="1098" w:type="pct"/>
            <w:vAlign w:val="center"/>
          </w:tcPr>
          <w:p w:rsidR="0082462D" w:rsidRPr="00142780" w:rsidRDefault="0082462D" w:rsidP="00462022">
            <w:pPr>
              <w:pStyle w:val="PlainText"/>
              <w:tabs>
                <w:tab w:val="left" w:pos="426"/>
                <w:tab w:val="decimal" w:pos="851"/>
              </w:tabs>
              <w:rPr>
                <w:rFonts w:ascii="Times New Roman" w:hAnsi="Times New Roman" w:cs="Times New Roman"/>
                <w:sz w:val="22"/>
                <w:szCs w:val="22"/>
              </w:rPr>
            </w:pPr>
          </w:p>
        </w:tc>
        <w:tc>
          <w:tcPr>
            <w:tcW w:w="1098" w:type="pct"/>
            <w:vAlign w:val="center"/>
          </w:tcPr>
          <w:p w:rsidR="0082462D" w:rsidRPr="00142780" w:rsidRDefault="0082462D" w:rsidP="00462022">
            <w:pPr>
              <w:pStyle w:val="PlainText"/>
              <w:tabs>
                <w:tab w:val="left" w:pos="426"/>
                <w:tab w:val="decimal" w:pos="851"/>
              </w:tabs>
              <w:rPr>
                <w:rFonts w:ascii="Times New Roman" w:hAnsi="Times New Roman" w:cs="Times New Roman"/>
                <w:sz w:val="22"/>
                <w:szCs w:val="22"/>
              </w:rPr>
            </w:pPr>
            <w:r w:rsidRPr="00142780">
              <w:rPr>
                <w:rFonts w:ascii="Times New Roman" w:hAnsi="Times New Roman" w:cs="Times New Roman"/>
                <w:sz w:val="22"/>
                <w:szCs w:val="22"/>
              </w:rPr>
              <w:t>(4.18)***</w:t>
            </w:r>
          </w:p>
        </w:tc>
        <w:tc>
          <w:tcPr>
            <w:tcW w:w="1097" w:type="pct"/>
            <w:vAlign w:val="center"/>
          </w:tcPr>
          <w:p w:rsidR="0082462D" w:rsidRPr="00142780" w:rsidRDefault="0082462D" w:rsidP="00462022">
            <w:pPr>
              <w:pStyle w:val="PlainText"/>
              <w:tabs>
                <w:tab w:val="left" w:pos="426"/>
                <w:tab w:val="decimal" w:pos="851"/>
              </w:tabs>
              <w:rPr>
                <w:rFonts w:ascii="Times New Roman" w:hAnsi="Times New Roman" w:cs="Times New Roman"/>
                <w:sz w:val="22"/>
                <w:szCs w:val="22"/>
              </w:rPr>
            </w:pPr>
            <w:r w:rsidRPr="00142780">
              <w:rPr>
                <w:rFonts w:ascii="Times New Roman" w:hAnsi="Times New Roman" w:cs="Times New Roman"/>
                <w:sz w:val="22"/>
                <w:szCs w:val="22"/>
              </w:rPr>
              <w:t>(0.95)</w:t>
            </w:r>
          </w:p>
        </w:tc>
      </w:tr>
      <w:tr w:rsidR="0082462D" w:rsidRPr="00FC1A20" w:rsidTr="00462022">
        <w:tc>
          <w:tcPr>
            <w:tcW w:w="1707" w:type="pct"/>
            <w:vAlign w:val="center"/>
          </w:tcPr>
          <w:p w:rsidR="0082462D" w:rsidRPr="00142780" w:rsidRDefault="0082462D" w:rsidP="00462022">
            <w:pPr>
              <w:pStyle w:val="PlainText"/>
              <w:tabs>
                <w:tab w:val="left" w:pos="426"/>
              </w:tabs>
              <w:rPr>
                <w:rFonts w:ascii="Times New Roman" w:hAnsi="Times New Roman" w:cs="Times New Roman"/>
                <w:sz w:val="22"/>
                <w:szCs w:val="22"/>
              </w:rPr>
            </w:pPr>
            <w:r w:rsidRPr="00142780">
              <w:rPr>
                <w:rFonts w:ascii="Times New Roman" w:hAnsi="Times New Roman" w:cs="Times New Roman"/>
                <w:sz w:val="22"/>
                <w:szCs w:val="22"/>
              </w:rPr>
              <w:t>Car park ratio</w:t>
            </w:r>
          </w:p>
        </w:tc>
        <w:tc>
          <w:tcPr>
            <w:tcW w:w="1098" w:type="pct"/>
            <w:vAlign w:val="center"/>
          </w:tcPr>
          <w:p w:rsidR="0082462D" w:rsidRPr="00142780" w:rsidRDefault="0082462D" w:rsidP="00462022">
            <w:pPr>
              <w:pStyle w:val="PlainText"/>
              <w:tabs>
                <w:tab w:val="left" w:pos="426"/>
                <w:tab w:val="decimal" w:pos="851"/>
              </w:tabs>
              <w:rPr>
                <w:rFonts w:ascii="Times New Roman" w:hAnsi="Times New Roman" w:cs="Times New Roman"/>
                <w:sz w:val="22"/>
                <w:szCs w:val="22"/>
              </w:rPr>
            </w:pPr>
          </w:p>
        </w:tc>
        <w:tc>
          <w:tcPr>
            <w:tcW w:w="1098" w:type="pct"/>
            <w:vAlign w:val="center"/>
          </w:tcPr>
          <w:p w:rsidR="0082462D" w:rsidRPr="00142780" w:rsidRDefault="0082462D" w:rsidP="00462022">
            <w:pPr>
              <w:pStyle w:val="PlainText"/>
              <w:tabs>
                <w:tab w:val="left" w:pos="426"/>
                <w:tab w:val="decimal" w:pos="851"/>
              </w:tabs>
              <w:rPr>
                <w:rFonts w:ascii="Times New Roman" w:hAnsi="Times New Roman" w:cs="Times New Roman"/>
                <w:sz w:val="22"/>
                <w:szCs w:val="22"/>
              </w:rPr>
            </w:pPr>
            <w:r w:rsidRPr="00142780">
              <w:rPr>
                <w:rFonts w:ascii="Times New Roman" w:hAnsi="Times New Roman" w:cs="Times New Roman"/>
                <w:sz w:val="22"/>
                <w:szCs w:val="22"/>
              </w:rPr>
              <w:t>0.006</w:t>
            </w:r>
          </w:p>
        </w:tc>
        <w:tc>
          <w:tcPr>
            <w:tcW w:w="1097" w:type="pct"/>
            <w:vAlign w:val="center"/>
          </w:tcPr>
          <w:p w:rsidR="0082462D" w:rsidRPr="00142780" w:rsidRDefault="0082462D" w:rsidP="00462022">
            <w:pPr>
              <w:pStyle w:val="PlainText"/>
              <w:tabs>
                <w:tab w:val="left" w:pos="426"/>
                <w:tab w:val="decimal" w:pos="851"/>
              </w:tabs>
              <w:rPr>
                <w:rFonts w:ascii="Times New Roman" w:hAnsi="Times New Roman" w:cs="Times New Roman"/>
                <w:sz w:val="22"/>
                <w:szCs w:val="22"/>
              </w:rPr>
            </w:pPr>
            <w:r w:rsidRPr="00142780">
              <w:rPr>
                <w:rFonts w:ascii="Times New Roman" w:hAnsi="Times New Roman" w:cs="Times New Roman"/>
                <w:sz w:val="22"/>
                <w:szCs w:val="22"/>
              </w:rPr>
              <w:t>0.018</w:t>
            </w:r>
          </w:p>
        </w:tc>
      </w:tr>
      <w:tr w:rsidR="0082462D" w:rsidRPr="00FC1A20" w:rsidTr="00462022">
        <w:tc>
          <w:tcPr>
            <w:tcW w:w="1707" w:type="pct"/>
            <w:vAlign w:val="center"/>
          </w:tcPr>
          <w:p w:rsidR="0082462D" w:rsidRPr="00142780" w:rsidRDefault="0082462D" w:rsidP="00462022">
            <w:pPr>
              <w:pStyle w:val="PlainText"/>
              <w:tabs>
                <w:tab w:val="left" w:pos="426"/>
              </w:tabs>
              <w:rPr>
                <w:rFonts w:ascii="Times New Roman" w:hAnsi="Times New Roman" w:cs="Times New Roman"/>
                <w:sz w:val="22"/>
                <w:szCs w:val="22"/>
              </w:rPr>
            </w:pPr>
          </w:p>
        </w:tc>
        <w:tc>
          <w:tcPr>
            <w:tcW w:w="1098" w:type="pct"/>
            <w:vAlign w:val="center"/>
          </w:tcPr>
          <w:p w:rsidR="0082462D" w:rsidRPr="00142780" w:rsidRDefault="0082462D" w:rsidP="00462022">
            <w:pPr>
              <w:pStyle w:val="PlainText"/>
              <w:tabs>
                <w:tab w:val="left" w:pos="426"/>
                <w:tab w:val="decimal" w:pos="851"/>
              </w:tabs>
              <w:rPr>
                <w:rFonts w:ascii="Times New Roman" w:hAnsi="Times New Roman" w:cs="Times New Roman"/>
                <w:sz w:val="22"/>
                <w:szCs w:val="22"/>
              </w:rPr>
            </w:pPr>
          </w:p>
        </w:tc>
        <w:tc>
          <w:tcPr>
            <w:tcW w:w="1098" w:type="pct"/>
            <w:vAlign w:val="center"/>
          </w:tcPr>
          <w:p w:rsidR="0082462D" w:rsidRPr="00142780" w:rsidRDefault="0082462D" w:rsidP="00462022">
            <w:pPr>
              <w:pStyle w:val="PlainText"/>
              <w:tabs>
                <w:tab w:val="left" w:pos="426"/>
                <w:tab w:val="decimal" w:pos="851"/>
              </w:tabs>
              <w:rPr>
                <w:rFonts w:ascii="Times New Roman" w:hAnsi="Times New Roman" w:cs="Times New Roman"/>
                <w:sz w:val="22"/>
                <w:szCs w:val="22"/>
              </w:rPr>
            </w:pPr>
            <w:r w:rsidRPr="00142780">
              <w:rPr>
                <w:rFonts w:ascii="Times New Roman" w:hAnsi="Times New Roman" w:cs="Times New Roman"/>
                <w:sz w:val="22"/>
                <w:szCs w:val="22"/>
              </w:rPr>
              <w:t>(0.06)</w:t>
            </w:r>
          </w:p>
        </w:tc>
        <w:tc>
          <w:tcPr>
            <w:tcW w:w="1097" w:type="pct"/>
            <w:vAlign w:val="center"/>
          </w:tcPr>
          <w:p w:rsidR="0082462D" w:rsidRPr="00142780" w:rsidRDefault="0082462D" w:rsidP="00462022">
            <w:pPr>
              <w:pStyle w:val="PlainText"/>
              <w:tabs>
                <w:tab w:val="left" w:pos="426"/>
                <w:tab w:val="decimal" w:pos="851"/>
              </w:tabs>
              <w:rPr>
                <w:rFonts w:ascii="Times New Roman" w:hAnsi="Times New Roman" w:cs="Times New Roman"/>
                <w:sz w:val="22"/>
                <w:szCs w:val="22"/>
              </w:rPr>
            </w:pPr>
            <w:r w:rsidRPr="00142780">
              <w:rPr>
                <w:rFonts w:ascii="Times New Roman" w:hAnsi="Times New Roman" w:cs="Times New Roman"/>
                <w:sz w:val="22"/>
                <w:szCs w:val="22"/>
              </w:rPr>
              <w:t>(0.29)</w:t>
            </w:r>
          </w:p>
        </w:tc>
      </w:tr>
      <w:tr w:rsidR="0082462D" w:rsidRPr="00FC1A20" w:rsidTr="00462022">
        <w:tc>
          <w:tcPr>
            <w:tcW w:w="1707" w:type="pct"/>
            <w:vAlign w:val="center"/>
          </w:tcPr>
          <w:p w:rsidR="0082462D" w:rsidRPr="00142780" w:rsidRDefault="0082462D" w:rsidP="00462022">
            <w:pPr>
              <w:pStyle w:val="PlainText"/>
              <w:tabs>
                <w:tab w:val="left" w:pos="426"/>
              </w:tabs>
              <w:rPr>
                <w:rFonts w:ascii="Times New Roman" w:hAnsi="Times New Roman" w:cs="Times New Roman"/>
                <w:sz w:val="22"/>
                <w:szCs w:val="22"/>
              </w:rPr>
            </w:pPr>
            <w:r w:rsidRPr="00142780">
              <w:rPr>
                <w:rFonts w:ascii="Times New Roman" w:hAnsi="Times New Roman" w:cs="Times New Roman"/>
                <w:sz w:val="22"/>
                <w:szCs w:val="22"/>
              </w:rPr>
              <w:t>Months after opening</w:t>
            </w:r>
          </w:p>
        </w:tc>
        <w:tc>
          <w:tcPr>
            <w:tcW w:w="1098" w:type="pct"/>
            <w:vAlign w:val="center"/>
          </w:tcPr>
          <w:p w:rsidR="0082462D" w:rsidRPr="00142780" w:rsidRDefault="0082462D" w:rsidP="00462022">
            <w:pPr>
              <w:pStyle w:val="PlainText"/>
              <w:tabs>
                <w:tab w:val="left" w:pos="426"/>
                <w:tab w:val="decimal" w:pos="851"/>
              </w:tabs>
              <w:rPr>
                <w:rFonts w:ascii="Times New Roman" w:hAnsi="Times New Roman" w:cs="Times New Roman"/>
                <w:sz w:val="22"/>
                <w:szCs w:val="22"/>
              </w:rPr>
            </w:pPr>
          </w:p>
        </w:tc>
        <w:tc>
          <w:tcPr>
            <w:tcW w:w="1098" w:type="pct"/>
            <w:vAlign w:val="center"/>
          </w:tcPr>
          <w:p w:rsidR="0082462D" w:rsidRPr="00142780" w:rsidRDefault="0082462D" w:rsidP="00462022">
            <w:pPr>
              <w:pStyle w:val="PlainText"/>
              <w:tabs>
                <w:tab w:val="left" w:pos="426"/>
                <w:tab w:val="decimal" w:pos="851"/>
              </w:tabs>
              <w:rPr>
                <w:rFonts w:ascii="Times New Roman" w:hAnsi="Times New Roman" w:cs="Times New Roman"/>
                <w:sz w:val="22"/>
                <w:szCs w:val="22"/>
              </w:rPr>
            </w:pPr>
            <w:r w:rsidRPr="00142780">
              <w:rPr>
                <w:rFonts w:ascii="Times New Roman" w:hAnsi="Times New Roman" w:cs="Times New Roman"/>
                <w:sz w:val="22"/>
                <w:szCs w:val="22"/>
              </w:rPr>
              <w:t>-0.008</w:t>
            </w:r>
          </w:p>
        </w:tc>
        <w:tc>
          <w:tcPr>
            <w:tcW w:w="1097" w:type="pct"/>
            <w:vAlign w:val="center"/>
          </w:tcPr>
          <w:p w:rsidR="0082462D" w:rsidRPr="00142780" w:rsidRDefault="0082462D" w:rsidP="00462022">
            <w:pPr>
              <w:pStyle w:val="PlainText"/>
              <w:tabs>
                <w:tab w:val="left" w:pos="426"/>
                <w:tab w:val="decimal" w:pos="851"/>
              </w:tabs>
              <w:rPr>
                <w:rFonts w:ascii="Times New Roman" w:hAnsi="Times New Roman" w:cs="Times New Roman"/>
                <w:sz w:val="22"/>
                <w:szCs w:val="22"/>
              </w:rPr>
            </w:pPr>
            <w:r w:rsidRPr="00142780">
              <w:rPr>
                <w:rFonts w:ascii="Times New Roman" w:hAnsi="Times New Roman" w:cs="Times New Roman"/>
                <w:sz w:val="22"/>
                <w:szCs w:val="22"/>
              </w:rPr>
              <w:t>-0.012</w:t>
            </w:r>
          </w:p>
        </w:tc>
      </w:tr>
      <w:tr w:rsidR="0082462D" w:rsidRPr="00FC1A20" w:rsidTr="00462022">
        <w:tc>
          <w:tcPr>
            <w:tcW w:w="1707" w:type="pct"/>
            <w:vAlign w:val="center"/>
          </w:tcPr>
          <w:p w:rsidR="0082462D" w:rsidRPr="00142780" w:rsidRDefault="0082462D" w:rsidP="00462022">
            <w:pPr>
              <w:pStyle w:val="PlainText"/>
              <w:tabs>
                <w:tab w:val="left" w:pos="426"/>
              </w:tabs>
              <w:rPr>
                <w:rFonts w:ascii="Times New Roman" w:hAnsi="Times New Roman" w:cs="Times New Roman"/>
                <w:sz w:val="22"/>
                <w:szCs w:val="22"/>
              </w:rPr>
            </w:pPr>
          </w:p>
        </w:tc>
        <w:tc>
          <w:tcPr>
            <w:tcW w:w="1098" w:type="pct"/>
            <w:vAlign w:val="center"/>
          </w:tcPr>
          <w:p w:rsidR="0082462D" w:rsidRPr="00142780" w:rsidRDefault="0082462D" w:rsidP="00462022">
            <w:pPr>
              <w:pStyle w:val="PlainText"/>
              <w:tabs>
                <w:tab w:val="left" w:pos="426"/>
                <w:tab w:val="decimal" w:pos="851"/>
              </w:tabs>
              <w:rPr>
                <w:rFonts w:ascii="Times New Roman" w:hAnsi="Times New Roman" w:cs="Times New Roman"/>
                <w:sz w:val="22"/>
                <w:szCs w:val="22"/>
              </w:rPr>
            </w:pPr>
          </w:p>
        </w:tc>
        <w:tc>
          <w:tcPr>
            <w:tcW w:w="1098" w:type="pct"/>
            <w:vAlign w:val="center"/>
          </w:tcPr>
          <w:p w:rsidR="0082462D" w:rsidRPr="00142780" w:rsidRDefault="0082462D" w:rsidP="00462022">
            <w:pPr>
              <w:pStyle w:val="PlainText"/>
              <w:tabs>
                <w:tab w:val="left" w:pos="426"/>
                <w:tab w:val="decimal" w:pos="851"/>
              </w:tabs>
              <w:rPr>
                <w:rFonts w:ascii="Times New Roman" w:hAnsi="Times New Roman" w:cs="Times New Roman"/>
                <w:sz w:val="22"/>
                <w:szCs w:val="22"/>
              </w:rPr>
            </w:pPr>
            <w:r w:rsidRPr="00142780">
              <w:rPr>
                <w:rFonts w:ascii="Times New Roman" w:hAnsi="Times New Roman" w:cs="Times New Roman"/>
                <w:sz w:val="22"/>
                <w:szCs w:val="22"/>
              </w:rPr>
              <w:t>(1.09)</w:t>
            </w:r>
          </w:p>
        </w:tc>
        <w:tc>
          <w:tcPr>
            <w:tcW w:w="1097" w:type="pct"/>
            <w:vAlign w:val="center"/>
          </w:tcPr>
          <w:p w:rsidR="0082462D" w:rsidRPr="00142780" w:rsidRDefault="0082462D" w:rsidP="00462022">
            <w:pPr>
              <w:pStyle w:val="PlainText"/>
              <w:tabs>
                <w:tab w:val="left" w:pos="426"/>
                <w:tab w:val="decimal" w:pos="851"/>
              </w:tabs>
              <w:rPr>
                <w:rFonts w:ascii="Times New Roman" w:hAnsi="Times New Roman" w:cs="Times New Roman"/>
                <w:sz w:val="22"/>
                <w:szCs w:val="22"/>
              </w:rPr>
            </w:pPr>
            <w:r w:rsidRPr="00142780">
              <w:rPr>
                <w:rFonts w:ascii="Times New Roman" w:hAnsi="Times New Roman" w:cs="Times New Roman"/>
                <w:sz w:val="22"/>
                <w:szCs w:val="22"/>
              </w:rPr>
              <w:t>(2.48)**</w:t>
            </w:r>
          </w:p>
        </w:tc>
      </w:tr>
      <w:tr w:rsidR="0082462D" w:rsidRPr="00FC1A20" w:rsidTr="00462022">
        <w:tc>
          <w:tcPr>
            <w:tcW w:w="1707" w:type="pct"/>
            <w:vAlign w:val="center"/>
          </w:tcPr>
          <w:p w:rsidR="0082462D" w:rsidRPr="00142780" w:rsidRDefault="0082462D" w:rsidP="00462022">
            <w:pPr>
              <w:pStyle w:val="PlainText"/>
              <w:tabs>
                <w:tab w:val="left" w:pos="426"/>
              </w:tabs>
              <w:rPr>
                <w:rFonts w:ascii="Times New Roman" w:hAnsi="Times New Roman" w:cs="Times New Roman"/>
                <w:sz w:val="22"/>
                <w:szCs w:val="22"/>
              </w:rPr>
            </w:pPr>
            <w:r w:rsidRPr="00142780">
              <w:rPr>
                <w:rFonts w:ascii="Times New Roman" w:hAnsi="Times New Roman" w:cs="Times New Roman"/>
                <w:sz w:val="22"/>
                <w:szCs w:val="22"/>
              </w:rPr>
              <w:t>Months to completion</w:t>
            </w:r>
          </w:p>
        </w:tc>
        <w:tc>
          <w:tcPr>
            <w:tcW w:w="1098" w:type="pct"/>
            <w:vAlign w:val="center"/>
          </w:tcPr>
          <w:p w:rsidR="0082462D" w:rsidRPr="00142780" w:rsidRDefault="0082462D" w:rsidP="00462022">
            <w:pPr>
              <w:pStyle w:val="PlainText"/>
              <w:tabs>
                <w:tab w:val="left" w:pos="426"/>
                <w:tab w:val="decimal" w:pos="851"/>
              </w:tabs>
              <w:rPr>
                <w:rFonts w:ascii="Times New Roman" w:hAnsi="Times New Roman" w:cs="Times New Roman"/>
                <w:sz w:val="22"/>
                <w:szCs w:val="22"/>
              </w:rPr>
            </w:pPr>
          </w:p>
        </w:tc>
        <w:tc>
          <w:tcPr>
            <w:tcW w:w="1098" w:type="pct"/>
            <w:vAlign w:val="center"/>
          </w:tcPr>
          <w:p w:rsidR="0082462D" w:rsidRPr="00142780" w:rsidRDefault="0082462D" w:rsidP="00462022">
            <w:pPr>
              <w:pStyle w:val="PlainText"/>
              <w:tabs>
                <w:tab w:val="left" w:pos="426"/>
                <w:tab w:val="decimal" w:pos="851"/>
              </w:tabs>
              <w:rPr>
                <w:rFonts w:ascii="Times New Roman" w:hAnsi="Times New Roman" w:cs="Times New Roman"/>
                <w:sz w:val="22"/>
                <w:szCs w:val="22"/>
              </w:rPr>
            </w:pPr>
            <w:r w:rsidRPr="00142780">
              <w:rPr>
                <w:rFonts w:ascii="Times New Roman" w:hAnsi="Times New Roman" w:cs="Times New Roman"/>
                <w:sz w:val="22"/>
                <w:szCs w:val="22"/>
              </w:rPr>
              <w:t>-0.017</w:t>
            </w:r>
          </w:p>
        </w:tc>
        <w:tc>
          <w:tcPr>
            <w:tcW w:w="1097" w:type="pct"/>
            <w:vAlign w:val="center"/>
          </w:tcPr>
          <w:p w:rsidR="0082462D" w:rsidRPr="00142780" w:rsidRDefault="0082462D" w:rsidP="00462022">
            <w:pPr>
              <w:pStyle w:val="PlainText"/>
              <w:tabs>
                <w:tab w:val="left" w:pos="426"/>
                <w:tab w:val="decimal" w:pos="851"/>
              </w:tabs>
              <w:rPr>
                <w:rFonts w:ascii="Times New Roman" w:hAnsi="Times New Roman" w:cs="Times New Roman"/>
                <w:sz w:val="22"/>
                <w:szCs w:val="22"/>
              </w:rPr>
            </w:pPr>
            <w:r w:rsidRPr="00142780">
              <w:rPr>
                <w:rFonts w:ascii="Times New Roman" w:hAnsi="Times New Roman" w:cs="Times New Roman"/>
                <w:sz w:val="22"/>
                <w:szCs w:val="22"/>
              </w:rPr>
              <w:t>-0.019</w:t>
            </w:r>
          </w:p>
        </w:tc>
      </w:tr>
      <w:tr w:rsidR="0082462D" w:rsidRPr="00FC1A20" w:rsidTr="00462022">
        <w:tc>
          <w:tcPr>
            <w:tcW w:w="1707" w:type="pct"/>
            <w:vAlign w:val="center"/>
          </w:tcPr>
          <w:p w:rsidR="0082462D" w:rsidRPr="00142780" w:rsidRDefault="0082462D" w:rsidP="00462022">
            <w:pPr>
              <w:pStyle w:val="PlainText"/>
              <w:tabs>
                <w:tab w:val="left" w:pos="426"/>
              </w:tabs>
              <w:rPr>
                <w:rFonts w:ascii="Times New Roman" w:hAnsi="Times New Roman" w:cs="Times New Roman"/>
                <w:sz w:val="22"/>
                <w:szCs w:val="22"/>
              </w:rPr>
            </w:pPr>
          </w:p>
        </w:tc>
        <w:tc>
          <w:tcPr>
            <w:tcW w:w="1098" w:type="pct"/>
            <w:vAlign w:val="center"/>
          </w:tcPr>
          <w:p w:rsidR="0082462D" w:rsidRPr="00142780" w:rsidRDefault="0082462D" w:rsidP="00462022">
            <w:pPr>
              <w:pStyle w:val="PlainText"/>
              <w:tabs>
                <w:tab w:val="left" w:pos="426"/>
                <w:tab w:val="decimal" w:pos="851"/>
              </w:tabs>
              <w:rPr>
                <w:rFonts w:ascii="Times New Roman" w:hAnsi="Times New Roman" w:cs="Times New Roman"/>
                <w:sz w:val="22"/>
                <w:szCs w:val="22"/>
              </w:rPr>
            </w:pPr>
          </w:p>
        </w:tc>
        <w:tc>
          <w:tcPr>
            <w:tcW w:w="1098" w:type="pct"/>
            <w:vAlign w:val="center"/>
          </w:tcPr>
          <w:p w:rsidR="0082462D" w:rsidRPr="00142780" w:rsidRDefault="0082462D" w:rsidP="00462022">
            <w:pPr>
              <w:pStyle w:val="PlainText"/>
              <w:tabs>
                <w:tab w:val="left" w:pos="426"/>
                <w:tab w:val="decimal" w:pos="851"/>
              </w:tabs>
              <w:rPr>
                <w:rFonts w:ascii="Times New Roman" w:hAnsi="Times New Roman" w:cs="Times New Roman"/>
                <w:sz w:val="22"/>
                <w:szCs w:val="22"/>
              </w:rPr>
            </w:pPr>
            <w:r w:rsidRPr="00142780">
              <w:rPr>
                <w:rFonts w:ascii="Times New Roman" w:hAnsi="Times New Roman" w:cs="Times New Roman"/>
                <w:sz w:val="22"/>
                <w:szCs w:val="22"/>
              </w:rPr>
              <w:t>(2.79)***</w:t>
            </w:r>
          </w:p>
        </w:tc>
        <w:tc>
          <w:tcPr>
            <w:tcW w:w="1097" w:type="pct"/>
            <w:vAlign w:val="center"/>
          </w:tcPr>
          <w:p w:rsidR="0082462D" w:rsidRPr="00142780" w:rsidRDefault="0082462D" w:rsidP="00462022">
            <w:pPr>
              <w:pStyle w:val="PlainText"/>
              <w:tabs>
                <w:tab w:val="left" w:pos="426"/>
                <w:tab w:val="decimal" w:pos="851"/>
              </w:tabs>
              <w:rPr>
                <w:rFonts w:ascii="Times New Roman" w:hAnsi="Times New Roman" w:cs="Times New Roman"/>
                <w:sz w:val="22"/>
                <w:szCs w:val="22"/>
              </w:rPr>
            </w:pPr>
            <w:r w:rsidRPr="00142780">
              <w:rPr>
                <w:rFonts w:ascii="Times New Roman" w:hAnsi="Times New Roman" w:cs="Times New Roman"/>
                <w:sz w:val="22"/>
                <w:szCs w:val="22"/>
              </w:rPr>
              <w:t>(4.79)***</w:t>
            </w:r>
          </w:p>
        </w:tc>
      </w:tr>
      <w:tr w:rsidR="0082462D" w:rsidRPr="00FC1A20" w:rsidTr="00462022">
        <w:tc>
          <w:tcPr>
            <w:tcW w:w="1707" w:type="pct"/>
            <w:vAlign w:val="center"/>
          </w:tcPr>
          <w:p w:rsidR="0082462D" w:rsidRPr="00142780" w:rsidRDefault="0082462D" w:rsidP="00462022">
            <w:pPr>
              <w:pStyle w:val="PlainText"/>
              <w:tabs>
                <w:tab w:val="left" w:pos="426"/>
              </w:tabs>
              <w:rPr>
                <w:rFonts w:ascii="Times New Roman" w:hAnsi="Times New Roman" w:cs="Times New Roman"/>
                <w:sz w:val="22"/>
                <w:szCs w:val="22"/>
              </w:rPr>
            </w:pPr>
            <w:r w:rsidRPr="00142780">
              <w:rPr>
                <w:rFonts w:ascii="Times New Roman" w:hAnsi="Times New Roman" w:cs="Times New Roman"/>
                <w:sz w:val="22"/>
                <w:szCs w:val="22"/>
              </w:rPr>
              <w:t>Sale ratio</w:t>
            </w:r>
          </w:p>
        </w:tc>
        <w:tc>
          <w:tcPr>
            <w:tcW w:w="1098" w:type="pct"/>
            <w:vAlign w:val="center"/>
          </w:tcPr>
          <w:p w:rsidR="0082462D" w:rsidRPr="00142780" w:rsidRDefault="0082462D" w:rsidP="00462022">
            <w:pPr>
              <w:pStyle w:val="PlainText"/>
              <w:tabs>
                <w:tab w:val="left" w:pos="426"/>
                <w:tab w:val="decimal" w:pos="851"/>
              </w:tabs>
              <w:rPr>
                <w:rFonts w:ascii="Times New Roman" w:hAnsi="Times New Roman" w:cs="Times New Roman"/>
                <w:sz w:val="22"/>
                <w:szCs w:val="22"/>
              </w:rPr>
            </w:pPr>
          </w:p>
        </w:tc>
        <w:tc>
          <w:tcPr>
            <w:tcW w:w="1098" w:type="pct"/>
            <w:vAlign w:val="center"/>
          </w:tcPr>
          <w:p w:rsidR="0082462D" w:rsidRPr="00142780" w:rsidRDefault="0082462D" w:rsidP="00462022">
            <w:pPr>
              <w:pStyle w:val="PlainText"/>
              <w:tabs>
                <w:tab w:val="left" w:pos="426"/>
                <w:tab w:val="decimal" w:pos="851"/>
              </w:tabs>
              <w:rPr>
                <w:rFonts w:ascii="Times New Roman" w:hAnsi="Times New Roman" w:cs="Times New Roman"/>
                <w:sz w:val="22"/>
                <w:szCs w:val="22"/>
              </w:rPr>
            </w:pPr>
            <w:r w:rsidRPr="00142780">
              <w:rPr>
                <w:rFonts w:ascii="Times New Roman" w:hAnsi="Times New Roman" w:cs="Times New Roman"/>
                <w:sz w:val="22"/>
                <w:szCs w:val="22"/>
              </w:rPr>
              <w:t>0.043</w:t>
            </w:r>
          </w:p>
        </w:tc>
        <w:tc>
          <w:tcPr>
            <w:tcW w:w="1097" w:type="pct"/>
            <w:vAlign w:val="center"/>
          </w:tcPr>
          <w:p w:rsidR="0082462D" w:rsidRPr="00142780" w:rsidRDefault="0082462D" w:rsidP="00462022">
            <w:pPr>
              <w:pStyle w:val="PlainText"/>
              <w:tabs>
                <w:tab w:val="left" w:pos="426"/>
                <w:tab w:val="decimal" w:pos="851"/>
              </w:tabs>
              <w:rPr>
                <w:rFonts w:ascii="Times New Roman" w:hAnsi="Times New Roman" w:cs="Times New Roman"/>
                <w:sz w:val="22"/>
                <w:szCs w:val="22"/>
              </w:rPr>
            </w:pPr>
            <w:r w:rsidRPr="00142780">
              <w:rPr>
                <w:rFonts w:ascii="Times New Roman" w:hAnsi="Times New Roman" w:cs="Times New Roman"/>
                <w:sz w:val="22"/>
                <w:szCs w:val="22"/>
              </w:rPr>
              <w:t>0.060</w:t>
            </w:r>
          </w:p>
        </w:tc>
      </w:tr>
      <w:tr w:rsidR="0082462D" w:rsidRPr="00FC1A20" w:rsidTr="00462022">
        <w:tc>
          <w:tcPr>
            <w:tcW w:w="1707" w:type="pct"/>
            <w:vAlign w:val="center"/>
          </w:tcPr>
          <w:p w:rsidR="0082462D" w:rsidRPr="00142780" w:rsidRDefault="0082462D" w:rsidP="00462022">
            <w:pPr>
              <w:pStyle w:val="PlainText"/>
              <w:tabs>
                <w:tab w:val="left" w:pos="426"/>
              </w:tabs>
              <w:rPr>
                <w:rFonts w:ascii="Times New Roman" w:hAnsi="Times New Roman" w:cs="Times New Roman"/>
                <w:sz w:val="22"/>
                <w:szCs w:val="22"/>
              </w:rPr>
            </w:pPr>
          </w:p>
        </w:tc>
        <w:tc>
          <w:tcPr>
            <w:tcW w:w="1098" w:type="pct"/>
            <w:vAlign w:val="center"/>
          </w:tcPr>
          <w:p w:rsidR="0082462D" w:rsidRPr="00142780" w:rsidRDefault="0082462D" w:rsidP="00462022">
            <w:pPr>
              <w:pStyle w:val="PlainText"/>
              <w:tabs>
                <w:tab w:val="left" w:pos="426"/>
                <w:tab w:val="decimal" w:pos="851"/>
              </w:tabs>
              <w:rPr>
                <w:rFonts w:ascii="Times New Roman" w:hAnsi="Times New Roman" w:cs="Times New Roman"/>
                <w:sz w:val="22"/>
                <w:szCs w:val="22"/>
              </w:rPr>
            </w:pPr>
          </w:p>
        </w:tc>
        <w:tc>
          <w:tcPr>
            <w:tcW w:w="1098" w:type="pct"/>
            <w:vAlign w:val="center"/>
          </w:tcPr>
          <w:p w:rsidR="0082462D" w:rsidRPr="00142780" w:rsidRDefault="0082462D" w:rsidP="00462022">
            <w:pPr>
              <w:pStyle w:val="PlainText"/>
              <w:tabs>
                <w:tab w:val="left" w:pos="426"/>
                <w:tab w:val="decimal" w:pos="851"/>
              </w:tabs>
              <w:rPr>
                <w:rFonts w:ascii="Times New Roman" w:hAnsi="Times New Roman" w:cs="Times New Roman"/>
                <w:sz w:val="22"/>
                <w:szCs w:val="22"/>
              </w:rPr>
            </w:pPr>
            <w:r w:rsidRPr="00142780">
              <w:rPr>
                <w:rFonts w:ascii="Times New Roman" w:hAnsi="Times New Roman" w:cs="Times New Roman"/>
                <w:sz w:val="22"/>
                <w:szCs w:val="22"/>
              </w:rPr>
              <w:t>(0.39)</w:t>
            </w:r>
          </w:p>
        </w:tc>
        <w:tc>
          <w:tcPr>
            <w:tcW w:w="1097" w:type="pct"/>
            <w:vAlign w:val="center"/>
          </w:tcPr>
          <w:p w:rsidR="0082462D" w:rsidRPr="00142780" w:rsidRDefault="0082462D" w:rsidP="00462022">
            <w:pPr>
              <w:pStyle w:val="PlainText"/>
              <w:tabs>
                <w:tab w:val="left" w:pos="426"/>
                <w:tab w:val="decimal" w:pos="851"/>
              </w:tabs>
              <w:rPr>
                <w:rFonts w:ascii="Times New Roman" w:hAnsi="Times New Roman" w:cs="Times New Roman"/>
                <w:sz w:val="22"/>
                <w:szCs w:val="22"/>
              </w:rPr>
            </w:pPr>
            <w:r w:rsidRPr="00142780">
              <w:rPr>
                <w:rFonts w:ascii="Times New Roman" w:hAnsi="Times New Roman" w:cs="Times New Roman"/>
                <w:sz w:val="22"/>
                <w:szCs w:val="22"/>
              </w:rPr>
              <w:t>(0.70)</w:t>
            </w:r>
          </w:p>
        </w:tc>
      </w:tr>
      <w:tr w:rsidR="0082462D" w:rsidRPr="00FC1A20" w:rsidTr="00462022">
        <w:tc>
          <w:tcPr>
            <w:tcW w:w="1707" w:type="pct"/>
            <w:vAlign w:val="center"/>
          </w:tcPr>
          <w:p w:rsidR="0082462D" w:rsidRPr="00142780" w:rsidRDefault="0082462D" w:rsidP="00462022">
            <w:pPr>
              <w:pStyle w:val="PlainText"/>
              <w:tabs>
                <w:tab w:val="left" w:pos="426"/>
              </w:tabs>
              <w:rPr>
                <w:rFonts w:ascii="Times New Roman" w:hAnsi="Times New Roman" w:cs="Times New Roman"/>
                <w:sz w:val="22"/>
                <w:szCs w:val="22"/>
              </w:rPr>
            </w:pPr>
            <w:r w:rsidRPr="00142780">
              <w:rPr>
                <w:rFonts w:ascii="Times New Roman" w:hAnsi="Times New Roman" w:cs="Times New Roman"/>
                <w:sz w:val="22"/>
                <w:szCs w:val="22"/>
              </w:rPr>
              <w:t>Constant</w:t>
            </w:r>
          </w:p>
        </w:tc>
        <w:tc>
          <w:tcPr>
            <w:tcW w:w="1098" w:type="pct"/>
            <w:vAlign w:val="center"/>
          </w:tcPr>
          <w:p w:rsidR="0082462D" w:rsidRPr="00142780" w:rsidRDefault="0082462D" w:rsidP="00462022">
            <w:pPr>
              <w:pStyle w:val="PlainText"/>
              <w:tabs>
                <w:tab w:val="left" w:pos="426"/>
                <w:tab w:val="decimal" w:pos="851"/>
              </w:tabs>
              <w:rPr>
                <w:rFonts w:ascii="Times New Roman" w:hAnsi="Times New Roman" w:cs="Times New Roman"/>
                <w:sz w:val="22"/>
                <w:szCs w:val="22"/>
              </w:rPr>
            </w:pPr>
            <w:r w:rsidRPr="00142780">
              <w:rPr>
                <w:rFonts w:ascii="Times New Roman" w:hAnsi="Times New Roman" w:cs="Times New Roman"/>
                <w:sz w:val="22"/>
                <w:szCs w:val="22"/>
              </w:rPr>
              <w:t>1.945</w:t>
            </w:r>
          </w:p>
        </w:tc>
        <w:tc>
          <w:tcPr>
            <w:tcW w:w="1098" w:type="pct"/>
            <w:vAlign w:val="center"/>
          </w:tcPr>
          <w:p w:rsidR="0082462D" w:rsidRPr="00142780" w:rsidRDefault="0082462D" w:rsidP="00462022">
            <w:pPr>
              <w:pStyle w:val="PlainText"/>
              <w:tabs>
                <w:tab w:val="left" w:pos="426"/>
                <w:tab w:val="decimal" w:pos="851"/>
              </w:tabs>
              <w:rPr>
                <w:rFonts w:ascii="Times New Roman" w:hAnsi="Times New Roman" w:cs="Times New Roman"/>
                <w:sz w:val="22"/>
                <w:szCs w:val="22"/>
              </w:rPr>
            </w:pPr>
            <w:r w:rsidRPr="00142780">
              <w:rPr>
                <w:rFonts w:ascii="Times New Roman" w:hAnsi="Times New Roman" w:cs="Times New Roman"/>
                <w:sz w:val="22"/>
                <w:szCs w:val="22"/>
              </w:rPr>
              <w:t>4.039</w:t>
            </w:r>
          </w:p>
        </w:tc>
        <w:tc>
          <w:tcPr>
            <w:tcW w:w="1097" w:type="pct"/>
            <w:vAlign w:val="center"/>
          </w:tcPr>
          <w:p w:rsidR="0082462D" w:rsidRPr="00142780" w:rsidRDefault="0082462D" w:rsidP="00462022">
            <w:pPr>
              <w:pStyle w:val="PlainText"/>
              <w:tabs>
                <w:tab w:val="left" w:pos="426"/>
                <w:tab w:val="decimal" w:pos="851"/>
              </w:tabs>
              <w:rPr>
                <w:rFonts w:ascii="Times New Roman" w:hAnsi="Times New Roman" w:cs="Times New Roman"/>
                <w:sz w:val="22"/>
                <w:szCs w:val="22"/>
              </w:rPr>
            </w:pPr>
            <w:r w:rsidRPr="00142780">
              <w:rPr>
                <w:rFonts w:ascii="Times New Roman" w:hAnsi="Times New Roman" w:cs="Times New Roman"/>
                <w:sz w:val="22"/>
                <w:szCs w:val="22"/>
              </w:rPr>
              <w:t>1.584</w:t>
            </w:r>
          </w:p>
        </w:tc>
      </w:tr>
      <w:tr w:rsidR="0082462D" w:rsidRPr="00FC1A20" w:rsidTr="00462022">
        <w:tc>
          <w:tcPr>
            <w:tcW w:w="1707" w:type="pct"/>
            <w:vAlign w:val="center"/>
          </w:tcPr>
          <w:p w:rsidR="0082462D" w:rsidRPr="00142780" w:rsidRDefault="0082462D" w:rsidP="00462022">
            <w:pPr>
              <w:pStyle w:val="PlainText"/>
              <w:tabs>
                <w:tab w:val="left" w:pos="426"/>
              </w:tabs>
              <w:rPr>
                <w:rFonts w:ascii="Times New Roman" w:hAnsi="Times New Roman" w:cs="Times New Roman"/>
                <w:sz w:val="22"/>
                <w:szCs w:val="22"/>
              </w:rPr>
            </w:pPr>
          </w:p>
        </w:tc>
        <w:tc>
          <w:tcPr>
            <w:tcW w:w="1098" w:type="pct"/>
            <w:vAlign w:val="center"/>
          </w:tcPr>
          <w:p w:rsidR="0082462D" w:rsidRPr="00142780" w:rsidRDefault="0082462D" w:rsidP="00462022">
            <w:pPr>
              <w:pStyle w:val="PlainText"/>
              <w:tabs>
                <w:tab w:val="left" w:pos="426"/>
                <w:tab w:val="decimal" w:pos="851"/>
              </w:tabs>
              <w:rPr>
                <w:rFonts w:ascii="Times New Roman" w:hAnsi="Times New Roman" w:cs="Times New Roman"/>
                <w:sz w:val="22"/>
                <w:szCs w:val="22"/>
              </w:rPr>
            </w:pPr>
            <w:r w:rsidRPr="00142780">
              <w:rPr>
                <w:rFonts w:ascii="Times New Roman" w:hAnsi="Times New Roman" w:cs="Times New Roman"/>
                <w:sz w:val="22"/>
                <w:szCs w:val="22"/>
              </w:rPr>
              <w:t>(33.08)***</w:t>
            </w:r>
          </w:p>
        </w:tc>
        <w:tc>
          <w:tcPr>
            <w:tcW w:w="1098" w:type="pct"/>
            <w:vAlign w:val="center"/>
          </w:tcPr>
          <w:p w:rsidR="0082462D" w:rsidRPr="00142780" w:rsidRDefault="0082462D" w:rsidP="00462022">
            <w:pPr>
              <w:pStyle w:val="PlainText"/>
              <w:tabs>
                <w:tab w:val="left" w:pos="426"/>
                <w:tab w:val="decimal" w:pos="851"/>
              </w:tabs>
              <w:rPr>
                <w:rFonts w:ascii="Times New Roman" w:hAnsi="Times New Roman" w:cs="Times New Roman"/>
                <w:sz w:val="22"/>
                <w:szCs w:val="22"/>
              </w:rPr>
            </w:pPr>
            <w:r w:rsidRPr="00142780">
              <w:rPr>
                <w:rFonts w:ascii="Times New Roman" w:hAnsi="Times New Roman" w:cs="Times New Roman"/>
                <w:sz w:val="22"/>
                <w:szCs w:val="22"/>
              </w:rPr>
              <w:t>(11.04)***</w:t>
            </w:r>
          </w:p>
        </w:tc>
        <w:tc>
          <w:tcPr>
            <w:tcW w:w="1097" w:type="pct"/>
            <w:vAlign w:val="center"/>
          </w:tcPr>
          <w:p w:rsidR="0082462D" w:rsidRPr="00142780" w:rsidRDefault="0082462D" w:rsidP="00462022">
            <w:pPr>
              <w:pStyle w:val="PlainText"/>
              <w:tabs>
                <w:tab w:val="left" w:pos="426"/>
                <w:tab w:val="decimal" w:pos="851"/>
              </w:tabs>
              <w:rPr>
                <w:rFonts w:ascii="Times New Roman" w:hAnsi="Times New Roman" w:cs="Times New Roman"/>
                <w:sz w:val="22"/>
                <w:szCs w:val="22"/>
              </w:rPr>
            </w:pPr>
            <w:r w:rsidRPr="00142780">
              <w:rPr>
                <w:rFonts w:ascii="Times New Roman" w:hAnsi="Times New Roman" w:cs="Times New Roman"/>
                <w:sz w:val="22"/>
                <w:szCs w:val="22"/>
              </w:rPr>
              <w:t>(5.48)***</w:t>
            </w:r>
          </w:p>
        </w:tc>
      </w:tr>
      <w:tr w:rsidR="0082462D" w:rsidRPr="00FC1A20" w:rsidTr="00462022">
        <w:tc>
          <w:tcPr>
            <w:tcW w:w="1707" w:type="pct"/>
            <w:tcBorders>
              <w:bottom w:val="single" w:sz="4" w:space="0" w:color="auto"/>
            </w:tcBorders>
            <w:vAlign w:val="center"/>
          </w:tcPr>
          <w:p w:rsidR="0082462D" w:rsidRPr="00142780" w:rsidRDefault="0082462D" w:rsidP="00462022">
            <w:pPr>
              <w:pStyle w:val="PlainText"/>
              <w:tabs>
                <w:tab w:val="left" w:pos="426"/>
              </w:tabs>
              <w:rPr>
                <w:rFonts w:ascii="Times New Roman" w:hAnsi="Times New Roman" w:cs="Times New Roman"/>
                <w:sz w:val="22"/>
                <w:szCs w:val="22"/>
              </w:rPr>
            </w:pPr>
            <w:r w:rsidRPr="00142780">
              <w:rPr>
                <w:rFonts w:ascii="Times New Roman" w:hAnsi="Times New Roman" w:cs="Times New Roman"/>
                <w:sz w:val="22"/>
                <w:szCs w:val="22"/>
              </w:rPr>
              <w:t>R-squared</w:t>
            </w:r>
          </w:p>
        </w:tc>
        <w:tc>
          <w:tcPr>
            <w:tcW w:w="1098" w:type="pct"/>
            <w:tcBorders>
              <w:bottom w:val="single" w:sz="4" w:space="0" w:color="auto"/>
            </w:tcBorders>
            <w:vAlign w:val="center"/>
          </w:tcPr>
          <w:p w:rsidR="0082462D" w:rsidRPr="00142780" w:rsidRDefault="0082462D" w:rsidP="00462022">
            <w:pPr>
              <w:pStyle w:val="PlainText"/>
              <w:tabs>
                <w:tab w:val="left" w:pos="426"/>
                <w:tab w:val="decimal" w:pos="851"/>
              </w:tabs>
              <w:rPr>
                <w:rFonts w:ascii="Times New Roman" w:hAnsi="Times New Roman" w:cs="Times New Roman"/>
                <w:sz w:val="22"/>
                <w:szCs w:val="22"/>
              </w:rPr>
            </w:pPr>
            <w:r w:rsidRPr="00142780">
              <w:rPr>
                <w:rFonts w:ascii="Times New Roman" w:hAnsi="Times New Roman" w:cs="Times New Roman"/>
                <w:sz w:val="22"/>
                <w:szCs w:val="22"/>
              </w:rPr>
              <w:t>0.61</w:t>
            </w:r>
          </w:p>
        </w:tc>
        <w:tc>
          <w:tcPr>
            <w:tcW w:w="1098" w:type="pct"/>
            <w:tcBorders>
              <w:bottom w:val="single" w:sz="4" w:space="0" w:color="auto"/>
            </w:tcBorders>
            <w:vAlign w:val="center"/>
          </w:tcPr>
          <w:p w:rsidR="0082462D" w:rsidRPr="00142780" w:rsidRDefault="0082462D" w:rsidP="00462022">
            <w:pPr>
              <w:pStyle w:val="PlainText"/>
              <w:tabs>
                <w:tab w:val="left" w:pos="426"/>
                <w:tab w:val="decimal" w:pos="851"/>
              </w:tabs>
              <w:rPr>
                <w:rFonts w:ascii="Times New Roman" w:hAnsi="Times New Roman" w:cs="Times New Roman"/>
                <w:sz w:val="22"/>
                <w:szCs w:val="22"/>
              </w:rPr>
            </w:pPr>
            <w:r w:rsidRPr="00142780">
              <w:rPr>
                <w:rFonts w:ascii="Times New Roman" w:hAnsi="Times New Roman" w:cs="Times New Roman"/>
                <w:sz w:val="22"/>
                <w:szCs w:val="22"/>
              </w:rPr>
              <w:t>0.59</w:t>
            </w:r>
          </w:p>
        </w:tc>
        <w:tc>
          <w:tcPr>
            <w:tcW w:w="1097" w:type="pct"/>
            <w:tcBorders>
              <w:bottom w:val="single" w:sz="4" w:space="0" w:color="auto"/>
            </w:tcBorders>
            <w:vAlign w:val="center"/>
          </w:tcPr>
          <w:p w:rsidR="0082462D" w:rsidRPr="00142780" w:rsidRDefault="0082462D" w:rsidP="00462022">
            <w:pPr>
              <w:pStyle w:val="PlainText"/>
              <w:tabs>
                <w:tab w:val="left" w:pos="426"/>
                <w:tab w:val="decimal" w:pos="851"/>
              </w:tabs>
              <w:rPr>
                <w:rFonts w:ascii="Times New Roman" w:hAnsi="Times New Roman" w:cs="Times New Roman"/>
                <w:sz w:val="22"/>
                <w:szCs w:val="22"/>
              </w:rPr>
            </w:pPr>
            <w:r w:rsidRPr="00142780">
              <w:rPr>
                <w:rFonts w:ascii="Times New Roman" w:hAnsi="Times New Roman" w:cs="Times New Roman"/>
                <w:sz w:val="22"/>
                <w:szCs w:val="22"/>
              </w:rPr>
              <w:t>0.84</w:t>
            </w:r>
          </w:p>
        </w:tc>
      </w:tr>
    </w:tbl>
    <w:p w:rsidR="0082462D" w:rsidRPr="00FC1A20" w:rsidRDefault="0082462D" w:rsidP="006E2415">
      <w:pPr>
        <w:pStyle w:val="PlainText"/>
        <w:tabs>
          <w:tab w:val="left" w:pos="426"/>
        </w:tabs>
        <w:spacing w:before="60"/>
        <w:jc w:val="both"/>
        <w:rPr>
          <w:rFonts w:ascii="Times New Roman" w:hAnsi="Times New Roman" w:cs="Times New Roman"/>
          <w:sz w:val="20"/>
          <w:szCs w:val="24"/>
        </w:rPr>
      </w:pPr>
      <w:r>
        <w:rPr>
          <w:rFonts w:ascii="Times New Roman" w:hAnsi="Times New Roman" w:cs="Times New Roman"/>
          <w:i/>
          <w:sz w:val="20"/>
          <w:szCs w:val="24"/>
        </w:rPr>
        <w:t>Notes:</w:t>
      </w:r>
      <w:r>
        <w:rPr>
          <w:rFonts w:ascii="Times New Roman" w:hAnsi="Times New Roman" w:cs="Times New Roman"/>
          <w:sz w:val="20"/>
          <w:szCs w:val="24"/>
        </w:rPr>
        <w:t xml:space="preserve"> </w:t>
      </w:r>
      <w:r w:rsidRPr="00FC1A20">
        <w:rPr>
          <w:rFonts w:ascii="Times New Roman" w:hAnsi="Times New Roman" w:cs="Times New Roman"/>
          <w:sz w:val="20"/>
          <w:szCs w:val="24"/>
        </w:rPr>
        <w:t>Absolute value of t statistics in parentheses</w:t>
      </w:r>
      <w:r>
        <w:rPr>
          <w:rFonts w:ascii="Times New Roman" w:hAnsi="Times New Roman" w:cs="Times New Roman"/>
          <w:sz w:val="20"/>
          <w:szCs w:val="24"/>
        </w:rPr>
        <w:t xml:space="preserve">, </w:t>
      </w:r>
      <w:r w:rsidRPr="00FC1A20">
        <w:rPr>
          <w:rFonts w:ascii="Times New Roman" w:hAnsi="Times New Roman" w:cs="Times New Roman"/>
          <w:sz w:val="20"/>
          <w:szCs w:val="24"/>
        </w:rPr>
        <w:t>* significant at 10%; ** at 5%; *** at 1%</w:t>
      </w:r>
      <w:r>
        <w:rPr>
          <w:rFonts w:ascii="Times New Roman" w:hAnsi="Times New Roman" w:cs="Times New Roman"/>
          <w:sz w:val="20"/>
          <w:szCs w:val="24"/>
        </w:rPr>
        <w:t xml:space="preserve">. </w:t>
      </w:r>
      <w:r>
        <w:rPr>
          <w:rFonts w:ascii="Times New Roman" w:hAnsi="Times New Roman" w:cs="Times New Roman"/>
          <w:i/>
          <w:sz w:val="20"/>
          <w:szCs w:val="24"/>
        </w:rPr>
        <w:t>N</w:t>
      </w:r>
      <w:r>
        <w:rPr>
          <w:rFonts w:ascii="Times New Roman" w:hAnsi="Times New Roman" w:cs="Times New Roman"/>
          <w:sz w:val="20"/>
          <w:szCs w:val="24"/>
        </w:rPr>
        <w:t>=150.</w:t>
      </w:r>
      <w:r w:rsidR="006E2415">
        <w:rPr>
          <w:rFonts w:ascii="Times New Roman" w:hAnsi="Times New Roman" w:cs="Times New Roman"/>
          <w:sz w:val="20"/>
          <w:szCs w:val="24"/>
        </w:rPr>
        <w:t xml:space="preserve"> </w:t>
      </w:r>
      <w:r>
        <w:rPr>
          <w:rFonts w:ascii="Times New Roman" w:hAnsi="Times New Roman" w:cs="Times New Roman"/>
          <w:sz w:val="20"/>
          <w:szCs w:val="24"/>
        </w:rPr>
        <w:t xml:space="preserve">The omitted location is </w:t>
      </w:r>
      <w:proofErr w:type="spellStart"/>
      <w:r>
        <w:rPr>
          <w:rFonts w:ascii="Times New Roman" w:hAnsi="Times New Roman" w:cs="Times New Roman"/>
          <w:sz w:val="20"/>
          <w:szCs w:val="24"/>
        </w:rPr>
        <w:t>Changsa</w:t>
      </w:r>
      <w:proofErr w:type="spellEnd"/>
      <w:r>
        <w:rPr>
          <w:rFonts w:ascii="Times New Roman" w:hAnsi="Times New Roman" w:cs="Times New Roman"/>
          <w:sz w:val="20"/>
          <w:szCs w:val="24"/>
        </w:rPr>
        <w:t>.</w:t>
      </w:r>
    </w:p>
    <w:p w:rsidR="001009A7" w:rsidRDefault="001009A7" w:rsidP="00DF0191">
      <w:pPr>
        <w:tabs>
          <w:tab w:val="left" w:pos="426"/>
        </w:tabs>
        <w:spacing w:line="300" w:lineRule="auto"/>
        <w:ind w:firstLine="720"/>
        <w:jc w:val="both"/>
        <w:rPr>
          <w:rFonts w:eastAsia="Calibri"/>
          <w:szCs w:val="22"/>
          <w:lang w:val="en-NZ"/>
        </w:rPr>
      </w:pPr>
    </w:p>
    <w:p w:rsidR="001009A7" w:rsidRDefault="001009A7" w:rsidP="001009A7">
      <w:pPr>
        <w:tabs>
          <w:tab w:val="left" w:pos="426"/>
        </w:tabs>
        <w:spacing w:line="300" w:lineRule="auto"/>
        <w:jc w:val="both"/>
        <w:rPr>
          <w:rFonts w:eastAsia="Calibri"/>
          <w:szCs w:val="22"/>
          <w:lang w:val="en-NZ"/>
        </w:rPr>
      </w:pPr>
      <w:r>
        <w:rPr>
          <w:lang w:val="en-NZ"/>
        </w:rPr>
        <w:tab/>
        <w:t>T</w:t>
      </w:r>
      <w:r w:rsidRPr="008D4353">
        <w:rPr>
          <w:lang w:val="en-NZ"/>
        </w:rPr>
        <w:t xml:space="preserve">he dependent variable </w:t>
      </w:r>
      <w:r>
        <w:rPr>
          <w:lang w:val="en-NZ"/>
        </w:rPr>
        <w:t xml:space="preserve">is the </w:t>
      </w:r>
      <w:r w:rsidRPr="008D4353">
        <w:rPr>
          <w:lang w:val="en-NZ"/>
        </w:rPr>
        <w:t>logarithm</w:t>
      </w:r>
      <w:r>
        <w:rPr>
          <w:lang w:val="en-NZ"/>
        </w:rPr>
        <w:t xml:space="preserve"> of the price (in thousands of </w:t>
      </w:r>
      <w:proofErr w:type="spellStart"/>
      <w:r>
        <w:rPr>
          <w:lang w:val="en-NZ"/>
        </w:rPr>
        <w:t>yuan</w:t>
      </w:r>
      <w:proofErr w:type="spellEnd"/>
      <w:r>
        <w:rPr>
          <w:lang w:val="en-NZ"/>
        </w:rPr>
        <w:t>) per square metre, so t</w:t>
      </w:r>
      <w:r w:rsidRPr="008D4353">
        <w:rPr>
          <w:lang w:val="en-NZ"/>
        </w:rPr>
        <w:t>he r</w:t>
      </w:r>
      <w:r>
        <w:rPr>
          <w:lang w:val="en-NZ"/>
        </w:rPr>
        <w:t>elative difference</w:t>
      </w:r>
      <w:r w:rsidRPr="008D4353">
        <w:rPr>
          <w:lang w:val="en-NZ"/>
        </w:rPr>
        <w:t xml:space="preserve"> in </w:t>
      </w:r>
      <w:r>
        <w:rPr>
          <w:lang w:val="en-NZ"/>
        </w:rPr>
        <w:t xml:space="preserve">prices is not </w:t>
      </w:r>
      <w:r w:rsidRPr="008D4353">
        <w:rPr>
          <w:lang w:val="en-NZ"/>
        </w:rPr>
        <w:t xml:space="preserve">directly </w:t>
      </w:r>
      <w:r>
        <w:rPr>
          <w:lang w:val="en-NZ"/>
        </w:rPr>
        <w:t xml:space="preserve">shown by </w:t>
      </w:r>
      <w:r w:rsidRPr="008D4353">
        <w:rPr>
          <w:lang w:val="en-NZ"/>
        </w:rPr>
        <w:t>the regression coefficients on the dummy variables for each city</w:t>
      </w:r>
      <w:r>
        <w:rPr>
          <w:lang w:val="en-NZ"/>
        </w:rPr>
        <w:t>. Instead, the coefficients must</w:t>
      </w:r>
      <w:r w:rsidRPr="008D4353">
        <w:rPr>
          <w:lang w:val="en-NZ"/>
        </w:rPr>
        <w:t xml:space="preserve"> be transformed into percentage differences using:</w:t>
      </w:r>
      <w:r w:rsidRPr="00AC535F">
        <w:rPr>
          <w:rFonts w:eastAsia="Calibri"/>
          <w:szCs w:val="22"/>
          <w:lang w:val="en-NZ"/>
        </w:rPr>
        <w:t xml:space="preserve"> </w:t>
      </w:r>
      <w:r w:rsidRPr="00DD1161">
        <w:rPr>
          <w:rFonts w:eastAsia="Calibri"/>
          <w:position w:val="-10"/>
          <w:szCs w:val="22"/>
          <w:lang w:val="en-NZ"/>
        </w:rPr>
        <w:object w:dxaOrig="3700" w:dyaOrig="400">
          <v:shape id="_x0000_i1026" type="#_x0000_t75" style="width:185.15pt;height:20.55pt" o:ole="">
            <v:imagedata r:id="rId12" o:title=""/>
          </v:shape>
          <o:OLEObject Type="Embed" ProgID="Equation.3" ShapeID="_x0000_i1026" DrawAspect="Content" ObjectID="_1424786450" r:id="rId13"/>
        </w:object>
      </w:r>
      <w:r>
        <w:rPr>
          <w:rFonts w:eastAsia="Calibri"/>
          <w:szCs w:val="22"/>
          <w:lang w:val="en-NZ"/>
        </w:rPr>
        <w:t xml:space="preserve"> which shows that the price per square metre is 84 percent higher in Nanjing than in </w:t>
      </w:r>
      <w:proofErr w:type="gramStart"/>
      <w:r>
        <w:rPr>
          <w:rFonts w:eastAsia="Calibri"/>
          <w:szCs w:val="22"/>
          <w:lang w:val="en-NZ"/>
        </w:rPr>
        <w:t>Changsha,</w:t>
      </w:r>
      <w:proofErr w:type="gramEnd"/>
      <w:r>
        <w:rPr>
          <w:rFonts w:eastAsia="Calibri"/>
          <w:szCs w:val="22"/>
          <w:lang w:val="en-NZ"/>
        </w:rPr>
        <w:t xml:space="preserve"> and 256 percent higher in Beijing, without controlling for any attributes of the apartment (Column (1) of </w:t>
      </w:r>
      <w:r>
        <w:rPr>
          <w:rFonts w:eastAsia="Calibri"/>
          <w:szCs w:val="22"/>
          <w:lang w:val="en-NZ"/>
        </w:rPr>
        <w:lastRenderedPageBreak/>
        <w:t xml:space="preserve">Table 1). The results in column (2) use the attributes of each apartment but do not consider the location; despite having 15 characteristics that are potentially related to selling prices, these explain slightly less of the variation in prices than just using location dummy variables. </w:t>
      </w:r>
    </w:p>
    <w:p w:rsidR="0082462D" w:rsidRDefault="0082462D" w:rsidP="00DF0191">
      <w:pPr>
        <w:tabs>
          <w:tab w:val="left" w:pos="426"/>
        </w:tabs>
        <w:spacing w:line="300" w:lineRule="auto"/>
        <w:ind w:firstLine="720"/>
        <w:jc w:val="both"/>
        <w:rPr>
          <w:rFonts w:eastAsia="Calibri"/>
          <w:szCs w:val="22"/>
          <w:lang w:val="en-NZ"/>
        </w:rPr>
      </w:pPr>
    </w:p>
    <w:p w:rsidR="00AC535F" w:rsidRPr="00AC535F" w:rsidRDefault="00A572CE" w:rsidP="00DF0191">
      <w:pPr>
        <w:tabs>
          <w:tab w:val="left" w:pos="426"/>
        </w:tabs>
        <w:spacing w:line="300" w:lineRule="auto"/>
        <w:ind w:firstLine="720"/>
        <w:jc w:val="both"/>
        <w:rPr>
          <w:rFonts w:eastAsia="Calibri"/>
          <w:szCs w:val="22"/>
          <w:lang w:val="en-NZ"/>
        </w:rPr>
      </w:pPr>
      <w:r>
        <w:rPr>
          <w:rFonts w:eastAsia="Calibri"/>
          <w:szCs w:val="22"/>
          <w:lang w:val="en-NZ"/>
        </w:rPr>
        <w:t xml:space="preserve">When the location effects and characteristics are put together, the hedonic regression explains 84 percent of price variation and after controlling for all of the characteristics of the particular apartment and its complex, the relative price differences are </w:t>
      </w:r>
      <w:r w:rsidR="00262AEA">
        <w:rPr>
          <w:rFonts w:eastAsia="Calibri"/>
          <w:szCs w:val="22"/>
          <w:lang w:val="en-NZ"/>
        </w:rPr>
        <w:t>fairly</w:t>
      </w:r>
      <w:r w:rsidR="0024622F">
        <w:rPr>
          <w:rFonts w:eastAsia="Calibri"/>
          <w:szCs w:val="22"/>
          <w:lang w:val="en-NZ"/>
        </w:rPr>
        <w:t xml:space="preserve"> similar to what they</w:t>
      </w:r>
      <w:r>
        <w:rPr>
          <w:rFonts w:eastAsia="Calibri"/>
          <w:szCs w:val="22"/>
          <w:lang w:val="en-NZ"/>
        </w:rPr>
        <w:t xml:space="preserve"> were without the controls. Specifically, </w:t>
      </w:r>
      <w:r w:rsidR="008B123B">
        <w:rPr>
          <w:rFonts w:eastAsia="Calibri"/>
          <w:szCs w:val="22"/>
          <w:lang w:val="en-NZ"/>
        </w:rPr>
        <w:t xml:space="preserve">the (conditional) price per square metre is 105 percent higher in Nanjing than in </w:t>
      </w:r>
      <w:proofErr w:type="gramStart"/>
      <w:r w:rsidR="008B123B">
        <w:rPr>
          <w:rFonts w:eastAsia="Calibri"/>
          <w:szCs w:val="22"/>
          <w:lang w:val="en-NZ"/>
        </w:rPr>
        <w:t>Changs</w:t>
      </w:r>
      <w:r w:rsidR="00A0189F">
        <w:rPr>
          <w:rFonts w:eastAsia="Calibri"/>
          <w:szCs w:val="22"/>
          <w:lang w:val="en-NZ"/>
        </w:rPr>
        <w:t>h</w:t>
      </w:r>
      <w:r w:rsidR="008B123B">
        <w:rPr>
          <w:rFonts w:eastAsia="Calibri"/>
          <w:szCs w:val="22"/>
          <w:lang w:val="en-NZ"/>
        </w:rPr>
        <w:t>a,</w:t>
      </w:r>
      <w:proofErr w:type="gramEnd"/>
      <w:r w:rsidR="008B123B">
        <w:rPr>
          <w:rFonts w:eastAsia="Calibri"/>
          <w:szCs w:val="22"/>
          <w:lang w:val="en-NZ"/>
        </w:rPr>
        <w:t xml:space="preserve"> and 229 percent higher in Beijing. While the price premium is slightly smaller for Beijing than when using the raw data, it is somewhat larger for Nanjing and this reflects the fact that, at least for these three cities, there is no systematic quality gradient whereby apartments in cities with higher priced real estate have more desirable attributes of either the unit or the apartment complex. In the absence of the sort of apartment-specific data that we used in the regression, we proceed to use raw data on average selling prices for all cities and we treat the spatial variation in these raw prices as mainly reflecting the fixity of land supply rather than </w:t>
      </w:r>
      <w:r w:rsidR="00F25E61">
        <w:rPr>
          <w:rFonts w:eastAsia="Calibri"/>
          <w:szCs w:val="22"/>
          <w:lang w:val="en-NZ"/>
        </w:rPr>
        <w:t xml:space="preserve">systematic </w:t>
      </w:r>
      <w:r w:rsidR="008B123B">
        <w:rPr>
          <w:rFonts w:eastAsia="Calibri"/>
          <w:szCs w:val="22"/>
          <w:lang w:val="en-NZ"/>
        </w:rPr>
        <w:t>variation in quality.</w:t>
      </w:r>
    </w:p>
    <w:p w:rsidR="008B123B" w:rsidRDefault="008B123B" w:rsidP="00DF0191">
      <w:pPr>
        <w:tabs>
          <w:tab w:val="left" w:pos="426"/>
        </w:tabs>
        <w:spacing w:line="300" w:lineRule="auto"/>
        <w:rPr>
          <w:bCs/>
        </w:rPr>
      </w:pPr>
    </w:p>
    <w:p w:rsidR="008B123B" w:rsidRDefault="0082462D" w:rsidP="0082462D">
      <w:pPr>
        <w:pStyle w:val="ListParagraph"/>
        <w:tabs>
          <w:tab w:val="left" w:pos="426"/>
        </w:tabs>
        <w:spacing w:line="300" w:lineRule="auto"/>
        <w:ind w:left="0"/>
        <w:jc w:val="both"/>
        <w:rPr>
          <w:b/>
          <w:bCs/>
        </w:rPr>
      </w:pPr>
      <w:r>
        <w:rPr>
          <w:b/>
          <w:bCs/>
        </w:rPr>
        <w:t xml:space="preserve">5. </w:t>
      </w:r>
      <w:r>
        <w:rPr>
          <w:b/>
          <w:bCs/>
        </w:rPr>
        <w:tab/>
      </w:r>
      <w:r w:rsidR="008B123B">
        <w:rPr>
          <w:b/>
          <w:bCs/>
        </w:rPr>
        <w:t>HOUSING PRICE</w:t>
      </w:r>
      <w:r w:rsidR="0024622F">
        <w:rPr>
          <w:b/>
          <w:bCs/>
        </w:rPr>
        <w:t>S</w:t>
      </w:r>
      <w:r w:rsidR="008B123B">
        <w:rPr>
          <w:b/>
          <w:bCs/>
        </w:rPr>
        <w:t xml:space="preserve"> AND ESTIMATED DEFLATORS</w:t>
      </w:r>
    </w:p>
    <w:p w:rsidR="0082462D" w:rsidRPr="0082462D" w:rsidRDefault="0082462D" w:rsidP="0082462D">
      <w:pPr>
        <w:pStyle w:val="ListParagraph"/>
        <w:tabs>
          <w:tab w:val="left" w:pos="426"/>
        </w:tabs>
        <w:spacing w:line="300" w:lineRule="auto"/>
        <w:ind w:left="0"/>
        <w:jc w:val="both"/>
        <w:rPr>
          <w:b/>
          <w:bCs/>
          <w:sz w:val="12"/>
          <w:szCs w:val="12"/>
        </w:rPr>
      </w:pPr>
    </w:p>
    <w:p w:rsidR="008B123B" w:rsidRDefault="0067442A" w:rsidP="0082462D">
      <w:pPr>
        <w:tabs>
          <w:tab w:val="left" w:pos="426"/>
        </w:tabs>
        <w:spacing w:line="300" w:lineRule="auto"/>
        <w:jc w:val="both"/>
      </w:pPr>
      <w:r>
        <w:rPr>
          <w:bCs/>
        </w:rPr>
        <w:t xml:space="preserve">Since there is tentative evidence that apartment quality does not vary systematically between cities, we go ahead and use data from the China Real Estate Statistics Yearbook </w:t>
      </w:r>
      <w:r w:rsidR="00114F94">
        <w:rPr>
          <w:bCs/>
        </w:rPr>
        <w:t>(NBS 2011a)</w:t>
      </w:r>
      <w:r w:rsidR="00560DD2">
        <w:rPr>
          <w:bCs/>
        </w:rPr>
        <w:t>, China Statistical Yearbook for Regional Economy (NBS, 2011c)</w:t>
      </w:r>
      <w:r w:rsidR="00114F94">
        <w:rPr>
          <w:bCs/>
        </w:rPr>
        <w:t xml:space="preserve"> </w:t>
      </w:r>
      <w:r w:rsidR="006C657E">
        <w:rPr>
          <w:bCs/>
        </w:rPr>
        <w:t>and the China Urban Li</w:t>
      </w:r>
      <w:r w:rsidR="0011075E">
        <w:rPr>
          <w:bCs/>
        </w:rPr>
        <w:t>fe and Price Yearbook (NBS 2010</w:t>
      </w:r>
      <w:r w:rsidR="006C657E">
        <w:rPr>
          <w:bCs/>
        </w:rPr>
        <w:t xml:space="preserve">) </w:t>
      </w:r>
      <w:r>
        <w:rPr>
          <w:bCs/>
        </w:rPr>
        <w:t xml:space="preserve">on </w:t>
      </w:r>
      <w:r w:rsidR="005A0339">
        <w:rPr>
          <w:bCs/>
        </w:rPr>
        <w:t>the average selling price in 20</w:t>
      </w:r>
      <w:r w:rsidR="00114F94">
        <w:rPr>
          <w:bCs/>
        </w:rPr>
        <w:t xml:space="preserve">10 </w:t>
      </w:r>
      <w:r w:rsidR="00560DD2">
        <w:rPr>
          <w:bCs/>
        </w:rPr>
        <w:t xml:space="preserve">(provinces and urban prefectures) </w:t>
      </w:r>
      <w:r w:rsidR="00114F94">
        <w:rPr>
          <w:bCs/>
        </w:rPr>
        <w:t>and 2009</w:t>
      </w:r>
      <w:r w:rsidR="005A0339">
        <w:rPr>
          <w:bCs/>
        </w:rPr>
        <w:t xml:space="preserve"> </w:t>
      </w:r>
      <w:r w:rsidR="00560DD2">
        <w:rPr>
          <w:bCs/>
        </w:rPr>
        <w:t xml:space="preserve">(urban core districts) </w:t>
      </w:r>
      <w:r w:rsidR="005A0339">
        <w:rPr>
          <w:bCs/>
        </w:rPr>
        <w:t xml:space="preserve">of new residential dwellings. We note that these data are for the urban sector, and our expectation is that these prices vary over space most especially because of inter-city land price variation. For this reason we do not consider rural housing, since rural residential land use rights are not determined by market forces and also because the data available for rural households are just the construction costs (building materials) which we consider to be traded goods and therefore less likely to vary over space than do urban house prices. The distinction between the urban and rural housing sectors is clearly seen in the way that China’s statistical system reports the relevant data; </w:t>
      </w:r>
      <w:r w:rsidR="005A0339">
        <w:t>r</w:t>
      </w:r>
      <w:r w:rsidR="005A0339" w:rsidRPr="007E4D95">
        <w:t xml:space="preserve">ural household expenditure on new </w:t>
      </w:r>
      <w:r w:rsidR="005A0339">
        <w:t xml:space="preserve">dwelling </w:t>
      </w:r>
      <w:r w:rsidR="005A0339" w:rsidRPr="007E4D95">
        <w:t xml:space="preserve">construction is defined as consumption expenditure in </w:t>
      </w:r>
      <w:r w:rsidR="00936B86">
        <w:t xml:space="preserve">the </w:t>
      </w:r>
      <w:r w:rsidR="005A0339" w:rsidRPr="007E4D95">
        <w:t>China Rural Statistical Yearbook 2011</w:t>
      </w:r>
      <w:r w:rsidR="00114F94">
        <w:t xml:space="preserve"> (NBS 2011d) </w:t>
      </w:r>
      <w:r w:rsidR="005A0339" w:rsidRPr="007E4D95">
        <w:t xml:space="preserve">while urban household expenditure on house purchases are defined as a separate category apart from consumption expenditure in </w:t>
      </w:r>
      <w:r w:rsidR="00936B86">
        <w:t xml:space="preserve">the </w:t>
      </w:r>
      <w:r w:rsidR="005A0339" w:rsidRPr="007E4D95">
        <w:t>China Urban Life and Price Yearbook 2010</w:t>
      </w:r>
      <w:r w:rsidR="00114F94">
        <w:t xml:space="preserve"> (NBS 2010)</w:t>
      </w:r>
      <w:r w:rsidR="005A0339">
        <w:t>.</w:t>
      </w:r>
    </w:p>
    <w:p w:rsidR="0082462D" w:rsidRDefault="0082462D" w:rsidP="0082462D">
      <w:pPr>
        <w:tabs>
          <w:tab w:val="left" w:pos="426"/>
        </w:tabs>
        <w:spacing w:line="300" w:lineRule="auto"/>
        <w:jc w:val="both"/>
        <w:rPr>
          <w:bCs/>
        </w:rPr>
      </w:pPr>
    </w:p>
    <w:p w:rsidR="002B39E3" w:rsidRDefault="0082462D" w:rsidP="0082462D">
      <w:pPr>
        <w:tabs>
          <w:tab w:val="left" w:pos="426"/>
        </w:tabs>
        <w:spacing w:line="300" w:lineRule="auto"/>
        <w:jc w:val="both"/>
        <w:rPr>
          <w:bCs/>
        </w:rPr>
      </w:pPr>
      <w:r>
        <w:rPr>
          <w:bCs/>
        </w:rPr>
        <w:tab/>
      </w:r>
      <w:r w:rsidR="002B39E3">
        <w:rPr>
          <w:bCs/>
        </w:rPr>
        <w:t xml:space="preserve">The average prices for new urban housing in 2010 are displayed in Figure 1, at provincial scale. The highest prices are found in Beijing (17,150 </w:t>
      </w:r>
      <w:proofErr w:type="spellStart"/>
      <w:r w:rsidR="002B39E3">
        <w:rPr>
          <w:bCs/>
        </w:rPr>
        <w:t>yuan</w:t>
      </w:r>
      <w:proofErr w:type="spellEnd"/>
      <w:r w:rsidR="002B39E3">
        <w:rPr>
          <w:bCs/>
        </w:rPr>
        <w:t xml:space="preserve"> per square </w:t>
      </w:r>
      <w:proofErr w:type="spellStart"/>
      <w:r w:rsidR="002B39E3">
        <w:rPr>
          <w:bCs/>
        </w:rPr>
        <w:t>metre</w:t>
      </w:r>
      <w:proofErr w:type="spellEnd"/>
      <w:r w:rsidR="002B39E3">
        <w:rPr>
          <w:bCs/>
        </w:rPr>
        <w:t xml:space="preserve"> – hereafter </w:t>
      </w:r>
      <w:r w:rsidR="00600821">
        <w:rPr>
          <w:bCs/>
        </w:rPr>
        <w:t>‘</w:t>
      </w:r>
      <w:proofErr w:type="spellStart"/>
      <w:r w:rsidR="002B39E3">
        <w:rPr>
          <w:bCs/>
        </w:rPr>
        <w:t>ysm</w:t>
      </w:r>
      <w:proofErr w:type="spellEnd"/>
      <w:r w:rsidR="00600821">
        <w:rPr>
          <w:bCs/>
        </w:rPr>
        <w:t>’</w:t>
      </w:r>
      <w:r w:rsidR="002B39E3">
        <w:rPr>
          <w:bCs/>
        </w:rPr>
        <w:t xml:space="preserve">) and Shanghai (14,290 </w:t>
      </w:r>
      <w:proofErr w:type="spellStart"/>
      <w:r w:rsidR="002B39E3">
        <w:rPr>
          <w:bCs/>
        </w:rPr>
        <w:t>ysm</w:t>
      </w:r>
      <w:proofErr w:type="spellEnd"/>
      <w:r w:rsidR="002B39E3">
        <w:rPr>
          <w:bCs/>
        </w:rPr>
        <w:t xml:space="preserve">). The next highest </w:t>
      </w:r>
      <w:r w:rsidR="00050E8F">
        <w:rPr>
          <w:bCs/>
        </w:rPr>
        <w:t xml:space="preserve">category of </w:t>
      </w:r>
      <w:r w:rsidR="002B39E3">
        <w:rPr>
          <w:bCs/>
        </w:rPr>
        <w:t xml:space="preserve">prices </w:t>
      </w:r>
      <w:r w:rsidR="00050E8F">
        <w:rPr>
          <w:bCs/>
        </w:rPr>
        <w:t xml:space="preserve">(7,001 to 9,400 </w:t>
      </w:r>
      <w:proofErr w:type="spellStart"/>
      <w:r w:rsidR="00050E8F">
        <w:rPr>
          <w:bCs/>
        </w:rPr>
        <w:t>ysm</w:t>
      </w:r>
      <w:proofErr w:type="spellEnd"/>
      <w:r w:rsidR="00050E8F">
        <w:rPr>
          <w:bCs/>
        </w:rPr>
        <w:t xml:space="preserve">) are only one-half as high as those in Beijing, and are found in Tianjin, Zhejiang, Guangdong and Hainan. In general, the highest prices </w:t>
      </w:r>
      <w:r w:rsidR="002B39E3">
        <w:rPr>
          <w:bCs/>
        </w:rPr>
        <w:t xml:space="preserve">are found in a continuous belt of provinces along </w:t>
      </w:r>
      <w:r w:rsidR="002B39E3">
        <w:rPr>
          <w:bCs/>
        </w:rPr>
        <w:lastRenderedPageBreak/>
        <w:t xml:space="preserve">the coast between Jiangsu and Hainan, and in the Gulf of </w:t>
      </w:r>
      <w:proofErr w:type="spellStart"/>
      <w:r w:rsidR="002B39E3">
        <w:rPr>
          <w:bCs/>
        </w:rPr>
        <w:t>Bohai</w:t>
      </w:r>
      <w:proofErr w:type="spellEnd"/>
      <w:r w:rsidR="002B39E3">
        <w:rPr>
          <w:bCs/>
        </w:rPr>
        <w:t xml:space="preserve">. All of the remaining provinces fall into the lowest price category, </w:t>
      </w:r>
      <w:r w:rsidR="00050E8F">
        <w:rPr>
          <w:bCs/>
        </w:rPr>
        <w:t>which includes all interior provinces plus the coastal province of Shandong.</w:t>
      </w:r>
    </w:p>
    <w:p w:rsidR="0082462D" w:rsidRPr="008B123B" w:rsidRDefault="0082462D" w:rsidP="0082462D">
      <w:pPr>
        <w:tabs>
          <w:tab w:val="left" w:pos="426"/>
        </w:tabs>
        <w:spacing w:line="300" w:lineRule="auto"/>
        <w:jc w:val="both"/>
        <w:rPr>
          <w:bCs/>
        </w:rPr>
      </w:pPr>
    </w:p>
    <w:p w:rsidR="0082462D" w:rsidRPr="0082462D" w:rsidRDefault="0082462D" w:rsidP="001009A7">
      <w:pPr>
        <w:tabs>
          <w:tab w:val="left" w:pos="426"/>
        </w:tabs>
        <w:jc w:val="center"/>
        <w:rPr>
          <w:b/>
          <w:sz w:val="22"/>
          <w:szCs w:val="22"/>
        </w:rPr>
      </w:pPr>
      <w:proofErr w:type="gramStart"/>
      <w:r>
        <w:rPr>
          <w:b/>
          <w:sz w:val="22"/>
          <w:szCs w:val="22"/>
        </w:rPr>
        <w:t>Figure 1.</w:t>
      </w:r>
      <w:proofErr w:type="gramEnd"/>
      <w:r>
        <w:rPr>
          <w:b/>
          <w:sz w:val="22"/>
          <w:szCs w:val="22"/>
        </w:rPr>
        <w:t xml:space="preserve">  </w:t>
      </w:r>
      <w:r w:rsidRPr="0082462D">
        <w:rPr>
          <w:b/>
          <w:sz w:val="22"/>
          <w:szCs w:val="22"/>
        </w:rPr>
        <w:t>Provincial Average Prices for New Urban Housing, 2010</w:t>
      </w:r>
    </w:p>
    <w:p w:rsidR="0082462D" w:rsidRDefault="0082462D" w:rsidP="0082462D">
      <w:pPr>
        <w:tabs>
          <w:tab w:val="left" w:pos="426"/>
        </w:tabs>
        <w:spacing w:line="300" w:lineRule="auto"/>
      </w:pPr>
      <w:r>
        <w:rPr>
          <w:noProof/>
          <w:lang w:val="en-NZ" w:eastAsia="en-NZ"/>
        </w:rPr>
        <w:drawing>
          <wp:inline distT="0" distB="0" distL="0" distR="0">
            <wp:extent cx="5943600" cy="4201795"/>
            <wp:effectExtent l="19050" t="0" r="0" b="0"/>
            <wp:docPr id="3" name="Picture 1" descr="HousePricesV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usePricesV3.jpg"/>
                    <pic:cNvPicPr/>
                  </pic:nvPicPr>
                  <pic:blipFill>
                    <a:blip r:embed="rId14" cstate="print"/>
                    <a:stretch>
                      <a:fillRect/>
                    </a:stretch>
                  </pic:blipFill>
                  <pic:spPr>
                    <a:xfrm>
                      <a:off x="0" y="0"/>
                      <a:ext cx="5943600" cy="4201795"/>
                    </a:xfrm>
                    <a:prstGeom prst="rect">
                      <a:avLst/>
                    </a:prstGeom>
                  </pic:spPr>
                </pic:pic>
              </a:graphicData>
            </a:graphic>
          </wp:inline>
        </w:drawing>
      </w:r>
    </w:p>
    <w:p w:rsidR="0082462D" w:rsidRDefault="0082462D" w:rsidP="00DF0191">
      <w:pPr>
        <w:tabs>
          <w:tab w:val="left" w:pos="426"/>
        </w:tabs>
        <w:spacing w:line="300" w:lineRule="auto"/>
        <w:jc w:val="center"/>
        <w:rPr>
          <w:bCs/>
        </w:rPr>
      </w:pPr>
    </w:p>
    <w:p w:rsidR="00501824" w:rsidRDefault="00681EA4" w:rsidP="00DF0191">
      <w:pPr>
        <w:tabs>
          <w:tab w:val="left" w:pos="426"/>
        </w:tabs>
        <w:spacing w:line="300" w:lineRule="auto"/>
        <w:jc w:val="both"/>
        <w:rPr>
          <w:bCs/>
        </w:rPr>
      </w:pPr>
      <w:r>
        <w:rPr>
          <w:bCs/>
        </w:rPr>
        <w:tab/>
      </w:r>
      <w:r w:rsidR="00906C77">
        <w:rPr>
          <w:bCs/>
        </w:rPr>
        <w:t>There is considerable heterogeneity within provinces in China, since many of them are as large and as populous as independent countries. So Figure 2 provides a finer-scale view of urban house prices, re</w:t>
      </w:r>
      <w:r w:rsidR="00AA6853">
        <w:rPr>
          <w:bCs/>
        </w:rPr>
        <w:t>porting the average value in 20</w:t>
      </w:r>
      <w:r w:rsidR="00906C77">
        <w:rPr>
          <w:bCs/>
        </w:rPr>
        <w:t>0</w:t>
      </w:r>
      <w:r w:rsidR="00AA6853">
        <w:rPr>
          <w:bCs/>
        </w:rPr>
        <w:t>9</w:t>
      </w:r>
      <w:r w:rsidR="00906C77">
        <w:rPr>
          <w:bCs/>
        </w:rPr>
        <w:t xml:space="preserve"> for each of 288 core urban districts. These core districts lie within prefecture-level and sub-provincial cities, but are more consistently urban than the full area of the prefecture, which often includes rural counties. </w:t>
      </w:r>
      <w:r>
        <w:rPr>
          <w:bCs/>
        </w:rPr>
        <w:t>In order to concentrate on the part of China where most core urban districts are located, t</w:t>
      </w:r>
      <w:r w:rsidR="00306151">
        <w:rPr>
          <w:bCs/>
        </w:rPr>
        <w:t>he map truncates Xinjian</w:t>
      </w:r>
      <w:r w:rsidR="006C657E">
        <w:rPr>
          <w:bCs/>
        </w:rPr>
        <w:t>g</w:t>
      </w:r>
      <w:r w:rsidR="00306151">
        <w:rPr>
          <w:bCs/>
        </w:rPr>
        <w:t>, Tibet and Qinghai in western China</w:t>
      </w:r>
      <w:r>
        <w:rPr>
          <w:bCs/>
        </w:rPr>
        <w:t xml:space="preserve">; this region contains </w:t>
      </w:r>
      <w:r w:rsidR="00306151">
        <w:rPr>
          <w:bCs/>
        </w:rPr>
        <w:t xml:space="preserve">only two urban districts </w:t>
      </w:r>
      <w:r>
        <w:rPr>
          <w:bCs/>
        </w:rPr>
        <w:t xml:space="preserve">-- </w:t>
      </w:r>
      <w:proofErr w:type="spellStart"/>
      <w:r w:rsidR="00306151">
        <w:rPr>
          <w:bCs/>
        </w:rPr>
        <w:t>Karamay</w:t>
      </w:r>
      <w:proofErr w:type="spellEnd"/>
      <w:r w:rsidR="00306151">
        <w:rPr>
          <w:bCs/>
        </w:rPr>
        <w:t xml:space="preserve"> and Urumqi (both in Xinjiang)</w:t>
      </w:r>
      <w:r>
        <w:rPr>
          <w:bCs/>
        </w:rPr>
        <w:t xml:space="preserve">. </w:t>
      </w:r>
      <w:r w:rsidR="0056755C">
        <w:rPr>
          <w:bCs/>
        </w:rPr>
        <w:t xml:space="preserve">It is apparent that there are a number of cities in interior provinces, such as Chengdu, Harbin, </w:t>
      </w:r>
      <w:proofErr w:type="spellStart"/>
      <w:r w:rsidR="0056755C">
        <w:rPr>
          <w:bCs/>
        </w:rPr>
        <w:t>Ji’nan</w:t>
      </w:r>
      <w:proofErr w:type="spellEnd"/>
      <w:r w:rsidR="0056755C">
        <w:rPr>
          <w:bCs/>
        </w:rPr>
        <w:t>, Taiyuan, and Wuhan that have much higher prices than is revealed by a pro</w:t>
      </w:r>
      <w:r w:rsidR="00210014">
        <w:rPr>
          <w:bCs/>
        </w:rPr>
        <w:t xml:space="preserve">vincial average, and </w:t>
      </w:r>
      <w:proofErr w:type="spellStart"/>
      <w:r w:rsidR="00210014">
        <w:rPr>
          <w:bCs/>
        </w:rPr>
        <w:t>Pu’er</w:t>
      </w:r>
      <w:proofErr w:type="spellEnd"/>
      <w:r w:rsidR="00210014">
        <w:rPr>
          <w:bCs/>
        </w:rPr>
        <w:t xml:space="preserve"> in Yu</w:t>
      </w:r>
      <w:r w:rsidR="0056755C">
        <w:rPr>
          <w:bCs/>
        </w:rPr>
        <w:t xml:space="preserve">nnan even falls into the highest price category that is shared by cities such as </w:t>
      </w:r>
      <w:r w:rsidR="00F25E61">
        <w:rPr>
          <w:bCs/>
        </w:rPr>
        <w:t xml:space="preserve">Guangzhou, </w:t>
      </w:r>
      <w:r w:rsidR="0056755C">
        <w:rPr>
          <w:bCs/>
        </w:rPr>
        <w:t>Hangzhou and Shenz</w:t>
      </w:r>
      <w:r w:rsidR="00210014">
        <w:rPr>
          <w:bCs/>
        </w:rPr>
        <w:t>h</w:t>
      </w:r>
      <w:r w:rsidR="0056755C">
        <w:rPr>
          <w:bCs/>
        </w:rPr>
        <w:t xml:space="preserve">en, in addition to Beijing and Shanghai. Conversely it is also apparent that there are cities in the coastal provinces which </w:t>
      </w:r>
      <w:r w:rsidR="00501824">
        <w:rPr>
          <w:bCs/>
        </w:rPr>
        <w:t>have much lower prices than some cities in the interior. Consequently the variation in the cost-of-living will be more accurately portrayed at sub-provincial levels.</w:t>
      </w:r>
    </w:p>
    <w:p w:rsidR="0082462D" w:rsidRPr="0082462D" w:rsidRDefault="0082462D" w:rsidP="0082462D">
      <w:pPr>
        <w:tabs>
          <w:tab w:val="left" w:pos="426"/>
        </w:tabs>
        <w:spacing w:line="300" w:lineRule="auto"/>
        <w:jc w:val="center"/>
        <w:rPr>
          <w:b/>
          <w:sz w:val="22"/>
          <w:szCs w:val="22"/>
        </w:rPr>
      </w:pPr>
      <w:r w:rsidRPr="0082462D">
        <w:rPr>
          <w:b/>
          <w:sz w:val="22"/>
          <w:szCs w:val="22"/>
        </w:rPr>
        <w:lastRenderedPageBreak/>
        <w:t>Figure 2: Average Prices for New Housing in Urban Core Districts, 2009</w:t>
      </w:r>
    </w:p>
    <w:p w:rsidR="0082462D" w:rsidRDefault="0082462D" w:rsidP="0082462D">
      <w:pPr>
        <w:tabs>
          <w:tab w:val="left" w:pos="426"/>
        </w:tabs>
        <w:spacing w:line="300" w:lineRule="auto"/>
      </w:pPr>
      <w:r w:rsidRPr="00210014">
        <w:rPr>
          <w:noProof/>
          <w:lang w:val="en-NZ" w:eastAsia="en-NZ"/>
        </w:rPr>
        <w:drawing>
          <wp:inline distT="0" distB="0" distL="0" distR="0">
            <wp:extent cx="5731510" cy="6518910"/>
            <wp:effectExtent l="0" t="0" r="254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trict house price figure A+++A.jpeg"/>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731510" cy="6518910"/>
                    </a:xfrm>
                    <a:prstGeom prst="rect">
                      <a:avLst/>
                    </a:prstGeom>
                  </pic:spPr>
                </pic:pic>
              </a:graphicData>
            </a:graphic>
          </wp:inline>
        </w:drawing>
      </w:r>
    </w:p>
    <w:p w:rsidR="002E79FE" w:rsidRDefault="0082462D" w:rsidP="0082462D">
      <w:pPr>
        <w:tabs>
          <w:tab w:val="left" w:pos="426"/>
        </w:tabs>
        <w:spacing w:line="300" w:lineRule="auto"/>
        <w:jc w:val="both"/>
        <w:rPr>
          <w:bCs/>
        </w:rPr>
      </w:pPr>
      <w:r>
        <w:rPr>
          <w:bCs/>
        </w:rPr>
        <w:tab/>
      </w:r>
    </w:p>
    <w:p w:rsidR="002E79FE" w:rsidRDefault="002E79FE" w:rsidP="0082462D">
      <w:pPr>
        <w:tabs>
          <w:tab w:val="left" w:pos="426"/>
        </w:tabs>
        <w:spacing w:line="300" w:lineRule="auto"/>
        <w:jc w:val="both"/>
        <w:rPr>
          <w:bCs/>
        </w:rPr>
      </w:pPr>
    </w:p>
    <w:p w:rsidR="00501824" w:rsidRPr="00501824" w:rsidRDefault="002E79FE" w:rsidP="0082462D">
      <w:pPr>
        <w:tabs>
          <w:tab w:val="left" w:pos="426"/>
        </w:tabs>
        <w:spacing w:line="300" w:lineRule="auto"/>
        <w:jc w:val="both"/>
        <w:rPr>
          <w:bCs/>
        </w:rPr>
      </w:pPr>
      <w:r>
        <w:rPr>
          <w:bCs/>
        </w:rPr>
        <w:tab/>
      </w:r>
      <w:r w:rsidR="00501824">
        <w:rPr>
          <w:bCs/>
        </w:rPr>
        <w:t xml:space="preserve">In order to measure cost-of-living differences over space, we </w:t>
      </w:r>
      <w:r w:rsidR="00501824">
        <w:t xml:space="preserve">calculate a </w:t>
      </w:r>
      <w:proofErr w:type="spellStart"/>
      <w:r w:rsidR="00501824" w:rsidRPr="00517E26">
        <w:t>Törnqvist</w:t>
      </w:r>
      <w:proofErr w:type="spellEnd"/>
      <w:r w:rsidR="00501824" w:rsidRPr="00517E26">
        <w:t xml:space="preserve"> </w:t>
      </w:r>
      <w:r w:rsidR="00501824">
        <w:t>price index for each province (and also</w:t>
      </w:r>
      <w:r w:rsidR="00EC1125">
        <w:t xml:space="preserve"> for</w:t>
      </w:r>
      <w:r w:rsidR="00501824">
        <w:t xml:space="preserve"> each </w:t>
      </w:r>
      <w:r w:rsidR="00EC1125">
        <w:t xml:space="preserve">urban prefecture and </w:t>
      </w:r>
      <w:r w:rsidR="00501824">
        <w:t>urban core district):</w:t>
      </w:r>
    </w:p>
    <w:p w:rsidR="00501824" w:rsidRPr="001E7A52" w:rsidRDefault="00501824" w:rsidP="00DF0191">
      <w:pPr>
        <w:tabs>
          <w:tab w:val="left" w:pos="426"/>
        </w:tabs>
        <w:spacing w:line="300" w:lineRule="auto"/>
        <w:rPr>
          <w:sz w:val="12"/>
          <w:szCs w:val="12"/>
        </w:rPr>
      </w:pPr>
    </w:p>
    <w:p w:rsidR="00501824" w:rsidRPr="00080DB1" w:rsidRDefault="00462022" w:rsidP="00462022">
      <w:pPr>
        <w:tabs>
          <w:tab w:val="left" w:pos="2977"/>
          <w:tab w:val="right" w:pos="8931"/>
        </w:tabs>
        <w:spacing w:line="300" w:lineRule="auto"/>
        <w:jc w:val="both"/>
        <w:rPr>
          <w:rFonts w:ascii="Calibri" w:eastAsia="Calibri" w:hAnsi="Calibri"/>
          <w:sz w:val="22"/>
          <w:szCs w:val="22"/>
          <w:lang w:val="en-NZ"/>
        </w:rPr>
      </w:pPr>
      <w:r>
        <w:rPr>
          <w:rFonts w:ascii="Calibri" w:eastAsia="Calibri" w:hAnsi="Calibri"/>
          <w:sz w:val="22"/>
          <w:szCs w:val="22"/>
          <w:lang w:val="en-NZ"/>
        </w:rPr>
        <w:tab/>
      </w:r>
      <w:r w:rsidR="00501824" w:rsidRPr="0079139B">
        <w:rPr>
          <w:rFonts w:ascii="Calibri" w:eastAsia="Calibri" w:hAnsi="Calibri"/>
          <w:position w:val="-40"/>
          <w:sz w:val="22"/>
          <w:szCs w:val="22"/>
          <w:lang w:val="en-NZ"/>
        </w:rPr>
        <w:object w:dxaOrig="3080" w:dyaOrig="920">
          <v:shape id="_x0000_i1027" type="#_x0000_t75" style="width:138.85pt;height:41.15pt" o:ole="" fillcolor="window">
            <v:imagedata r:id="rId16" o:title=""/>
          </v:shape>
          <o:OLEObject Type="Embed" ProgID="Equation.3" ShapeID="_x0000_i1027" DrawAspect="Content" ObjectID="_1424786451" r:id="rId17"/>
        </w:object>
      </w:r>
      <w:r>
        <w:rPr>
          <w:rFonts w:ascii="Calibri" w:eastAsia="Calibri" w:hAnsi="Calibri"/>
          <w:sz w:val="22"/>
          <w:szCs w:val="22"/>
          <w:lang w:val="en-NZ"/>
        </w:rPr>
        <w:t xml:space="preserve"> </w:t>
      </w:r>
      <w:r>
        <w:rPr>
          <w:rFonts w:ascii="Calibri" w:eastAsia="Calibri" w:hAnsi="Calibri"/>
          <w:sz w:val="22"/>
          <w:szCs w:val="22"/>
          <w:lang w:val="en-NZ"/>
        </w:rPr>
        <w:tab/>
      </w:r>
      <w:r w:rsidRPr="00D07DA3">
        <w:rPr>
          <w:rFonts w:eastAsia="Calibri"/>
          <w:sz w:val="22"/>
          <w:szCs w:val="22"/>
          <w:lang w:val="en-NZ"/>
        </w:rPr>
        <w:t>(</w:t>
      </w:r>
      <w:r w:rsidR="00D07DA3" w:rsidRPr="00D07DA3">
        <w:rPr>
          <w:rFonts w:eastAsia="Calibri"/>
          <w:sz w:val="22"/>
          <w:szCs w:val="22"/>
          <w:lang w:val="en-NZ"/>
        </w:rPr>
        <w:t>2</w:t>
      </w:r>
      <w:r w:rsidRPr="00D07DA3">
        <w:rPr>
          <w:rFonts w:eastAsia="Calibri"/>
          <w:sz w:val="22"/>
          <w:szCs w:val="22"/>
          <w:lang w:val="en-NZ"/>
        </w:rPr>
        <w:t>)</w:t>
      </w:r>
    </w:p>
    <w:p w:rsidR="00501824" w:rsidRPr="001E7A52" w:rsidRDefault="00501824" w:rsidP="00DF0191">
      <w:pPr>
        <w:widowControl w:val="0"/>
        <w:tabs>
          <w:tab w:val="left" w:pos="426"/>
        </w:tabs>
        <w:spacing w:line="300" w:lineRule="auto"/>
        <w:jc w:val="both"/>
        <w:rPr>
          <w:rFonts w:eastAsia="Calibri"/>
          <w:sz w:val="12"/>
          <w:szCs w:val="12"/>
          <w:lang w:val="en-NZ"/>
        </w:rPr>
      </w:pPr>
    </w:p>
    <w:p w:rsidR="00EC1125" w:rsidRDefault="00501824" w:rsidP="00DF0191">
      <w:pPr>
        <w:tabs>
          <w:tab w:val="left" w:pos="426"/>
        </w:tabs>
        <w:spacing w:line="300" w:lineRule="auto"/>
        <w:jc w:val="both"/>
        <w:rPr>
          <w:rFonts w:eastAsia="Calibri"/>
          <w:lang w:val="en-NZ"/>
        </w:rPr>
      </w:pPr>
      <w:r w:rsidRPr="001F4C00">
        <w:rPr>
          <w:rFonts w:eastAsia="Calibri"/>
          <w:lang w:val="en-NZ"/>
        </w:rPr>
        <w:t xml:space="preserve">where </w:t>
      </w:r>
      <w:proofErr w:type="spellStart"/>
      <w:r w:rsidRPr="001F4C00">
        <w:rPr>
          <w:rFonts w:eastAsia="Calibri"/>
          <w:i/>
          <w:lang w:val="en-NZ"/>
        </w:rPr>
        <w:t>s</w:t>
      </w:r>
      <w:r w:rsidRPr="001F4C00">
        <w:rPr>
          <w:rFonts w:eastAsia="Calibri"/>
          <w:i/>
          <w:vertAlign w:val="subscript"/>
          <w:lang w:val="en-NZ"/>
        </w:rPr>
        <w:t>ij</w:t>
      </w:r>
      <w:proofErr w:type="spellEnd"/>
      <w:r w:rsidRPr="001F4C00">
        <w:rPr>
          <w:rFonts w:eastAsia="Calibri"/>
          <w:lang w:val="en-NZ"/>
        </w:rPr>
        <w:t xml:space="preserve"> is the average share that item </w:t>
      </w:r>
      <w:r w:rsidRPr="001F4C00">
        <w:rPr>
          <w:rFonts w:eastAsia="Calibri"/>
          <w:i/>
          <w:lang w:val="en-NZ"/>
        </w:rPr>
        <w:t>j</w:t>
      </w:r>
      <w:r w:rsidRPr="001F4C00">
        <w:rPr>
          <w:rFonts w:eastAsia="Calibri"/>
          <w:lang w:val="en-NZ"/>
        </w:rPr>
        <w:t xml:space="preserve"> has in consumption in region </w:t>
      </w:r>
      <w:proofErr w:type="spellStart"/>
      <w:r w:rsidRPr="001F4C00">
        <w:rPr>
          <w:rFonts w:eastAsia="Calibri"/>
          <w:i/>
          <w:lang w:val="en-NZ"/>
        </w:rPr>
        <w:t>i</w:t>
      </w:r>
      <w:proofErr w:type="spellEnd"/>
      <w:r w:rsidRPr="001F4C00">
        <w:rPr>
          <w:rFonts w:eastAsia="Calibri"/>
          <w:lang w:val="en-NZ"/>
        </w:rPr>
        <w:t xml:space="preserve">, and </w:t>
      </w:r>
      <w:proofErr w:type="spellStart"/>
      <w:r w:rsidRPr="001F4C00">
        <w:rPr>
          <w:rFonts w:eastAsia="Calibri"/>
          <w:i/>
          <w:lang w:val="en-NZ"/>
        </w:rPr>
        <w:t>s</w:t>
      </w:r>
      <w:r w:rsidRPr="001F4C00">
        <w:rPr>
          <w:rFonts w:eastAsia="Calibri"/>
          <w:i/>
          <w:vertAlign w:val="subscript"/>
          <w:lang w:val="en-NZ"/>
        </w:rPr>
        <w:t>k</w:t>
      </w:r>
      <w:r>
        <w:rPr>
          <w:rFonts w:eastAsia="Calibri"/>
          <w:i/>
          <w:vertAlign w:val="subscript"/>
          <w:lang w:val="en-NZ"/>
        </w:rPr>
        <w:t>j</w:t>
      </w:r>
      <w:proofErr w:type="spellEnd"/>
      <w:r w:rsidRPr="001F4C00">
        <w:rPr>
          <w:rFonts w:eastAsia="Calibri"/>
          <w:lang w:val="en-NZ"/>
        </w:rPr>
        <w:t xml:space="preserve"> is the average budget share in region </w:t>
      </w:r>
      <w:r w:rsidRPr="001F4C00">
        <w:rPr>
          <w:rFonts w:eastAsia="Calibri"/>
          <w:i/>
          <w:lang w:val="en-NZ"/>
        </w:rPr>
        <w:t>k</w:t>
      </w:r>
      <w:r w:rsidRPr="001F4C00">
        <w:rPr>
          <w:rFonts w:eastAsia="Calibri"/>
          <w:lang w:val="en-NZ"/>
        </w:rPr>
        <w:t xml:space="preserve">, which is the base region, while </w:t>
      </w:r>
      <w:proofErr w:type="spellStart"/>
      <w:r w:rsidRPr="001F4C00">
        <w:rPr>
          <w:rFonts w:eastAsia="Calibri"/>
          <w:i/>
          <w:lang w:val="en-NZ"/>
        </w:rPr>
        <w:t>P</w:t>
      </w:r>
      <w:r w:rsidRPr="001F4C00">
        <w:rPr>
          <w:rFonts w:eastAsia="Calibri"/>
          <w:i/>
          <w:vertAlign w:val="subscript"/>
          <w:lang w:val="en-NZ"/>
        </w:rPr>
        <w:t>ij</w:t>
      </w:r>
      <w:proofErr w:type="spellEnd"/>
      <w:r w:rsidRPr="001F4C00">
        <w:rPr>
          <w:rFonts w:eastAsia="Calibri"/>
          <w:lang w:val="en-NZ"/>
        </w:rPr>
        <w:t xml:space="preserve"> and </w:t>
      </w:r>
      <w:proofErr w:type="spellStart"/>
      <w:r w:rsidRPr="001F4C00">
        <w:rPr>
          <w:rFonts w:eastAsia="Calibri"/>
          <w:i/>
          <w:lang w:val="en-NZ"/>
        </w:rPr>
        <w:t>P</w:t>
      </w:r>
      <w:r w:rsidRPr="001F4C00">
        <w:rPr>
          <w:rFonts w:eastAsia="Calibri"/>
          <w:i/>
          <w:vertAlign w:val="subscript"/>
          <w:lang w:val="en-NZ"/>
        </w:rPr>
        <w:t>kj</w:t>
      </w:r>
      <w:proofErr w:type="spellEnd"/>
      <w:r w:rsidRPr="001F4C00">
        <w:rPr>
          <w:rFonts w:eastAsia="Calibri"/>
          <w:lang w:val="en-NZ"/>
        </w:rPr>
        <w:t xml:space="preserve"> are the prices of item </w:t>
      </w:r>
      <w:r w:rsidRPr="001F4C00">
        <w:rPr>
          <w:rFonts w:eastAsia="Calibri"/>
          <w:i/>
          <w:lang w:val="en-NZ"/>
        </w:rPr>
        <w:t>j</w:t>
      </w:r>
      <w:r w:rsidRPr="001F4C00">
        <w:rPr>
          <w:rFonts w:eastAsia="Calibri"/>
          <w:lang w:val="en-NZ"/>
        </w:rPr>
        <w:t xml:space="preserve"> in </w:t>
      </w:r>
      <w:r w:rsidRPr="001F4C00">
        <w:rPr>
          <w:rFonts w:eastAsia="Calibri"/>
          <w:lang w:val="en-NZ"/>
        </w:rPr>
        <w:lastRenderedPageBreak/>
        <w:t xml:space="preserve">region </w:t>
      </w:r>
      <w:proofErr w:type="spellStart"/>
      <w:r w:rsidRPr="001F4C00">
        <w:rPr>
          <w:rFonts w:eastAsia="Calibri"/>
          <w:i/>
          <w:lang w:val="en-NZ"/>
        </w:rPr>
        <w:t>i</w:t>
      </w:r>
      <w:proofErr w:type="spellEnd"/>
      <w:r w:rsidRPr="001F4C00">
        <w:rPr>
          <w:rFonts w:eastAsia="Calibri"/>
          <w:i/>
          <w:lang w:val="en-NZ"/>
        </w:rPr>
        <w:t xml:space="preserve"> </w:t>
      </w:r>
      <w:r w:rsidRPr="001F4C00">
        <w:rPr>
          <w:rFonts w:eastAsia="Calibri"/>
          <w:lang w:val="en-NZ"/>
        </w:rPr>
        <w:t xml:space="preserve">and in the base region. The </w:t>
      </w:r>
      <w:proofErr w:type="spellStart"/>
      <w:r w:rsidRPr="00517E26">
        <w:t>Törnqvist</w:t>
      </w:r>
      <w:proofErr w:type="spellEnd"/>
      <w:r w:rsidRPr="001F4C00">
        <w:rPr>
          <w:rFonts w:eastAsia="Calibri"/>
          <w:lang w:val="en-NZ"/>
        </w:rPr>
        <w:t xml:space="preserve"> </w:t>
      </w:r>
      <w:r>
        <w:rPr>
          <w:rFonts w:eastAsia="Calibri"/>
          <w:lang w:val="en-NZ"/>
        </w:rPr>
        <w:t xml:space="preserve">index uses the </w:t>
      </w:r>
      <w:r w:rsidRPr="001F4C00">
        <w:rPr>
          <w:rFonts w:eastAsia="Calibri"/>
          <w:lang w:val="en-NZ"/>
        </w:rPr>
        <w:t xml:space="preserve">arithmetic average of the budget shares in the base region and in region </w:t>
      </w:r>
      <w:proofErr w:type="spellStart"/>
      <w:r w:rsidRPr="001F4C00">
        <w:rPr>
          <w:rFonts w:eastAsia="Calibri"/>
          <w:i/>
          <w:lang w:val="en-NZ"/>
        </w:rPr>
        <w:t>i</w:t>
      </w:r>
      <w:proofErr w:type="spellEnd"/>
      <w:r w:rsidRPr="001F4C00">
        <w:rPr>
          <w:rFonts w:eastAsia="Calibri"/>
          <w:lang w:val="en-NZ"/>
        </w:rPr>
        <w:t xml:space="preserve"> to weight the logarithm of the price relativities between those two regions. These weighted price relativities are then summed over all </w:t>
      </w:r>
      <w:r w:rsidRPr="001F4C00">
        <w:rPr>
          <w:rFonts w:eastAsia="Calibri"/>
          <w:i/>
          <w:lang w:val="en-NZ"/>
        </w:rPr>
        <w:t>J</w:t>
      </w:r>
      <w:r w:rsidRPr="001F4C00">
        <w:rPr>
          <w:rFonts w:eastAsia="Calibri"/>
          <w:lang w:val="en-NZ"/>
        </w:rPr>
        <w:t xml:space="preserve"> items that comprise the budget.</w:t>
      </w:r>
      <w:r w:rsidR="00EC1125">
        <w:rPr>
          <w:rFonts w:eastAsia="Calibri"/>
          <w:lang w:val="en-NZ"/>
        </w:rPr>
        <w:t xml:space="preserve"> </w:t>
      </w:r>
    </w:p>
    <w:p w:rsidR="0082462D" w:rsidRDefault="0082462D" w:rsidP="00DF0191">
      <w:pPr>
        <w:tabs>
          <w:tab w:val="left" w:pos="426"/>
        </w:tabs>
        <w:spacing w:line="300" w:lineRule="auto"/>
        <w:jc w:val="both"/>
        <w:rPr>
          <w:rFonts w:eastAsia="Calibri"/>
          <w:lang w:val="en-NZ"/>
        </w:rPr>
      </w:pPr>
    </w:p>
    <w:p w:rsidR="00050E8F" w:rsidRDefault="00EC1125" w:rsidP="00DF0191">
      <w:pPr>
        <w:tabs>
          <w:tab w:val="left" w:pos="426"/>
        </w:tabs>
        <w:spacing w:line="300" w:lineRule="auto"/>
        <w:ind w:firstLine="720"/>
        <w:jc w:val="both"/>
      </w:pPr>
      <w:r>
        <w:rPr>
          <w:rFonts w:eastAsia="Calibri"/>
          <w:lang w:val="en-NZ"/>
        </w:rPr>
        <w:t xml:space="preserve">Our working assumption is that only </w:t>
      </w:r>
      <w:r w:rsidR="00501824">
        <w:rPr>
          <w:bCs/>
        </w:rPr>
        <w:t>house price variation contribut</w:t>
      </w:r>
      <w:r>
        <w:rPr>
          <w:bCs/>
        </w:rPr>
        <w:t>es</w:t>
      </w:r>
      <w:r w:rsidR="00501824">
        <w:rPr>
          <w:bCs/>
        </w:rPr>
        <w:t xml:space="preserve"> to</w:t>
      </w:r>
      <w:r>
        <w:rPr>
          <w:bCs/>
        </w:rPr>
        <w:t xml:space="preserve"> cost-of-living differences, </w:t>
      </w:r>
      <w:r w:rsidR="006C657E">
        <w:rPr>
          <w:bCs/>
        </w:rPr>
        <w:t xml:space="preserve">so as </w:t>
      </w:r>
      <w:r>
        <w:rPr>
          <w:bCs/>
        </w:rPr>
        <w:t>to form a</w:t>
      </w:r>
      <w:r w:rsidR="006C657E">
        <w:rPr>
          <w:bCs/>
        </w:rPr>
        <w:t xml:space="preserve"> lower bound</w:t>
      </w:r>
      <w:r>
        <w:rPr>
          <w:bCs/>
        </w:rPr>
        <w:t xml:space="preserve"> for the impact of deflation on spatial inequality. Since it is assumed that </w:t>
      </w:r>
      <w:r w:rsidR="00647145">
        <w:rPr>
          <w:bCs/>
        </w:rPr>
        <w:t xml:space="preserve">prices do not vary spatially </w:t>
      </w:r>
      <w:r>
        <w:rPr>
          <w:bCs/>
        </w:rPr>
        <w:t>for all other components of the budget</w:t>
      </w:r>
      <w:r w:rsidR="006C657E">
        <w:rPr>
          <w:bCs/>
        </w:rPr>
        <w:t>,</w:t>
      </w:r>
      <w:r>
        <w:rPr>
          <w:bCs/>
        </w:rPr>
        <w:t xml:space="preserve"> the index formula reduces to the log house price relativity between Beijing (base region) and region </w:t>
      </w:r>
      <w:proofErr w:type="spellStart"/>
      <w:r>
        <w:rPr>
          <w:bCs/>
          <w:i/>
        </w:rPr>
        <w:t>i</w:t>
      </w:r>
      <w:proofErr w:type="spellEnd"/>
      <w:r>
        <w:rPr>
          <w:bCs/>
        </w:rPr>
        <w:t xml:space="preserve">, weighted by the average importance of housing in Beijing and region </w:t>
      </w:r>
      <w:proofErr w:type="spellStart"/>
      <w:r>
        <w:rPr>
          <w:bCs/>
          <w:i/>
        </w:rPr>
        <w:t>i</w:t>
      </w:r>
      <w:proofErr w:type="spellEnd"/>
      <w:r>
        <w:rPr>
          <w:bCs/>
        </w:rPr>
        <w:t xml:space="preserve">. There are no micro data on household budget shares on housing that can be disaggregated to sub-provincial levels so we </w:t>
      </w:r>
      <w:r w:rsidR="00A0218F">
        <w:rPr>
          <w:bCs/>
        </w:rPr>
        <w:t xml:space="preserve">instead </w:t>
      </w:r>
      <w:r>
        <w:rPr>
          <w:bCs/>
        </w:rPr>
        <w:t xml:space="preserve">use national and regional accounts data. China publishes spatially disaggregated </w:t>
      </w:r>
      <w:r w:rsidR="00A0218F">
        <w:rPr>
          <w:bCs/>
        </w:rPr>
        <w:t>data</w:t>
      </w:r>
      <w:r>
        <w:rPr>
          <w:bCs/>
        </w:rPr>
        <w:t xml:space="preserve"> on annual investments in urban residential assets </w:t>
      </w:r>
      <w:r w:rsidR="00A0218F">
        <w:rPr>
          <w:bCs/>
        </w:rPr>
        <w:t>and s</w:t>
      </w:r>
      <w:r>
        <w:rPr>
          <w:bCs/>
        </w:rPr>
        <w:t xml:space="preserve">ince the urban housing market is dominated by new housing stock rather than repeat sales (Deng </w:t>
      </w:r>
      <w:r w:rsidR="006E2415">
        <w:rPr>
          <w:i/>
        </w:rPr>
        <w:t>et al.</w:t>
      </w:r>
      <w:r w:rsidR="006E2415" w:rsidRPr="007E4D95">
        <w:t xml:space="preserve"> </w:t>
      </w:r>
      <w:r>
        <w:rPr>
          <w:bCs/>
        </w:rPr>
        <w:t>2012)</w:t>
      </w:r>
      <w:r w:rsidR="00A0218F">
        <w:rPr>
          <w:bCs/>
        </w:rPr>
        <w:t>,</w:t>
      </w:r>
      <w:r w:rsidR="00AE315C">
        <w:rPr>
          <w:bCs/>
        </w:rPr>
        <w:t xml:space="preserve"> this annual investment should be a good proxy for the component of regional income set aside for housing provision. However, one further adjustment is needed, because of the famously low share of final consumption in China’s GDP</w:t>
      </w:r>
      <w:r w:rsidR="00647145">
        <w:rPr>
          <w:bCs/>
        </w:rPr>
        <w:t>,</w:t>
      </w:r>
      <w:r w:rsidR="00AE315C">
        <w:rPr>
          <w:bCs/>
        </w:rPr>
        <w:t xml:space="preserve"> which also varies across provinces because of differing intensities of net exports. </w:t>
      </w:r>
      <w:r w:rsidR="00A0218F">
        <w:rPr>
          <w:bCs/>
        </w:rPr>
        <w:t xml:space="preserve">We therefore use the ratio of </w:t>
      </w:r>
      <w:r w:rsidR="006C657E">
        <w:rPr>
          <w:bCs/>
        </w:rPr>
        <w:t xml:space="preserve">annual investments in urban residential assets to final consumption expenditure as our </w:t>
      </w:r>
      <w:r w:rsidR="00EA0C90">
        <w:rPr>
          <w:bCs/>
        </w:rPr>
        <w:t xml:space="preserve">proxy for the budget shares in the </w:t>
      </w:r>
      <w:proofErr w:type="spellStart"/>
      <w:r w:rsidR="00EA0C90" w:rsidRPr="00517E26">
        <w:t>Törnqvist</w:t>
      </w:r>
      <w:proofErr w:type="spellEnd"/>
      <w:r w:rsidR="00EA0C90">
        <w:t xml:space="preserve"> formula.</w:t>
      </w:r>
      <w:r w:rsidR="00EA0C90">
        <w:rPr>
          <w:rStyle w:val="FootnoteReference"/>
        </w:rPr>
        <w:footnoteReference w:id="8"/>
      </w:r>
    </w:p>
    <w:p w:rsidR="0082462D" w:rsidRDefault="0082462D" w:rsidP="00DF0191">
      <w:pPr>
        <w:tabs>
          <w:tab w:val="left" w:pos="426"/>
        </w:tabs>
        <w:spacing w:line="300" w:lineRule="auto"/>
        <w:ind w:firstLine="720"/>
        <w:jc w:val="both"/>
      </w:pPr>
    </w:p>
    <w:p w:rsidR="00EA0C90" w:rsidRDefault="00EA0C90" w:rsidP="00DF0191">
      <w:pPr>
        <w:tabs>
          <w:tab w:val="left" w:pos="426"/>
        </w:tabs>
        <w:spacing w:line="300" w:lineRule="auto"/>
        <w:ind w:firstLine="720"/>
        <w:jc w:val="both"/>
      </w:pPr>
      <w:r>
        <w:t xml:space="preserve">Table 2 contains the provincial </w:t>
      </w:r>
      <w:proofErr w:type="spellStart"/>
      <w:r>
        <w:t>T</w:t>
      </w:r>
      <w:r w:rsidRPr="00517E26">
        <w:t>örnqvist</w:t>
      </w:r>
      <w:proofErr w:type="spellEnd"/>
      <w:r>
        <w:t xml:space="preserve"> indexes calculated under these assumptions, along with the input data used. The base region is Beijing and the index values are interpreted as the factor by which nominal GDP per capita in region </w:t>
      </w:r>
      <w:proofErr w:type="spellStart"/>
      <w:r>
        <w:rPr>
          <w:i/>
        </w:rPr>
        <w:t>i</w:t>
      </w:r>
      <w:proofErr w:type="spellEnd"/>
      <w:r>
        <w:t xml:space="preserve"> </w:t>
      </w:r>
      <w:proofErr w:type="gramStart"/>
      <w:r>
        <w:t>has</w:t>
      </w:r>
      <w:proofErr w:type="gramEnd"/>
      <w:r>
        <w:t xml:space="preserve"> to be multiplied by </w:t>
      </w:r>
      <w:r w:rsidR="00647145">
        <w:t xml:space="preserve">to put it into </w:t>
      </w:r>
      <w:r>
        <w:t>Beijing</w:t>
      </w:r>
      <w:r w:rsidR="00647145">
        <w:t xml:space="preserve"> prices</w:t>
      </w:r>
      <w:r>
        <w:t xml:space="preserve">. On average, GDP per capita in provinces outside of Beijing has to be raised by 30 percent to make it comparable to GDP </w:t>
      </w:r>
      <w:r w:rsidR="00091C28">
        <w:t xml:space="preserve">per capita </w:t>
      </w:r>
      <w:r>
        <w:t xml:space="preserve">at Beijing prices. </w:t>
      </w:r>
      <w:r w:rsidR="00091C28">
        <w:t>The range in the deflator is from 1.03 for Shanghai – whose residents face housing prices almost as high as in Beijing – to 1.42 for Chongqing and 1.43 for Liaoning. It is notable that the lowest average housing prices do not always give the lowest calculated price index because the importance of housing also matters; for example, house prices are low in Gansu but the inflation factor is lower than average because of the relatively low importance of provision for residential housing in regional income.</w:t>
      </w:r>
    </w:p>
    <w:p w:rsidR="0082462D" w:rsidRDefault="0082462D" w:rsidP="00DF0191">
      <w:pPr>
        <w:tabs>
          <w:tab w:val="left" w:pos="426"/>
        </w:tabs>
        <w:spacing w:line="300" w:lineRule="auto"/>
        <w:ind w:firstLine="720"/>
        <w:jc w:val="both"/>
      </w:pPr>
    </w:p>
    <w:p w:rsidR="002E79FE" w:rsidRDefault="002E79FE" w:rsidP="002E79FE">
      <w:pPr>
        <w:tabs>
          <w:tab w:val="left" w:pos="426"/>
        </w:tabs>
        <w:spacing w:line="300" w:lineRule="auto"/>
        <w:ind w:firstLine="720"/>
        <w:jc w:val="both"/>
      </w:pPr>
      <w:r>
        <w:t xml:space="preserve">The last column of Table 2 reports the deflator from </w:t>
      </w:r>
      <w:r>
        <w:rPr>
          <w:bCs/>
          <w:kern w:val="36"/>
          <w:szCs w:val="48"/>
          <w:lang w:val="en-NZ" w:eastAsia="en-NZ"/>
        </w:rPr>
        <w:t xml:space="preserve">Brandt and </w:t>
      </w:r>
      <w:proofErr w:type="spellStart"/>
      <w:r>
        <w:rPr>
          <w:bCs/>
          <w:kern w:val="36"/>
          <w:szCs w:val="48"/>
          <w:lang w:val="en-NZ" w:eastAsia="en-NZ"/>
        </w:rPr>
        <w:t>Holz</w:t>
      </w:r>
      <w:proofErr w:type="spellEnd"/>
      <w:r>
        <w:rPr>
          <w:bCs/>
          <w:kern w:val="36"/>
          <w:szCs w:val="48"/>
          <w:lang w:val="en-NZ" w:eastAsia="en-NZ"/>
        </w:rPr>
        <w:t xml:space="preserve"> (2006), using the national basket, which is updated to 2010 using movements in each province’s CPI. The Brandt and </w:t>
      </w:r>
      <w:proofErr w:type="spellStart"/>
      <w:r>
        <w:rPr>
          <w:bCs/>
          <w:kern w:val="36"/>
          <w:szCs w:val="48"/>
          <w:lang w:val="en-NZ" w:eastAsia="en-NZ"/>
        </w:rPr>
        <w:t>Holz</w:t>
      </w:r>
      <w:proofErr w:type="spellEnd"/>
      <w:r>
        <w:rPr>
          <w:bCs/>
          <w:kern w:val="36"/>
          <w:szCs w:val="48"/>
          <w:lang w:val="en-NZ" w:eastAsia="en-NZ"/>
        </w:rPr>
        <w:t xml:space="preserve"> deflator is more variable than the </w:t>
      </w:r>
      <w:proofErr w:type="spellStart"/>
      <w:r>
        <w:t>T</w:t>
      </w:r>
      <w:r w:rsidRPr="00517E26">
        <w:t>örnqvist</w:t>
      </w:r>
      <w:proofErr w:type="spellEnd"/>
      <w:r>
        <w:t xml:space="preserve"> index, with an unweighted coefficient of variation across provinces more than one-third higher than for the </w:t>
      </w:r>
      <w:proofErr w:type="spellStart"/>
      <w:r>
        <w:t>T</w:t>
      </w:r>
      <w:r w:rsidRPr="00517E26">
        <w:t>örnqvist</w:t>
      </w:r>
      <w:proofErr w:type="spellEnd"/>
      <w:r>
        <w:t xml:space="preserve"> </w:t>
      </w:r>
      <w:r>
        <w:lastRenderedPageBreak/>
        <w:t xml:space="preserve">index. This pattern is consistent with </w:t>
      </w:r>
      <w:proofErr w:type="spellStart"/>
      <w:r>
        <w:t>Gluschenko</w:t>
      </w:r>
      <w:proofErr w:type="spellEnd"/>
      <w:r>
        <w:t xml:space="preserve"> (2006), who found that calculating a spatial deflator just once and updating it with the local CPIs can overstate the spatial variation in prices. Nevertheless, the overall level of adjustment needed to put GDP outside of Beijing into Beijing prices is quite similar, with an average inflation factor of 32 percent. The cross-province patterns of the deflators also are quite similar, with a Pearson correlation coefficient of 0.71 and a rank-correlation of 0.63.</w:t>
      </w:r>
    </w:p>
    <w:p w:rsidR="002E79FE" w:rsidRDefault="002E79FE" w:rsidP="002E79FE">
      <w:pPr>
        <w:tabs>
          <w:tab w:val="left" w:pos="426"/>
        </w:tabs>
        <w:spacing w:line="300" w:lineRule="auto"/>
        <w:ind w:firstLine="720"/>
        <w:jc w:val="both"/>
      </w:pPr>
    </w:p>
    <w:p w:rsidR="002E79FE" w:rsidRDefault="002E79FE"/>
    <w:tbl>
      <w:tblPr>
        <w:tblW w:w="5000" w:type="pct"/>
        <w:tblLook w:val="04A0"/>
      </w:tblPr>
      <w:tblGrid>
        <w:gridCol w:w="1892"/>
        <w:gridCol w:w="1470"/>
        <w:gridCol w:w="1470"/>
        <w:gridCol w:w="1470"/>
        <w:gridCol w:w="1470"/>
        <w:gridCol w:w="1471"/>
      </w:tblGrid>
      <w:tr w:rsidR="0082462D" w:rsidRPr="00142780" w:rsidTr="00462022">
        <w:trPr>
          <w:trHeight w:val="300"/>
        </w:trPr>
        <w:tc>
          <w:tcPr>
            <w:tcW w:w="5000" w:type="pct"/>
            <w:gridSpan w:val="6"/>
            <w:tcBorders>
              <w:left w:val="nil"/>
              <w:bottom w:val="single" w:sz="4" w:space="0" w:color="auto"/>
              <w:right w:val="nil"/>
            </w:tcBorders>
            <w:shd w:val="clear" w:color="auto" w:fill="auto"/>
            <w:noWrap/>
            <w:vAlign w:val="center"/>
          </w:tcPr>
          <w:p w:rsidR="0082462D" w:rsidRDefault="0082462D" w:rsidP="00462022">
            <w:pPr>
              <w:tabs>
                <w:tab w:val="left" w:pos="426"/>
              </w:tabs>
              <w:jc w:val="center"/>
              <w:rPr>
                <w:b/>
                <w:color w:val="000000"/>
                <w:sz w:val="22"/>
                <w:szCs w:val="22"/>
              </w:rPr>
            </w:pPr>
            <w:r w:rsidRPr="00142780">
              <w:rPr>
                <w:b/>
                <w:color w:val="000000"/>
                <w:sz w:val="22"/>
                <w:szCs w:val="22"/>
              </w:rPr>
              <w:t xml:space="preserve">Table 2. Residential Investment Fraction in GDP, Final Consumption Expenditure Fraction </w:t>
            </w:r>
          </w:p>
          <w:p w:rsidR="0082462D" w:rsidRPr="00142780" w:rsidRDefault="0082462D" w:rsidP="00462022">
            <w:pPr>
              <w:tabs>
                <w:tab w:val="left" w:pos="426"/>
              </w:tabs>
              <w:jc w:val="center"/>
              <w:rPr>
                <w:b/>
                <w:color w:val="000000"/>
                <w:sz w:val="22"/>
                <w:szCs w:val="22"/>
              </w:rPr>
            </w:pPr>
            <w:r w:rsidRPr="00142780">
              <w:rPr>
                <w:b/>
                <w:color w:val="000000"/>
                <w:sz w:val="22"/>
                <w:szCs w:val="22"/>
              </w:rPr>
              <w:t>in GDP, Average New House Price, and Deflation Indices at Province Level (2010)</w:t>
            </w:r>
          </w:p>
        </w:tc>
      </w:tr>
      <w:tr w:rsidR="0082462D" w:rsidRPr="00142780" w:rsidTr="002E79FE">
        <w:trPr>
          <w:trHeight w:val="300"/>
        </w:trPr>
        <w:tc>
          <w:tcPr>
            <w:tcW w:w="1044" w:type="pct"/>
            <w:tcBorders>
              <w:top w:val="single" w:sz="4" w:space="0" w:color="auto"/>
              <w:left w:val="nil"/>
              <w:bottom w:val="single" w:sz="4" w:space="0" w:color="auto"/>
              <w:right w:val="nil"/>
            </w:tcBorders>
            <w:shd w:val="clear" w:color="auto" w:fill="auto"/>
            <w:noWrap/>
            <w:vAlign w:val="center"/>
            <w:hideMark/>
          </w:tcPr>
          <w:p w:rsidR="0082462D" w:rsidRPr="00142780" w:rsidRDefault="0082462D" w:rsidP="00462022">
            <w:pPr>
              <w:tabs>
                <w:tab w:val="left" w:pos="426"/>
              </w:tabs>
              <w:rPr>
                <w:color w:val="000000"/>
                <w:sz w:val="22"/>
                <w:szCs w:val="22"/>
              </w:rPr>
            </w:pPr>
            <w:r w:rsidRPr="00142780">
              <w:rPr>
                <w:color w:val="000000"/>
                <w:sz w:val="22"/>
                <w:szCs w:val="22"/>
              </w:rPr>
              <w:t>Province</w:t>
            </w:r>
          </w:p>
        </w:tc>
        <w:tc>
          <w:tcPr>
            <w:tcW w:w="791" w:type="pct"/>
            <w:tcBorders>
              <w:top w:val="single" w:sz="4" w:space="0" w:color="auto"/>
              <w:left w:val="nil"/>
              <w:bottom w:val="single" w:sz="4" w:space="0" w:color="auto"/>
              <w:right w:val="nil"/>
            </w:tcBorders>
            <w:shd w:val="clear" w:color="auto" w:fill="auto"/>
            <w:noWrap/>
            <w:vAlign w:val="center"/>
            <w:hideMark/>
          </w:tcPr>
          <w:p w:rsidR="0082462D" w:rsidRPr="00142780" w:rsidRDefault="0082462D" w:rsidP="00462022">
            <w:pPr>
              <w:tabs>
                <w:tab w:val="left" w:pos="426"/>
              </w:tabs>
              <w:jc w:val="center"/>
              <w:rPr>
                <w:color w:val="000000"/>
                <w:sz w:val="22"/>
                <w:szCs w:val="22"/>
              </w:rPr>
            </w:pPr>
            <w:r w:rsidRPr="00142780">
              <w:rPr>
                <w:color w:val="000000"/>
                <w:sz w:val="22"/>
                <w:szCs w:val="22"/>
              </w:rPr>
              <w:t>FIRA</w:t>
            </w:r>
          </w:p>
        </w:tc>
        <w:tc>
          <w:tcPr>
            <w:tcW w:w="791" w:type="pct"/>
            <w:tcBorders>
              <w:top w:val="single" w:sz="4" w:space="0" w:color="auto"/>
              <w:left w:val="nil"/>
              <w:bottom w:val="single" w:sz="4" w:space="0" w:color="auto"/>
              <w:right w:val="nil"/>
            </w:tcBorders>
            <w:shd w:val="clear" w:color="auto" w:fill="auto"/>
            <w:noWrap/>
            <w:vAlign w:val="center"/>
            <w:hideMark/>
          </w:tcPr>
          <w:p w:rsidR="0082462D" w:rsidRPr="00142780" w:rsidRDefault="0082462D" w:rsidP="00462022">
            <w:pPr>
              <w:tabs>
                <w:tab w:val="left" w:pos="426"/>
              </w:tabs>
              <w:jc w:val="center"/>
              <w:rPr>
                <w:color w:val="000000"/>
                <w:sz w:val="22"/>
                <w:szCs w:val="22"/>
              </w:rPr>
            </w:pPr>
            <w:r w:rsidRPr="00142780">
              <w:rPr>
                <w:color w:val="000000"/>
                <w:sz w:val="22"/>
                <w:szCs w:val="22"/>
              </w:rPr>
              <w:t>FCON</w:t>
            </w:r>
          </w:p>
        </w:tc>
        <w:tc>
          <w:tcPr>
            <w:tcW w:w="791" w:type="pct"/>
            <w:tcBorders>
              <w:top w:val="single" w:sz="4" w:space="0" w:color="auto"/>
              <w:left w:val="nil"/>
              <w:bottom w:val="single" w:sz="4" w:space="0" w:color="auto"/>
              <w:right w:val="nil"/>
            </w:tcBorders>
            <w:shd w:val="clear" w:color="auto" w:fill="auto"/>
            <w:noWrap/>
            <w:vAlign w:val="center"/>
            <w:hideMark/>
          </w:tcPr>
          <w:p w:rsidR="0082462D" w:rsidRPr="00142780" w:rsidRDefault="0082462D" w:rsidP="00462022">
            <w:pPr>
              <w:tabs>
                <w:tab w:val="left" w:pos="426"/>
              </w:tabs>
              <w:jc w:val="center"/>
              <w:rPr>
                <w:color w:val="000000"/>
                <w:sz w:val="22"/>
                <w:szCs w:val="22"/>
              </w:rPr>
            </w:pPr>
            <w:r w:rsidRPr="00142780">
              <w:rPr>
                <w:color w:val="000000"/>
                <w:sz w:val="22"/>
                <w:szCs w:val="22"/>
              </w:rPr>
              <w:t>HP</w:t>
            </w:r>
          </w:p>
        </w:tc>
        <w:tc>
          <w:tcPr>
            <w:tcW w:w="791" w:type="pct"/>
            <w:tcBorders>
              <w:top w:val="single" w:sz="4" w:space="0" w:color="auto"/>
              <w:left w:val="nil"/>
              <w:bottom w:val="single" w:sz="4" w:space="0" w:color="auto"/>
              <w:right w:val="nil"/>
            </w:tcBorders>
            <w:shd w:val="clear" w:color="auto" w:fill="auto"/>
            <w:noWrap/>
            <w:vAlign w:val="center"/>
            <w:hideMark/>
          </w:tcPr>
          <w:p w:rsidR="0082462D" w:rsidRPr="00142780" w:rsidRDefault="0082462D" w:rsidP="00462022">
            <w:pPr>
              <w:tabs>
                <w:tab w:val="left" w:pos="426"/>
              </w:tabs>
              <w:jc w:val="center"/>
              <w:rPr>
                <w:color w:val="000000"/>
                <w:sz w:val="22"/>
                <w:szCs w:val="22"/>
              </w:rPr>
            </w:pPr>
            <w:proofErr w:type="spellStart"/>
            <w:r w:rsidRPr="00142780">
              <w:rPr>
                <w:color w:val="000000"/>
                <w:sz w:val="22"/>
                <w:szCs w:val="22"/>
              </w:rPr>
              <w:t>Tornqvist</w:t>
            </w:r>
            <w:proofErr w:type="spellEnd"/>
          </w:p>
        </w:tc>
        <w:tc>
          <w:tcPr>
            <w:tcW w:w="791" w:type="pct"/>
            <w:tcBorders>
              <w:top w:val="single" w:sz="4" w:space="0" w:color="auto"/>
              <w:left w:val="nil"/>
              <w:bottom w:val="single" w:sz="4" w:space="0" w:color="auto"/>
              <w:right w:val="nil"/>
            </w:tcBorders>
            <w:shd w:val="clear" w:color="auto" w:fill="auto"/>
            <w:noWrap/>
            <w:vAlign w:val="center"/>
            <w:hideMark/>
          </w:tcPr>
          <w:p w:rsidR="0082462D" w:rsidRPr="00142780" w:rsidRDefault="0082462D" w:rsidP="00462022">
            <w:pPr>
              <w:tabs>
                <w:tab w:val="left" w:pos="426"/>
              </w:tabs>
              <w:jc w:val="center"/>
              <w:rPr>
                <w:color w:val="000000"/>
                <w:sz w:val="22"/>
                <w:szCs w:val="22"/>
              </w:rPr>
            </w:pPr>
            <w:r w:rsidRPr="00142780">
              <w:rPr>
                <w:color w:val="000000"/>
                <w:sz w:val="22"/>
                <w:szCs w:val="22"/>
              </w:rPr>
              <w:t>DINXB&amp;H</w:t>
            </w:r>
          </w:p>
        </w:tc>
      </w:tr>
      <w:tr w:rsidR="0082462D" w:rsidRPr="00142780" w:rsidTr="002E79FE">
        <w:trPr>
          <w:trHeight w:val="300"/>
        </w:trPr>
        <w:tc>
          <w:tcPr>
            <w:tcW w:w="1044" w:type="pct"/>
            <w:tcBorders>
              <w:top w:val="single" w:sz="4" w:space="0" w:color="auto"/>
              <w:left w:val="nil"/>
              <w:bottom w:val="nil"/>
              <w:right w:val="nil"/>
            </w:tcBorders>
            <w:shd w:val="clear" w:color="auto" w:fill="auto"/>
            <w:noWrap/>
            <w:vAlign w:val="center"/>
            <w:hideMark/>
          </w:tcPr>
          <w:p w:rsidR="0082462D" w:rsidRPr="00142780" w:rsidRDefault="0082462D" w:rsidP="00462022">
            <w:pPr>
              <w:tabs>
                <w:tab w:val="left" w:pos="426"/>
              </w:tabs>
              <w:rPr>
                <w:color w:val="000000"/>
                <w:sz w:val="22"/>
                <w:szCs w:val="22"/>
              </w:rPr>
            </w:pPr>
            <w:r w:rsidRPr="00142780">
              <w:rPr>
                <w:color w:val="000000"/>
                <w:sz w:val="22"/>
                <w:szCs w:val="22"/>
              </w:rPr>
              <w:t>Beijing</w:t>
            </w:r>
          </w:p>
        </w:tc>
        <w:tc>
          <w:tcPr>
            <w:tcW w:w="791" w:type="pct"/>
            <w:tcBorders>
              <w:top w:val="single" w:sz="4" w:space="0" w:color="auto"/>
              <w:left w:val="nil"/>
              <w:bottom w:val="nil"/>
              <w:right w:val="nil"/>
            </w:tcBorders>
            <w:shd w:val="clear" w:color="auto" w:fill="auto"/>
            <w:noWrap/>
            <w:vAlign w:val="center"/>
            <w:hideMark/>
          </w:tcPr>
          <w:p w:rsidR="0082462D" w:rsidRPr="00142780" w:rsidRDefault="0082462D" w:rsidP="00462022">
            <w:pPr>
              <w:tabs>
                <w:tab w:val="left" w:pos="426"/>
              </w:tabs>
              <w:jc w:val="center"/>
              <w:rPr>
                <w:color w:val="000000"/>
                <w:sz w:val="22"/>
                <w:szCs w:val="22"/>
              </w:rPr>
            </w:pPr>
            <w:r w:rsidRPr="00142780">
              <w:rPr>
                <w:color w:val="000000"/>
                <w:sz w:val="22"/>
                <w:szCs w:val="22"/>
              </w:rPr>
              <w:t>0.11</w:t>
            </w:r>
          </w:p>
        </w:tc>
        <w:tc>
          <w:tcPr>
            <w:tcW w:w="791" w:type="pct"/>
            <w:tcBorders>
              <w:top w:val="single" w:sz="4" w:space="0" w:color="auto"/>
              <w:left w:val="nil"/>
              <w:bottom w:val="nil"/>
              <w:right w:val="nil"/>
            </w:tcBorders>
            <w:shd w:val="clear" w:color="auto" w:fill="auto"/>
            <w:noWrap/>
            <w:vAlign w:val="center"/>
            <w:hideMark/>
          </w:tcPr>
          <w:p w:rsidR="0082462D" w:rsidRPr="00142780" w:rsidRDefault="0082462D" w:rsidP="00462022">
            <w:pPr>
              <w:tabs>
                <w:tab w:val="left" w:pos="426"/>
              </w:tabs>
              <w:jc w:val="center"/>
              <w:rPr>
                <w:color w:val="000000"/>
                <w:sz w:val="22"/>
                <w:szCs w:val="22"/>
              </w:rPr>
            </w:pPr>
            <w:r w:rsidRPr="00142780">
              <w:rPr>
                <w:color w:val="000000"/>
                <w:sz w:val="22"/>
                <w:szCs w:val="22"/>
              </w:rPr>
              <w:t>0.56</w:t>
            </w:r>
          </w:p>
        </w:tc>
        <w:tc>
          <w:tcPr>
            <w:tcW w:w="791" w:type="pct"/>
            <w:tcBorders>
              <w:top w:val="single" w:sz="4" w:space="0" w:color="auto"/>
              <w:left w:val="nil"/>
              <w:bottom w:val="nil"/>
              <w:right w:val="nil"/>
            </w:tcBorders>
            <w:shd w:val="clear" w:color="auto" w:fill="auto"/>
            <w:noWrap/>
            <w:vAlign w:val="center"/>
            <w:hideMark/>
          </w:tcPr>
          <w:p w:rsidR="0082462D" w:rsidRPr="00142780" w:rsidRDefault="0082462D" w:rsidP="00462022">
            <w:pPr>
              <w:tabs>
                <w:tab w:val="left" w:pos="426"/>
              </w:tabs>
              <w:jc w:val="center"/>
              <w:rPr>
                <w:color w:val="000000"/>
                <w:sz w:val="22"/>
                <w:szCs w:val="22"/>
              </w:rPr>
            </w:pPr>
            <w:r w:rsidRPr="00142780">
              <w:rPr>
                <w:color w:val="000000"/>
                <w:sz w:val="22"/>
                <w:szCs w:val="22"/>
              </w:rPr>
              <w:t>17151</w:t>
            </w:r>
          </w:p>
        </w:tc>
        <w:tc>
          <w:tcPr>
            <w:tcW w:w="791" w:type="pct"/>
            <w:tcBorders>
              <w:top w:val="single" w:sz="4" w:space="0" w:color="auto"/>
              <w:left w:val="nil"/>
              <w:bottom w:val="nil"/>
              <w:right w:val="nil"/>
            </w:tcBorders>
            <w:shd w:val="clear" w:color="auto" w:fill="auto"/>
            <w:noWrap/>
            <w:vAlign w:val="center"/>
            <w:hideMark/>
          </w:tcPr>
          <w:p w:rsidR="0082462D" w:rsidRPr="00142780" w:rsidRDefault="0082462D" w:rsidP="00462022">
            <w:pPr>
              <w:tabs>
                <w:tab w:val="left" w:pos="426"/>
              </w:tabs>
              <w:jc w:val="center"/>
              <w:rPr>
                <w:color w:val="000000"/>
                <w:sz w:val="22"/>
                <w:szCs w:val="22"/>
              </w:rPr>
            </w:pPr>
            <w:r w:rsidRPr="00142780">
              <w:rPr>
                <w:color w:val="000000"/>
                <w:sz w:val="22"/>
                <w:szCs w:val="22"/>
              </w:rPr>
              <w:t>1.00</w:t>
            </w:r>
          </w:p>
        </w:tc>
        <w:tc>
          <w:tcPr>
            <w:tcW w:w="791" w:type="pct"/>
            <w:tcBorders>
              <w:top w:val="single" w:sz="4" w:space="0" w:color="auto"/>
              <w:left w:val="nil"/>
              <w:bottom w:val="nil"/>
              <w:right w:val="nil"/>
            </w:tcBorders>
            <w:shd w:val="clear" w:color="auto" w:fill="auto"/>
            <w:noWrap/>
            <w:vAlign w:val="center"/>
            <w:hideMark/>
          </w:tcPr>
          <w:p w:rsidR="0082462D" w:rsidRPr="00142780" w:rsidRDefault="0082462D" w:rsidP="00462022">
            <w:pPr>
              <w:tabs>
                <w:tab w:val="left" w:pos="426"/>
              </w:tabs>
              <w:jc w:val="center"/>
              <w:rPr>
                <w:color w:val="000000"/>
                <w:sz w:val="22"/>
                <w:szCs w:val="22"/>
              </w:rPr>
            </w:pPr>
            <w:r w:rsidRPr="00142780">
              <w:rPr>
                <w:color w:val="000000"/>
                <w:sz w:val="22"/>
                <w:szCs w:val="22"/>
              </w:rPr>
              <w:t>1.00</w:t>
            </w:r>
          </w:p>
        </w:tc>
      </w:tr>
      <w:tr w:rsidR="0082462D" w:rsidRPr="00142780" w:rsidTr="002E79FE">
        <w:trPr>
          <w:trHeight w:val="300"/>
        </w:trPr>
        <w:tc>
          <w:tcPr>
            <w:tcW w:w="1044" w:type="pct"/>
            <w:tcBorders>
              <w:top w:val="nil"/>
              <w:left w:val="nil"/>
              <w:bottom w:val="nil"/>
              <w:right w:val="nil"/>
            </w:tcBorders>
            <w:shd w:val="clear" w:color="auto" w:fill="auto"/>
            <w:noWrap/>
            <w:vAlign w:val="center"/>
            <w:hideMark/>
          </w:tcPr>
          <w:p w:rsidR="0082462D" w:rsidRPr="00142780" w:rsidRDefault="0082462D" w:rsidP="00462022">
            <w:pPr>
              <w:tabs>
                <w:tab w:val="left" w:pos="426"/>
              </w:tabs>
              <w:rPr>
                <w:color w:val="000000"/>
                <w:sz w:val="22"/>
                <w:szCs w:val="22"/>
              </w:rPr>
            </w:pPr>
            <w:r w:rsidRPr="00142780">
              <w:rPr>
                <w:color w:val="000000"/>
                <w:sz w:val="22"/>
                <w:szCs w:val="22"/>
              </w:rPr>
              <w:t>Tianjin</w:t>
            </w:r>
          </w:p>
        </w:tc>
        <w:tc>
          <w:tcPr>
            <w:tcW w:w="791" w:type="pct"/>
            <w:tcBorders>
              <w:top w:val="nil"/>
              <w:left w:val="nil"/>
              <w:bottom w:val="nil"/>
              <w:right w:val="nil"/>
            </w:tcBorders>
            <w:shd w:val="clear" w:color="auto" w:fill="auto"/>
            <w:noWrap/>
            <w:vAlign w:val="center"/>
            <w:hideMark/>
          </w:tcPr>
          <w:p w:rsidR="0082462D" w:rsidRPr="00142780" w:rsidRDefault="0082462D" w:rsidP="00462022">
            <w:pPr>
              <w:tabs>
                <w:tab w:val="left" w:pos="426"/>
              </w:tabs>
              <w:jc w:val="center"/>
              <w:rPr>
                <w:color w:val="000000"/>
                <w:sz w:val="22"/>
                <w:szCs w:val="22"/>
              </w:rPr>
            </w:pPr>
            <w:r w:rsidRPr="00142780">
              <w:rPr>
                <w:color w:val="000000"/>
                <w:sz w:val="22"/>
                <w:szCs w:val="22"/>
              </w:rPr>
              <w:t>0.06</w:t>
            </w:r>
          </w:p>
        </w:tc>
        <w:tc>
          <w:tcPr>
            <w:tcW w:w="791" w:type="pct"/>
            <w:tcBorders>
              <w:top w:val="nil"/>
              <w:left w:val="nil"/>
              <w:bottom w:val="nil"/>
              <w:right w:val="nil"/>
            </w:tcBorders>
            <w:shd w:val="clear" w:color="auto" w:fill="auto"/>
            <w:noWrap/>
            <w:vAlign w:val="center"/>
            <w:hideMark/>
          </w:tcPr>
          <w:p w:rsidR="0082462D" w:rsidRPr="00142780" w:rsidRDefault="0082462D" w:rsidP="00462022">
            <w:pPr>
              <w:tabs>
                <w:tab w:val="left" w:pos="426"/>
              </w:tabs>
              <w:jc w:val="center"/>
              <w:rPr>
                <w:color w:val="000000"/>
                <w:sz w:val="22"/>
                <w:szCs w:val="22"/>
              </w:rPr>
            </w:pPr>
            <w:r w:rsidRPr="00142780">
              <w:rPr>
                <w:color w:val="000000"/>
                <w:sz w:val="22"/>
                <w:szCs w:val="22"/>
              </w:rPr>
              <w:t>0.38</w:t>
            </w:r>
          </w:p>
        </w:tc>
        <w:tc>
          <w:tcPr>
            <w:tcW w:w="791" w:type="pct"/>
            <w:tcBorders>
              <w:top w:val="nil"/>
              <w:left w:val="nil"/>
              <w:bottom w:val="nil"/>
              <w:right w:val="nil"/>
            </w:tcBorders>
            <w:shd w:val="clear" w:color="auto" w:fill="auto"/>
            <w:noWrap/>
            <w:vAlign w:val="center"/>
            <w:hideMark/>
          </w:tcPr>
          <w:p w:rsidR="0082462D" w:rsidRPr="00142780" w:rsidRDefault="0082462D" w:rsidP="00462022">
            <w:pPr>
              <w:tabs>
                <w:tab w:val="left" w:pos="426"/>
              </w:tabs>
              <w:jc w:val="center"/>
              <w:rPr>
                <w:color w:val="000000"/>
                <w:sz w:val="22"/>
                <w:szCs w:val="22"/>
              </w:rPr>
            </w:pPr>
            <w:r w:rsidRPr="00142780">
              <w:rPr>
                <w:color w:val="000000"/>
                <w:sz w:val="22"/>
                <w:szCs w:val="22"/>
              </w:rPr>
              <w:t>7940</w:t>
            </w:r>
          </w:p>
        </w:tc>
        <w:tc>
          <w:tcPr>
            <w:tcW w:w="791" w:type="pct"/>
            <w:tcBorders>
              <w:top w:val="nil"/>
              <w:left w:val="nil"/>
              <w:bottom w:val="nil"/>
              <w:right w:val="nil"/>
            </w:tcBorders>
            <w:shd w:val="clear" w:color="auto" w:fill="auto"/>
            <w:noWrap/>
            <w:vAlign w:val="center"/>
            <w:hideMark/>
          </w:tcPr>
          <w:p w:rsidR="0082462D" w:rsidRPr="00142780" w:rsidRDefault="0082462D" w:rsidP="00462022">
            <w:pPr>
              <w:tabs>
                <w:tab w:val="left" w:pos="426"/>
              </w:tabs>
              <w:jc w:val="center"/>
              <w:rPr>
                <w:color w:val="000000"/>
                <w:sz w:val="22"/>
                <w:szCs w:val="22"/>
              </w:rPr>
            </w:pPr>
            <w:r w:rsidRPr="00142780">
              <w:rPr>
                <w:color w:val="000000"/>
                <w:sz w:val="22"/>
                <w:szCs w:val="22"/>
              </w:rPr>
              <w:t>1.15</w:t>
            </w:r>
          </w:p>
        </w:tc>
        <w:tc>
          <w:tcPr>
            <w:tcW w:w="791" w:type="pct"/>
            <w:tcBorders>
              <w:top w:val="nil"/>
              <w:left w:val="nil"/>
              <w:bottom w:val="nil"/>
              <w:right w:val="nil"/>
            </w:tcBorders>
            <w:shd w:val="clear" w:color="auto" w:fill="auto"/>
            <w:noWrap/>
            <w:vAlign w:val="center"/>
            <w:hideMark/>
          </w:tcPr>
          <w:p w:rsidR="0082462D" w:rsidRPr="00142780" w:rsidRDefault="0082462D" w:rsidP="00462022">
            <w:pPr>
              <w:tabs>
                <w:tab w:val="left" w:pos="426"/>
              </w:tabs>
              <w:jc w:val="center"/>
              <w:rPr>
                <w:color w:val="000000"/>
                <w:sz w:val="22"/>
                <w:szCs w:val="22"/>
              </w:rPr>
            </w:pPr>
            <w:r w:rsidRPr="00142780">
              <w:rPr>
                <w:color w:val="000000"/>
                <w:sz w:val="22"/>
                <w:szCs w:val="22"/>
              </w:rPr>
              <w:t>1.19</w:t>
            </w:r>
          </w:p>
        </w:tc>
      </w:tr>
      <w:tr w:rsidR="0082462D" w:rsidRPr="00142780" w:rsidTr="002E79FE">
        <w:trPr>
          <w:trHeight w:val="300"/>
        </w:trPr>
        <w:tc>
          <w:tcPr>
            <w:tcW w:w="1044" w:type="pct"/>
            <w:tcBorders>
              <w:top w:val="nil"/>
              <w:left w:val="nil"/>
              <w:bottom w:val="nil"/>
              <w:right w:val="nil"/>
            </w:tcBorders>
            <w:shd w:val="clear" w:color="auto" w:fill="auto"/>
            <w:noWrap/>
            <w:vAlign w:val="center"/>
            <w:hideMark/>
          </w:tcPr>
          <w:p w:rsidR="0082462D" w:rsidRPr="00142780" w:rsidRDefault="0082462D" w:rsidP="00462022">
            <w:pPr>
              <w:tabs>
                <w:tab w:val="left" w:pos="426"/>
              </w:tabs>
              <w:rPr>
                <w:color w:val="000000"/>
                <w:sz w:val="22"/>
                <w:szCs w:val="22"/>
              </w:rPr>
            </w:pPr>
            <w:proofErr w:type="spellStart"/>
            <w:r w:rsidRPr="00142780">
              <w:rPr>
                <w:color w:val="000000"/>
                <w:sz w:val="22"/>
                <w:szCs w:val="22"/>
              </w:rPr>
              <w:t>Hebei</w:t>
            </w:r>
            <w:proofErr w:type="spellEnd"/>
          </w:p>
        </w:tc>
        <w:tc>
          <w:tcPr>
            <w:tcW w:w="791" w:type="pct"/>
            <w:tcBorders>
              <w:top w:val="nil"/>
              <w:left w:val="nil"/>
              <w:bottom w:val="nil"/>
              <w:right w:val="nil"/>
            </w:tcBorders>
            <w:shd w:val="clear" w:color="auto" w:fill="auto"/>
            <w:noWrap/>
            <w:vAlign w:val="center"/>
            <w:hideMark/>
          </w:tcPr>
          <w:p w:rsidR="0082462D" w:rsidRPr="00142780" w:rsidRDefault="0082462D" w:rsidP="00462022">
            <w:pPr>
              <w:tabs>
                <w:tab w:val="left" w:pos="426"/>
              </w:tabs>
              <w:jc w:val="center"/>
              <w:rPr>
                <w:color w:val="000000"/>
                <w:sz w:val="22"/>
                <w:szCs w:val="22"/>
              </w:rPr>
            </w:pPr>
            <w:r w:rsidRPr="00142780">
              <w:rPr>
                <w:color w:val="000000"/>
                <w:sz w:val="22"/>
                <w:szCs w:val="22"/>
              </w:rPr>
              <w:t>0.09</w:t>
            </w:r>
          </w:p>
        </w:tc>
        <w:tc>
          <w:tcPr>
            <w:tcW w:w="791" w:type="pct"/>
            <w:tcBorders>
              <w:top w:val="nil"/>
              <w:left w:val="nil"/>
              <w:bottom w:val="nil"/>
              <w:right w:val="nil"/>
            </w:tcBorders>
            <w:shd w:val="clear" w:color="auto" w:fill="auto"/>
            <w:noWrap/>
            <w:vAlign w:val="center"/>
            <w:hideMark/>
          </w:tcPr>
          <w:p w:rsidR="0082462D" w:rsidRPr="00142780" w:rsidRDefault="0082462D" w:rsidP="00462022">
            <w:pPr>
              <w:tabs>
                <w:tab w:val="left" w:pos="426"/>
              </w:tabs>
              <w:jc w:val="center"/>
              <w:rPr>
                <w:color w:val="000000"/>
                <w:sz w:val="22"/>
                <w:szCs w:val="22"/>
              </w:rPr>
            </w:pPr>
            <w:r w:rsidRPr="00142780">
              <w:rPr>
                <w:color w:val="000000"/>
                <w:sz w:val="22"/>
                <w:szCs w:val="22"/>
              </w:rPr>
              <w:t>0.41</w:t>
            </w:r>
          </w:p>
        </w:tc>
        <w:tc>
          <w:tcPr>
            <w:tcW w:w="791" w:type="pct"/>
            <w:tcBorders>
              <w:top w:val="nil"/>
              <w:left w:val="nil"/>
              <w:bottom w:val="nil"/>
              <w:right w:val="nil"/>
            </w:tcBorders>
            <w:shd w:val="clear" w:color="auto" w:fill="auto"/>
            <w:noWrap/>
            <w:vAlign w:val="center"/>
            <w:hideMark/>
          </w:tcPr>
          <w:p w:rsidR="0082462D" w:rsidRPr="00142780" w:rsidRDefault="0082462D" w:rsidP="00462022">
            <w:pPr>
              <w:tabs>
                <w:tab w:val="left" w:pos="426"/>
              </w:tabs>
              <w:jc w:val="center"/>
              <w:rPr>
                <w:color w:val="000000"/>
                <w:sz w:val="22"/>
                <w:szCs w:val="22"/>
              </w:rPr>
            </w:pPr>
            <w:r w:rsidRPr="00142780">
              <w:rPr>
                <w:color w:val="000000"/>
                <w:sz w:val="22"/>
                <w:szCs w:val="22"/>
              </w:rPr>
              <w:t>3442</w:t>
            </w:r>
          </w:p>
        </w:tc>
        <w:tc>
          <w:tcPr>
            <w:tcW w:w="791" w:type="pct"/>
            <w:tcBorders>
              <w:top w:val="nil"/>
              <w:left w:val="nil"/>
              <w:bottom w:val="nil"/>
              <w:right w:val="nil"/>
            </w:tcBorders>
            <w:shd w:val="clear" w:color="auto" w:fill="auto"/>
            <w:noWrap/>
            <w:vAlign w:val="center"/>
            <w:hideMark/>
          </w:tcPr>
          <w:p w:rsidR="0082462D" w:rsidRPr="00142780" w:rsidRDefault="0082462D" w:rsidP="00462022">
            <w:pPr>
              <w:tabs>
                <w:tab w:val="left" w:pos="426"/>
              </w:tabs>
              <w:jc w:val="center"/>
              <w:rPr>
                <w:color w:val="000000"/>
                <w:sz w:val="22"/>
                <w:szCs w:val="22"/>
              </w:rPr>
            </w:pPr>
            <w:r w:rsidRPr="00142780">
              <w:rPr>
                <w:color w:val="000000"/>
                <w:sz w:val="22"/>
                <w:szCs w:val="22"/>
              </w:rPr>
              <w:t>1.40</w:t>
            </w:r>
          </w:p>
        </w:tc>
        <w:tc>
          <w:tcPr>
            <w:tcW w:w="791" w:type="pct"/>
            <w:tcBorders>
              <w:top w:val="nil"/>
              <w:left w:val="nil"/>
              <w:bottom w:val="nil"/>
              <w:right w:val="nil"/>
            </w:tcBorders>
            <w:shd w:val="clear" w:color="auto" w:fill="auto"/>
            <w:noWrap/>
            <w:vAlign w:val="center"/>
            <w:hideMark/>
          </w:tcPr>
          <w:p w:rsidR="0082462D" w:rsidRPr="00142780" w:rsidRDefault="0082462D" w:rsidP="00462022">
            <w:pPr>
              <w:tabs>
                <w:tab w:val="left" w:pos="426"/>
              </w:tabs>
              <w:jc w:val="center"/>
              <w:rPr>
                <w:color w:val="000000"/>
                <w:sz w:val="22"/>
                <w:szCs w:val="22"/>
              </w:rPr>
            </w:pPr>
            <w:r w:rsidRPr="00142780">
              <w:rPr>
                <w:color w:val="000000"/>
                <w:sz w:val="22"/>
                <w:szCs w:val="22"/>
              </w:rPr>
              <w:t>1.52</w:t>
            </w:r>
          </w:p>
        </w:tc>
      </w:tr>
      <w:tr w:rsidR="0082462D" w:rsidRPr="00142780" w:rsidTr="002E79FE">
        <w:trPr>
          <w:trHeight w:val="300"/>
        </w:trPr>
        <w:tc>
          <w:tcPr>
            <w:tcW w:w="1044" w:type="pct"/>
            <w:tcBorders>
              <w:top w:val="nil"/>
              <w:left w:val="nil"/>
              <w:bottom w:val="nil"/>
              <w:right w:val="nil"/>
            </w:tcBorders>
            <w:shd w:val="clear" w:color="auto" w:fill="auto"/>
            <w:noWrap/>
            <w:vAlign w:val="center"/>
            <w:hideMark/>
          </w:tcPr>
          <w:p w:rsidR="0082462D" w:rsidRPr="00142780" w:rsidRDefault="0082462D" w:rsidP="00462022">
            <w:pPr>
              <w:tabs>
                <w:tab w:val="left" w:pos="426"/>
              </w:tabs>
              <w:rPr>
                <w:color w:val="000000"/>
                <w:sz w:val="22"/>
                <w:szCs w:val="22"/>
              </w:rPr>
            </w:pPr>
            <w:r w:rsidRPr="00142780">
              <w:rPr>
                <w:color w:val="000000"/>
                <w:sz w:val="22"/>
                <w:szCs w:val="22"/>
              </w:rPr>
              <w:t>Shanxi</w:t>
            </w:r>
          </w:p>
        </w:tc>
        <w:tc>
          <w:tcPr>
            <w:tcW w:w="791" w:type="pct"/>
            <w:tcBorders>
              <w:top w:val="nil"/>
              <w:left w:val="nil"/>
              <w:bottom w:val="nil"/>
              <w:right w:val="nil"/>
            </w:tcBorders>
            <w:shd w:val="clear" w:color="auto" w:fill="auto"/>
            <w:noWrap/>
            <w:vAlign w:val="center"/>
            <w:hideMark/>
          </w:tcPr>
          <w:p w:rsidR="0082462D" w:rsidRPr="00142780" w:rsidRDefault="0082462D" w:rsidP="00462022">
            <w:pPr>
              <w:tabs>
                <w:tab w:val="left" w:pos="426"/>
              </w:tabs>
              <w:jc w:val="center"/>
              <w:rPr>
                <w:color w:val="000000"/>
                <w:sz w:val="22"/>
                <w:szCs w:val="22"/>
              </w:rPr>
            </w:pPr>
            <w:r w:rsidRPr="00142780">
              <w:rPr>
                <w:color w:val="000000"/>
                <w:sz w:val="22"/>
                <w:szCs w:val="22"/>
              </w:rPr>
              <w:t>0.05</w:t>
            </w:r>
          </w:p>
        </w:tc>
        <w:tc>
          <w:tcPr>
            <w:tcW w:w="791" w:type="pct"/>
            <w:tcBorders>
              <w:top w:val="nil"/>
              <w:left w:val="nil"/>
              <w:bottom w:val="nil"/>
              <w:right w:val="nil"/>
            </w:tcBorders>
            <w:shd w:val="clear" w:color="auto" w:fill="auto"/>
            <w:noWrap/>
            <w:vAlign w:val="center"/>
            <w:hideMark/>
          </w:tcPr>
          <w:p w:rsidR="0082462D" w:rsidRPr="00142780" w:rsidRDefault="0082462D" w:rsidP="00462022">
            <w:pPr>
              <w:tabs>
                <w:tab w:val="left" w:pos="426"/>
              </w:tabs>
              <w:jc w:val="center"/>
              <w:rPr>
                <w:color w:val="000000"/>
                <w:sz w:val="22"/>
                <w:szCs w:val="22"/>
              </w:rPr>
            </w:pPr>
            <w:r w:rsidRPr="00142780">
              <w:rPr>
                <w:color w:val="000000"/>
                <w:sz w:val="22"/>
                <w:szCs w:val="22"/>
              </w:rPr>
              <w:t>0.44</w:t>
            </w:r>
          </w:p>
        </w:tc>
        <w:tc>
          <w:tcPr>
            <w:tcW w:w="791" w:type="pct"/>
            <w:tcBorders>
              <w:top w:val="nil"/>
              <w:left w:val="nil"/>
              <w:bottom w:val="nil"/>
              <w:right w:val="nil"/>
            </w:tcBorders>
            <w:shd w:val="clear" w:color="auto" w:fill="auto"/>
            <w:noWrap/>
            <w:vAlign w:val="center"/>
            <w:hideMark/>
          </w:tcPr>
          <w:p w:rsidR="0082462D" w:rsidRPr="00142780" w:rsidRDefault="0082462D" w:rsidP="00462022">
            <w:pPr>
              <w:tabs>
                <w:tab w:val="left" w:pos="426"/>
              </w:tabs>
              <w:jc w:val="center"/>
              <w:rPr>
                <w:color w:val="000000"/>
                <w:sz w:val="22"/>
                <w:szCs w:val="22"/>
              </w:rPr>
            </w:pPr>
            <w:r w:rsidRPr="00142780">
              <w:rPr>
                <w:color w:val="000000"/>
                <w:sz w:val="22"/>
                <w:szCs w:val="22"/>
              </w:rPr>
              <w:t>3338</w:t>
            </w:r>
          </w:p>
        </w:tc>
        <w:tc>
          <w:tcPr>
            <w:tcW w:w="791" w:type="pct"/>
            <w:tcBorders>
              <w:top w:val="nil"/>
              <w:left w:val="nil"/>
              <w:bottom w:val="nil"/>
              <w:right w:val="nil"/>
            </w:tcBorders>
            <w:shd w:val="clear" w:color="auto" w:fill="auto"/>
            <w:noWrap/>
            <w:vAlign w:val="center"/>
            <w:hideMark/>
          </w:tcPr>
          <w:p w:rsidR="0082462D" w:rsidRPr="00142780" w:rsidRDefault="0082462D" w:rsidP="00462022">
            <w:pPr>
              <w:tabs>
                <w:tab w:val="left" w:pos="426"/>
              </w:tabs>
              <w:jc w:val="center"/>
              <w:rPr>
                <w:color w:val="000000"/>
                <w:sz w:val="22"/>
                <w:szCs w:val="22"/>
              </w:rPr>
            </w:pPr>
            <w:r w:rsidRPr="00142780">
              <w:rPr>
                <w:color w:val="000000"/>
                <w:sz w:val="22"/>
                <w:szCs w:val="22"/>
              </w:rPr>
              <w:t>1.29</w:t>
            </w:r>
          </w:p>
        </w:tc>
        <w:tc>
          <w:tcPr>
            <w:tcW w:w="791" w:type="pct"/>
            <w:tcBorders>
              <w:top w:val="nil"/>
              <w:left w:val="nil"/>
              <w:bottom w:val="nil"/>
              <w:right w:val="nil"/>
            </w:tcBorders>
            <w:shd w:val="clear" w:color="auto" w:fill="auto"/>
            <w:noWrap/>
            <w:vAlign w:val="center"/>
            <w:hideMark/>
          </w:tcPr>
          <w:p w:rsidR="0082462D" w:rsidRPr="00142780" w:rsidRDefault="0082462D" w:rsidP="00462022">
            <w:pPr>
              <w:tabs>
                <w:tab w:val="left" w:pos="426"/>
              </w:tabs>
              <w:jc w:val="center"/>
              <w:rPr>
                <w:color w:val="000000"/>
                <w:sz w:val="22"/>
                <w:szCs w:val="22"/>
              </w:rPr>
            </w:pPr>
            <w:r w:rsidRPr="00142780">
              <w:rPr>
                <w:color w:val="000000"/>
                <w:sz w:val="22"/>
                <w:szCs w:val="22"/>
              </w:rPr>
              <w:t>1.28</w:t>
            </w:r>
          </w:p>
        </w:tc>
      </w:tr>
      <w:tr w:rsidR="0082462D" w:rsidRPr="00142780" w:rsidTr="002E79FE">
        <w:trPr>
          <w:trHeight w:val="300"/>
        </w:trPr>
        <w:tc>
          <w:tcPr>
            <w:tcW w:w="1044" w:type="pct"/>
            <w:tcBorders>
              <w:top w:val="nil"/>
              <w:left w:val="nil"/>
              <w:bottom w:val="nil"/>
              <w:right w:val="nil"/>
            </w:tcBorders>
            <w:shd w:val="clear" w:color="auto" w:fill="auto"/>
            <w:noWrap/>
            <w:vAlign w:val="center"/>
            <w:hideMark/>
          </w:tcPr>
          <w:p w:rsidR="0082462D" w:rsidRPr="00142780" w:rsidRDefault="0082462D" w:rsidP="00462022">
            <w:pPr>
              <w:tabs>
                <w:tab w:val="left" w:pos="426"/>
              </w:tabs>
              <w:rPr>
                <w:color w:val="000000"/>
                <w:sz w:val="22"/>
                <w:szCs w:val="22"/>
              </w:rPr>
            </w:pPr>
            <w:r w:rsidRPr="00142780">
              <w:rPr>
                <w:color w:val="000000"/>
                <w:sz w:val="22"/>
                <w:szCs w:val="22"/>
              </w:rPr>
              <w:t>Inner Mongolia</w:t>
            </w:r>
          </w:p>
        </w:tc>
        <w:tc>
          <w:tcPr>
            <w:tcW w:w="791" w:type="pct"/>
            <w:tcBorders>
              <w:top w:val="nil"/>
              <w:left w:val="nil"/>
              <w:bottom w:val="nil"/>
              <w:right w:val="nil"/>
            </w:tcBorders>
            <w:shd w:val="clear" w:color="auto" w:fill="auto"/>
            <w:noWrap/>
            <w:vAlign w:val="center"/>
            <w:hideMark/>
          </w:tcPr>
          <w:p w:rsidR="0082462D" w:rsidRPr="00142780" w:rsidRDefault="0082462D" w:rsidP="00462022">
            <w:pPr>
              <w:tabs>
                <w:tab w:val="left" w:pos="426"/>
              </w:tabs>
              <w:jc w:val="center"/>
              <w:rPr>
                <w:color w:val="000000"/>
                <w:sz w:val="22"/>
                <w:szCs w:val="22"/>
              </w:rPr>
            </w:pPr>
            <w:r w:rsidRPr="00142780">
              <w:rPr>
                <w:color w:val="000000"/>
                <w:sz w:val="22"/>
                <w:szCs w:val="22"/>
              </w:rPr>
              <w:t>0.07</w:t>
            </w:r>
          </w:p>
        </w:tc>
        <w:tc>
          <w:tcPr>
            <w:tcW w:w="791" w:type="pct"/>
            <w:tcBorders>
              <w:top w:val="nil"/>
              <w:left w:val="nil"/>
              <w:bottom w:val="nil"/>
              <w:right w:val="nil"/>
            </w:tcBorders>
            <w:shd w:val="clear" w:color="auto" w:fill="auto"/>
            <w:noWrap/>
            <w:vAlign w:val="center"/>
            <w:hideMark/>
          </w:tcPr>
          <w:p w:rsidR="0082462D" w:rsidRPr="00142780" w:rsidRDefault="0082462D" w:rsidP="00462022">
            <w:pPr>
              <w:tabs>
                <w:tab w:val="left" w:pos="426"/>
              </w:tabs>
              <w:jc w:val="center"/>
              <w:rPr>
                <w:color w:val="000000"/>
                <w:sz w:val="22"/>
                <w:szCs w:val="22"/>
              </w:rPr>
            </w:pPr>
            <w:r w:rsidRPr="00142780">
              <w:rPr>
                <w:color w:val="000000"/>
                <w:sz w:val="22"/>
                <w:szCs w:val="22"/>
              </w:rPr>
              <w:t>0.39</w:t>
            </w:r>
          </w:p>
        </w:tc>
        <w:tc>
          <w:tcPr>
            <w:tcW w:w="791" w:type="pct"/>
            <w:tcBorders>
              <w:top w:val="nil"/>
              <w:left w:val="nil"/>
              <w:bottom w:val="nil"/>
              <w:right w:val="nil"/>
            </w:tcBorders>
            <w:shd w:val="clear" w:color="auto" w:fill="auto"/>
            <w:noWrap/>
            <w:vAlign w:val="center"/>
            <w:hideMark/>
          </w:tcPr>
          <w:p w:rsidR="0082462D" w:rsidRPr="00142780" w:rsidRDefault="0082462D" w:rsidP="00462022">
            <w:pPr>
              <w:tabs>
                <w:tab w:val="left" w:pos="426"/>
              </w:tabs>
              <w:jc w:val="center"/>
              <w:rPr>
                <w:color w:val="000000"/>
                <w:sz w:val="22"/>
                <w:szCs w:val="22"/>
              </w:rPr>
            </w:pPr>
            <w:r w:rsidRPr="00142780">
              <w:rPr>
                <w:color w:val="000000"/>
                <w:sz w:val="22"/>
                <w:szCs w:val="22"/>
              </w:rPr>
              <w:t>2983</w:t>
            </w:r>
          </w:p>
        </w:tc>
        <w:tc>
          <w:tcPr>
            <w:tcW w:w="791" w:type="pct"/>
            <w:tcBorders>
              <w:top w:val="nil"/>
              <w:left w:val="nil"/>
              <w:bottom w:val="nil"/>
              <w:right w:val="nil"/>
            </w:tcBorders>
            <w:shd w:val="clear" w:color="auto" w:fill="auto"/>
            <w:noWrap/>
            <w:vAlign w:val="center"/>
            <w:hideMark/>
          </w:tcPr>
          <w:p w:rsidR="0082462D" w:rsidRPr="00142780" w:rsidRDefault="0082462D" w:rsidP="00462022">
            <w:pPr>
              <w:tabs>
                <w:tab w:val="left" w:pos="426"/>
              </w:tabs>
              <w:jc w:val="center"/>
              <w:rPr>
                <w:color w:val="000000"/>
                <w:sz w:val="22"/>
                <w:szCs w:val="22"/>
              </w:rPr>
            </w:pPr>
            <w:r w:rsidRPr="00142780">
              <w:rPr>
                <w:color w:val="000000"/>
                <w:sz w:val="22"/>
                <w:szCs w:val="22"/>
              </w:rPr>
              <w:t>1.39</w:t>
            </w:r>
          </w:p>
        </w:tc>
        <w:tc>
          <w:tcPr>
            <w:tcW w:w="791" w:type="pct"/>
            <w:tcBorders>
              <w:top w:val="nil"/>
              <w:left w:val="nil"/>
              <w:bottom w:val="nil"/>
              <w:right w:val="nil"/>
            </w:tcBorders>
            <w:shd w:val="clear" w:color="auto" w:fill="auto"/>
            <w:noWrap/>
            <w:vAlign w:val="center"/>
            <w:hideMark/>
          </w:tcPr>
          <w:p w:rsidR="0082462D" w:rsidRPr="00142780" w:rsidRDefault="0082462D" w:rsidP="00462022">
            <w:pPr>
              <w:tabs>
                <w:tab w:val="left" w:pos="426"/>
              </w:tabs>
              <w:jc w:val="center"/>
              <w:rPr>
                <w:color w:val="000000"/>
                <w:sz w:val="22"/>
                <w:szCs w:val="22"/>
              </w:rPr>
            </w:pPr>
            <w:r w:rsidRPr="00142780">
              <w:rPr>
                <w:color w:val="000000"/>
                <w:sz w:val="22"/>
                <w:szCs w:val="22"/>
              </w:rPr>
              <w:t>1.40</w:t>
            </w:r>
          </w:p>
        </w:tc>
      </w:tr>
      <w:tr w:rsidR="0082462D" w:rsidRPr="00142780" w:rsidTr="002E79FE">
        <w:trPr>
          <w:trHeight w:val="300"/>
        </w:trPr>
        <w:tc>
          <w:tcPr>
            <w:tcW w:w="1044" w:type="pct"/>
            <w:tcBorders>
              <w:top w:val="nil"/>
              <w:left w:val="nil"/>
              <w:bottom w:val="nil"/>
              <w:right w:val="nil"/>
            </w:tcBorders>
            <w:shd w:val="clear" w:color="auto" w:fill="auto"/>
            <w:noWrap/>
            <w:vAlign w:val="center"/>
            <w:hideMark/>
          </w:tcPr>
          <w:p w:rsidR="0082462D" w:rsidRPr="00142780" w:rsidRDefault="0082462D" w:rsidP="00462022">
            <w:pPr>
              <w:tabs>
                <w:tab w:val="left" w:pos="426"/>
              </w:tabs>
              <w:rPr>
                <w:color w:val="000000"/>
                <w:sz w:val="22"/>
                <w:szCs w:val="22"/>
              </w:rPr>
            </w:pPr>
            <w:r w:rsidRPr="00142780">
              <w:rPr>
                <w:color w:val="000000"/>
                <w:sz w:val="22"/>
                <w:szCs w:val="22"/>
              </w:rPr>
              <w:t>Liaoning</w:t>
            </w:r>
          </w:p>
        </w:tc>
        <w:tc>
          <w:tcPr>
            <w:tcW w:w="791" w:type="pct"/>
            <w:tcBorders>
              <w:top w:val="nil"/>
              <w:left w:val="nil"/>
              <w:bottom w:val="nil"/>
              <w:right w:val="nil"/>
            </w:tcBorders>
            <w:shd w:val="clear" w:color="auto" w:fill="auto"/>
            <w:noWrap/>
            <w:vAlign w:val="center"/>
            <w:hideMark/>
          </w:tcPr>
          <w:p w:rsidR="0082462D" w:rsidRPr="00142780" w:rsidRDefault="0082462D" w:rsidP="00462022">
            <w:pPr>
              <w:tabs>
                <w:tab w:val="left" w:pos="426"/>
              </w:tabs>
              <w:jc w:val="center"/>
              <w:rPr>
                <w:color w:val="000000"/>
                <w:sz w:val="22"/>
                <w:szCs w:val="22"/>
              </w:rPr>
            </w:pPr>
            <w:r w:rsidRPr="00142780">
              <w:rPr>
                <w:color w:val="000000"/>
                <w:sz w:val="22"/>
                <w:szCs w:val="22"/>
              </w:rPr>
              <w:t>0.13</w:t>
            </w:r>
          </w:p>
        </w:tc>
        <w:tc>
          <w:tcPr>
            <w:tcW w:w="791" w:type="pct"/>
            <w:tcBorders>
              <w:top w:val="nil"/>
              <w:left w:val="nil"/>
              <w:bottom w:val="nil"/>
              <w:right w:val="nil"/>
            </w:tcBorders>
            <w:shd w:val="clear" w:color="auto" w:fill="auto"/>
            <w:noWrap/>
            <w:vAlign w:val="center"/>
            <w:hideMark/>
          </w:tcPr>
          <w:p w:rsidR="0082462D" w:rsidRPr="00142780" w:rsidRDefault="0082462D" w:rsidP="00462022">
            <w:pPr>
              <w:tabs>
                <w:tab w:val="left" w:pos="426"/>
              </w:tabs>
              <w:jc w:val="center"/>
              <w:rPr>
                <w:color w:val="000000"/>
                <w:sz w:val="22"/>
                <w:szCs w:val="22"/>
              </w:rPr>
            </w:pPr>
            <w:r w:rsidRPr="00142780">
              <w:rPr>
                <w:color w:val="000000"/>
                <w:sz w:val="22"/>
                <w:szCs w:val="22"/>
              </w:rPr>
              <w:t>0.40</w:t>
            </w:r>
          </w:p>
        </w:tc>
        <w:tc>
          <w:tcPr>
            <w:tcW w:w="791" w:type="pct"/>
            <w:tcBorders>
              <w:top w:val="nil"/>
              <w:left w:val="nil"/>
              <w:bottom w:val="nil"/>
              <w:right w:val="nil"/>
            </w:tcBorders>
            <w:shd w:val="clear" w:color="auto" w:fill="auto"/>
            <w:noWrap/>
            <w:vAlign w:val="center"/>
            <w:hideMark/>
          </w:tcPr>
          <w:p w:rsidR="0082462D" w:rsidRPr="00142780" w:rsidRDefault="0082462D" w:rsidP="00462022">
            <w:pPr>
              <w:tabs>
                <w:tab w:val="left" w:pos="426"/>
              </w:tabs>
              <w:jc w:val="center"/>
              <w:rPr>
                <w:color w:val="000000"/>
                <w:sz w:val="22"/>
                <w:szCs w:val="22"/>
              </w:rPr>
            </w:pPr>
            <w:r w:rsidRPr="00142780">
              <w:rPr>
                <w:color w:val="000000"/>
                <w:sz w:val="22"/>
                <w:szCs w:val="22"/>
              </w:rPr>
              <w:t>4303</w:t>
            </w:r>
          </w:p>
        </w:tc>
        <w:tc>
          <w:tcPr>
            <w:tcW w:w="791" w:type="pct"/>
            <w:tcBorders>
              <w:top w:val="nil"/>
              <w:left w:val="nil"/>
              <w:bottom w:val="nil"/>
              <w:right w:val="nil"/>
            </w:tcBorders>
            <w:shd w:val="clear" w:color="auto" w:fill="auto"/>
            <w:noWrap/>
            <w:vAlign w:val="center"/>
            <w:hideMark/>
          </w:tcPr>
          <w:p w:rsidR="0082462D" w:rsidRPr="00142780" w:rsidRDefault="0082462D" w:rsidP="00462022">
            <w:pPr>
              <w:tabs>
                <w:tab w:val="left" w:pos="426"/>
              </w:tabs>
              <w:jc w:val="center"/>
              <w:rPr>
                <w:color w:val="000000"/>
                <w:sz w:val="22"/>
                <w:szCs w:val="22"/>
              </w:rPr>
            </w:pPr>
            <w:r w:rsidRPr="00142780">
              <w:rPr>
                <w:color w:val="000000"/>
                <w:sz w:val="22"/>
                <w:szCs w:val="22"/>
              </w:rPr>
              <w:t>1.43</w:t>
            </w:r>
          </w:p>
        </w:tc>
        <w:tc>
          <w:tcPr>
            <w:tcW w:w="791" w:type="pct"/>
            <w:tcBorders>
              <w:top w:val="nil"/>
              <w:left w:val="nil"/>
              <w:bottom w:val="nil"/>
              <w:right w:val="nil"/>
            </w:tcBorders>
            <w:shd w:val="clear" w:color="auto" w:fill="auto"/>
            <w:noWrap/>
            <w:vAlign w:val="center"/>
            <w:hideMark/>
          </w:tcPr>
          <w:p w:rsidR="0082462D" w:rsidRPr="00142780" w:rsidRDefault="0082462D" w:rsidP="00462022">
            <w:pPr>
              <w:tabs>
                <w:tab w:val="left" w:pos="426"/>
              </w:tabs>
              <w:jc w:val="center"/>
              <w:rPr>
                <w:color w:val="000000"/>
                <w:sz w:val="22"/>
                <w:szCs w:val="22"/>
              </w:rPr>
            </w:pPr>
            <w:r w:rsidRPr="00142780">
              <w:rPr>
                <w:color w:val="000000"/>
                <w:sz w:val="22"/>
                <w:szCs w:val="22"/>
              </w:rPr>
              <w:t>1.40</w:t>
            </w:r>
          </w:p>
        </w:tc>
      </w:tr>
      <w:tr w:rsidR="0082462D" w:rsidRPr="00142780" w:rsidTr="002E79FE">
        <w:trPr>
          <w:trHeight w:val="300"/>
        </w:trPr>
        <w:tc>
          <w:tcPr>
            <w:tcW w:w="1044" w:type="pct"/>
            <w:tcBorders>
              <w:top w:val="nil"/>
              <w:left w:val="nil"/>
              <w:bottom w:val="nil"/>
              <w:right w:val="nil"/>
            </w:tcBorders>
            <w:shd w:val="clear" w:color="auto" w:fill="auto"/>
            <w:noWrap/>
            <w:vAlign w:val="center"/>
            <w:hideMark/>
          </w:tcPr>
          <w:p w:rsidR="0082462D" w:rsidRPr="00142780" w:rsidRDefault="0082462D" w:rsidP="00462022">
            <w:pPr>
              <w:tabs>
                <w:tab w:val="left" w:pos="426"/>
              </w:tabs>
              <w:rPr>
                <w:color w:val="000000"/>
                <w:sz w:val="22"/>
                <w:szCs w:val="22"/>
              </w:rPr>
            </w:pPr>
            <w:r w:rsidRPr="00142780">
              <w:rPr>
                <w:color w:val="000000"/>
                <w:sz w:val="22"/>
                <w:szCs w:val="22"/>
              </w:rPr>
              <w:t>Jilin</w:t>
            </w:r>
          </w:p>
        </w:tc>
        <w:tc>
          <w:tcPr>
            <w:tcW w:w="791" w:type="pct"/>
            <w:tcBorders>
              <w:top w:val="nil"/>
              <w:left w:val="nil"/>
              <w:bottom w:val="nil"/>
              <w:right w:val="nil"/>
            </w:tcBorders>
            <w:shd w:val="clear" w:color="auto" w:fill="auto"/>
            <w:noWrap/>
            <w:vAlign w:val="center"/>
            <w:hideMark/>
          </w:tcPr>
          <w:p w:rsidR="0082462D" w:rsidRPr="00142780" w:rsidRDefault="0082462D" w:rsidP="00462022">
            <w:pPr>
              <w:tabs>
                <w:tab w:val="left" w:pos="426"/>
              </w:tabs>
              <w:jc w:val="center"/>
              <w:rPr>
                <w:color w:val="000000"/>
                <w:sz w:val="22"/>
                <w:szCs w:val="22"/>
              </w:rPr>
            </w:pPr>
            <w:r w:rsidRPr="00142780">
              <w:rPr>
                <w:color w:val="000000"/>
                <w:sz w:val="22"/>
                <w:szCs w:val="22"/>
              </w:rPr>
              <w:t>0.08</w:t>
            </w:r>
          </w:p>
        </w:tc>
        <w:tc>
          <w:tcPr>
            <w:tcW w:w="791" w:type="pct"/>
            <w:tcBorders>
              <w:top w:val="nil"/>
              <w:left w:val="nil"/>
              <w:bottom w:val="nil"/>
              <w:right w:val="nil"/>
            </w:tcBorders>
            <w:shd w:val="clear" w:color="auto" w:fill="auto"/>
            <w:noWrap/>
            <w:vAlign w:val="center"/>
            <w:hideMark/>
          </w:tcPr>
          <w:p w:rsidR="0082462D" w:rsidRPr="00142780" w:rsidRDefault="0082462D" w:rsidP="00462022">
            <w:pPr>
              <w:tabs>
                <w:tab w:val="left" w:pos="426"/>
              </w:tabs>
              <w:jc w:val="center"/>
              <w:rPr>
                <w:color w:val="000000"/>
                <w:sz w:val="22"/>
                <w:szCs w:val="22"/>
              </w:rPr>
            </w:pPr>
            <w:r w:rsidRPr="00142780">
              <w:rPr>
                <w:color w:val="000000"/>
                <w:sz w:val="22"/>
                <w:szCs w:val="22"/>
              </w:rPr>
              <w:t>0.41</w:t>
            </w:r>
          </w:p>
        </w:tc>
        <w:tc>
          <w:tcPr>
            <w:tcW w:w="791" w:type="pct"/>
            <w:tcBorders>
              <w:top w:val="nil"/>
              <w:left w:val="nil"/>
              <w:bottom w:val="nil"/>
              <w:right w:val="nil"/>
            </w:tcBorders>
            <w:shd w:val="clear" w:color="auto" w:fill="auto"/>
            <w:noWrap/>
            <w:vAlign w:val="center"/>
            <w:hideMark/>
          </w:tcPr>
          <w:p w:rsidR="0082462D" w:rsidRPr="00142780" w:rsidRDefault="0082462D" w:rsidP="00462022">
            <w:pPr>
              <w:tabs>
                <w:tab w:val="left" w:pos="426"/>
              </w:tabs>
              <w:jc w:val="center"/>
              <w:rPr>
                <w:color w:val="000000"/>
                <w:sz w:val="22"/>
                <w:szCs w:val="22"/>
              </w:rPr>
            </w:pPr>
            <w:r w:rsidRPr="00142780">
              <w:rPr>
                <w:color w:val="000000"/>
                <w:sz w:val="22"/>
                <w:szCs w:val="22"/>
              </w:rPr>
              <w:t>3495</w:t>
            </w:r>
          </w:p>
        </w:tc>
        <w:tc>
          <w:tcPr>
            <w:tcW w:w="791" w:type="pct"/>
            <w:tcBorders>
              <w:top w:val="nil"/>
              <w:left w:val="nil"/>
              <w:bottom w:val="nil"/>
              <w:right w:val="nil"/>
            </w:tcBorders>
            <w:shd w:val="clear" w:color="auto" w:fill="auto"/>
            <w:noWrap/>
            <w:vAlign w:val="center"/>
            <w:hideMark/>
          </w:tcPr>
          <w:p w:rsidR="0082462D" w:rsidRPr="00142780" w:rsidRDefault="0082462D" w:rsidP="00462022">
            <w:pPr>
              <w:tabs>
                <w:tab w:val="left" w:pos="426"/>
              </w:tabs>
              <w:jc w:val="center"/>
              <w:rPr>
                <w:color w:val="000000"/>
                <w:sz w:val="22"/>
                <w:szCs w:val="22"/>
              </w:rPr>
            </w:pPr>
            <w:r w:rsidRPr="00142780">
              <w:rPr>
                <w:color w:val="000000"/>
                <w:sz w:val="22"/>
                <w:szCs w:val="22"/>
              </w:rPr>
              <w:t>1.36</w:t>
            </w:r>
          </w:p>
        </w:tc>
        <w:tc>
          <w:tcPr>
            <w:tcW w:w="791" w:type="pct"/>
            <w:tcBorders>
              <w:top w:val="nil"/>
              <w:left w:val="nil"/>
              <w:bottom w:val="nil"/>
              <w:right w:val="nil"/>
            </w:tcBorders>
            <w:shd w:val="clear" w:color="auto" w:fill="auto"/>
            <w:noWrap/>
            <w:vAlign w:val="center"/>
            <w:hideMark/>
          </w:tcPr>
          <w:p w:rsidR="0082462D" w:rsidRPr="00142780" w:rsidRDefault="0082462D" w:rsidP="00462022">
            <w:pPr>
              <w:tabs>
                <w:tab w:val="left" w:pos="426"/>
              </w:tabs>
              <w:jc w:val="center"/>
              <w:rPr>
                <w:color w:val="000000"/>
                <w:sz w:val="22"/>
                <w:szCs w:val="22"/>
              </w:rPr>
            </w:pPr>
            <w:r w:rsidRPr="00142780">
              <w:rPr>
                <w:color w:val="000000"/>
                <w:sz w:val="22"/>
                <w:szCs w:val="22"/>
              </w:rPr>
              <w:t>1.42</w:t>
            </w:r>
          </w:p>
        </w:tc>
      </w:tr>
      <w:tr w:rsidR="0082462D" w:rsidRPr="00142780" w:rsidTr="002E79FE">
        <w:trPr>
          <w:trHeight w:val="300"/>
        </w:trPr>
        <w:tc>
          <w:tcPr>
            <w:tcW w:w="1044" w:type="pct"/>
            <w:tcBorders>
              <w:top w:val="nil"/>
              <w:left w:val="nil"/>
              <w:bottom w:val="nil"/>
              <w:right w:val="nil"/>
            </w:tcBorders>
            <w:shd w:val="clear" w:color="auto" w:fill="auto"/>
            <w:noWrap/>
            <w:vAlign w:val="center"/>
            <w:hideMark/>
          </w:tcPr>
          <w:p w:rsidR="0082462D" w:rsidRPr="00142780" w:rsidRDefault="0082462D" w:rsidP="00462022">
            <w:pPr>
              <w:tabs>
                <w:tab w:val="left" w:pos="426"/>
              </w:tabs>
              <w:rPr>
                <w:color w:val="000000"/>
                <w:sz w:val="22"/>
                <w:szCs w:val="22"/>
              </w:rPr>
            </w:pPr>
            <w:r w:rsidRPr="00142780">
              <w:rPr>
                <w:color w:val="000000"/>
                <w:sz w:val="22"/>
                <w:szCs w:val="22"/>
              </w:rPr>
              <w:t>Heilongjiang</w:t>
            </w:r>
          </w:p>
        </w:tc>
        <w:tc>
          <w:tcPr>
            <w:tcW w:w="791" w:type="pct"/>
            <w:tcBorders>
              <w:top w:val="nil"/>
              <w:left w:val="nil"/>
              <w:bottom w:val="nil"/>
              <w:right w:val="nil"/>
            </w:tcBorders>
            <w:shd w:val="clear" w:color="auto" w:fill="auto"/>
            <w:noWrap/>
            <w:vAlign w:val="center"/>
            <w:hideMark/>
          </w:tcPr>
          <w:p w:rsidR="0082462D" w:rsidRPr="00142780" w:rsidRDefault="0082462D" w:rsidP="00462022">
            <w:pPr>
              <w:tabs>
                <w:tab w:val="left" w:pos="426"/>
              </w:tabs>
              <w:jc w:val="center"/>
              <w:rPr>
                <w:color w:val="000000"/>
                <w:sz w:val="22"/>
                <w:szCs w:val="22"/>
              </w:rPr>
            </w:pPr>
            <w:r w:rsidRPr="00142780">
              <w:rPr>
                <w:color w:val="000000"/>
                <w:sz w:val="22"/>
                <w:szCs w:val="22"/>
              </w:rPr>
              <w:t>0.06</w:t>
            </w:r>
          </w:p>
        </w:tc>
        <w:tc>
          <w:tcPr>
            <w:tcW w:w="791" w:type="pct"/>
            <w:tcBorders>
              <w:top w:val="nil"/>
              <w:left w:val="nil"/>
              <w:bottom w:val="nil"/>
              <w:right w:val="nil"/>
            </w:tcBorders>
            <w:shd w:val="clear" w:color="auto" w:fill="auto"/>
            <w:noWrap/>
            <w:vAlign w:val="center"/>
            <w:hideMark/>
          </w:tcPr>
          <w:p w:rsidR="0082462D" w:rsidRPr="00142780" w:rsidRDefault="0082462D" w:rsidP="00462022">
            <w:pPr>
              <w:tabs>
                <w:tab w:val="left" w:pos="426"/>
              </w:tabs>
              <w:jc w:val="center"/>
              <w:rPr>
                <w:color w:val="000000"/>
                <w:sz w:val="22"/>
                <w:szCs w:val="22"/>
              </w:rPr>
            </w:pPr>
            <w:r w:rsidRPr="00142780">
              <w:rPr>
                <w:color w:val="000000"/>
                <w:sz w:val="22"/>
                <w:szCs w:val="22"/>
              </w:rPr>
              <w:t>0.53</w:t>
            </w:r>
          </w:p>
        </w:tc>
        <w:tc>
          <w:tcPr>
            <w:tcW w:w="791" w:type="pct"/>
            <w:tcBorders>
              <w:top w:val="nil"/>
              <w:left w:val="nil"/>
              <w:bottom w:val="nil"/>
              <w:right w:val="nil"/>
            </w:tcBorders>
            <w:shd w:val="clear" w:color="auto" w:fill="auto"/>
            <w:noWrap/>
            <w:vAlign w:val="center"/>
            <w:hideMark/>
          </w:tcPr>
          <w:p w:rsidR="0082462D" w:rsidRPr="00142780" w:rsidRDefault="0082462D" w:rsidP="00462022">
            <w:pPr>
              <w:tabs>
                <w:tab w:val="left" w:pos="426"/>
              </w:tabs>
              <w:jc w:val="center"/>
              <w:rPr>
                <w:color w:val="000000"/>
                <w:sz w:val="22"/>
                <w:szCs w:val="22"/>
              </w:rPr>
            </w:pPr>
            <w:r w:rsidRPr="00142780">
              <w:rPr>
                <w:color w:val="000000"/>
                <w:sz w:val="22"/>
                <w:szCs w:val="22"/>
              </w:rPr>
              <w:t>3492</w:t>
            </w:r>
          </w:p>
        </w:tc>
        <w:tc>
          <w:tcPr>
            <w:tcW w:w="791" w:type="pct"/>
            <w:tcBorders>
              <w:top w:val="nil"/>
              <w:left w:val="nil"/>
              <w:bottom w:val="nil"/>
              <w:right w:val="nil"/>
            </w:tcBorders>
            <w:shd w:val="clear" w:color="auto" w:fill="auto"/>
            <w:noWrap/>
            <w:vAlign w:val="center"/>
            <w:hideMark/>
          </w:tcPr>
          <w:p w:rsidR="0082462D" w:rsidRPr="00142780" w:rsidRDefault="0082462D" w:rsidP="00462022">
            <w:pPr>
              <w:tabs>
                <w:tab w:val="left" w:pos="426"/>
              </w:tabs>
              <w:jc w:val="center"/>
              <w:rPr>
                <w:color w:val="000000"/>
                <w:sz w:val="22"/>
                <w:szCs w:val="22"/>
              </w:rPr>
            </w:pPr>
            <w:r w:rsidRPr="00142780">
              <w:rPr>
                <w:color w:val="000000"/>
                <w:sz w:val="22"/>
                <w:szCs w:val="22"/>
              </w:rPr>
              <w:t>1.28</w:t>
            </w:r>
          </w:p>
        </w:tc>
        <w:tc>
          <w:tcPr>
            <w:tcW w:w="791" w:type="pct"/>
            <w:tcBorders>
              <w:top w:val="nil"/>
              <w:left w:val="nil"/>
              <w:bottom w:val="nil"/>
              <w:right w:val="nil"/>
            </w:tcBorders>
            <w:shd w:val="clear" w:color="auto" w:fill="auto"/>
            <w:noWrap/>
            <w:vAlign w:val="center"/>
            <w:hideMark/>
          </w:tcPr>
          <w:p w:rsidR="0082462D" w:rsidRPr="00142780" w:rsidRDefault="0082462D" w:rsidP="00462022">
            <w:pPr>
              <w:tabs>
                <w:tab w:val="left" w:pos="426"/>
              </w:tabs>
              <w:jc w:val="center"/>
              <w:rPr>
                <w:color w:val="000000"/>
                <w:sz w:val="22"/>
                <w:szCs w:val="22"/>
              </w:rPr>
            </w:pPr>
            <w:r w:rsidRPr="00142780">
              <w:rPr>
                <w:color w:val="000000"/>
                <w:sz w:val="22"/>
                <w:szCs w:val="22"/>
              </w:rPr>
              <w:t>1.38</w:t>
            </w:r>
          </w:p>
        </w:tc>
      </w:tr>
      <w:tr w:rsidR="0082462D" w:rsidRPr="00142780" w:rsidTr="002E79FE">
        <w:trPr>
          <w:trHeight w:val="300"/>
        </w:trPr>
        <w:tc>
          <w:tcPr>
            <w:tcW w:w="1044" w:type="pct"/>
            <w:tcBorders>
              <w:top w:val="nil"/>
              <w:left w:val="nil"/>
              <w:bottom w:val="nil"/>
              <w:right w:val="nil"/>
            </w:tcBorders>
            <w:shd w:val="clear" w:color="auto" w:fill="auto"/>
            <w:noWrap/>
            <w:vAlign w:val="center"/>
            <w:hideMark/>
          </w:tcPr>
          <w:p w:rsidR="0082462D" w:rsidRPr="00142780" w:rsidRDefault="0082462D" w:rsidP="00462022">
            <w:pPr>
              <w:tabs>
                <w:tab w:val="left" w:pos="426"/>
              </w:tabs>
              <w:rPr>
                <w:color w:val="000000"/>
                <w:sz w:val="22"/>
                <w:szCs w:val="22"/>
              </w:rPr>
            </w:pPr>
            <w:r w:rsidRPr="00142780">
              <w:rPr>
                <w:color w:val="000000"/>
                <w:sz w:val="22"/>
                <w:szCs w:val="22"/>
              </w:rPr>
              <w:t>Shanghai</w:t>
            </w:r>
          </w:p>
        </w:tc>
        <w:tc>
          <w:tcPr>
            <w:tcW w:w="791" w:type="pct"/>
            <w:tcBorders>
              <w:top w:val="nil"/>
              <w:left w:val="nil"/>
              <w:bottom w:val="nil"/>
              <w:right w:val="nil"/>
            </w:tcBorders>
            <w:shd w:val="clear" w:color="auto" w:fill="auto"/>
            <w:noWrap/>
            <w:vAlign w:val="center"/>
            <w:hideMark/>
          </w:tcPr>
          <w:p w:rsidR="0082462D" w:rsidRPr="00142780" w:rsidRDefault="0082462D" w:rsidP="00462022">
            <w:pPr>
              <w:tabs>
                <w:tab w:val="left" w:pos="426"/>
              </w:tabs>
              <w:jc w:val="center"/>
              <w:rPr>
                <w:color w:val="000000"/>
                <w:sz w:val="22"/>
                <w:szCs w:val="22"/>
              </w:rPr>
            </w:pPr>
            <w:r w:rsidRPr="00142780">
              <w:rPr>
                <w:color w:val="000000"/>
                <w:sz w:val="22"/>
                <w:szCs w:val="22"/>
              </w:rPr>
              <w:t>0.07</w:t>
            </w:r>
          </w:p>
        </w:tc>
        <w:tc>
          <w:tcPr>
            <w:tcW w:w="791" w:type="pct"/>
            <w:tcBorders>
              <w:top w:val="nil"/>
              <w:left w:val="nil"/>
              <w:bottom w:val="nil"/>
              <w:right w:val="nil"/>
            </w:tcBorders>
            <w:shd w:val="clear" w:color="auto" w:fill="auto"/>
            <w:noWrap/>
            <w:vAlign w:val="center"/>
            <w:hideMark/>
          </w:tcPr>
          <w:p w:rsidR="0082462D" w:rsidRPr="00142780" w:rsidRDefault="0082462D" w:rsidP="00462022">
            <w:pPr>
              <w:tabs>
                <w:tab w:val="left" w:pos="426"/>
              </w:tabs>
              <w:jc w:val="center"/>
              <w:rPr>
                <w:color w:val="000000"/>
                <w:sz w:val="22"/>
                <w:szCs w:val="22"/>
              </w:rPr>
            </w:pPr>
            <w:r w:rsidRPr="00142780">
              <w:rPr>
                <w:color w:val="000000"/>
                <w:sz w:val="22"/>
                <w:szCs w:val="22"/>
              </w:rPr>
              <w:t>0.55</w:t>
            </w:r>
          </w:p>
        </w:tc>
        <w:tc>
          <w:tcPr>
            <w:tcW w:w="791" w:type="pct"/>
            <w:tcBorders>
              <w:top w:val="nil"/>
              <w:left w:val="nil"/>
              <w:bottom w:val="nil"/>
              <w:right w:val="nil"/>
            </w:tcBorders>
            <w:shd w:val="clear" w:color="auto" w:fill="auto"/>
            <w:noWrap/>
            <w:vAlign w:val="center"/>
            <w:hideMark/>
          </w:tcPr>
          <w:p w:rsidR="0082462D" w:rsidRPr="00142780" w:rsidRDefault="0082462D" w:rsidP="00462022">
            <w:pPr>
              <w:tabs>
                <w:tab w:val="left" w:pos="426"/>
              </w:tabs>
              <w:jc w:val="center"/>
              <w:rPr>
                <w:color w:val="000000"/>
                <w:sz w:val="22"/>
                <w:szCs w:val="22"/>
              </w:rPr>
            </w:pPr>
            <w:r w:rsidRPr="00142780">
              <w:rPr>
                <w:color w:val="000000"/>
                <w:sz w:val="22"/>
                <w:szCs w:val="22"/>
              </w:rPr>
              <w:t>14290</w:t>
            </w:r>
          </w:p>
        </w:tc>
        <w:tc>
          <w:tcPr>
            <w:tcW w:w="791" w:type="pct"/>
            <w:tcBorders>
              <w:top w:val="nil"/>
              <w:left w:val="nil"/>
              <w:bottom w:val="nil"/>
              <w:right w:val="nil"/>
            </w:tcBorders>
            <w:shd w:val="clear" w:color="auto" w:fill="auto"/>
            <w:noWrap/>
            <w:vAlign w:val="center"/>
            <w:hideMark/>
          </w:tcPr>
          <w:p w:rsidR="0082462D" w:rsidRPr="00142780" w:rsidRDefault="0082462D" w:rsidP="00462022">
            <w:pPr>
              <w:tabs>
                <w:tab w:val="left" w:pos="426"/>
              </w:tabs>
              <w:jc w:val="center"/>
              <w:rPr>
                <w:color w:val="000000"/>
                <w:sz w:val="22"/>
                <w:szCs w:val="22"/>
              </w:rPr>
            </w:pPr>
            <w:r w:rsidRPr="00142780">
              <w:rPr>
                <w:color w:val="000000"/>
                <w:sz w:val="22"/>
                <w:szCs w:val="22"/>
              </w:rPr>
              <w:t>1.03</w:t>
            </w:r>
          </w:p>
        </w:tc>
        <w:tc>
          <w:tcPr>
            <w:tcW w:w="791" w:type="pct"/>
            <w:tcBorders>
              <w:top w:val="nil"/>
              <w:left w:val="nil"/>
              <w:bottom w:val="nil"/>
              <w:right w:val="nil"/>
            </w:tcBorders>
            <w:shd w:val="clear" w:color="auto" w:fill="auto"/>
            <w:noWrap/>
            <w:vAlign w:val="center"/>
            <w:hideMark/>
          </w:tcPr>
          <w:p w:rsidR="0082462D" w:rsidRPr="00142780" w:rsidRDefault="0082462D" w:rsidP="00462022">
            <w:pPr>
              <w:tabs>
                <w:tab w:val="left" w:pos="426"/>
              </w:tabs>
              <w:jc w:val="center"/>
              <w:rPr>
                <w:color w:val="000000"/>
                <w:sz w:val="22"/>
                <w:szCs w:val="22"/>
              </w:rPr>
            </w:pPr>
            <w:r w:rsidRPr="00142780">
              <w:rPr>
                <w:color w:val="000000"/>
                <w:sz w:val="22"/>
                <w:szCs w:val="22"/>
              </w:rPr>
              <w:t>0.99</w:t>
            </w:r>
          </w:p>
        </w:tc>
      </w:tr>
      <w:tr w:rsidR="0082462D" w:rsidRPr="00142780" w:rsidTr="002E79FE">
        <w:trPr>
          <w:trHeight w:val="300"/>
        </w:trPr>
        <w:tc>
          <w:tcPr>
            <w:tcW w:w="1044" w:type="pct"/>
            <w:tcBorders>
              <w:top w:val="nil"/>
              <w:left w:val="nil"/>
              <w:bottom w:val="nil"/>
              <w:right w:val="nil"/>
            </w:tcBorders>
            <w:shd w:val="clear" w:color="auto" w:fill="auto"/>
            <w:noWrap/>
            <w:vAlign w:val="center"/>
            <w:hideMark/>
          </w:tcPr>
          <w:p w:rsidR="0082462D" w:rsidRPr="00142780" w:rsidRDefault="0082462D" w:rsidP="00462022">
            <w:pPr>
              <w:tabs>
                <w:tab w:val="left" w:pos="426"/>
              </w:tabs>
              <w:rPr>
                <w:color w:val="000000"/>
                <w:sz w:val="22"/>
                <w:szCs w:val="22"/>
              </w:rPr>
            </w:pPr>
            <w:r w:rsidRPr="00142780">
              <w:rPr>
                <w:color w:val="000000"/>
                <w:sz w:val="22"/>
                <w:szCs w:val="22"/>
              </w:rPr>
              <w:t>Jiangsu</w:t>
            </w:r>
          </w:p>
        </w:tc>
        <w:tc>
          <w:tcPr>
            <w:tcW w:w="791" w:type="pct"/>
            <w:tcBorders>
              <w:top w:val="nil"/>
              <w:left w:val="nil"/>
              <w:bottom w:val="nil"/>
              <w:right w:val="nil"/>
            </w:tcBorders>
            <w:shd w:val="clear" w:color="auto" w:fill="auto"/>
            <w:noWrap/>
            <w:vAlign w:val="center"/>
            <w:hideMark/>
          </w:tcPr>
          <w:p w:rsidR="0082462D" w:rsidRPr="00142780" w:rsidRDefault="0082462D" w:rsidP="00462022">
            <w:pPr>
              <w:tabs>
                <w:tab w:val="left" w:pos="426"/>
              </w:tabs>
              <w:jc w:val="center"/>
              <w:rPr>
                <w:color w:val="000000"/>
                <w:sz w:val="22"/>
                <w:szCs w:val="22"/>
              </w:rPr>
            </w:pPr>
            <w:r w:rsidRPr="00142780">
              <w:rPr>
                <w:color w:val="000000"/>
                <w:sz w:val="22"/>
                <w:szCs w:val="22"/>
              </w:rPr>
              <w:t>0.08</w:t>
            </w:r>
          </w:p>
        </w:tc>
        <w:tc>
          <w:tcPr>
            <w:tcW w:w="791" w:type="pct"/>
            <w:tcBorders>
              <w:top w:val="nil"/>
              <w:left w:val="nil"/>
              <w:bottom w:val="nil"/>
              <w:right w:val="nil"/>
            </w:tcBorders>
            <w:shd w:val="clear" w:color="auto" w:fill="auto"/>
            <w:noWrap/>
            <w:vAlign w:val="center"/>
            <w:hideMark/>
          </w:tcPr>
          <w:p w:rsidR="0082462D" w:rsidRPr="00142780" w:rsidRDefault="0082462D" w:rsidP="00462022">
            <w:pPr>
              <w:tabs>
                <w:tab w:val="left" w:pos="426"/>
              </w:tabs>
              <w:jc w:val="center"/>
              <w:rPr>
                <w:color w:val="000000"/>
                <w:sz w:val="22"/>
                <w:szCs w:val="22"/>
              </w:rPr>
            </w:pPr>
            <w:r w:rsidRPr="00142780">
              <w:rPr>
                <w:color w:val="000000"/>
                <w:sz w:val="22"/>
                <w:szCs w:val="22"/>
              </w:rPr>
              <w:t>0.42</w:t>
            </w:r>
          </w:p>
        </w:tc>
        <w:tc>
          <w:tcPr>
            <w:tcW w:w="791" w:type="pct"/>
            <w:tcBorders>
              <w:top w:val="nil"/>
              <w:left w:val="nil"/>
              <w:bottom w:val="nil"/>
              <w:right w:val="nil"/>
            </w:tcBorders>
            <w:shd w:val="clear" w:color="auto" w:fill="auto"/>
            <w:noWrap/>
            <w:vAlign w:val="center"/>
            <w:hideMark/>
          </w:tcPr>
          <w:p w:rsidR="0082462D" w:rsidRPr="00142780" w:rsidRDefault="0082462D" w:rsidP="00462022">
            <w:pPr>
              <w:tabs>
                <w:tab w:val="left" w:pos="426"/>
              </w:tabs>
              <w:jc w:val="center"/>
              <w:rPr>
                <w:color w:val="000000"/>
                <w:sz w:val="22"/>
                <w:szCs w:val="22"/>
              </w:rPr>
            </w:pPr>
            <w:r w:rsidRPr="00142780">
              <w:rPr>
                <w:color w:val="000000"/>
                <w:sz w:val="22"/>
                <w:szCs w:val="22"/>
              </w:rPr>
              <w:t>5592</w:t>
            </w:r>
          </w:p>
        </w:tc>
        <w:tc>
          <w:tcPr>
            <w:tcW w:w="791" w:type="pct"/>
            <w:tcBorders>
              <w:top w:val="nil"/>
              <w:left w:val="nil"/>
              <w:bottom w:val="nil"/>
              <w:right w:val="nil"/>
            </w:tcBorders>
            <w:shd w:val="clear" w:color="auto" w:fill="auto"/>
            <w:noWrap/>
            <w:vAlign w:val="center"/>
            <w:hideMark/>
          </w:tcPr>
          <w:p w:rsidR="0082462D" w:rsidRPr="00142780" w:rsidRDefault="0082462D" w:rsidP="00462022">
            <w:pPr>
              <w:tabs>
                <w:tab w:val="left" w:pos="426"/>
              </w:tabs>
              <w:jc w:val="center"/>
              <w:rPr>
                <w:color w:val="000000"/>
                <w:sz w:val="22"/>
                <w:szCs w:val="22"/>
              </w:rPr>
            </w:pPr>
            <w:r w:rsidRPr="00142780">
              <w:rPr>
                <w:color w:val="000000"/>
                <w:sz w:val="22"/>
                <w:szCs w:val="22"/>
              </w:rPr>
              <w:t>1.24</w:t>
            </w:r>
          </w:p>
        </w:tc>
        <w:tc>
          <w:tcPr>
            <w:tcW w:w="791" w:type="pct"/>
            <w:tcBorders>
              <w:top w:val="nil"/>
              <w:left w:val="nil"/>
              <w:bottom w:val="nil"/>
              <w:right w:val="nil"/>
            </w:tcBorders>
            <w:shd w:val="clear" w:color="auto" w:fill="auto"/>
            <w:noWrap/>
            <w:vAlign w:val="center"/>
            <w:hideMark/>
          </w:tcPr>
          <w:p w:rsidR="0082462D" w:rsidRPr="00142780" w:rsidRDefault="0082462D" w:rsidP="00462022">
            <w:pPr>
              <w:tabs>
                <w:tab w:val="left" w:pos="426"/>
              </w:tabs>
              <w:jc w:val="center"/>
              <w:rPr>
                <w:color w:val="000000"/>
                <w:sz w:val="22"/>
                <w:szCs w:val="22"/>
              </w:rPr>
            </w:pPr>
            <w:r w:rsidRPr="00142780">
              <w:rPr>
                <w:color w:val="000000"/>
                <w:sz w:val="22"/>
                <w:szCs w:val="22"/>
              </w:rPr>
              <w:t>1.30</w:t>
            </w:r>
          </w:p>
        </w:tc>
      </w:tr>
      <w:tr w:rsidR="0082462D" w:rsidRPr="00142780" w:rsidTr="002E79FE">
        <w:trPr>
          <w:trHeight w:val="300"/>
        </w:trPr>
        <w:tc>
          <w:tcPr>
            <w:tcW w:w="1044" w:type="pct"/>
            <w:tcBorders>
              <w:top w:val="nil"/>
              <w:left w:val="nil"/>
              <w:bottom w:val="nil"/>
              <w:right w:val="nil"/>
            </w:tcBorders>
            <w:shd w:val="clear" w:color="auto" w:fill="auto"/>
            <w:noWrap/>
            <w:vAlign w:val="center"/>
            <w:hideMark/>
          </w:tcPr>
          <w:p w:rsidR="0082462D" w:rsidRPr="00142780" w:rsidRDefault="0082462D" w:rsidP="00462022">
            <w:pPr>
              <w:tabs>
                <w:tab w:val="left" w:pos="426"/>
              </w:tabs>
              <w:rPr>
                <w:color w:val="000000"/>
                <w:sz w:val="22"/>
                <w:szCs w:val="22"/>
              </w:rPr>
            </w:pPr>
            <w:r w:rsidRPr="00142780">
              <w:rPr>
                <w:color w:val="000000"/>
                <w:sz w:val="22"/>
                <w:szCs w:val="22"/>
              </w:rPr>
              <w:t>Zhejiang</w:t>
            </w:r>
          </w:p>
        </w:tc>
        <w:tc>
          <w:tcPr>
            <w:tcW w:w="791" w:type="pct"/>
            <w:tcBorders>
              <w:top w:val="nil"/>
              <w:left w:val="nil"/>
              <w:bottom w:val="nil"/>
              <w:right w:val="nil"/>
            </w:tcBorders>
            <w:shd w:val="clear" w:color="auto" w:fill="auto"/>
            <w:noWrap/>
            <w:vAlign w:val="center"/>
            <w:hideMark/>
          </w:tcPr>
          <w:p w:rsidR="0082462D" w:rsidRPr="00142780" w:rsidRDefault="0082462D" w:rsidP="00462022">
            <w:pPr>
              <w:tabs>
                <w:tab w:val="left" w:pos="426"/>
              </w:tabs>
              <w:jc w:val="center"/>
              <w:rPr>
                <w:color w:val="000000"/>
                <w:sz w:val="22"/>
                <w:szCs w:val="22"/>
              </w:rPr>
            </w:pPr>
            <w:r w:rsidRPr="00142780">
              <w:rPr>
                <w:color w:val="000000"/>
                <w:sz w:val="22"/>
                <w:szCs w:val="22"/>
              </w:rPr>
              <w:t>0.07</w:t>
            </w:r>
          </w:p>
        </w:tc>
        <w:tc>
          <w:tcPr>
            <w:tcW w:w="791" w:type="pct"/>
            <w:tcBorders>
              <w:top w:val="nil"/>
              <w:left w:val="nil"/>
              <w:bottom w:val="nil"/>
              <w:right w:val="nil"/>
            </w:tcBorders>
            <w:shd w:val="clear" w:color="auto" w:fill="auto"/>
            <w:noWrap/>
            <w:vAlign w:val="center"/>
            <w:hideMark/>
          </w:tcPr>
          <w:p w:rsidR="0082462D" w:rsidRPr="00142780" w:rsidRDefault="0082462D" w:rsidP="00462022">
            <w:pPr>
              <w:tabs>
                <w:tab w:val="left" w:pos="426"/>
              </w:tabs>
              <w:jc w:val="center"/>
              <w:rPr>
                <w:color w:val="000000"/>
                <w:sz w:val="22"/>
                <w:szCs w:val="22"/>
              </w:rPr>
            </w:pPr>
            <w:r w:rsidRPr="00142780">
              <w:rPr>
                <w:color w:val="000000"/>
                <w:sz w:val="22"/>
                <w:szCs w:val="22"/>
              </w:rPr>
              <w:t>0.46</w:t>
            </w:r>
          </w:p>
        </w:tc>
        <w:tc>
          <w:tcPr>
            <w:tcW w:w="791" w:type="pct"/>
            <w:tcBorders>
              <w:top w:val="nil"/>
              <w:left w:val="nil"/>
              <w:bottom w:val="nil"/>
              <w:right w:val="nil"/>
            </w:tcBorders>
            <w:shd w:val="clear" w:color="auto" w:fill="auto"/>
            <w:noWrap/>
            <w:vAlign w:val="center"/>
            <w:hideMark/>
          </w:tcPr>
          <w:p w:rsidR="0082462D" w:rsidRPr="00142780" w:rsidRDefault="0082462D" w:rsidP="00462022">
            <w:pPr>
              <w:tabs>
                <w:tab w:val="left" w:pos="426"/>
              </w:tabs>
              <w:jc w:val="center"/>
              <w:rPr>
                <w:color w:val="000000"/>
                <w:sz w:val="22"/>
                <w:szCs w:val="22"/>
              </w:rPr>
            </w:pPr>
            <w:r w:rsidRPr="00142780">
              <w:rPr>
                <w:color w:val="000000"/>
                <w:sz w:val="22"/>
                <w:szCs w:val="22"/>
              </w:rPr>
              <w:t>9332</w:t>
            </w:r>
          </w:p>
        </w:tc>
        <w:tc>
          <w:tcPr>
            <w:tcW w:w="791" w:type="pct"/>
            <w:tcBorders>
              <w:top w:val="nil"/>
              <w:left w:val="nil"/>
              <w:bottom w:val="nil"/>
              <w:right w:val="nil"/>
            </w:tcBorders>
            <w:shd w:val="clear" w:color="auto" w:fill="auto"/>
            <w:noWrap/>
            <w:vAlign w:val="center"/>
            <w:hideMark/>
          </w:tcPr>
          <w:p w:rsidR="0082462D" w:rsidRPr="00142780" w:rsidRDefault="0082462D" w:rsidP="00462022">
            <w:pPr>
              <w:tabs>
                <w:tab w:val="left" w:pos="426"/>
              </w:tabs>
              <w:jc w:val="center"/>
              <w:rPr>
                <w:color w:val="000000"/>
                <w:sz w:val="22"/>
                <w:szCs w:val="22"/>
              </w:rPr>
            </w:pPr>
            <w:r w:rsidRPr="00142780">
              <w:rPr>
                <w:color w:val="000000"/>
                <w:sz w:val="22"/>
                <w:szCs w:val="22"/>
              </w:rPr>
              <w:t>1.11</w:t>
            </w:r>
          </w:p>
        </w:tc>
        <w:tc>
          <w:tcPr>
            <w:tcW w:w="791" w:type="pct"/>
            <w:tcBorders>
              <w:top w:val="nil"/>
              <w:left w:val="nil"/>
              <w:bottom w:val="nil"/>
              <w:right w:val="nil"/>
            </w:tcBorders>
            <w:shd w:val="clear" w:color="auto" w:fill="auto"/>
            <w:noWrap/>
            <w:vAlign w:val="center"/>
            <w:hideMark/>
          </w:tcPr>
          <w:p w:rsidR="0082462D" w:rsidRPr="00142780" w:rsidRDefault="0082462D" w:rsidP="00462022">
            <w:pPr>
              <w:tabs>
                <w:tab w:val="left" w:pos="426"/>
              </w:tabs>
              <w:jc w:val="center"/>
              <w:rPr>
                <w:color w:val="000000"/>
                <w:sz w:val="22"/>
                <w:szCs w:val="22"/>
              </w:rPr>
            </w:pPr>
            <w:r w:rsidRPr="00142780">
              <w:rPr>
                <w:color w:val="000000"/>
                <w:sz w:val="22"/>
                <w:szCs w:val="22"/>
              </w:rPr>
              <w:t>1.34</w:t>
            </w:r>
          </w:p>
        </w:tc>
      </w:tr>
      <w:tr w:rsidR="0082462D" w:rsidRPr="00142780" w:rsidTr="002E79FE">
        <w:trPr>
          <w:trHeight w:val="300"/>
        </w:trPr>
        <w:tc>
          <w:tcPr>
            <w:tcW w:w="1044" w:type="pct"/>
            <w:tcBorders>
              <w:top w:val="nil"/>
              <w:left w:val="nil"/>
              <w:bottom w:val="nil"/>
              <w:right w:val="nil"/>
            </w:tcBorders>
            <w:shd w:val="clear" w:color="auto" w:fill="auto"/>
            <w:noWrap/>
            <w:vAlign w:val="center"/>
            <w:hideMark/>
          </w:tcPr>
          <w:p w:rsidR="0082462D" w:rsidRPr="00142780" w:rsidRDefault="0082462D" w:rsidP="00462022">
            <w:pPr>
              <w:tabs>
                <w:tab w:val="left" w:pos="426"/>
              </w:tabs>
              <w:rPr>
                <w:color w:val="000000"/>
                <w:sz w:val="22"/>
                <w:szCs w:val="22"/>
              </w:rPr>
            </w:pPr>
            <w:r w:rsidRPr="00142780">
              <w:rPr>
                <w:color w:val="000000"/>
                <w:sz w:val="22"/>
                <w:szCs w:val="22"/>
              </w:rPr>
              <w:t>Anhui</w:t>
            </w:r>
          </w:p>
        </w:tc>
        <w:tc>
          <w:tcPr>
            <w:tcW w:w="791" w:type="pct"/>
            <w:tcBorders>
              <w:top w:val="nil"/>
              <w:left w:val="nil"/>
              <w:bottom w:val="nil"/>
              <w:right w:val="nil"/>
            </w:tcBorders>
            <w:shd w:val="clear" w:color="auto" w:fill="auto"/>
            <w:noWrap/>
            <w:vAlign w:val="center"/>
            <w:hideMark/>
          </w:tcPr>
          <w:p w:rsidR="0082462D" w:rsidRPr="00142780" w:rsidRDefault="0082462D" w:rsidP="00462022">
            <w:pPr>
              <w:tabs>
                <w:tab w:val="left" w:pos="426"/>
              </w:tabs>
              <w:jc w:val="center"/>
              <w:rPr>
                <w:color w:val="000000"/>
                <w:sz w:val="22"/>
                <w:szCs w:val="22"/>
              </w:rPr>
            </w:pPr>
            <w:r w:rsidRPr="00142780">
              <w:rPr>
                <w:color w:val="000000"/>
                <w:sz w:val="22"/>
                <w:szCs w:val="22"/>
              </w:rPr>
              <w:t>0.13</w:t>
            </w:r>
          </w:p>
        </w:tc>
        <w:tc>
          <w:tcPr>
            <w:tcW w:w="791" w:type="pct"/>
            <w:tcBorders>
              <w:top w:val="nil"/>
              <w:left w:val="nil"/>
              <w:bottom w:val="nil"/>
              <w:right w:val="nil"/>
            </w:tcBorders>
            <w:shd w:val="clear" w:color="auto" w:fill="auto"/>
            <w:noWrap/>
            <w:vAlign w:val="center"/>
            <w:hideMark/>
          </w:tcPr>
          <w:p w:rsidR="0082462D" w:rsidRPr="00142780" w:rsidRDefault="0082462D" w:rsidP="00462022">
            <w:pPr>
              <w:tabs>
                <w:tab w:val="left" w:pos="426"/>
              </w:tabs>
              <w:jc w:val="center"/>
              <w:rPr>
                <w:color w:val="000000"/>
                <w:sz w:val="22"/>
                <w:szCs w:val="22"/>
              </w:rPr>
            </w:pPr>
            <w:r w:rsidRPr="00142780">
              <w:rPr>
                <w:color w:val="000000"/>
                <w:sz w:val="22"/>
                <w:szCs w:val="22"/>
              </w:rPr>
              <w:t>0.50</w:t>
            </w:r>
          </w:p>
        </w:tc>
        <w:tc>
          <w:tcPr>
            <w:tcW w:w="791" w:type="pct"/>
            <w:tcBorders>
              <w:top w:val="nil"/>
              <w:left w:val="nil"/>
              <w:bottom w:val="nil"/>
              <w:right w:val="nil"/>
            </w:tcBorders>
            <w:shd w:val="clear" w:color="auto" w:fill="auto"/>
            <w:noWrap/>
            <w:vAlign w:val="center"/>
            <w:hideMark/>
          </w:tcPr>
          <w:p w:rsidR="0082462D" w:rsidRPr="00142780" w:rsidRDefault="0082462D" w:rsidP="00462022">
            <w:pPr>
              <w:tabs>
                <w:tab w:val="left" w:pos="426"/>
              </w:tabs>
              <w:jc w:val="center"/>
              <w:rPr>
                <w:color w:val="000000"/>
                <w:sz w:val="22"/>
                <w:szCs w:val="22"/>
              </w:rPr>
            </w:pPr>
            <w:r w:rsidRPr="00142780">
              <w:rPr>
                <w:color w:val="000000"/>
                <w:sz w:val="22"/>
                <w:szCs w:val="22"/>
              </w:rPr>
              <w:t>3899</w:t>
            </w:r>
          </w:p>
        </w:tc>
        <w:tc>
          <w:tcPr>
            <w:tcW w:w="791" w:type="pct"/>
            <w:tcBorders>
              <w:top w:val="nil"/>
              <w:left w:val="nil"/>
              <w:bottom w:val="nil"/>
              <w:right w:val="nil"/>
            </w:tcBorders>
            <w:shd w:val="clear" w:color="auto" w:fill="auto"/>
            <w:noWrap/>
            <w:vAlign w:val="center"/>
            <w:hideMark/>
          </w:tcPr>
          <w:p w:rsidR="0082462D" w:rsidRPr="00142780" w:rsidRDefault="0082462D" w:rsidP="00462022">
            <w:pPr>
              <w:tabs>
                <w:tab w:val="left" w:pos="426"/>
              </w:tabs>
              <w:jc w:val="center"/>
              <w:rPr>
                <w:color w:val="000000"/>
                <w:sz w:val="22"/>
                <w:szCs w:val="22"/>
              </w:rPr>
            </w:pPr>
            <w:r w:rsidRPr="00142780">
              <w:rPr>
                <w:color w:val="000000"/>
                <w:sz w:val="22"/>
                <w:szCs w:val="22"/>
              </w:rPr>
              <w:t>1.40</w:t>
            </w:r>
          </w:p>
        </w:tc>
        <w:tc>
          <w:tcPr>
            <w:tcW w:w="791" w:type="pct"/>
            <w:tcBorders>
              <w:top w:val="nil"/>
              <w:left w:val="nil"/>
              <w:bottom w:val="nil"/>
              <w:right w:val="nil"/>
            </w:tcBorders>
            <w:shd w:val="clear" w:color="auto" w:fill="auto"/>
            <w:noWrap/>
            <w:vAlign w:val="center"/>
            <w:hideMark/>
          </w:tcPr>
          <w:p w:rsidR="0082462D" w:rsidRPr="00142780" w:rsidRDefault="0082462D" w:rsidP="00462022">
            <w:pPr>
              <w:tabs>
                <w:tab w:val="left" w:pos="426"/>
              </w:tabs>
              <w:jc w:val="center"/>
              <w:rPr>
                <w:color w:val="000000"/>
                <w:sz w:val="22"/>
                <w:szCs w:val="22"/>
              </w:rPr>
            </w:pPr>
            <w:r w:rsidRPr="00142780">
              <w:rPr>
                <w:color w:val="000000"/>
                <w:sz w:val="22"/>
                <w:szCs w:val="22"/>
              </w:rPr>
              <w:t>1.45</w:t>
            </w:r>
          </w:p>
        </w:tc>
      </w:tr>
      <w:tr w:rsidR="0082462D" w:rsidRPr="00142780" w:rsidTr="002E79FE">
        <w:trPr>
          <w:trHeight w:val="300"/>
        </w:trPr>
        <w:tc>
          <w:tcPr>
            <w:tcW w:w="1044" w:type="pct"/>
            <w:tcBorders>
              <w:top w:val="nil"/>
              <w:left w:val="nil"/>
              <w:bottom w:val="nil"/>
              <w:right w:val="nil"/>
            </w:tcBorders>
            <w:shd w:val="clear" w:color="auto" w:fill="auto"/>
            <w:noWrap/>
            <w:vAlign w:val="center"/>
            <w:hideMark/>
          </w:tcPr>
          <w:p w:rsidR="0082462D" w:rsidRPr="00142780" w:rsidRDefault="0082462D" w:rsidP="00462022">
            <w:pPr>
              <w:tabs>
                <w:tab w:val="left" w:pos="426"/>
              </w:tabs>
              <w:rPr>
                <w:color w:val="000000"/>
                <w:sz w:val="22"/>
                <w:szCs w:val="22"/>
              </w:rPr>
            </w:pPr>
            <w:r w:rsidRPr="00142780">
              <w:rPr>
                <w:color w:val="000000"/>
                <w:sz w:val="22"/>
                <w:szCs w:val="22"/>
              </w:rPr>
              <w:t>Fujian</w:t>
            </w:r>
          </w:p>
        </w:tc>
        <w:tc>
          <w:tcPr>
            <w:tcW w:w="791" w:type="pct"/>
            <w:tcBorders>
              <w:top w:val="nil"/>
              <w:left w:val="nil"/>
              <w:bottom w:val="nil"/>
              <w:right w:val="nil"/>
            </w:tcBorders>
            <w:shd w:val="clear" w:color="auto" w:fill="auto"/>
            <w:noWrap/>
            <w:vAlign w:val="center"/>
            <w:hideMark/>
          </w:tcPr>
          <w:p w:rsidR="0082462D" w:rsidRPr="00142780" w:rsidRDefault="0082462D" w:rsidP="00462022">
            <w:pPr>
              <w:tabs>
                <w:tab w:val="left" w:pos="426"/>
              </w:tabs>
              <w:jc w:val="center"/>
              <w:rPr>
                <w:color w:val="000000"/>
                <w:sz w:val="22"/>
                <w:szCs w:val="22"/>
              </w:rPr>
            </w:pPr>
            <w:r w:rsidRPr="00142780">
              <w:rPr>
                <w:color w:val="000000"/>
                <w:sz w:val="22"/>
                <w:szCs w:val="22"/>
              </w:rPr>
              <w:t>0.07</w:t>
            </w:r>
          </w:p>
        </w:tc>
        <w:tc>
          <w:tcPr>
            <w:tcW w:w="791" w:type="pct"/>
            <w:tcBorders>
              <w:top w:val="nil"/>
              <w:left w:val="nil"/>
              <w:bottom w:val="nil"/>
              <w:right w:val="nil"/>
            </w:tcBorders>
            <w:shd w:val="clear" w:color="auto" w:fill="auto"/>
            <w:noWrap/>
            <w:vAlign w:val="center"/>
            <w:hideMark/>
          </w:tcPr>
          <w:p w:rsidR="0082462D" w:rsidRPr="00142780" w:rsidRDefault="0082462D" w:rsidP="00462022">
            <w:pPr>
              <w:tabs>
                <w:tab w:val="left" w:pos="426"/>
              </w:tabs>
              <w:jc w:val="center"/>
              <w:rPr>
                <w:color w:val="000000"/>
                <w:sz w:val="22"/>
                <w:szCs w:val="22"/>
              </w:rPr>
            </w:pPr>
            <w:r w:rsidRPr="00142780">
              <w:rPr>
                <w:color w:val="000000"/>
                <w:sz w:val="22"/>
                <w:szCs w:val="22"/>
              </w:rPr>
              <w:t>0.43</w:t>
            </w:r>
          </w:p>
        </w:tc>
        <w:tc>
          <w:tcPr>
            <w:tcW w:w="791" w:type="pct"/>
            <w:tcBorders>
              <w:top w:val="nil"/>
              <w:left w:val="nil"/>
              <w:bottom w:val="nil"/>
              <w:right w:val="nil"/>
            </w:tcBorders>
            <w:shd w:val="clear" w:color="auto" w:fill="auto"/>
            <w:noWrap/>
            <w:vAlign w:val="center"/>
            <w:hideMark/>
          </w:tcPr>
          <w:p w:rsidR="0082462D" w:rsidRPr="00142780" w:rsidRDefault="0082462D" w:rsidP="00462022">
            <w:pPr>
              <w:tabs>
                <w:tab w:val="left" w:pos="426"/>
              </w:tabs>
              <w:jc w:val="center"/>
              <w:rPr>
                <w:color w:val="000000"/>
                <w:sz w:val="22"/>
                <w:szCs w:val="22"/>
              </w:rPr>
            </w:pPr>
            <w:r w:rsidRPr="00142780">
              <w:rPr>
                <w:color w:val="000000"/>
                <w:sz w:val="22"/>
                <w:szCs w:val="22"/>
              </w:rPr>
              <w:t>6077</w:t>
            </w:r>
          </w:p>
        </w:tc>
        <w:tc>
          <w:tcPr>
            <w:tcW w:w="791" w:type="pct"/>
            <w:tcBorders>
              <w:top w:val="nil"/>
              <w:left w:val="nil"/>
              <w:bottom w:val="nil"/>
              <w:right w:val="nil"/>
            </w:tcBorders>
            <w:shd w:val="clear" w:color="auto" w:fill="auto"/>
            <w:noWrap/>
            <w:vAlign w:val="center"/>
            <w:hideMark/>
          </w:tcPr>
          <w:p w:rsidR="0082462D" w:rsidRPr="00142780" w:rsidRDefault="0082462D" w:rsidP="00462022">
            <w:pPr>
              <w:tabs>
                <w:tab w:val="left" w:pos="426"/>
              </w:tabs>
              <w:jc w:val="center"/>
              <w:rPr>
                <w:color w:val="000000"/>
                <w:sz w:val="22"/>
                <w:szCs w:val="22"/>
              </w:rPr>
            </w:pPr>
            <w:r w:rsidRPr="00142780">
              <w:rPr>
                <w:color w:val="000000"/>
                <w:sz w:val="22"/>
                <w:szCs w:val="22"/>
              </w:rPr>
              <w:t>1.21</w:t>
            </w:r>
          </w:p>
        </w:tc>
        <w:tc>
          <w:tcPr>
            <w:tcW w:w="791" w:type="pct"/>
            <w:tcBorders>
              <w:top w:val="nil"/>
              <w:left w:val="nil"/>
              <w:bottom w:val="nil"/>
              <w:right w:val="nil"/>
            </w:tcBorders>
            <w:shd w:val="clear" w:color="auto" w:fill="auto"/>
            <w:noWrap/>
            <w:vAlign w:val="center"/>
            <w:hideMark/>
          </w:tcPr>
          <w:p w:rsidR="0082462D" w:rsidRPr="00142780" w:rsidRDefault="0082462D" w:rsidP="00462022">
            <w:pPr>
              <w:tabs>
                <w:tab w:val="left" w:pos="426"/>
              </w:tabs>
              <w:jc w:val="center"/>
              <w:rPr>
                <w:color w:val="000000"/>
                <w:sz w:val="22"/>
                <w:szCs w:val="22"/>
              </w:rPr>
            </w:pPr>
            <w:r w:rsidRPr="00142780">
              <w:rPr>
                <w:color w:val="000000"/>
                <w:sz w:val="22"/>
                <w:szCs w:val="22"/>
              </w:rPr>
              <w:t>1.37</w:t>
            </w:r>
          </w:p>
        </w:tc>
      </w:tr>
      <w:tr w:rsidR="0082462D" w:rsidRPr="00142780" w:rsidTr="002E79FE">
        <w:trPr>
          <w:trHeight w:val="300"/>
        </w:trPr>
        <w:tc>
          <w:tcPr>
            <w:tcW w:w="1044" w:type="pct"/>
            <w:tcBorders>
              <w:top w:val="nil"/>
              <w:left w:val="nil"/>
              <w:bottom w:val="nil"/>
              <w:right w:val="nil"/>
            </w:tcBorders>
            <w:shd w:val="clear" w:color="auto" w:fill="auto"/>
            <w:noWrap/>
            <w:vAlign w:val="center"/>
            <w:hideMark/>
          </w:tcPr>
          <w:p w:rsidR="0082462D" w:rsidRPr="00142780" w:rsidRDefault="0082462D" w:rsidP="00462022">
            <w:pPr>
              <w:tabs>
                <w:tab w:val="left" w:pos="426"/>
              </w:tabs>
              <w:rPr>
                <w:color w:val="000000"/>
                <w:sz w:val="22"/>
                <w:szCs w:val="22"/>
              </w:rPr>
            </w:pPr>
            <w:r w:rsidRPr="00142780">
              <w:rPr>
                <w:color w:val="000000"/>
                <w:sz w:val="22"/>
                <w:szCs w:val="22"/>
              </w:rPr>
              <w:t>Jiangxi</w:t>
            </w:r>
          </w:p>
        </w:tc>
        <w:tc>
          <w:tcPr>
            <w:tcW w:w="791" w:type="pct"/>
            <w:tcBorders>
              <w:top w:val="nil"/>
              <w:left w:val="nil"/>
              <w:bottom w:val="nil"/>
              <w:right w:val="nil"/>
            </w:tcBorders>
            <w:shd w:val="clear" w:color="auto" w:fill="auto"/>
            <w:noWrap/>
            <w:vAlign w:val="center"/>
            <w:hideMark/>
          </w:tcPr>
          <w:p w:rsidR="0082462D" w:rsidRPr="00142780" w:rsidRDefault="0082462D" w:rsidP="00462022">
            <w:pPr>
              <w:tabs>
                <w:tab w:val="left" w:pos="426"/>
              </w:tabs>
              <w:jc w:val="center"/>
              <w:rPr>
                <w:color w:val="000000"/>
                <w:sz w:val="22"/>
                <w:szCs w:val="22"/>
              </w:rPr>
            </w:pPr>
            <w:r w:rsidRPr="00142780">
              <w:rPr>
                <w:color w:val="000000"/>
                <w:sz w:val="22"/>
                <w:szCs w:val="22"/>
              </w:rPr>
              <w:t>0.06</w:t>
            </w:r>
          </w:p>
        </w:tc>
        <w:tc>
          <w:tcPr>
            <w:tcW w:w="791" w:type="pct"/>
            <w:tcBorders>
              <w:top w:val="nil"/>
              <w:left w:val="nil"/>
              <w:bottom w:val="nil"/>
              <w:right w:val="nil"/>
            </w:tcBorders>
            <w:shd w:val="clear" w:color="auto" w:fill="auto"/>
            <w:noWrap/>
            <w:vAlign w:val="center"/>
            <w:hideMark/>
          </w:tcPr>
          <w:p w:rsidR="0082462D" w:rsidRPr="00142780" w:rsidRDefault="0082462D" w:rsidP="00462022">
            <w:pPr>
              <w:tabs>
                <w:tab w:val="left" w:pos="426"/>
              </w:tabs>
              <w:jc w:val="center"/>
              <w:rPr>
                <w:color w:val="000000"/>
                <w:sz w:val="22"/>
                <w:szCs w:val="22"/>
              </w:rPr>
            </w:pPr>
            <w:r w:rsidRPr="00142780">
              <w:rPr>
                <w:color w:val="000000"/>
                <w:sz w:val="22"/>
                <w:szCs w:val="22"/>
              </w:rPr>
              <w:t>0.47</w:t>
            </w:r>
          </w:p>
        </w:tc>
        <w:tc>
          <w:tcPr>
            <w:tcW w:w="791" w:type="pct"/>
            <w:tcBorders>
              <w:top w:val="nil"/>
              <w:left w:val="nil"/>
              <w:bottom w:val="nil"/>
              <w:right w:val="nil"/>
            </w:tcBorders>
            <w:shd w:val="clear" w:color="auto" w:fill="auto"/>
            <w:noWrap/>
            <w:vAlign w:val="center"/>
            <w:hideMark/>
          </w:tcPr>
          <w:p w:rsidR="0082462D" w:rsidRPr="00142780" w:rsidRDefault="0082462D" w:rsidP="00462022">
            <w:pPr>
              <w:tabs>
                <w:tab w:val="left" w:pos="426"/>
              </w:tabs>
              <w:jc w:val="center"/>
              <w:rPr>
                <w:color w:val="000000"/>
                <w:sz w:val="22"/>
                <w:szCs w:val="22"/>
              </w:rPr>
            </w:pPr>
            <w:r w:rsidRPr="00142780">
              <w:rPr>
                <w:color w:val="000000"/>
                <w:sz w:val="22"/>
                <w:szCs w:val="22"/>
              </w:rPr>
              <w:t>2959</w:t>
            </w:r>
          </w:p>
        </w:tc>
        <w:tc>
          <w:tcPr>
            <w:tcW w:w="791" w:type="pct"/>
            <w:tcBorders>
              <w:top w:val="nil"/>
              <w:left w:val="nil"/>
              <w:bottom w:val="nil"/>
              <w:right w:val="nil"/>
            </w:tcBorders>
            <w:shd w:val="clear" w:color="auto" w:fill="auto"/>
            <w:noWrap/>
            <w:vAlign w:val="center"/>
            <w:hideMark/>
          </w:tcPr>
          <w:p w:rsidR="0082462D" w:rsidRPr="00142780" w:rsidRDefault="0082462D" w:rsidP="00462022">
            <w:pPr>
              <w:tabs>
                <w:tab w:val="left" w:pos="426"/>
              </w:tabs>
              <w:jc w:val="center"/>
              <w:rPr>
                <w:color w:val="000000"/>
                <w:sz w:val="22"/>
                <w:szCs w:val="22"/>
              </w:rPr>
            </w:pPr>
            <w:r w:rsidRPr="00142780">
              <w:rPr>
                <w:color w:val="000000"/>
                <w:sz w:val="22"/>
                <w:szCs w:val="22"/>
              </w:rPr>
              <w:t>1.33</w:t>
            </w:r>
          </w:p>
        </w:tc>
        <w:tc>
          <w:tcPr>
            <w:tcW w:w="791" w:type="pct"/>
            <w:tcBorders>
              <w:top w:val="nil"/>
              <w:left w:val="nil"/>
              <w:bottom w:val="nil"/>
              <w:right w:val="nil"/>
            </w:tcBorders>
            <w:shd w:val="clear" w:color="auto" w:fill="auto"/>
            <w:noWrap/>
            <w:vAlign w:val="center"/>
            <w:hideMark/>
          </w:tcPr>
          <w:p w:rsidR="0082462D" w:rsidRPr="00142780" w:rsidRDefault="0082462D" w:rsidP="00462022">
            <w:pPr>
              <w:tabs>
                <w:tab w:val="left" w:pos="426"/>
              </w:tabs>
              <w:jc w:val="center"/>
              <w:rPr>
                <w:color w:val="000000"/>
                <w:sz w:val="22"/>
                <w:szCs w:val="22"/>
              </w:rPr>
            </w:pPr>
            <w:r w:rsidRPr="00142780">
              <w:rPr>
                <w:color w:val="000000"/>
                <w:sz w:val="22"/>
                <w:szCs w:val="22"/>
              </w:rPr>
              <w:t>1.43</w:t>
            </w:r>
          </w:p>
        </w:tc>
      </w:tr>
      <w:tr w:rsidR="0082462D" w:rsidRPr="00142780" w:rsidTr="002E79FE">
        <w:trPr>
          <w:trHeight w:val="300"/>
        </w:trPr>
        <w:tc>
          <w:tcPr>
            <w:tcW w:w="1044" w:type="pct"/>
            <w:tcBorders>
              <w:top w:val="nil"/>
              <w:left w:val="nil"/>
              <w:bottom w:val="nil"/>
              <w:right w:val="nil"/>
            </w:tcBorders>
            <w:shd w:val="clear" w:color="auto" w:fill="auto"/>
            <w:noWrap/>
            <w:vAlign w:val="center"/>
            <w:hideMark/>
          </w:tcPr>
          <w:p w:rsidR="0082462D" w:rsidRPr="00142780" w:rsidRDefault="0082462D" w:rsidP="00462022">
            <w:pPr>
              <w:tabs>
                <w:tab w:val="left" w:pos="426"/>
              </w:tabs>
              <w:rPr>
                <w:color w:val="000000"/>
                <w:sz w:val="22"/>
                <w:szCs w:val="22"/>
              </w:rPr>
            </w:pPr>
            <w:r w:rsidRPr="00142780">
              <w:rPr>
                <w:color w:val="000000"/>
                <w:sz w:val="22"/>
                <w:szCs w:val="22"/>
              </w:rPr>
              <w:t>Shandong</w:t>
            </w:r>
          </w:p>
        </w:tc>
        <w:tc>
          <w:tcPr>
            <w:tcW w:w="791" w:type="pct"/>
            <w:tcBorders>
              <w:top w:val="nil"/>
              <w:left w:val="nil"/>
              <w:bottom w:val="nil"/>
              <w:right w:val="nil"/>
            </w:tcBorders>
            <w:shd w:val="clear" w:color="auto" w:fill="auto"/>
            <w:noWrap/>
            <w:vAlign w:val="center"/>
            <w:hideMark/>
          </w:tcPr>
          <w:p w:rsidR="0082462D" w:rsidRPr="00142780" w:rsidRDefault="0082462D" w:rsidP="00462022">
            <w:pPr>
              <w:tabs>
                <w:tab w:val="left" w:pos="426"/>
              </w:tabs>
              <w:jc w:val="center"/>
              <w:rPr>
                <w:color w:val="000000"/>
                <w:sz w:val="22"/>
                <w:szCs w:val="22"/>
              </w:rPr>
            </w:pPr>
            <w:r w:rsidRPr="00142780">
              <w:rPr>
                <w:color w:val="000000"/>
                <w:sz w:val="22"/>
                <w:szCs w:val="22"/>
              </w:rPr>
              <w:t>0.06</w:t>
            </w:r>
          </w:p>
        </w:tc>
        <w:tc>
          <w:tcPr>
            <w:tcW w:w="791" w:type="pct"/>
            <w:tcBorders>
              <w:top w:val="nil"/>
              <w:left w:val="nil"/>
              <w:bottom w:val="nil"/>
              <w:right w:val="nil"/>
            </w:tcBorders>
            <w:shd w:val="clear" w:color="auto" w:fill="auto"/>
            <w:noWrap/>
            <w:vAlign w:val="center"/>
            <w:hideMark/>
          </w:tcPr>
          <w:p w:rsidR="0082462D" w:rsidRPr="00142780" w:rsidRDefault="0082462D" w:rsidP="00462022">
            <w:pPr>
              <w:tabs>
                <w:tab w:val="left" w:pos="426"/>
              </w:tabs>
              <w:jc w:val="center"/>
              <w:rPr>
                <w:color w:val="000000"/>
                <w:sz w:val="22"/>
                <w:szCs w:val="22"/>
              </w:rPr>
            </w:pPr>
            <w:r w:rsidRPr="00142780">
              <w:rPr>
                <w:color w:val="000000"/>
                <w:sz w:val="22"/>
                <w:szCs w:val="22"/>
              </w:rPr>
              <w:t>0.39</w:t>
            </w:r>
          </w:p>
        </w:tc>
        <w:tc>
          <w:tcPr>
            <w:tcW w:w="791" w:type="pct"/>
            <w:tcBorders>
              <w:top w:val="nil"/>
              <w:left w:val="nil"/>
              <w:bottom w:val="nil"/>
              <w:right w:val="nil"/>
            </w:tcBorders>
            <w:shd w:val="clear" w:color="auto" w:fill="auto"/>
            <w:noWrap/>
            <w:vAlign w:val="center"/>
            <w:hideMark/>
          </w:tcPr>
          <w:p w:rsidR="0082462D" w:rsidRPr="00142780" w:rsidRDefault="0082462D" w:rsidP="00462022">
            <w:pPr>
              <w:tabs>
                <w:tab w:val="left" w:pos="426"/>
              </w:tabs>
              <w:jc w:val="center"/>
              <w:rPr>
                <w:color w:val="000000"/>
                <w:sz w:val="22"/>
                <w:szCs w:val="22"/>
              </w:rPr>
            </w:pPr>
            <w:r w:rsidRPr="00142780">
              <w:rPr>
                <w:color w:val="000000"/>
                <w:sz w:val="22"/>
                <w:szCs w:val="22"/>
              </w:rPr>
              <w:t>3809</w:t>
            </w:r>
          </w:p>
        </w:tc>
        <w:tc>
          <w:tcPr>
            <w:tcW w:w="791" w:type="pct"/>
            <w:tcBorders>
              <w:top w:val="nil"/>
              <w:left w:val="nil"/>
              <w:bottom w:val="nil"/>
              <w:right w:val="nil"/>
            </w:tcBorders>
            <w:shd w:val="clear" w:color="auto" w:fill="auto"/>
            <w:noWrap/>
            <w:vAlign w:val="center"/>
            <w:hideMark/>
          </w:tcPr>
          <w:p w:rsidR="0082462D" w:rsidRPr="00142780" w:rsidRDefault="0082462D" w:rsidP="00462022">
            <w:pPr>
              <w:tabs>
                <w:tab w:val="left" w:pos="426"/>
              </w:tabs>
              <w:jc w:val="center"/>
              <w:rPr>
                <w:color w:val="000000"/>
                <w:sz w:val="22"/>
                <w:szCs w:val="22"/>
              </w:rPr>
            </w:pPr>
            <w:r w:rsidRPr="00142780">
              <w:rPr>
                <w:color w:val="000000"/>
                <w:sz w:val="22"/>
                <w:szCs w:val="22"/>
              </w:rPr>
              <w:t>1.30</w:t>
            </w:r>
          </w:p>
        </w:tc>
        <w:tc>
          <w:tcPr>
            <w:tcW w:w="791" w:type="pct"/>
            <w:tcBorders>
              <w:top w:val="nil"/>
              <w:left w:val="nil"/>
              <w:bottom w:val="nil"/>
              <w:right w:val="nil"/>
            </w:tcBorders>
            <w:shd w:val="clear" w:color="auto" w:fill="auto"/>
            <w:noWrap/>
            <w:vAlign w:val="center"/>
            <w:hideMark/>
          </w:tcPr>
          <w:p w:rsidR="0082462D" w:rsidRPr="00142780" w:rsidRDefault="0082462D" w:rsidP="00462022">
            <w:pPr>
              <w:tabs>
                <w:tab w:val="left" w:pos="426"/>
              </w:tabs>
              <w:jc w:val="center"/>
              <w:rPr>
                <w:color w:val="000000"/>
                <w:sz w:val="22"/>
                <w:szCs w:val="22"/>
              </w:rPr>
            </w:pPr>
            <w:r w:rsidRPr="00142780">
              <w:rPr>
                <w:color w:val="000000"/>
                <w:sz w:val="22"/>
                <w:szCs w:val="22"/>
              </w:rPr>
              <w:t>1.42</w:t>
            </w:r>
          </w:p>
        </w:tc>
      </w:tr>
      <w:tr w:rsidR="0082462D" w:rsidRPr="00142780" w:rsidTr="002E79FE">
        <w:trPr>
          <w:trHeight w:val="300"/>
        </w:trPr>
        <w:tc>
          <w:tcPr>
            <w:tcW w:w="1044" w:type="pct"/>
            <w:tcBorders>
              <w:top w:val="nil"/>
              <w:left w:val="nil"/>
              <w:bottom w:val="nil"/>
              <w:right w:val="nil"/>
            </w:tcBorders>
            <w:shd w:val="clear" w:color="auto" w:fill="auto"/>
            <w:noWrap/>
            <w:vAlign w:val="center"/>
            <w:hideMark/>
          </w:tcPr>
          <w:p w:rsidR="0082462D" w:rsidRPr="00142780" w:rsidRDefault="0082462D" w:rsidP="00462022">
            <w:pPr>
              <w:tabs>
                <w:tab w:val="left" w:pos="426"/>
              </w:tabs>
              <w:rPr>
                <w:color w:val="000000"/>
                <w:sz w:val="22"/>
                <w:szCs w:val="22"/>
              </w:rPr>
            </w:pPr>
            <w:r w:rsidRPr="00142780">
              <w:rPr>
                <w:color w:val="000000"/>
                <w:sz w:val="22"/>
                <w:szCs w:val="22"/>
              </w:rPr>
              <w:t>Henan</w:t>
            </w:r>
          </w:p>
        </w:tc>
        <w:tc>
          <w:tcPr>
            <w:tcW w:w="791" w:type="pct"/>
            <w:tcBorders>
              <w:top w:val="nil"/>
              <w:left w:val="nil"/>
              <w:bottom w:val="nil"/>
              <w:right w:val="nil"/>
            </w:tcBorders>
            <w:shd w:val="clear" w:color="auto" w:fill="auto"/>
            <w:noWrap/>
            <w:vAlign w:val="center"/>
            <w:hideMark/>
          </w:tcPr>
          <w:p w:rsidR="0082462D" w:rsidRPr="00142780" w:rsidRDefault="0082462D" w:rsidP="00462022">
            <w:pPr>
              <w:tabs>
                <w:tab w:val="left" w:pos="426"/>
              </w:tabs>
              <w:jc w:val="center"/>
              <w:rPr>
                <w:color w:val="000000"/>
                <w:sz w:val="22"/>
                <w:szCs w:val="22"/>
              </w:rPr>
            </w:pPr>
            <w:r w:rsidRPr="00142780">
              <w:rPr>
                <w:color w:val="000000"/>
                <w:sz w:val="22"/>
                <w:szCs w:val="22"/>
              </w:rPr>
              <w:t>0.07</w:t>
            </w:r>
          </w:p>
        </w:tc>
        <w:tc>
          <w:tcPr>
            <w:tcW w:w="791" w:type="pct"/>
            <w:tcBorders>
              <w:top w:val="nil"/>
              <w:left w:val="nil"/>
              <w:bottom w:val="nil"/>
              <w:right w:val="nil"/>
            </w:tcBorders>
            <w:shd w:val="clear" w:color="auto" w:fill="auto"/>
            <w:noWrap/>
            <w:vAlign w:val="center"/>
            <w:hideMark/>
          </w:tcPr>
          <w:p w:rsidR="0082462D" w:rsidRPr="00142780" w:rsidRDefault="0082462D" w:rsidP="00462022">
            <w:pPr>
              <w:tabs>
                <w:tab w:val="left" w:pos="426"/>
              </w:tabs>
              <w:jc w:val="center"/>
              <w:rPr>
                <w:color w:val="000000"/>
                <w:sz w:val="22"/>
                <w:szCs w:val="22"/>
              </w:rPr>
            </w:pPr>
            <w:r w:rsidRPr="00142780">
              <w:rPr>
                <w:color w:val="000000"/>
                <w:sz w:val="22"/>
                <w:szCs w:val="22"/>
              </w:rPr>
              <w:t>0.44</w:t>
            </w:r>
          </w:p>
        </w:tc>
        <w:tc>
          <w:tcPr>
            <w:tcW w:w="791" w:type="pct"/>
            <w:tcBorders>
              <w:top w:val="nil"/>
              <w:left w:val="nil"/>
              <w:bottom w:val="nil"/>
              <w:right w:val="nil"/>
            </w:tcBorders>
            <w:shd w:val="clear" w:color="auto" w:fill="auto"/>
            <w:noWrap/>
            <w:vAlign w:val="center"/>
            <w:hideMark/>
          </w:tcPr>
          <w:p w:rsidR="0082462D" w:rsidRPr="00142780" w:rsidRDefault="0082462D" w:rsidP="00462022">
            <w:pPr>
              <w:tabs>
                <w:tab w:val="left" w:pos="426"/>
              </w:tabs>
              <w:jc w:val="center"/>
              <w:rPr>
                <w:color w:val="000000"/>
                <w:sz w:val="22"/>
                <w:szCs w:val="22"/>
              </w:rPr>
            </w:pPr>
            <w:r w:rsidRPr="00142780">
              <w:rPr>
                <w:color w:val="000000"/>
                <w:sz w:val="22"/>
                <w:szCs w:val="22"/>
              </w:rPr>
              <w:t>2856</w:t>
            </w:r>
          </w:p>
        </w:tc>
        <w:tc>
          <w:tcPr>
            <w:tcW w:w="791" w:type="pct"/>
            <w:tcBorders>
              <w:top w:val="nil"/>
              <w:left w:val="nil"/>
              <w:bottom w:val="nil"/>
              <w:right w:val="nil"/>
            </w:tcBorders>
            <w:shd w:val="clear" w:color="auto" w:fill="auto"/>
            <w:noWrap/>
            <w:vAlign w:val="center"/>
            <w:hideMark/>
          </w:tcPr>
          <w:p w:rsidR="0082462D" w:rsidRPr="00142780" w:rsidRDefault="0082462D" w:rsidP="00462022">
            <w:pPr>
              <w:tabs>
                <w:tab w:val="left" w:pos="426"/>
              </w:tabs>
              <w:jc w:val="center"/>
              <w:rPr>
                <w:color w:val="000000"/>
                <w:sz w:val="22"/>
                <w:szCs w:val="22"/>
              </w:rPr>
            </w:pPr>
            <w:r w:rsidRPr="00142780">
              <w:rPr>
                <w:color w:val="000000"/>
                <w:sz w:val="22"/>
                <w:szCs w:val="22"/>
              </w:rPr>
              <w:t>1.37</w:t>
            </w:r>
          </w:p>
        </w:tc>
        <w:tc>
          <w:tcPr>
            <w:tcW w:w="791" w:type="pct"/>
            <w:tcBorders>
              <w:top w:val="nil"/>
              <w:left w:val="nil"/>
              <w:bottom w:val="nil"/>
              <w:right w:val="nil"/>
            </w:tcBorders>
            <w:shd w:val="clear" w:color="auto" w:fill="auto"/>
            <w:noWrap/>
            <w:vAlign w:val="center"/>
            <w:hideMark/>
          </w:tcPr>
          <w:p w:rsidR="0082462D" w:rsidRPr="00142780" w:rsidRDefault="0082462D" w:rsidP="00462022">
            <w:pPr>
              <w:tabs>
                <w:tab w:val="left" w:pos="426"/>
              </w:tabs>
              <w:jc w:val="center"/>
              <w:rPr>
                <w:color w:val="000000"/>
                <w:sz w:val="22"/>
                <w:szCs w:val="22"/>
              </w:rPr>
            </w:pPr>
            <w:r w:rsidRPr="00142780">
              <w:rPr>
                <w:color w:val="000000"/>
                <w:sz w:val="22"/>
                <w:szCs w:val="22"/>
              </w:rPr>
              <w:t>1.50</w:t>
            </w:r>
          </w:p>
        </w:tc>
      </w:tr>
      <w:tr w:rsidR="0082462D" w:rsidRPr="00142780" w:rsidTr="002E79FE">
        <w:trPr>
          <w:trHeight w:val="300"/>
        </w:trPr>
        <w:tc>
          <w:tcPr>
            <w:tcW w:w="1044" w:type="pct"/>
            <w:tcBorders>
              <w:top w:val="nil"/>
              <w:left w:val="nil"/>
              <w:bottom w:val="nil"/>
              <w:right w:val="nil"/>
            </w:tcBorders>
            <w:shd w:val="clear" w:color="auto" w:fill="auto"/>
            <w:noWrap/>
            <w:vAlign w:val="center"/>
            <w:hideMark/>
          </w:tcPr>
          <w:p w:rsidR="0082462D" w:rsidRPr="00142780" w:rsidRDefault="0082462D" w:rsidP="00462022">
            <w:pPr>
              <w:tabs>
                <w:tab w:val="left" w:pos="426"/>
              </w:tabs>
              <w:rPr>
                <w:color w:val="000000"/>
                <w:sz w:val="22"/>
                <w:szCs w:val="22"/>
              </w:rPr>
            </w:pPr>
            <w:r w:rsidRPr="00142780">
              <w:rPr>
                <w:color w:val="000000"/>
                <w:sz w:val="22"/>
                <w:szCs w:val="22"/>
              </w:rPr>
              <w:t>Hubei</w:t>
            </w:r>
          </w:p>
        </w:tc>
        <w:tc>
          <w:tcPr>
            <w:tcW w:w="791" w:type="pct"/>
            <w:tcBorders>
              <w:top w:val="nil"/>
              <w:left w:val="nil"/>
              <w:bottom w:val="nil"/>
              <w:right w:val="nil"/>
            </w:tcBorders>
            <w:shd w:val="clear" w:color="auto" w:fill="auto"/>
            <w:noWrap/>
            <w:vAlign w:val="center"/>
            <w:hideMark/>
          </w:tcPr>
          <w:p w:rsidR="0082462D" w:rsidRPr="00142780" w:rsidRDefault="0082462D" w:rsidP="00462022">
            <w:pPr>
              <w:tabs>
                <w:tab w:val="left" w:pos="426"/>
              </w:tabs>
              <w:jc w:val="center"/>
              <w:rPr>
                <w:color w:val="000000"/>
                <w:sz w:val="22"/>
                <w:szCs w:val="22"/>
              </w:rPr>
            </w:pPr>
            <w:r w:rsidRPr="00142780">
              <w:rPr>
                <w:color w:val="000000"/>
                <w:sz w:val="22"/>
                <w:szCs w:val="22"/>
              </w:rPr>
              <w:t>0.07</w:t>
            </w:r>
          </w:p>
        </w:tc>
        <w:tc>
          <w:tcPr>
            <w:tcW w:w="791" w:type="pct"/>
            <w:tcBorders>
              <w:top w:val="nil"/>
              <w:left w:val="nil"/>
              <w:bottom w:val="nil"/>
              <w:right w:val="nil"/>
            </w:tcBorders>
            <w:shd w:val="clear" w:color="auto" w:fill="auto"/>
            <w:noWrap/>
            <w:vAlign w:val="center"/>
            <w:hideMark/>
          </w:tcPr>
          <w:p w:rsidR="0082462D" w:rsidRPr="00142780" w:rsidRDefault="0082462D" w:rsidP="00462022">
            <w:pPr>
              <w:tabs>
                <w:tab w:val="left" w:pos="426"/>
              </w:tabs>
              <w:jc w:val="center"/>
              <w:rPr>
                <w:color w:val="000000"/>
                <w:sz w:val="22"/>
                <w:szCs w:val="22"/>
              </w:rPr>
            </w:pPr>
            <w:r w:rsidRPr="00142780">
              <w:rPr>
                <w:color w:val="000000"/>
                <w:sz w:val="22"/>
                <w:szCs w:val="22"/>
              </w:rPr>
              <w:t>0.46</w:t>
            </w:r>
          </w:p>
        </w:tc>
        <w:tc>
          <w:tcPr>
            <w:tcW w:w="791" w:type="pct"/>
            <w:tcBorders>
              <w:top w:val="nil"/>
              <w:left w:val="nil"/>
              <w:bottom w:val="nil"/>
              <w:right w:val="nil"/>
            </w:tcBorders>
            <w:shd w:val="clear" w:color="auto" w:fill="auto"/>
            <w:noWrap/>
            <w:vAlign w:val="center"/>
            <w:hideMark/>
          </w:tcPr>
          <w:p w:rsidR="0082462D" w:rsidRPr="00142780" w:rsidRDefault="0082462D" w:rsidP="00462022">
            <w:pPr>
              <w:tabs>
                <w:tab w:val="left" w:pos="426"/>
              </w:tabs>
              <w:jc w:val="center"/>
              <w:rPr>
                <w:color w:val="000000"/>
                <w:sz w:val="22"/>
                <w:szCs w:val="22"/>
              </w:rPr>
            </w:pPr>
            <w:r w:rsidRPr="00142780">
              <w:rPr>
                <w:color w:val="000000"/>
                <w:sz w:val="22"/>
                <w:szCs w:val="22"/>
              </w:rPr>
              <w:t>3506</w:t>
            </w:r>
          </w:p>
        </w:tc>
        <w:tc>
          <w:tcPr>
            <w:tcW w:w="791" w:type="pct"/>
            <w:tcBorders>
              <w:top w:val="nil"/>
              <w:left w:val="nil"/>
              <w:bottom w:val="nil"/>
              <w:right w:val="nil"/>
            </w:tcBorders>
            <w:shd w:val="clear" w:color="auto" w:fill="auto"/>
            <w:noWrap/>
            <w:vAlign w:val="center"/>
            <w:hideMark/>
          </w:tcPr>
          <w:p w:rsidR="0082462D" w:rsidRPr="00142780" w:rsidRDefault="0082462D" w:rsidP="00462022">
            <w:pPr>
              <w:tabs>
                <w:tab w:val="left" w:pos="426"/>
              </w:tabs>
              <w:jc w:val="center"/>
              <w:rPr>
                <w:color w:val="000000"/>
                <w:sz w:val="22"/>
                <w:szCs w:val="22"/>
              </w:rPr>
            </w:pPr>
            <w:r w:rsidRPr="00142780">
              <w:rPr>
                <w:color w:val="000000"/>
                <w:sz w:val="22"/>
                <w:szCs w:val="22"/>
              </w:rPr>
              <w:t>1.32</w:t>
            </w:r>
          </w:p>
        </w:tc>
        <w:tc>
          <w:tcPr>
            <w:tcW w:w="791" w:type="pct"/>
            <w:tcBorders>
              <w:top w:val="nil"/>
              <w:left w:val="nil"/>
              <w:bottom w:val="nil"/>
              <w:right w:val="nil"/>
            </w:tcBorders>
            <w:shd w:val="clear" w:color="auto" w:fill="auto"/>
            <w:noWrap/>
            <w:vAlign w:val="center"/>
            <w:hideMark/>
          </w:tcPr>
          <w:p w:rsidR="0082462D" w:rsidRPr="00142780" w:rsidRDefault="0082462D" w:rsidP="00462022">
            <w:pPr>
              <w:tabs>
                <w:tab w:val="left" w:pos="426"/>
              </w:tabs>
              <w:jc w:val="center"/>
              <w:rPr>
                <w:color w:val="000000"/>
                <w:sz w:val="22"/>
                <w:szCs w:val="22"/>
              </w:rPr>
            </w:pPr>
            <w:r w:rsidRPr="00142780">
              <w:rPr>
                <w:color w:val="000000"/>
                <w:sz w:val="22"/>
                <w:szCs w:val="22"/>
              </w:rPr>
              <w:t>1.35</w:t>
            </w:r>
          </w:p>
        </w:tc>
      </w:tr>
      <w:tr w:rsidR="0082462D" w:rsidRPr="00142780" w:rsidTr="002E79FE">
        <w:trPr>
          <w:trHeight w:val="300"/>
        </w:trPr>
        <w:tc>
          <w:tcPr>
            <w:tcW w:w="1044" w:type="pct"/>
            <w:tcBorders>
              <w:top w:val="nil"/>
              <w:left w:val="nil"/>
              <w:bottom w:val="nil"/>
              <w:right w:val="nil"/>
            </w:tcBorders>
            <w:shd w:val="clear" w:color="auto" w:fill="auto"/>
            <w:noWrap/>
            <w:vAlign w:val="center"/>
            <w:hideMark/>
          </w:tcPr>
          <w:p w:rsidR="0082462D" w:rsidRPr="00142780" w:rsidRDefault="0082462D" w:rsidP="00462022">
            <w:pPr>
              <w:tabs>
                <w:tab w:val="left" w:pos="426"/>
              </w:tabs>
              <w:rPr>
                <w:color w:val="000000"/>
                <w:sz w:val="22"/>
                <w:szCs w:val="22"/>
              </w:rPr>
            </w:pPr>
            <w:r w:rsidRPr="00142780">
              <w:rPr>
                <w:color w:val="000000"/>
                <w:sz w:val="22"/>
                <w:szCs w:val="22"/>
              </w:rPr>
              <w:t>Hunan</w:t>
            </w:r>
          </w:p>
        </w:tc>
        <w:tc>
          <w:tcPr>
            <w:tcW w:w="791" w:type="pct"/>
            <w:tcBorders>
              <w:top w:val="nil"/>
              <w:left w:val="nil"/>
              <w:bottom w:val="nil"/>
              <w:right w:val="nil"/>
            </w:tcBorders>
            <w:shd w:val="clear" w:color="auto" w:fill="auto"/>
            <w:noWrap/>
            <w:vAlign w:val="center"/>
            <w:hideMark/>
          </w:tcPr>
          <w:p w:rsidR="0082462D" w:rsidRPr="00142780" w:rsidRDefault="0082462D" w:rsidP="00462022">
            <w:pPr>
              <w:tabs>
                <w:tab w:val="left" w:pos="426"/>
              </w:tabs>
              <w:jc w:val="center"/>
              <w:rPr>
                <w:color w:val="000000"/>
                <w:sz w:val="22"/>
                <w:szCs w:val="22"/>
              </w:rPr>
            </w:pPr>
            <w:r w:rsidRPr="00142780">
              <w:rPr>
                <w:color w:val="000000"/>
                <w:sz w:val="22"/>
                <w:szCs w:val="22"/>
              </w:rPr>
              <w:t>0.07</w:t>
            </w:r>
          </w:p>
        </w:tc>
        <w:tc>
          <w:tcPr>
            <w:tcW w:w="791" w:type="pct"/>
            <w:tcBorders>
              <w:top w:val="nil"/>
              <w:left w:val="nil"/>
              <w:bottom w:val="nil"/>
              <w:right w:val="nil"/>
            </w:tcBorders>
            <w:shd w:val="clear" w:color="auto" w:fill="auto"/>
            <w:noWrap/>
            <w:vAlign w:val="center"/>
            <w:hideMark/>
          </w:tcPr>
          <w:p w:rsidR="0082462D" w:rsidRPr="00142780" w:rsidRDefault="0082462D" w:rsidP="00462022">
            <w:pPr>
              <w:tabs>
                <w:tab w:val="left" w:pos="426"/>
              </w:tabs>
              <w:jc w:val="center"/>
              <w:rPr>
                <w:color w:val="000000"/>
                <w:sz w:val="22"/>
                <w:szCs w:val="22"/>
              </w:rPr>
            </w:pPr>
            <w:r w:rsidRPr="00142780">
              <w:rPr>
                <w:color w:val="000000"/>
                <w:sz w:val="22"/>
                <w:szCs w:val="22"/>
              </w:rPr>
              <w:t>0.47</w:t>
            </w:r>
          </w:p>
        </w:tc>
        <w:tc>
          <w:tcPr>
            <w:tcW w:w="791" w:type="pct"/>
            <w:tcBorders>
              <w:top w:val="nil"/>
              <w:left w:val="nil"/>
              <w:bottom w:val="nil"/>
              <w:right w:val="nil"/>
            </w:tcBorders>
            <w:shd w:val="clear" w:color="auto" w:fill="auto"/>
            <w:noWrap/>
            <w:vAlign w:val="center"/>
            <w:hideMark/>
          </w:tcPr>
          <w:p w:rsidR="0082462D" w:rsidRPr="00142780" w:rsidRDefault="0082462D" w:rsidP="00462022">
            <w:pPr>
              <w:tabs>
                <w:tab w:val="left" w:pos="426"/>
              </w:tabs>
              <w:jc w:val="center"/>
              <w:rPr>
                <w:color w:val="000000"/>
                <w:sz w:val="22"/>
                <w:szCs w:val="22"/>
              </w:rPr>
            </w:pPr>
            <w:r w:rsidRPr="00142780">
              <w:rPr>
                <w:color w:val="000000"/>
                <w:sz w:val="22"/>
                <w:szCs w:val="22"/>
              </w:rPr>
              <w:t>3014</w:t>
            </w:r>
          </w:p>
        </w:tc>
        <w:tc>
          <w:tcPr>
            <w:tcW w:w="791" w:type="pct"/>
            <w:tcBorders>
              <w:top w:val="nil"/>
              <w:left w:val="nil"/>
              <w:bottom w:val="nil"/>
              <w:right w:val="nil"/>
            </w:tcBorders>
            <w:shd w:val="clear" w:color="auto" w:fill="auto"/>
            <w:noWrap/>
            <w:vAlign w:val="center"/>
            <w:hideMark/>
          </w:tcPr>
          <w:p w:rsidR="0082462D" w:rsidRPr="00142780" w:rsidRDefault="0082462D" w:rsidP="00462022">
            <w:pPr>
              <w:tabs>
                <w:tab w:val="left" w:pos="426"/>
              </w:tabs>
              <w:jc w:val="center"/>
              <w:rPr>
                <w:color w:val="000000"/>
                <w:sz w:val="22"/>
                <w:szCs w:val="22"/>
              </w:rPr>
            </w:pPr>
            <w:r w:rsidRPr="00142780">
              <w:rPr>
                <w:color w:val="000000"/>
                <w:sz w:val="22"/>
                <w:szCs w:val="22"/>
              </w:rPr>
              <w:t>1.35</w:t>
            </w:r>
          </w:p>
        </w:tc>
        <w:tc>
          <w:tcPr>
            <w:tcW w:w="791" w:type="pct"/>
            <w:tcBorders>
              <w:top w:val="nil"/>
              <w:left w:val="nil"/>
              <w:bottom w:val="nil"/>
              <w:right w:val="nil"/>
            </w:tcBorders>
            <w:shd w:val="clear" w:color="auto" w:fill="auto"/>
            <w:noWrap/>
            <w:vAlign w:val="center"/>
            <w:hideMark/>
          </w:tcPr>
          <w:p w:rsidR="0082462D" w:rsidRPr="00142780" w:rsidRDefault="0082462D" w:rsidP="00462022">
            <w:pPr>
              <w:tabs>
                <w:tab w:val="left" w:pos="426"/>
              </w:tabs>
              <w:jc w:val="center"/>
              <w:rPr>
                <w:color w:val="000000"/>
                <w:sz w:val="22"/>
                <w:szCs w:val="22"/>
              </w:rPr>
            </w:pPr>
            <w:r w:rsidRPr="00142780">
              <w:rPr>
                <w:color w:val="000000"/>
                <w:sz w:val="22"/>
                <w:szCs w:val="22"/>
              </w:rPr>
              <w:t>1.24</w:t>
            </w:r>
          </w:p>
        </w:tc>
      </w:tr>
      <w:tr w:rsidR="0082462D" w:rsidRPr="00142780" w:rsidTr="002E79FE">
        <w:trPr>
          <w:trHeight w:val="300"/>
        </w:trPr>
        <w:tc>
          <w:tcPr>
            <w:tcW w:w="1044" w:type="pct"/>
            <w:tcBorders>
              <w:top w:val="nil"/>
              <w:left w:val="nil"/>
              <w:bottom w:val="nil"/>
              <w:right w:val="nil"/>
            </w:tcBorders>
            <w:shd w:val="clear" w:color="auto" w:fill="auto"/>
            <w:noWrap/>
            <w:vAlign w:val="center"/>
            <w:hideMark/>
          </w:tcPr>
          <w:p w:rsidR="0082462D" w:rsidRPr="00142780" w:rsidRDefault="0082462D" w:rsidP="00462022">
            <w:pPr>
              <w:tabs>
                <w:tab w:val="left" w:pos="426"/>
              </w:tabs>
              <w:rPr>
                <w:color w:val="000000"/>
                <w:sz w:val="22"/>
                <w:szCs w:val="22"/>
              </w:rPr>
            </w:pPr>
            <w:r w:rsidRPr="00142780">
              <w:rPr>
                <w:color w:val="000000"/>
                <w:sz w:val="22"/>
                <w:szCs w:val="22"/>
              </w:rPr>
              <w:t>Guangdong</w:t>
            </w:r>
          </w:p>
        </w:tc>
        <w:tc>
          <w:tcPr>
            <w:tcW w:w="791" w:type="pct"/>
            <w:tcBorders>
              <w:top w:val="nil"/>
              <w:left w:val="nil"/>
              <w:bottom w:val="nil"/>
              <w:right w:val="nil"/>
            </w:tcBorders>
            <w:shd w:val="clear" w:color="auto" w:fill="auto"/>
            <w:noWrap/>
            <w:vAlign w:val="center"/>
            <w:hideMark/>
          </w:tcPr>
          <w:p w:rsidR="0082462D" w:rsidRPr="00142780" w:rsidRDefault="0082462D" w:rsidP="00462022">
            <w:pPr>
              <w:tabs>
                <w:tab w:val="left" w:pos="426"/>
              </w:tabs>
              <w:jc w:val="center"/>
              <w:rPr>
                <w:color w:val="000000"/>
                <w:sz w:val="22"/>
                <w:szCs w:val="22"/>
              </w:rPr>
            </w:pPr>
            <w:r w:rsidRPr="00142780">
              <w:rPr>
                <w:color w:val="000000"/>
                <w:sz w:val="22"/>
                <w:szCs w:val="22"/>
              </w:rPr>
              <w:t>0.06</w:t>
            </w:r>
          </w:p>
        </w:tc>
        <w:tc>
          <w:tcPr>
            <w:tcW w:w="791" w:type="pct"/>
            <w:tcBorders>
              <w:top w:val="nil"/>
              <w:left w:val="nil"/>
              <w:bottom w:val="nil"/>
              <w:right w:val="nil"/>
            </w:tcBorders>
            <w:shd w:val="clear" w:color="auto" w:fill="auto"/>
            <w:noWrap/>
            <w:vAlign w:val="center"/>
            <w:hideMark/>
          </w:tcPr>
          <w:p w:rsidR="0082462D" w:rsidRPr="00142780" w:rsidRDefault="0082462D" w:rsidP="00462022">
            <w:pPr>
              <w:tabs>
                <w:tab w:val="left" w:pos="426"/>
              </w:tabs>
              <w:jc w:val="center"/>
              <w:rPr>
                <w:color w:val="000000"/>
                <w:sz w:val="22"/>
                <w:szCs w:val="22"/>
              </w:rPr>
            </w:pPr>
            <w:r w:rsidRPr="00142780">
              <w:rPr>
                <w:color w:val="000000"/>
                <w:sz w:val="22"/>
                <w:szCs w:val="22"/>
              </w:rPr>
              <w:t>0.47</w:t>
            </w:r>
          </w:p>
        </w:tc>
        <w:tc>
          <w:tcPr>
            <w:tcW w:w="791" w:type="pct"/>
            <w:tcBorders>
              <w:top w:val="nil"/>
              <w:left w:val="nil"/>
              <w:bottom w:val="nil"/>
              <w:right w:val="nil"/>
            </w:tcBorders>
            <w:shd w:val="clear" w:color="auto" w:fill="auto"/>
            <w:noWrap/>
            <w:vAlign w:val="center"/>
            <w:hideMark/>
          </w:tcPr>
          <w:p w:rsidR="0082462D" w:rsidRPr="00142780" w:rsidRDefault="0082462D" w:rsidP="00462022">
            <w:pPr>
              <w:tabs>
                <w:tab w:val="left" w:pos="426"/>
              </w:tabs>
              <w:jc w:val="center"/>
              <w:rPr>
                <w:color w:val="000000"/>
                <w:sz w:val="22"/>
                <w:szCs w:val="22"/>
              </w:rPr>
            </w:pPr>
            <w:r w:rsidRPr="00142780">
              <w:rPr>
                <w:color w:val="000000"/>
                <w:sz w:val="22"/>
                <w:szCs w:val="22"/>
              </w:rPr>
              <w:t>7004</w:t>
            </w:r>
          </w:p>
        </w:tc>
        <w:tc>
          <w:tcPr>
            <w:tcW w:w="791" w:type="pct"/>
            <w:tcBorders>
              <w:top w:val="nil"/>
              <w:left w:val="nil"/>
              <w:bottom w:val="nil"/>
              <w:right w:val="nil"/>
            </w:tcBorders>
            <w:shd w:val="clear" w:color="auto" w:fill="auto"/>
            <w:noWrap/>
            <w:vAlign w:val="center"/>
            <w:hideMark/>
          </w:tcPr>
          <w:p w:rsidR="0082462D" w:rsidRPr="00142780" w:rsidRDefault="0082462D" w:rsidP="00462022">
            <w:pPr>
              <w:tabs>
                <w:tab w:val="left" w:pos="426"/>
              </w:tabs>
              <w:jc w:val="center"/>
              <w:rPr>
                <w:color w:val="000000"/>
                <w:sz w:val="22"/>
                <w:szCs w:val="22"/>
              </w:rPr>
            </w:pPr>
            <w:r w:rsidRPr="00142780">
              <w:rPr>
                <w:color w:val="000000"/>
                <w:sz w:val="22"/>
                <w:szCs w:val="22"/>
              </w:rPr>
              <w:t>1.16</w:t>
            </w:r>
          </w:p>
        </w:tc>
        <w:tc>
          <w:tcPr>
            <w:tcW w:w="791" w:type="pct"/>
            <w:tcBorders>
              <w:top w:val="nil"/>
              <w:left w:val="nil"/>
              <w:bottom w:val="nil"/>
              <w:right w:val="nil"/>
            </w:tcBorders>
            <w:shd w:val="clear" w:color="auto" w:fill="auto"/>
            <w:noWrap/>
            <w:vAlign w:val="center"/>
            <w:hideMark/>
          </w:tcPr>
          <w:p w:rsidR="0082462D" w:rsidRPr="00142780" w:rsidRDefault="0082462D" w:rsidP="00462022">
            <w:pPr>
              <w:tabs>
                <w:tab w:val="left" w:pos="426"/>
              </w:tabs>
              <w:jc w:val="center"/>
              <w:rPr>
                <w:color w:val="000000"/>
                <w:sz w:val="22"/>
                <w:szCs w:val="22"/>
              </w:rPr>
            </w:pPr>
            <w:r w:rsidRPr="00142780">
              <w:rPr>
                <w:color w:val="000000"/>
                <w:sz w:val="22"/>
                <w:szCs w:val="22"/>
              </w:rPr>
              <w:t>1.12</w:t>
            </w:r>
          </w:p>
        </w:tc>
      </w:tr>
      <w:tr w:rsidR="0082462D" w:rsidRPr="00142780" w:rsidTr="002E79FE">
        <w:trPr>
          <w:trHeight w:val="300"/>
        </w:trPr>
        <w:tc>
          <w:tcPr>
            <w:tcW w:w="1044" w:type="pct"/>
            <w:tcBorders>
              <w:top w:val="nil"/>
              <w:left w:val="nil"/>
              <w:bottom w:val="nil"/>
              <w:right w:val="nil"/>
            </w:tcBorders>
            <w:shd w:val="clear" w:color="auto" w:fill="auto"/>
            <w:noWrap/>
            <w:vAlign w:val="center"/>
            <w:hideMark/>
          </w:tcPr>
          <w:p w:rsidR="0082462D" w:rsidRPr="00142780" w:rsidRDefault="0082462D" w:rsidP="00462022">
            <w:pPr>
              <w:tabs>
                <w:tab w:val="left" w:pos="426"/>
              </w:tabs>
              <w:rPr>
                <w:color w:val="000000"/>
                <w:sz w:val="22"/>
                <w:szCs w:val="22"/>
              </w:rPr>
            </w:pPr>
            <w:r w:rsidRPr="00142780">
              <w:rPr>
                <w:color w:val="000000"/>
                <w:sz w:val="22"/>
                <w:szCs w:val="22"/>
              </w:rPr>
              <w:t>Guangxi</w:t>
            </w:r>
          </w:p>
        </w:tc>
        <w:tc>
          <w:tcPr>
            <w:tcW w:w="791" w:type="pct"/>
            <w:tcBorders>
              <w:top w:val="nil"/>
              <w:left w:val="nil"/>
              <w:bottom w:val="nil"/>
              <w:right w:val="nil"/>
            </w:tcBorders>
            <w:shd w:val="clear" w:color="auto" w:fill="auto"/>
            <w:noWrap/>
            <w:vAlign w:val="center"/>
            <w:hideMark/>
          </w:tcPr>
          <w:p w:rsidR="0082462D" w:rsidRPr="00142780" w:rsidRDefault="0082462D" w:rsidP="00462022">
            <w:pPr>
              <w:tabs>
                <w:tab w:val="left" w:pos="426"/>
              </w:tabs>
              <w:jc w:val="center"/>
              <w:rPr>
                <w:color w:val="000000"/>
                <w:sz w:val="22"/>
                <w:szCs w:val="22"/>
              </w:rPr>
            </w:pPr>
            <w:r w:rsidRPr="00142780">
              <w:rPr>
                <w:color w:val="000000"/>
                <w:sz w:val="22"/>
                <w:szCs w:val="22"/>
              </w:rPr>
              <w:t>0.09</w:t>
            </w:r>
          </w:p>
        </w:tc>
        <w:tc>
          <w:tcPr>
            <w:tcW w:w="791" w:type="pct"/>
            <w:tcBorders>
              <w:top w:val="nil"/>
              <w:left w:val="nil"/>
              <w:bottom w:val="nil"/>
              <w:right w:val="nil"/>
            </w:tcBorders>
            <w:shd w:val="clear" w:color="auto" w:fill="auto"/>
            <w:noWrap/>
            <w:vAlign w:val="center"/>
            <w:hideMark/>
          </w:tcPr>
          <w:p w:rsidR="0082462D" w:rsidRPr="00142780" w:rsidRDefault="0082462D" w:rsidP="00462022">
            <w:pPr>
              <w:tabs>
                <w:tab w:val="left" w:pos="426"/>
              </w:tabs>
              <w:jc w:val="center"/>
              <w:rPr>
                <w:color w:val="000000"/>
                <w:sz w:val="22"/>
                <w:szCs w:val="22"/>
              </w:rPr>
            </w:pPr>
            <w:r w:rsidRPr="00142780">
              <w:rPr>
                <w:color w:val="000000"/>
                <w:sz w:val="22"/>
                <w:szCs w:val="22"/>
              </w:rPr>
              <w:t>0.51</w:t>
            </w:r>
          </w:p>
        </w:tc>
        <w:tc>
          <w:tcPr>
            <w:tcW w:w="791" w:type="pct"/>
            <w:tcBorders>
              <w:top w:val="nil"/>
              <w:left w:val="nil"/>
              <w:bottom w:val="nil"/>
              <w:right w:val="nil"/>
            </w:tcBorders>
            <w:shd w:val="clear" w:color="auto" w:fill="auto"/>
            <w:noWrap/>
            <w:vAlign w:val="center"/>
            <w:hideMark/>
          </w:tcPr>
          <w:p w:rsidR="0082462D" w:rsidRPr="00142780" w:rsidRDefault="0082462D" w:rsidP="00462022">
            <w:pPr>
              <w:tabs>
                <w:tab w:val="left" w:pos="426"/>
              </w:tabs>
              <w:jc w:val="center"/>
              <w:rPr>
                <w:color w:val="000000"/>
                <w:sz w:val="22"/>
                <w:szCs w:val="22"/>
              </w:rPr>
            </w:pPr>
            <w:r w:rsidRPr="00142780">
              <w:rPr>
                <w:color w:val="000000"/>
                <w:sz w:val="22"/>
                <w:szCs w:val="22"/>
              </w:rPr>
              <w:t>3382</w:t>
            </w:r>
          </w:p>
        </w:tc>
        <w:tc>
          <w:tcPr>
            <w:tcW w:w="791" w:type="pct"/>
            <w:tcBorders>
              <w:top w:val="nil"/>
              <w:left w:val="nil"/>
              <w:bottom w:val="nil"/>
              <w:right w:val="nil"/>
            </w:tcBorders>
            <w:shd w:val="clear" w:color="auto" w:fill="auto"/>
            <w:noWrap/>
            <w:vAlign w:val="center"/>
            <w:hideMark/>
          </w:tcPr>
          <w:p w:rsidR="0082462D" w:rsidRPr="00142780" w:rsidRDefault="0082462D" w:rsidP="00462022">
            <w:pPr>
              <w:tabs>
                <w:tab w:val="left" w:pos="426"/>
              </w:tabs>
              <w:jc w:val="center"/>
              <w:rPr>
                <w:color w:val="000000"/>
                <w:sz w:val="22"/>
                <w:szCs w:val="22"/>
              </w:rPr>
            </w:pPr>
            <w:r w:rsidRPr="00142780">
              <w:rPr>
                <w:color w:val="000000"/>
                <w:sz w:val="22"/>
                <w:szCs w:val="22"/>
              </w:rPr>
              <w:t>1.35</w:t>
            </w:r>
          </w:p>
        </w:tc>
        <w:tc>
          <w:tcPr>
            <w:tcW w:w="791" w:type="pct"/>
            <w:tcBorders>
              <w:top w:val="nil"/>
              <w:left w:val="nil"/>
              <w:bottom w:val="nil"/>
              <w:right w:val="nil"/>
            </w:tcBorders>
            <w:shd w:val="clear" w:color="auto" w:fill="auto"/>
            <w:noWrap/>
            <w:vAlign w:val="center"/>
            <w:hideMark/>
          </w:tcPr>
          <w:p w:rsidR="0082462D" w:rsidRPr="00142780" w:rsidRDefault="0082462D" w:rsidP="00462022">
            <w:pPr>
              <w:tabs>
                <w:tab w:val="left" w:pos="426"/>
              </w:tabs>
              <w:jc w:val="center"/>
              <w:rPr>
                <w:color w:val="000000"/>
                <w:sz w:val="22"/>
                <w:szCs w:val="22"/>
              </w:rPr>
            </w:pPr>
            <w:r w:rsidRPr="00142780">
              <w:rPr>
                <w:color w:val="000000"/>
                <w:sz w:val="22"/>
                <w:szCs w:val="22"/>
              </w:rPr>
              <w:t>1.35</w:t>
            </w:r>
          </w:p>
        </w:tc>
      </w:tr>
      <w:tr w:rsidR="0082462D" w:rsidRPr="00142780" w:rsidTr="002E79FE">
        <w:trPr>
          <w:trHeight w:val="300"/>
        </w:trPr>
        <w:tc>
          <w:tcPr>
            <w:tcW w:w="1044" w:type="pct"/>
            <w:tcBorders>
              <w:top w:val="nil"/>
              <w:left w:val="nil"/>
              <w:bottom w:val="nil"/>
              <w:right w:val="nil"/>
            </w:tcBorders>
            <w:shd w:val="clear" w:color="auto" w:fill="auto"/>
            <w:noWrap/>
            <w:vAlign w:val="center"/>
            <w:hideMark/>
          </w:tcPr>
          <w:p w:rsidR="0082462D" w:rsidRPr="00142780" w:rsidRDefault="0082462D" w:rsidP="00462022">
            <w:pPr>
              <w:tabs>
                <w:tab w:val="left" w:pos="426"/>
              </w:tabs>
              <w:rPr>
                <w:color w:val="000000"/>
                <w:sz w:val="22"/>
                <w:szCs w:val="22"/>
              </w:rPr>
            </w:pPr>
            <w:r w:rsidRPr="00142780">
              <w:rPr>
                <w:color w:val="000000"/>
                <w:sz w:val="22"/>
                <w:szCs w:val="22"/>
              </w:rPr>
              <w:t>Hainan</w:t>
            </w:r>
          </w:p>
        </w:tc>
        <w:tc>
          <w:tcPr>
            <w:tcW w:w="791" w:type="pct"/>
            <w:tcBorders>
              <w:top w:val="nil"/>
              <w:left w:val="nil"/>
              <w:bottom w:val="nil"/>
              <w:right w:val="nil"/>
            </w:tcBorders>
            <w:shd w:val="clear" w:color="auto" w:fill="auto"/>
            <w:noWrap/>
            <w:vAlign w:val="center"/>
            <w:hideMark/>
          </w:tcPr>
          <w:p w:rsidR="0082462D" w:rsidRPr="00142780" w:rsidRDefault="0082462D" w:rsidP="00462022">
            <w:pPr>
              <w:tabs>
                <w:tab w:val="left" w:pos="426"/>
              </w:tabs>
              <w:jc w:val="center"/>
              <w:rPr>
                <w:color w:val="000000"/>
                <w:sz w:val="22"/>
                <w:szCs w:val="22"/>
              </w:rPr>
            </w:pPr>
            <w:r w:rsidRPr="00142780">
              <w:rPr>
                <w:color w:val="000000"/>
                <w:sz w:val="22"/>
                <w:szCs w:val="22"/>
              </w:rPr>
              <w:t>0.20</w:t>
            </w:r>
          </w:p>
        </w:tc>
        <w:tc>
          <w:tcPr>
            <w:tcW w:w="791" w:type="pct"/>
            <w:tcBorders>
              <w:top w:val="nil"/>
              <w:left w:val="nil"/>
              <w:bottom w:val="nil"/>
              <w:right w:val="nil"/>
            </w:tcBorders>
            <w:shd w:val="clear" w:color="auto" w:fill="auto"/>
            <w:noWrap/>
            <w:vAlign w:val="center"/>
            <w:hideMark/>
          </w:tcPr>
          <w:p w:rsidR="0082462D" w:rsidRPr="00142780" w:rsidRDefault="0082462D" w:rsidP="00462022">
            <w:pPr>
              <w:tabs>
                <w:tab w:val="left" w:pos="426"/>
              </w:tabs>
              <w:jc w:val="center"/>
              <w:rPr>
                <w:color w:val="000000"/>
                <w:sz w:val="22"/>
                <w:szCs w:val="22"/>
              </w:rPr>
            </w:pPr>
            <w:r w:rsidRPr="00142780">
              <w:rPr>
                <w:color w:val="000000"/>
                <w:sz w:val="22"/>
                <w:szCs w:val="22"/>
              </w:rPr>
              <w:t>0.46</w:t>
            </w:r>
          </w:p>
        </w:tc>
        <w:tc>
          <w:tcPr>
            <w:tcW w:w="791" w:type="pct"/>
            <w:tcBorders>
              <w:top w:val="nil"/>
              <w:left w:val="nil"/>
              <w:bottom w:val="nil"/>
              <w:right w:val="nil"/>
            </w:tcBorders>
            <w:shd w:val="clear" w:color="auto" w:fill="auto"/>
            <w:noWrap/>
            <w:vAlign w:val="center"/>
            <w:hideMark/>
          </w:tcPr>
          <w:p w:rsidR="0082462D" w:rsidRPr="00142780" w:rsidRDefault="0082462D" w:rsidP="00462022">
            <w:pPr>
              <w:tabs>
                <w:tab w:val="left" w:pos="426"/>
              </w:tabs>
              <w:jc w:val="center"/>
              <w:rPr>
                <w:color w:val="000000"/>
                <w:sz w:val="22"/>
                <w:szCs w:val="22"/>
              </w:rPr>
            </w:pPr>
            <w:r w:rsidRPr="00142780">
              <w:rPr>
                <w:color w:val="000000"/>
                <w:sz w:val="22"/>
                <w:szCs w:val="22"/>
              </w:rPr>
              <w:t>8800</w:t>
            </w:r>
          </w:p>
        </w:tc>
        <w:tc>
          <w:tcPr>
            <w:tcW w:w="791" w:type="pct"/>
            <w:tcBorders>
              <w:top w:val="nil"/>
              <w:left w:val="nil"/>
              <w:bottom w:val="nil"/>
              <w:right w:val="nil"/>
            </w:tcBorders>
            <w:shd w:val="clear" w:color="auto" w:fill="auto"/>
            <w:noWrap/>
            <w:vAlign w:val="center"/>
            <w:hideMark/>
          </w:tcPr>
          <w:p w:rsidR="0082462D" w:rsidRPr="00142780" w:rsidRDefault="0082462D" w:rsidP="00462022">
            <w:pPr>
              <w:tabs>
                <w:tab w:val="left" w:pos="426"/>
              </w:tabs>
              <w:jc w:val="center"/>
              <w:rPr>
                <w:color w:val="000000"/>
                <w:sz w:val="22"/>
                <w:szCs w:val="22"/>
              </w:rPr>
            </w:pPr>
            <w:r w:rsidRPr="00142780">
              <w:rPr>
                <w:color w:val="000000"/>
                <w:sz w:val="22"/>
                <w:szCs w:val="22"/>
              </w:rPr>
              <w:t>1.23</w:t>
            </w:r>
          </w:p>
        </w:tc>
        <w:tc>
          <w:tcPr>
            <w:tcW w:w="791" w:type="pct"/>
            <w:tcBorders>
              <w:top w:val="nil"/>
              <w:left w:val="nil"/>
              <w:bottom w:val="nil"/>
              <w:right w:val="nil"/>
            </w:tcBorders>
            <w:shd w:val="clear" w:color="auto" w:fill="auto"/>
            <w:noWrap/>
            <w:vAlign w:val="center"/>
            <w:hideMark/>
          </w:tcPr>
          <w:p w:rsidR="0082462D" w:rsidRPr="00142780" w:rsidRDefault="0082462D" w:rsidP="00462022">
            <w:pPr>
              <w:tabs>
                <w:tab w:val="left" w:pos="426"/>
              </w:tabs>
              <w:jc w:val="center"/>
              <w:rPr>
                <w:color w:val="000000"/>
                <w:sz w:val="22"/>
                <w:szCs w:val="22"/>
              </w:rPr>
            </w:pPr>
            <w:r w:rsidRPr="00142780">
              <w:rPr>
                <w:color w:val="000000"/>
                <w:sz w:val="22"/>
                <w:szCs w:val="22"/>
              </w:rPr>
              <w:t>1.09</w:t>
            </w:r>
          </w:p>
        </w:tc>
      </w:tr>
      <w:tr w:rsidR="0082462D" w:rsidRPr="00142780" w:rsidTr="002E79FE">
        <w:trPr>
          <w:trHeight w:val="300"/>
        </w:trPr>
        <w:tc>
          <w:tcPr>
            <w:tcW w:w="1044" w:type="pct"/>
            <w:tcBorders>
              <w:top w:val="nil"/>
              <w:left w:val="nil"/>
              <w:bottom w:val="nil"/>
              <w:right w:val="nil"/>
            </w:tcBorders>
            <w:shd w:val="clear" w:color="auto" w:fill="auto"/>
            <w:noWrap/>
            <w:vAlign w:val="center"/>
            <w:hideMark/>
          </w:tcPr>
          <w:p w:rsidR="0082462D" w:rsidRPr="00142780" w:rsidRDefault="0082462D" w:rsidP="00462022">
            <w:pPr>
              <w:tabs>
                <w:tab w:val="left" w:pos="426"/>
              </w:tabs>
              <w:rPr>
                <w:color w:val="000000"/>
                <w:sz w:val="22"/>
                <w:szCs w:val="22"/>
              </w:rPr>
            </w:pPr>
            <w:r w:rsidRPr="00142780">
              <w:rPr>
                <w:color w:val="000000"/>
                <w:sz w:val="22"/>
                <w:szCs w:val="22"/>
              </w:rPr>
              <w:t>Chongqing</w:t>
            </w:r>
          </w:p>
        </w:tc>
        <w:tc>
          <w:tcPr>
            <w:tcW w:w="791" w:type="pct"/>
            <w:tcBorders>
              <w:top w:val="nil"/>
              <w:left w:val="nil"/>
              <w:bottom w:val="nil"/>
              <w:right w:val="nil"/>
            </w:tcBorders>
            <w:shd w:val="clear" w:color="auto" w:fill="auto"/>
            <w:noWrap/>
            <w:vAlign w:val="center"/>
            <w:hideMark/>
          </w:tcPr>
          <w:p w:rsidR="0082462D" w:rsidRPr="00142780" w:rsidRDefault="0082462D" w:rsidP="00462022">
            <w:pPr>
              <w:tabs>
                <w:tab w:val="left" w:pos="426"/>
              </w:tabs>
              <w:jc w:val="center"/>
              <w:rPr>
                <w:color w:val="000000"/>
                <w:sz w:val="22"/>
                <w:szCs w:val="22"/>
              </w:rPr>
            </w:pPr>
            <w:r w:rsidRPr="00142780">
              <w:rPr>
                <w:color w:val="000000"/>
                <w:sz w:val="22"/>
                <w:szCs w:val="22"/>
              </w:rPr>
              <w:t>0.14</w:t>
            </w:r>
          </w:p>
        </w:tc>
        <w:tc>
          <w:tcPr>
            <w:tcW w:w="791" w:type="pct"/>
            <w:tcBorders>
              <w:top w:val="nil"/>
              <w:left w:val="nil"/>
              <w:bottom w:val="nil"/>
              <w:right w:val="nil"/>
            </w:tcBorders>
            <w:shd w:val="clear" w:color="auto" w:fill="auto"/>
            <w:noWrap/>
            <w:vAlign w:val="center"/>
            <w:hideMark/>
          </w:tcPr>
          <w:p w:rsidR="0082462D" w:rsidRPr="00142780" w:rsidRDefault="0082462D" w:rsidP="00462022">
            <w:pPr>
              <w:tabs>
                <w:tab w:val="left" w:pos="426"/>
              </w:tabs>
              <w:jc w:val="center"/>
              <w:rPr>
                <w:color w:val="000000"/>
                <w:sz w:val="22"/>
                <w:szCs w:val="22"/>
              </w:rPr>
            </w:pPr>
            <w:r w:rsidRPr="00142780">
              <w:rPr>
                <w:color w:val="000000"/>
                <w:sz w:val="22"/>
                <w:szCs w:val="22"/>
              </w:rPr>
              <w:t>0.48</w:t>
            </w:r>
          </w:p>
        </w:tc>
        <w:tc>
          <w:tcPr>
            <w:tcW w:w="791" w:type="pct"/>
            <w:tcBorders>
              <w:top w:val="nil"/>
              <w:left w:val="nil"/>
              <w:bottom w:val="nil"/>
              <w:right w:val="nil"/>
            </w:tcBorders>
            <w:shd w:val="clear" w:color="auto" w:fill="auto"/>
            <w:noWrap/>
            <w:vAlign w:val="center"/>
            <w:hideMark/>
          </w:tcPr>
          <w:p w:rsidR="0082462D" w:rsidRPr="00142780" w:rsidRDefault="0082462D" w:rsidP="00462022">
            <w:pPr>
              <w:tabs>
                <w:tab w:val="left" w:pos="426"/>
              </w:tabs>
              <w:jc w:val="center"/>
              <w:rPr>
                <w:color w:val="000000"/>
                <w:sz w:val="22"/>
                <w:szCs w:val="22"/>
              </w:rPr>
            </w:pPr>
            <w:r w:rsidRPr="00142780">
              <w:rPr>
                <w:color w:val="000000"/>
                <w:sz w:val="22"/>
                <w:szCs w:val="22"/>
              </w:rPr>
              <w:t>4040</w:t>
            </w:r>
          </w:p>
        </w:tc>
        <w:tc>
          <w:tcPr>
            <w:tcW w:w="791" w:type="pct"/>
            <w:tcBorders>
              <w:top w:val="nil"/>
              <w:left w:val="nil"/>
              <w:bottom w:val="nil"/>
              <w:right w:val="nil"/>
            </w:tcBorders>
            <w:shd w:val="clear" w:color="auto" w:fill="auto"/>
            <w:noWrap/>
            <w:vAlign w:val="center"/>
            <w:hideMark/>
          </w:tcPr>
          <w:p w:rsidR="0082462D" w:rsidRPr="00142780" w:rsidRDefault="0082462D" w:rsidP="00462022">
            <w:pPr>
              <w:tabs>
                <w:tab w:val="left" w:pos="426"/>
              </w:tabs>
              <w:jc w:val="center"/>
              <w:rPr>
                <w:color w:val="000000"/>
                <w:sz w:val="22"/>
                <w:szCs w:val="22"/>
              </w:rPr>
            </w:pPr>
            <w:r w:rsidRPr="00142780">
              <w:rPr>
                <w:color w:val="000000"/>
                <w:sz w:val="22"/>
                <w:szCs w:val="22"/>
              </w:rPr>
              <w:t>1.42</w:t>
            </w:r>
          </w:p>
        </w:tc>
        <w:tc>
          <w:tcPr>
            <w:tcW w:w="791" w:type="pct"/>
            <w:tcBorders>
              <w:top w:val="nil"/>
              <w:left w:val="nil"/>
              <w:bottom w:val="nil"/>
              <w:right w:val="nil"/>
            </w:tcBorders>
            <w:shd w:val="clear" w:color="auto" w:fill="auto"/>
            <w:noWrap/>
            <w:vAlign w:val="center"/>
            <w:hideMark/>
          </w:tcPr>
          <w:p w:rsidR="0082462D" w:rsidRPr="00142780" w:rsidRDefault="0082462D" w:rsidP="00462022">
            <w:pPr>
              <w:tabs>
                <w:tab w:val="left" w:pos="426"/>
              </w:tabs>
              <w:jc w:val="center"/>
              <w:rPr>
                <w:color w:val="000000"/>
                <w:sz w:val="22"/>
                <w:szCs w:val="22"/>
              </w:rPr>
            </w:pPr>
            <w:r w:rsidRPr="00142780">
              <w:rPr>
                <w:color w:val="000000"/>
                <w:sz w:val="22"/>
                <w:szCs w:val="22"/>
              </w:rPr>
              <w:t>1.64</w:t>
            </w:r>
          </w:p>
        </w:tc>
      </w:tr>
      <w:tr w:rsidR="0082462D" w:rsidRPr="00142780" w:rsidTr="002E79FE">
        <w:trPr>
          <w:trHeight w:val="300"/>
        </w:trPr>
        <w:tc>
          <w:tcPr>
            <w:tcW w:w="1044" w:type="pct"/>
            <w:tcBorders>
              <w:top w:val="nil"/>
              <w:left w:val="nil"/>
              <w:bottom w:val="nil"/>
              <w:right w:val="nil"/>
            </w:tcBorders>
            <w:shd w:val="clear" w:color="auto" w:fill="auto"/>
            <w:noWrap/>
            <w:vAlign w:val="center"/>
            <w:hideMark/>
          </w:tcPr>
          <w:p w:rsidR="0082462D" w:rsidRPr="00142780" w:rsidRDefault="0082462D" w:rsidP="00462022">
            <w:pPr>
              <w:tabs>
                <w:tab w:val="left" w:pos="426"/>
              </w:tabs>
              <w:rPr>
                <w:color w:val="000000"/>
                <w:sz w:val="22"/>
                <w:szCs w:val="22"/>
              </w:rPr>
            </w:pPr>
            <w:r w:rsidRPr="00142780">
              <w:rPr>
                <w:color w:val="000000"/>
                <w:sz w:val="22"/>
                <w:szCs w:val="22"/>
              </w:rPr>
              <w:t>Sichuan</w:t>
            </w:r>
          </w:p>
        </w:tc>
        <w:tc>
          <w:tcPr>
            <w:tcW w:w="791" w:type="pct"/>
            <w:tcBorders>
              <w:top w:val="nil"/>
              <w:left w:val="nil"/>
              <w:bottom w:val="nil"/>
              <w:right w:val="nil"/>
            </w:tcBorders>
            <w:shd w:val="clear" w:color="auto" w:fill="auto"/>
            <w:noWrap/>
            <w:vAlign w:val="center"/>
            <w:hideMark/>
          </w:tcPr>
          <w:p w:rsidR="0082462D" w:rsidRPr="00142780" w:rsidRDefault="0082462D" w:rsidP="00462022">
            <w:pPr>
              <w:tabs>
                <w:tab w:val="left" w:pos="426"/>
              </w:tabs>
              <w:jc w:val="center"/>
              <w:rPr>
                <w:color w:val="000000"/>
                <w:sz w:val="22"/>
                <w:szCs w:val="22"/>
              </w:rPr>
            </w:pPr>
            <w:r w:rsidRPr="00142780">
              <w:rPr>
                <w:color w:val="000000"/>
                <w:sz w:val="22"/>
                <w:szCs w:val="22"/>
              </w:rPr>
              <w:t>0.09</w:t>
            </w:r>
          </w:p>
        </w:tc>
        <w:tc>
          <w:tcPr>
            <w:tcW w:w="791" w:type="pct"/>
            <w:tcBorders>
              <w:top w:val="nil"/>
              <w:left w:val="nil"/>
              <w:bottom w:val="nil"/>
              <w:right w:val="nil"/>
            </w:tcBorders>
            <w:shd w:val="clear" w:color="auto" w:fill="auto"/>
            <w:noWrap/>
            <w:vAlign w:val="center"/>
            <w:hideMark/>
          </w:tcPr>
          <w:p w:rsidR="0082462D" w:rsidRPr="00142780" w:rsidRDefault="0082462D" w:rsidP="00462022">
            <w:pPr>
              <w:tabs>
                <w:tab w:val="left" w:pos="426"/>
              </w:tabs>
              <w:jc w:val="center"/>
              <w:rPr>
                <w:color w:val="000000"/>
                <w:sz w:val="22"/>
                <w:szCs w:val="22"/>
              </w:rPr>
            </w:pPr>
            <w:r w:rsidRPr="00142780">
              <w:rPr>
                <w:color w:val="000000"/>
                <w:sz w:val="22"/>
                <w:szCs w:val="22"/>
              </w:rPr>
              <w:t>0.50</w:t>
            </w:r>
          </w:p>
        </w:tc>
        <w:tc>
          <w:tcPr>
            <w:tcW w:w="791" w:type="pct"/>
            <w:tcBorders>
              <w:top w:val="nil"/>
              <w:left w:val="nil"/>
              <w:bottom w:val="nil"/>
              <w:right w:val="nil"/>
            </w:tcBorders>
            <w:shd w:val="clear" w:color="auto" w:fill="auto"/>
            <w:noWrap/>
            <w:vAlign w:val="center"/>
            <w:hideMark/>
          </w:tcPr>
          <w:p w:rsidR="0082462D" w:rsidRPr="00142780" w:rsidRDefault="0082462D" w:rsidP="00462022">
            <w:pPr>
              <w:tabs>
                <w:tab w:val="left" w:pos="426"/>
              </w:tabs>
              <w:jc w:val="center"/>
              <w:rPr>
                <w:color w:val="000000"/>
                <w:sz w:val="22"/>
                <w:szCs w:val="22"/>
              </w:rPr>
            </w:pPr>
            <w:r w:rsidRPr="00142780">
              <w:rPr>
                <w:color w:val="000000"/>
                <w:sz w:val="22"/>
                <w:szCs w:val="22"/>
              </w:rPr>
              <w:t>3985</w:t>
            </w:r>
          </w:p>
        </w:tc>
        <w:tc>
          <w:tcPr>
            <w:tcW w:w="791" w:type="pct"/>
            <w:tcBorders>
              <w:top w:val="nil"/>
              <w:left w:val="nil"/>
              <w:bottom w:val="nil"/>
              <w:right w:val="nil"/>
            </w:tcBorders>
            <w:shd w:val="clear" w:color="auto" w:fill="auto"/>
            <w:noWrap/>
            <w:vAlign w:val="center"/>
            <w:hideMark/>
          </w:tcPr>
          <w:p w:rsidR="0082462D" w:rsidRPr="00142780" w:rsidRDefault="0082462D" w:rsidP="00462022">
            <w:pPr>
              <w:tabs>
                <w:tab w:val="left" w:pos="426"/>
              </w:tabs>
              <w:jc w:val="center"/>
              <w:rPr>
                <w:color w:val="000000"/>
                <w:sz w:val="22"/>
                <w:szCs w:val="22"/>
              </w:rPr>
            </w:pPr>
            <w:r w:rsidRPr="00142780">
              <w:rPr>
                <w:color w:val="000000"/>
                <w:sz w:val="22"/>
                <w:szCs w:val="22"/>
              </w:rPr>
              <w:t>1.32</w:t>
            </w:r>
          </w:p>
        </w:tc>
        <w:tc>
          <w:tcPr>
            <w:tcW w:w="791" w:type="pct"/>
            <w:tcBorders>
              <w:top w:val="nil"/>
              <w:left w:val="nil"/>
              <w:bottom w:val="nil"/>
              <w:right w:val="nil"/>
            </w:tcBorders>
            <w:shd w:val="clear" w:color="auto" w:fill="auto"/>
            <w:noWrap/>
            <w:vAlign w:val="center"/>
            <w:hideMark/>
          </w:tcPr>
          <w:p w:rsidR="0082462D" w:rsidRPr="00142780" w:rsidRDefault="0082462D" w:rsidP="00462022">
            <w:pPr>
              <w:tabs>
                <w:tab w:val="left" w:pos="426"/>
              </w:tabs>
              <w:jc w:val="center"/>
              <w:rPr>
                <w:color w:val="000000"/>
                <w:sz w:val="22"/>
                <w:szCs w:val="22"/>
              </w:rPr>
            </w:pPr>
            <w:r w:rsidRPr="00142780">
              <w:rPr>
                <w:color w:val="000000"/>
                <w:sz w:val="22"/>
                <w:szCs w:val="22"/>
              </w:rPr>
              <w:t>1.42</w:t>
            </w:r>
          </w:p>
        </w:tc>
      </w:tr>
      <w:tr w:rsidR="0082462D" w:rsidRPr="00142780" w:rsidTr="002E79FE">
        <w:trPr>
          <w:trHeight w:val="300"/>
        </w:trPr>
        <w:tc>
          <w:tcPr>
            <w:tcW w:w="1044" w:type="pct"/>
            <w:tcBorders>
              <w:top w:val="nil"/>
              <w:left w:val="nil"/>
              <w:bottom w:val="nil"/>
              <w:right w:val="nil"/>
            </w:tcBorders>
            <w:shd w:val="clear" w:color="auto" w:fill="auto"/>
            <w:noWrap/>
            <w:vAlign w:val="center"/>
            <w:hideMark/>
          </w:tcPr>
          <w:p w:rsidR="0082462D" w:rsidRPr="00142780" w:rsidRDefault="0082462D" w:rsidP="00462022">
            <w:pPr>
              <w:tabs>
                <w:tab w:val="left" w:pos="426"/>
              </w:tabs>
              <w:rPr>
                <w:color w:val="000000"/>
                <w:sz w:val="22"/>
                <w:szCs w:val="22"/>
              </w:rPr>
            </w:pPr>
            <w:proofErr w:type="spellStart"/>
            <w:r w:rsidRPr="00142780">
              <w:rPr>
                <w:color w:val="000000"/>
                <w:sz w:val="22"/>
                <w:szCs w:val="22"/>
              </w:rPr>
              <w:t>Guizhou</w:t>
            </w:r>
            <w:proofErr w:type="spellEnd"/>
          </w:p>
        </w:tc>
        <w:tc>
          <w:tcPr>
            <w:tcW w:w="791" w:type="pct"/>
            <w:tcBorders>
              <w:top w:val="nil"/>
              <w:left w:val="nil"/>
              <w:bottom w:val="nil"/>
              <w:right w:val="nil"/>
            </w:tcBorders>
            <w:shd w:val="clear" w:color="auto" w:fill="auto"/>
            <w:noWrap/>
            <w:vAlign w:val="center"/>
            <w:hideMark/>
          </w:tcPr>
          <w:p w:rsidR="0082462D" w:rsidRPr="00142780" w:rsidRDefault="0082462D" w:rsidP="00462022">
            <w:pPr>
              <w:tabs>
                <w:tab w:val="left" w:pos="426"/>
              </w:tabs>
              <w:jc w:val="center"/>
              <w:rPr>
                <w:color w:val="000000"/>
                <w:sz w:val="22"/>
                <w:szCs w:val="22"/>
              </w:rPr>
            </w:pPr>
            <w:r w:rsidRPr="00142780">
              <w:rPr>
                <w:color w:val="000000"/>
                <w:sz w:val="22"/>
                <w:szCs w:val="22"/>
              </w:rPr>
              <w:t>0.07</w:t>
            </w:r>
          </w:p>
        </w:tc>
        <w:tc>
          <w:tcPr>
            <w:tcW w:w="791" w:type="pct"/>
            <w:tcBorders>
              <w:top w:val="nil"/>
              <w:left w:val="nil"/>
              <w:bottom w:val="nil"/>
              <w:right w:val="nil"/>
            </w:tcBorders>
            <w:shd w:val="clear" w:color="auto" w:fill="auto"/>
            <w:noWrap/>
            <w:vAlign w:val="center"/>
            <w:hideMark/>
          </w:tcPr>
          <w:p w:rsidR="0082462D" w:rsidRPr="00142780" w:rsidRDefault="0082462D" w:rsidP="00462022">
            <w:pPr>
              <w:tabs>
                <w:tab w:val="left" w:pos="426"/>
              </w:tabs>
              <w:jc w:val="center"/>
              <w:rPr>
                <w:color w:val="000000"/>
                <w:sz w:val="22"/>
                <w:szCs w:val="22"/>
              </w:rPr>
            </w:pPr>
            <w:r w:rsidRPr="00142780">
              <w:rPr>
                <w:color w:val="000000"/>
                <w:sz w:val="22"/>
                <w:szCs w:val="22"/>
              </w:rPr>
              <w:t>0.63</w:t>
            </w:r>
          </w:p>
        </w:tc>
        <w:tc>
          <w:tcPr>
            <w:tcW w:w="791" w:type="pct"/>
            <w:tcBorders>
              <w:top w:val="nil"/>
              <w:left w:val="nil"/>
              <w:bottom w:val="nil"/>
              <w:right w:val="nil"/>
            </w:tcBorders>
            <w:shd w:val="clear" w:color="auto" w:fill="auto"/>
            <w:noWrap/>
            <w:vAlign w:val="center"/>
            <w:hideMark/>
          </w:tcPr>
          <w:p w:rsidR="0082462D" w:rsidRPr="00142780" w:rsidRDefault="0082462D" w:rsidP="00462022">
            <w:pPr>
              <w:tabs>
                <w:tab w:val="left" w:pos="426"/>
              </w:tabs>
              <w:jc w:val="center"/>
              <w:rPr>
                <w:color w:val="000000"/>
                <w:sz w:val="22"/>
                <w:szCs w:val="22"/>
              </w:rPr>
            </w:pPr>
            <w:r w:rsidRPr="00142780">
              <w:rPr>
                <w:color w:val="000000"/>
                <w:sz w:val="22"/>
                <w:szCs w:val="22"/>
              </w:rPr>
              <w:t>3142</w:t>
            </w:r>
          </w:p>
        </w:tc>
        <w:tc>
          <w:tcPr>
            <w:tcW w:w="791" w:type="pct"/>
            <w:tcBorders>
              <w:top w:val="nil"/>
              <w:left w:val="nil"/>
              <w:bottom w:val="nil"/>
              <w:right w:val="nil"/>
            </w:tcBorders>
            <w:shd w:val="clear" w:color="auto" w:fill="auto"/>
            <w:noWrap/>
            <w:vAlign w:val="center"/>
            <w:hideMark/>
          </w:tcPr>
          <w:p w:rsidR="0082462D" w:rsidRPr="00142780" w:rsidRDefault="0082462D" w:rsidP="00462022">
            <w:pPr>
              <w:tabs>
                <w:tab w:val="left" w:pos="426"/>
              </w:tabs>
              <w:jc w:val="center"/>
              <w:rPr>
                <w:color w:val="000000"/>
                <w:sz w:val="22"/>
                <w:szCs w:val="22"/>
              </w:rPr>
            </w:pPr>
            <w:r w:rsidRPr="00142780">
              <w:rPr>
                <w:color w:val="000000"/>
                <w:sz w:val="22"/>
                <w:szCs w:val="22"/>
              </w:rPr>
              <w:t>1.30</w:t>
            </w:r>
          </w:p>
        </w:tc>
        <w:tc>
          <w:tcPr>
            <w:tcW w:w="791" w:type="pct"/>
            <w:tcBorders>
              <w:top w:val="nil"/>
              <w:left w:val="nil"/>
              <w:bottom w:val="nil"/>
              <w:right w:val="nil"/>
            </w:tcBorders>
            <w:shd w:val="clear" w:color="auto" w:fill="auto"/>
            <w:noWrap/>
            <w:vAlign w:val="center"/>
            <w:hideMark/>
          </w:tcPr>
          <w:p w:rsidR="0082462D" w:rsidRPr="00142780" w:rsidRDefault="0082462D" w:rsidP="00462022">
            <w:pPr>
              <w:tabs>
                <w:tab w:val="left" w:pos="426"/>
              </w:tabs>
              <w:jc w:val="center"/>
              <w:rPr>
                <w:color w:val="000000"/>
                <w:sz w:val="22"/>
                <w:szCs w:val="22"/>
              </w:rPr>
            </w:pPr>
            <w:r w:rsidRPr="00142780">
              <w:rPr>
                <w:color w:val="000000"/>
                <w:sz w:val="22"/>
                <w:szCs w:val="22"/>
              </w:rPr>
              <w:t>1.27</w:t>
            </w:r>
          </w:p>
        </w:tc>
      </w:tr>
      <w:tr w:rsidR="0082462D" w:rsidRPr="00142780" w:rsidTr="002E79FE">
        <w:trPr>
          <w:trHeight w:val="300"/>
        </w:trPr>
        <w:tc>
          <w:tcPr>
            <w:tcW w:w="1044" w:type="pct"/>
            <w:tcBorders>
              <w:top w:val="nil"/>
              <w:left w:val="nil"/>
              <w:bottom w:val="nil"/>
              <w:right w:val="nil"/>
            </w:tcBorders>
            <w:shd w:val="clear" w:color="auto" w:fill="auto"/>
            <w:noWrap/>
            <w:vAlign w:val="center"/>
            <w:hideMark/>
          </w:tcPr>
          <w:p w:rsidR="0082462D" w:rsidRPr="00142780" w:rsidRDefault="0082462D" w:rsidP="00462022">
            <w:pPr>
              <w:tabs>
                <w:tab w:val="left" w:pos="426"/>
              </w:tabs>
              <w:rPr>
                <w:color w:val="000000"/>
                <w:sz w:val="22"/>
                <w:szCs w:val="22"/>
              </w:rPr>
            </w:pPr>
            <w:r w:rsidRPr="00142780">
              <w:rPr>
                <w:color w:val="000000"/>
                <w:sz w:val="22"/>
                <w:szCs w:val="22"/>
              </w:rPr>
              <w:t>Yunnan</w:t>
            </w:r>
          </w:p>
        </w:tc>
        <w:tc>
          <w:tcPr>
            <w:tcW w:w="791" w:type="pct"/>
            <w:tcBorders>
              <w:top w:val="nil"/>
              <w:left w:val="nil"/>
              <w:bottom w:val="nil"/>
              <w:right w:val="nil"/>
            </w:tcBorders>
            <w:shd w:val="clear" w:color="auto" w:fill="auto"/>
            <w:noWrap/>
            <w:vAlign w:val="center"/>
            <w:hideMark/>
          </w:tcPr>
          <w:p w:rsidR="0082462D" w:rsidRPr="00142780" w:rsidRDefault="0082462D" w:rsidP="00462022">
            <w:pPr>
              <w:tabs>
                <w:tab w:val="left" w:pos="426"/>
              </w:tabs>
              <w:jc w:val="center"/>
              <w:rPr>
                <w:color w:val="000000"/>
                <w:sz w:val="22"/>
                <w:szCs w:val="22"/>
              </w:rPr>
            </w:pPr>
            <w:r w:rsidRPr="00142780">
              <w:rPr>
                <w:color w:val="000000"/>
                <w:sz w:val="22"/>
                <w:szCs w:val="22"/>
              </w:rPr>
              <w:t>0.09</w:t>
            </w:r>
          </w:p>
        </w:tc>
        <w:tc>
          <w:tcPr>
            <w:tcW w:w="791" w:type="pct"/>
            <w:tcBorders>
              <w:top w:val="nil"/>
              <w:left w:val="nil"/>
              <w:bottom w:val="nil"/>
              <w:right w:val="nil"/>
            </w:tcBorders>
            <w:shd w:val="clear" w:color="auto" w:fill="auto"/>
            <w:noWrap/>
            <w:vAlign w:val="center"/>
            <w:hideMark/>
          </w:tcPr>
          <w:p w:rsidR="0082462D" w:rsidRPr="00142780" w:rsidRDefault="0082462D" w:rsidP="00462022">
            <w:pPr>
              <w:tabs>
                <w:tab w:val="left" w:pos="426"/>
              </w:tabs>
              <w:jc w:val="center"/>
              <w:rPr>
                <w:color w:val="000000"/>
                <w:sz w:val="22"/>
                <w:szCs w:val="22"/>
              </w:rPr>
            </w:pPr>
            <w:r w:rsidRPr="00142780">
              <w:rPr>
                <w:color w:val="000000"/>
                <w:sz w:val="22"/>
                <w:szCs w:val="22"/>
              </w:rPr>
              <w:t>0.59</w:t>
            </w:r>
          </w:p>
        </w:tc>
        <w:tc>
          <w:tcPr>
            <w:tcW w:w="791" w:type="pct"/>
            <w:tcBorders>
              <w:top w:val="nil"/>
              <w:left w:val="nil"/>
              <w:bottom w:val="nil"/>
              <w:right w:val="nil"/>
            </w:tcBorders>
            <w:shd w:val="clear" w:color="auto" w:fill="auto"/>
            <w:noWrap/>
            <w:vAlign w:val="center"/>
            <w:hideMark/>
          </w:tcPr>
          <w:p w:rsidR="0082462D" w:rsidRPr="00142780" w:rsidRDefault="0082462D" w:rsidP="00462022">
            <w:pPr>
              <w:tabs>
                <w:tab w:val="left" w:pos="426"/>
              </w:tabs>
              <w:jc w:val="center"/>
              <w:rPr>
                <w:color w:val="000000"/>
                <w:sz w:val="22"/>
                <w:szCs w:val="22"/>
              </w:rPr>
            </w:pPr>
            <w:r w:rsidRPr="00142780">
              <w:rPr>
                <w:color w:val="000000"/>
                <w:sz w:val="22"/>
                <w:szCs w:val="22"/>
              </w:rPr>
              <w:t>2893</w:t>
            </w:r>
          </w:p>
        </w:tc>
        <w:tc>
          <w:tcPr>
            <w:tcW w:w="791" w:type="pct"/>
            <w:tcBorders>
              <w:top w:val="nil"/>
              <w:left w:val="nil"/>
              <w:bottom w:val="nil"/>
              <w:right w:val="nil"/>
            </w:tcBorders>
            <w:shd w:val="clear" w:color="auto" w:fill="auto"/>
            <w:noWrap/>
            <w:vAlign w:val="center"/>
            <w:hideMark/>
          </w:tcPr>
          <w:p w:rsidR="0082462D" w:rsidRPr="00142780" w:rsidRDefault="0082462D" w:rsidP="00462022">
            <w:pPr>
              <w:tabs>
                <w:tab w:val="left" w:pos="426"/>
              </w:tabs>
              <w:jc w:val="center"/>
              <w:rPr>
                <w:color w:val="000000"/>
                <w:sz w:val="22"/>
                <w:szCs w:val="22"/>
              </w:rPr>
            </w:pPr>
            <w:r w:rsidRPr="00142780">
              <w:rPr>
                <w:color w:val="000000"/>
                <w:sz w:val="22"/>
                <w:szCs w:val="22"/>
              </w:rPr>
              <w:t>1.36</w:t>
            </w:r>
          </w:p>
        </w:tc>
        <w:tc>
          <w:tcPr>
            <w:tcW w:w="791" w:type="pct"/>
            <w:tcBorders>
              <w:top w:val="nil"/>
              <w:left w:val="nil"/>
              <w:bottom w:val="nil"/>
              <w:right w:val="nil"/>
            </w:tcBorders>
            <w:shd w:val="clear" w:color="auto" w:fill="auto"/>
            <w:noWrap/>
            <w:vAlign w:val="center"/>
            <w:hideMark/>
          </w:tcPr>
          <w:p w:rsidR="0082462D" w:rsidRPr="00142780" w:rsidRDefault="0082462D" w:rsidP="00462022">
            <w:pPr>
              <w:tabs>
                <w:tab w:val="left" w:pos="426"/>
              </w:tabs>
              <w:jc w:val="center"/>
              <w:rPr>
                <w:color w:val="000000"/>
                <w:sz w:val="22"/>
                <w:szCs w:val="22"/>
              </w:rPr>
            </w:pPr>
            <w:r w:rsidRPr="00142780">
              <w:rPr>
                <w:color w:val="000000"/>
                <w:sz w:val="22"/>
                <w:szCs w:val="22"/>
              </w:rPr>
              <w:t>1.20</w:t>
            </w:r>
          </w:p>
        </w:tc>
      </w:tr>
      <w:tr w:rsidR="0082462D" w:rsidRPr="00142780" w:rsidTr="002E79FE">
        <w:trPr>
          <w:trHeight w:val="300"/>
        </w:trPr>
        <w:tc>
          <w:tcPr>
            <w:tcW w:w="1044" w:type="pct"/>
            <w:tcBorders>
              <w:top w:val="nil"/>
              <w:left w:val="nil"/>
              <w:bottom w:val="nil"/>
              <w:right w:val="nil"/>
            </w:tcBorders>
            <w:shd w:val="clear" w:color="auto" w:fill="auto"/>
            <w:noWrap/>
            <w:vAlign w:val="center"/>
            <w:hideMark/>
          </w:tcPr>
          <w:p w:rsidR="0082462D" w:rsidRPr="00142780" w:rsidRDefault="0082462D" w:rsidP="00462022">
            <w:pPr>
              <w:tabs>
                <w:tab w:val="left" w:pos="426"/>
              </w:tabs>
              <w:rPr>
                <w:color w:val="000000"/>
                <w:sz w:val="22"/>
                <w:szCs w:val="22"/>
              </w:rPr>
            </w:pPr>
            <w:r w:rsidRPr="00142780">
              <w:rPr>
                <w:color w:val="000000"/>
                <w:sz w:val="22"/>
                <w:szCs w:val="22"/>
              </w:rPr>
              <w:t>Tibet</w:t>
            </w:r>
          </w:p>
        </w:tc>
        <w:tc>
          <w:tcPr>
            <w:tcW w:w="791" w:type="pct"/>
            <w:tcBorders>
              <w:top w:val="nil"/>
              <w:left w:val="nil"/>
              <w:bottom w:val="nil"/>
              <w:right w:val="nil"/>
            </w:tcBorders>
            <w:shd w:val="clear" w:color="auto" w:fill="auto"/>
            <w:noWrap/>
            <w:vAlign w:val="center"/>
            <w:hideMark/>
          </w:tcPr>
          <w:p w:rsidR="0082462D" w:rsidRPr="00142780" w:rsidRDefault="0082462D" w:rsidP="00462022">
            <w:pPr>
              <w:tabs>
                <w:tab w:val="left" w:pos="426"/>
              </w:tabs>
              <w:jc w:val="center"/>
              <w:rPr>
                <w:color w:val="000000"/>
                <w:sz w:val="22"/>
                <w:szCs w:val="22"/>
              </w:rPr>
            </w:pPr>
            <w:r w:rsidRPr="00142780">
              <w:rPr>
                <w:color w:val="000000"/>
                <w:sz w:val="22"/>
                <w:szCs w:val="22"/>
              </w:rPr>
              <w:t>0.01</w:t>
            </w:r>
          </w:p>
        </w:tc>
        <w:tc>
          <w:tcPr>
            <w:tcW w:w="791" w:type="pct"/>
            <w:tcBorders>
              <w:top w:val="nil"/>
              <w:left w:val="nil"/>
              <w:bottom w:val="nil"/>
              <w:right w:val="nil"/>
            </w:tcBorders>
            <w:shd w:val="clear" w:color="auto" w:fill="auto"/>
            <w:noWrap/>
            <w:vAlign w:val="center"/>
            <w:hideMark/>
          </w:tcPr>
          <w:p w:rsidR="0082462D" w:rsidRPr="00142780" w:rsidRDefault="0082462D" w:rsidP="00462022">
            <w:pPr>
              <w:tabs>
                <w:tab w:val="left" w:pos="426"/>
              </w:tabs>
              <w:jc w:val="center"/>
              <w:rPr>
                <w:color w:val="000000"/>
                <w:sz w:val="22"/>
                <w:szCs w:val="22"/>
              </w:rPr>
            </w:pPr>
            <w:r w:rsidRPr="00142780">
              <w:rPr>
                <w:color w:val="000000"/>
                <w:sz w:val="22"/>
                <w:szCs w:val="22"/>
              </w:rPr>
              <w:t>0.64</w:t>
            </w:r>
          </w:p>
        </w:tc>
        <w:tc>
          <w:tcPr>
            <w:tcW w:w="791" w:type="pct"/>
            <w:tcBorders>
              <w:top w:val="nil"/>
              <w:left w:val="nil"/>
              <w:bottom w:val="nil"/>
              <w:right w:val="nil"/>
            </w:tcBorders>
            <w:shd w:val="clear" w:color="auto" w:fill="auto"/>
            <w:noWrap/>
            <w:vAlign w:val="center"/>
            <w:hideMark/>
          </w:tcPr>
          <w:p w:rsidR="0082462D" w:rsidRPr="00142780" w:rsidRDefault="0082462D" w:rsidP="00462022">
            <w:pPr>
              <w:tabs>
                <w:tab w:val="left" w:pos="426"/>
              </w:tabs>
              <w:jc w:val="center"/>
              <w:rPr>
                <w:color w:val="000000"/>
                <w:sz w:val="22"/>
                <w:szCs w:val="22"/>
              </w:rPr>
            </w:pPr>
            <w:r w:rsidRPr="00142780">
              <w:rPr>
                <w:color w:val="000000"/>
                <w:sz w:val="22"/>
                <w:szCs w:val="22"/>
              </w:rPr>
              <w:t>2761</w:t>
            </w:r>
          </w:p>
        </w:tc>
        <w:tc>
          <w:tcPr>
            <w:tcW w:w="791" w:type="pct"/>
            <w:tcBorders>
              <w:top w:val="nil"/>
              <w:left w:val="nil"/>
              <w:bottom w:val="nil"/>
              <w:right w:val="nil"/>
            </w:tcBorders>
            <w:shd w:val="clear" w:color="auto" w:fill="auto"/>
            <w:noWrap/>
            <w:vAlign w:val="center"/>
            <w:hideMark/>
          </w:tcPr>
          <w:p w:rsidR="0082462D" w:rsidRPr="00142780" w:rsidRDefault="0082462D" w:rsidP="00462022">
            <w:pPr>
              <w:tabs>
                <w:tab w:val="left" w:pos="426"/>
              </w:tabs>
              <w:jc w:val="center"/>
              <w:rPr>
                <w:color w:val="000000"/>
                <w:sz w:val="22"/>
                <w:szCs w:val="22"/>
              </w:rPr>
            </w:pPr>
            <w:r w:rsidRPr="00142780">
              <w:rPr>
                <w:color w:val="000000"/>
                <w:sz w:val="22"/>
                <w:szCs w:val="22"/>
              </w:rPr>
              <w:t>1.21</w:t>
            </w:r>
          </w:p>
        </w:tc>
        <w:tc>
          <w:tcPr>
            <w:tcW w:w="791" w:type="pct"/>
            <w:tcBorders>
              <w:top w:val="nil"/>
              <w:left w:val="nil"/>
              <w:bottom w:val="nil"/>
              <w:right w:val="nil"/>
            </w:tcBorders>
            <w:shd w:val="clear" w:color="auto" w:fill="auto"/>
            <w:noWrap/>
            <w:vAlign w:val="center"/>
            <w:hideMark/>
          </w:tcPr>
          <w:p w:rsidR="0082462D" w:rsidRPr="00142780" w:rsidRDefault="0082462D" w:rsidP="00462022">
            <w:pPr>
              <w:tabs>
                <w:tab w:val="left" w:pos="426"/>
              </w:tabs>
              <w:jc w:val="center"/>
              <w:rPr>
                <w:color w:val="000000"/>
                <w:sz w:val="22"/>
                <w:szCs w:val="22"/>
              </w:rPr>
            </w:pPr>
            <w:r w:rsidRPr="00142780">
              <w:rPr>
                <w:color w:val="000000"/>
                <w:sz w:val="22"/>
                <w:szCs w:val="22"/>
              </w:rPr>
              <w:t>1.22</w:t>
            </w:r>
          </w:p>
        </w:tc>
      </w:tr>
      <w:tr w:rsidR="0082462D" w:rsidRPr="00142780" w:rsidTr="002E79FE">
        <w:trPr>
          <w:trHeight w:val="300"/>
        </w:trPr>
        <w:tc>
          <w:tcPr>
            <w:tcW w:w="1044" w:type="pct"/>
            <w:tcBorders>
              <w:top w:val="nil"/>
              <w:left w:val="nil"/>
              <w:bottom w:val="nil"/>
              <w:right w:val="nil"/>
            </w:tcBorders>
            <w:shd w:val="clear" w:color="auto" w:fill="auto"/>
            <w:noWrap/>
            <w:vAlign w:val="center"/>
            <w:hideMark/>
          </w:tcPr>
          <w:p w:rsidR="0082462D" w:rsidRPr="00142780" w:rsidRDefault="0082462D" w:rsidP="00462022">
            <w:pPr>
              <w:tabs>
                <w:tab w:val="left" w:pos="426"/>
              </w:tabs>
              <w:rPr>
                <w:color w:val="000000"/>
                <w:sz w:val="22"/>
                <w:szCs w:val="22"/>
              </w:rPr>
            </w:pPr>
            <w:proofErr w:type="spellStart"/>
            <w:r w:rsidRPr="00142780">
              <w:rPr>
                <w:color w:val="000000"/>
                <w:sz w:val="22"/>
                <w:szCs w:val="22"/>
              </w:rPr>
              <w:t>Shannxi</w:t>
            </w:r>
            <w:proofErr w:type="spellEnd"/>
          </w:p>
        </w:tc>
        <w:tc>
          <w:tcPr>
            <w:tcW w:w="791" w:type="pct"/>
            <w:tcBorders>
              <w:top w:val="nil"/>
              <w:left w:val="nil"/>
              <w:bottom w:val="nil"/>
              <w:right w:val="nil"/>
            </w:tcBorders>
            <w:shd w:val="clear" w:color="auto" w:fill="auto"/>
            <w:noWrap/>
            <w:vAlign w:val="center"/>
            <w:hideMark/>
          </w:tcPr>
          <w:p w:rsidR="0082462D" w:rsidRPr="00142780" w:rsidRDefault="0082462D" w:rsidP="00462022">
            <w:pPr>
              <w:tabs>
                <w:tab w:val="left" w:pos="426"/>
              </w:tabs>
              <w:jc w:val="center"/>
              <w:rPr>
                <w:color w:val="000000"/>
                <w:sz w:val="22"/>
                <w:szCs w:val="22"/>
              </w:rPr>
            </w:pPr>
            <w:r w:rsidRPr="00142780">
              <w:rPr>
                <w:color w:val="000000"/>
                <w:sz w:val="22"/>
                <w:szCs w:val="22"/>
              </w:rPr>
              <w:t>0.09</w:t>
            </w:r>
          </w:p>
        </w:tc>
        <w:tc>
          <w:tcPr>
            <w:tcW w:w="791" w:type="pct"/>
            <w:tcBorders>
              <w:top w:val="nil"/>
              <w:left w:val="nil"/>
              <w:bottom w:val="nil"/>
              <w:right w:val="nil"/>
            </w:tcBorders>
            <w:shd w:val="clear" w:color="auto" w:fill="auto"/>
            <w:noWrap/>
            <w:vAlign w:val="center"/>
            <w:hideMark/>
          </w:tcPr>
          <w:p w:rsidR="0082462D" w:rsidRPr="00142780" w:rsidRDefault="0082462D" w:rsidP="00462022">
            <w:pPr>
              <w:tabs>
                <w:tab w:val="left" w:pos="426"/>
              </w:tabs>
              <w:jc w:val="center"/>
              <w:rPr>
                <w:color w:val="000000"/>
                <w:sz w:val="22"/>
                <w:szCs w:val="22"/>
              </w:rPr>
            </w:pPr>
            <w:r w:rsidRPr="00142780">
              <w:rPr>
                <w:color w:val="000000"/>
                <w:sz w:val="22"/>
                <w:szCs w:val="22"/>
              </w:rPr>
              <w:t>0.45</w:t>
            </w:r>
          </w:p>
        </w:tc>
        <w:tc>
          <w:tcPr>
            <w:tcW w:w="791" w:type="pct"/>
            <w:tcBorders>
              <w:top w:val="nil"/>
              <w:left w:val="nil"/>
              <w:bottom w:val="nil"/>
              <w:right w:val="nil"/>
            </w:tcBorders>
            <w:shd w:val="clear" w:color="auto" w:fill="auto"/>
            <w:noWrap/>
            <w:vAlign w:val="center"/>
            <w:hideMark/>
          </w:tcPr>
          <w:p w:rsidR="0082462D" w:rsidRPr="00142780" w:rsidRDefault="0082462D" w:rsidP="00462022">
            <w:pPr>
              <w:tabs>
                <w:tab w:val="left" w:pos="426"/>
              </w:tabs>
              <w:jc w:val="center"/>
              <w:rPr>
                <w:color w:val="000000"/>
                <w:sz w:val="22"/>
                <w:szCs w:val="22"/>
              </w:rPr>
            </w:pPr>
            <w:r w:rsidRPr="00142780">
              <w:rPr>
                <w:color w:val="000000"/>
                <w:sz w:val="22"/>
                <w:szCs w:val="22"/>
              </w:rPr>
              <w:t>3668</w:t>
            </w:r>
          </w:p>
        </w:tc>
        <w:tc>
          <w:tcPr>
            <w:tcW w:w="791" w:type="pct"/>
            <w:tcBorders>
              <w:top w:val="nil"/>
              <w:left w:val="nil"/>
              <w:bottom w:val="nil"/>
              <w:right w:val="nil"/>
            </w:tcBorders>
            <w:shd w:val="clear" w:color="auto" w:fill="auto"/>
            <w:noWrap/>
            <w:vAlign w:val="center"/>
            <w:hideMark/>
          </w:tcPr>
          <w:p w:rsidR="0082462D" w:rsidRPr="00142780" w:rsidRDefault="0082462D" w:rsidP="00462022">
            <w:pPr>
              <w:tabs>
                <w:tab w:val="left" w:pos="426"/>
              </w:tabs>
              <w:jc w:val="center"/>
              <w:rPr>
                <w:color w:val="000000"/>
                <w:sz w:val="22"/>
                <w:szCs w:val="22"/>
              </w:rPr>
            </w:pPr>
            <w:r w:rsidRPr="00142780">
              <w:rPr>
                <w:color w:val="000000"/>
                <w:sz w:val="22"/>
                <w:szCs w:val="22"/>
              </w:rPr>
              <w:t>1.36</w:t>
            </w:r>
          </w:p>
        </w:tc>
        <w:tc>
          <w:tcPr>
            <w:tcW w:w="791" w:type="pct"/>
            <w:tcBorders>
              <w:top w:val="nil"/>
              <w:left w:val="nil"/>
              <w:bottom w:val="nil"/>
              <w:right w:val="nil"/>
            </w:tcBorders>
            <w:shd w:val="clear" w:color="auto" w:fill="auto"/>
            <w:noWrap/>
            <w:vAlign w:val="center"/>
            <w:hideMark/>
          </w:tcPr>
          <w:p w:rsidR="0082462D" w:rsidRPr="00142780" w:rsidRDefault="0082462D" w:rsidP="00462022">
            <w:pPr>
              <w:tabs>
                <w:tab w:val="left" w:pos="426"/>
              </w:tabs>
              <w:jc w:val="center"/>
              <w:rPr>
                <w:color w:val="000000"/>
                <w:sz w:val="22"/>
                <w:szCs w:val="22"/>
              </w:rPr>
            </w:pPr>
            <w:r w:rsidRPr="00142780">
              <w:rPr>
                <w:color w:val="000000"/>
                <w:sz w:val="22"/>
                <w:szCs w:val="22"/>
              </w:rPr>
              <w:t>1.26</w:t>
            </w:r>
          </w:p>
        </w:tc>
      </w:tr>
      <w:tr w:rsidR="0082462D" w:rsidRPr="00142780" w:rsidTr="002E79FE">
        <w:trPr>
          <w:trHeight w:val="300"/>
        </w:trPr>
        <w:tc>
          <w:tcPr>
            <w:tcW w:w="1044" w:type="pct"/>
            <w:tcBorders>
              <w:top w:val="nil"/>
              <w:left w:val="nil"/>
              <w:bottom w:val="nil"/>
              <w:right w:val="nil"/>
            </w:tcBorders>
            <w:shd w:val="clear" w:color="auto" w:fill="auto"/>
            <w:noWrap/>
            <w:vAlign w:val="center"/>
            <w:hideMark/>
          </w:tcPr>
          <w:p w:rsidR="0082462D" w:rsidRPr="00142780" w:rsidRDefault="0082462D" w:rsidP="00462022">
            <w:pPr>
              <w:tabs>
                <w:tab w:val="left" w:pos="426"/>
              </w:tabs>
              <w:rPr>
                <w:color w:val="000000"/>
                <w:sz w:val="22"/>
                <w:szCs w:val="22"/>
              </w:rPr>
            </w:pPr>
            <w:r w:rsidRPr="00142780">
              <w:rPr>
                <w:color w:val="000000"/>
                <w:sz w:val="22"/>
                <w:szCs w:val="22"/>
              </w:rPr>
              <w:t>Gansu</w:t>
            </w:r>
          </w:p>
        </w:tc>
        <w:tc>
          <w:tcPr>
            <w:tcW w:w="791" w:type="pct"/>
            <w:tcBorders>
              <w:top w:val="nil"/>
              <w:left w:val="nil"/>
              <w:bottom w:val="nil"/>
              <w:right w:val="nil"/>
            </w:tcBorders>
            <w:shd w:val="clear" w:color="auto" w:fill="auto"/>
            <w:noWrap/>
            <w:vAlign w:val="center"/>
            <w:hideMark/>
          </w:tcPr>
          <w:p w:rsidR="0082462D" w:rsidRPr="00142780" w:rsidRDefault="0082462D" w:rsidP="00462022">
            <w:pPr>
              <w:tabs>
                <w:tab w:val="left" w:pos="426"/>
              </w:tabs>
              <w:jc w:val="center"/>
              <w:rPr>
                <w:color w:val="000000"/>
                <w:sz w:val="22"/>
                <w:szCs w:val="22"/>
              </w:rPr>
            </w:pPr>
            <w:r w:rsidRPr="00142780">
              <w:rPr>
                <w:color w:val="000000"/>
                <w:sz w:val="22"/>
                <w:szCs w:val="22"/>
              </w:rPr>
              <w:t>0.05</w:t>
            </w:r>
          </w:p>
        </w:tc>
        <w:tc>
          <w:tcPr>
            <w:tcW w:w="791" w:type="pct"/>
            <w:tcBorders>
              <w:top w:val="nil"/>
              <w:left w:val="nil"/>
              <w:bottom w:val="nil"/>
              <w:right w:val="nil"/>
            </w:tcBorders>
            <w:shd w:val="clear" w:color="auto" w:fill="auto"/>
            <w:noWrap/>
            <w:vAlign w:val="center"/>
            <w:hideMark/>
          </w:tcPr>
          <w:p w:rsidR="0082462D" w:rsidRPr="00142780" w:rsidRDefault="0082462D" w:rsidP="00462022">
            <w:pPr>
              <w:tabs>
                <w:tab w:val="left" w:pos="426"/>
              </w:tabs>
              <w:jc w:val="center"/>
              <w:rPr>
                <w:color w:val="000000"/>
                <w:sz w:val="22"/>
                <w:szCs w:val="22"/>
              </w:rPr>
            </w:pPr>
            <w:r w:rsidRPr="00142780">
              <w:rPr>
                <w:color w:val="000000"/>
                <w:sz w:val="22"/>
                <w:szCs w:val="22"/>
              </w:rPr>
              <w:t>0.59</w:t>
            </w:r>
          </w:p>
        </w:tc>
        <w:tc>
          <w:tcPr>
            <w:tcW w:w="791" w:type="pct"/>
            <w:tcBorders>
              <w:top w:val="nil"/>
              <w:left w:val="nil"/>
              <w:bottom w:val="nil"/>
              <w:right w:val="nil"/>
            </w:tcBorders>
            <w:shd w:val="clear" w:color="auto" w:fill="auto"/>
            <w:noWrap/>
            <w:vAlign w:val="center"/>
            <w:hideMark/>
          </w:tcPr>
          <w:p w:rsidR="0082462D" w:rsidRPr="00142780" w:rsidRDefault="0082462D" w:rsidP="00462022">
            <w:pPr>
              <w:tabs>
                <w:tab w:val="left" w:pos="426"/>
              </w:tabs>
              <w:jc w:val="center"/>
              <w:rPr>
                <w:color w:val="000000"/>
                <w:sz w:val="22"/>
                <w:szCs w:val="22"/>
              </w:rPr>
            </w:pPr>
            <w:r w:rsidRPr="00142780">
              <w:rPr>
                <w:color w:val="000000"/>
                <w:sz w:val="22"/>
                <w:szCs w:val="22"/>
              </w:rPr>
              <w:t>2938</w:t>
            </w:r>
          </w:p>
        </w:tc>
        <w:tc>
          <w:tcPr>
            <w:tcW w:w="791" w:type="pct"/>
            <w:tcBorders>
              <w:top w:val="nil"/>
              <w:left w:val="nil"/>
              <w:bottom w:val="nil"/>
              <w:right w:val="nil"/>
            </w:tcBorders>
            <w:shd w:val="clear" w:color="auto" w:fill="auto"/>
            <w:noWrap/>
            <w:vAlign w:val="center"/>
            <w:hideMark/>
          </w:tcPr>
          <w:p w:rsidR="0082462D" w:rsidRPr="00142780" w:rsidRDefault="0082462D" w:rsidP="00462022">
            <w:pPr>
              <w:tabs>
                <w:tab w:val="left" w:pos="426"/>
              </w:tabs>
              <w:jc w:val="center"/>
              <w:rPr>
                <w:color w:val="000000"/>
                <w:sz w:val="22"/>
                <w:szCs w:val="22"/>
              </w:rPr>
            </w:pPr>
            <w:r w:rsidRPr="00142780">
              <w:rPr>
                <w:color w:val="000000"/>
                <w:sz w:val="22"/>
                <w:szCs w:val="22"/>
              </w:rPr>
              <w:t>1.28</w:t>
            </w:r>
          </w:p>
        </w:tc>
        <w:tc>
          <w:tcPr>
            <w:tcW w:w="791" w:type="pct"/>
            <w:tcBorders>
              <w:top w:val="nil"/>
              <w:left w:val="nil"/>
              <w:bottom w:val="nil"/>
              <w:right w:val="nil"/>
            </w:tcBorders>
            <w:shd w:val="clear" w:color="auto" w:fill="auto"/>
            <w:noWrap/>
            <w:vAlign w:val="center"/>
            <w:hideMark/>
          </w:tcPr>
          <w:p w:rsidR="0082462D" w:rsidRPr="00142780" w:rsidRDefault="0082462D" w:rsidP="00462022">
            <w:pPr>
              <w:tabs>
                <w:tab w:val="left" w:pos="426"/>
              </w:tabs>
              <w:jc w:val="center"/>
              <w:rPr>
                <w:color w:val="000000"/>
                <w:sz w:val="22"/>
                <w:szCs w:val="22"/>
              </w:rPr>
            </w:pPr>
            <w:r w:rsidRPr="00142780">
              <w:rPr>
                <w:color w:val="000000"/>
                <w:sz w:val="22"/>
                <w:szCs w:val="22"/>
              </w:rPr>
              <w:t>1.29</w:t>
            </w:r>
          </w:p>
        </w:tc>
      </w:tr>
      <w:tr w:rsidR="0082462D" w:rsidRPr="00142780" w:rsidTr="002E79FE">
        <w:trPr>
          <w:trHeight w:val="300"/>
        </w:trPr>
        <w:tc>
          <w:tcPr>
            <w:tcW w:w="1044" w:type="pct"/>
            <w:tcBorders>
              <w:top w:val="nil"/>
              <w:left w:val="nil"/>
              <w:bottom w:val="nil"/>
              <w:right w:val="nil"/>
            </w:tcBorders>
            <w:shd w:val="clear" w:color="auto" w:fill="auto"/>
            <w:noWrap/>
            <w:vAlign w:val="center"/>
            <w:hideMark/>
          </w:tcPr>
          <w:p w:rsidR="0082462D" w:rsidRPr="00142780" w:rsidRDefault="0082462D" w:rsidP="00462022">
            <w:pPr>
              <w:tabs>
                <w:tab w:val="left" w:pos="426"/>
              </w:tabs>
              <w:rPr>
                <w:color w:val="000000"/>
                <w:sz w:val="22"/>
                <w:szCs w:val="22"/>
              </w:rPr>
            </w:pPr>
            <w:r w:rsidRPr="00142780">
              <w:rPr>
                <w:color w:val="000000"/>
                <w:sz w:val="22"/>
                <w:szCs w:val="22"/>
              </w:rPr>
              <w:t>Qinghai</w:t>
            </w:r>
          </w:p>
        </w:tc>
        <w:tc>
          <w:tcPr>
            <w:tcW w:w="791" w:type="pct"/>
            <w:tcBorders>
              <w:top w:val="nil"/>
              <w:left w:val="nil"/>
              <w:bottom w:val="nil"/>
              <w:right w:val="nil"/>
            </w:tcBorders>
            <w:shd w:val="clear" w:color="auto" w:fill="auto"/>
            <w:noWrap/>
            <w:vAlign w:val="center"/>
            <w:hideMark/>
          </w:tcPr>
          <w:p w:rsidR="0082462D" w:rsidRPr="00142780" w:rsidRDefault="0082462D" w:rsidP="00462022">
            <w:pPr>
              <w:tabs>
                <w:tab w:val="left" w:pos="426"/>
              </w:tabs>
              <w:jc w:val="center"/>
              <w:rPr>
                <w:color w:val="000000"/>
                <w:sz w:val="22"/>
                <w:szCs w:val="22"/>
              </w:rPr>
            </w:pPr>
            <w:r w:rsidRPr="00142780">
              <w:rPr>
                <w:color w:val="000000"/>
                <w:sz w:val="22"/>
                <w:szCs w:val="22"/>
              </w:rPr>
              <w:t>0.06</w:t>
            </w:r>
          </w:p>
        </w:tc>
        <w:tc>
          <w:tcPr>
            <w:tcW w:w="791" w:type="pct"/>
            <w:tcBorders>
              <w:top w:val="nil"/>
              <w:left w:val="nil"/>
              <w:bottom w:val="nil"/>
              <w:right w:val="nil"/>
            </w:tcBorders>
            <w:shd w:val="clear" w:color="auto" w:fill="auto"/>
            <w:noWrap/>
            <w:vAlign w:val="center"/>
            <w:hideMark/>
          </w:tcPr>
          <w:p w:rsidR="0082462D" w:rsidRPr="00142780" w:rsidRDefault="0082462D" w:rsidP="00462022">
            <w:pPr>
              <w:tabs>
                <w:tab w:val="left" w:pos="426"/>
              </w:tabs>
              <w:jc w:val="center"/>
              <w:rPr>
                <w:color w:val="000000"/>
                <w:sz w:val="22"/>
                <w:szCs w:val="22"/>
              </w:rPr>
            </w:pPr>
            <w:r w:rsidRPr="00142780">
              <w:rPr>
                <w:color w:val="000000"/>
                <w:sz w:val="22"/>
                <w:szCs w:val="22"/>
              </w:rPr>
              <w:t>0.53</w:t>
            </w:r>
          </w:p>
        </w:tc>
        <w:tc>
          <w:tcPr>
            <w:tcW w:w="791" w:type="pct"/>
            <w:tcBorders>
              <w:top w:val="nil"/>
              <w:left w:val="nil"/>
              <w:bottom w:val="nil"/>
              <w:right w:val="nil"/>
            </w:tcBorders>
            <w:shd w:val="clear" w:color="auto" w:fill="auto"/>
            <w:noWrap/>
            <w:vAlign w:val="center"/>
            <w:hideMark/>
          </w:tcPr>
          <w:p w:rsidR="0082462D" w:rsidRPr="00142780" w:rsidRDefault="0082462D" w:rsidP="00462022">
            <w:pPr>
              <w:tabs>
                <w:tab w:val="left" w:pos="426"/>
              </w:tabs>
              <w:jc w:val="center"/>
              <w:rPr>
                <w:color w:val="000000"/>
                <w:sz w:val="22"/>
                <w:szCs w:val="22"/>
              </w:rPr>
            </w:pPr>
            <w:r w:rsidRPr="00142780">
              <w:rPr>
                <w:color w:val="000000"/>
                <w:sz w:val="22"/>
                <w:szCs w:val="22"/>
              </w:rPr>
              <w:t>2894</w:t>
            </w:r>
          </w:p>
        </w:tc>
        <w:tc>
          <w:tcPr>
            <w:tcW w:w="791" w:type="pct"/>
            <w:tcBorders>
              <w:top w:val="nil"/>
              <w:left w:val="nil"/>
              <w:bottom w:val="nil"/>
              <w:right w:val="nil"/>
            </w:tcBorders>
            <w:shd w:val="clear" w:color="auto" w:fill="auto"/>
            <w:noWrap/>
            <w:vAlign w:val="center"/>
            <w:hideMark/>
          </w:tcPr>
          <w:p w:rsidR="0082462D" w:rsidRPr="00142780" w:rsidRDefault="0082462D" w:rsidP="00462022">
            <w:pPr>
              <w:tabs>
                <w:tab w:val="left" w:pos="426"/>
              </w:tabs>
              <w:jc w:val="center"/>
              <w:rPr>
                <w:color w:val="000000"/>
                <w:sz w:val="22"/>
                <w:szCs w:val="22"/>
              </w:rPr>
            </w:pPr>
            <w:r w:rsidRPr="00142780">
              <w:rPr>
                <w:color w:val="000000"/>
                <w:sz w:val="22"/>
                <w:szCs w:val="22"/>
              </w:rPr>
              <w:t>1.32</w:t>
            </w:r>
          </w:p>
        </w:tc>
        <w:tc>
          <w:tcPr>
            <w:tcW w:w="791" w:type="pct"/>
            <w:tcBorders>
              <w:top w:val="nil"/>
              <w:left w:val="nil"/>
              <w:bottom w:val="nil"/>
              <w:right w:val="nil"/>
            </w:tcBorders>
            <w:shd w:val="clear" w:color="auto" w:fill="auto"/>
            <w:noWrap/>
            <w:vAlign w:val="center"/>
            <w:hideMark/>
          </w:tcPr>
          <w:p w:rsidR="0082462D" w:rsidRPr="00142780" w:rsidRDefault="0082462D" w:rsidP="00462022">
            <w:pPr>
              <w:tabs>
                <w:tab w:val="left" w:pos="426"/>
              </w:tabs>
              <w:jc w:val="center"/>
              <w:rPr>
                <w:color w:val="000000"/>
                <w:sz w:val="22"/>
                <w:szCs w:val="22"/>
              </w:rPr>
            </w:pPr>
            <w:r w:rsidRPr="00142780">
              <w:rPr>
                <w:color w:val="000000"/>
                <w:sz w:val="22"/>
                <w:szCs w:val="22"/>
              </w:rPr>
              <w:t>1.17</w:t>
            </w:r>
          </w:p>
        </w:tc>
      </w:tr>
      <w:tr w:rsidR="0082462D" w:rsidRPr="00142780" w:rsidTr="002E79FE">
        <w:trPr>
          <w:trHeight w:val="300"/>
        </w:trPr>
        <w:tc>
          <w:tcPr>
            <w:tcW w:w="1044" w:type="pct"/>
            <w:tcBorders>
              <w:top w:val="nil"/>
              <w:left w:val="nil"/>
              <w:right w:val="nil"/>
            </w:tcBorders>
            <w:shd w:val="clear" w:color="auto" w:fill="auto"/>
            <w:noWrap/>
            <w:vAlign w:val="center"/>
            <w:hideMark/>
          </w:tcPr>
          <w:p w:rsidR="0082462D" w:rsidRPr="00142780" w:rsidRDefault="0082462D" w:rsidP="00462022">
            <w:pPr>
              <w:tabs>
                <w:tab w:val="left" w:pos="426"/>
              </w:tabs>
              <w:rPr>
                <w:color w:val="000000"/>
                <w:sz w:val="22"/>
                <w:szCs w:val="22"/>
              </w:rPr>
            </w:pPr>
            <w:r w:rsidRPr="00142780">
              <w:rPr>
                <w:color w:val="000000"/>
                <w:sz w:val="22"/>
                <w:szCs w:val="22"/>
              </w:rPr>
              <w:t>Ningxia</w:t>
            </w:r>
          </w:p>
        </w:tc>
        <w:tc>
          <w:tcPr>
            <w:tcW w:w="791" w:type="pct"/>
            <w:tcBorders>
              <w:top w:val="nil"/>
              <w:left w:val="nil"/>
              <w:right w:val="nil"/>
            </w:tcBorders>
            <w:shd w:val="clear" w:color="auto" w:fill="auto"/>
            <w:noWrap/>
            <w:vAlign w:val="center"/>
            <w:hideMark/>
          </w:tcPr>
          <w:p w:rsidR="0082462D" w:rsidRPr="00142780" w:rsidRDefault="0082462D" w:rsidP="00462022">
            <w:pPr>
              <w:tabs>
                <w:tab w:val="left" w:pos="426"/>
              </w:tabs>
              <w:jc w:val="center"/>
              <w:rPr>
                <w:color w:val="000000"/>
                <w:sz w:val="22"/>
                <w:szCs w:val="22"/>
              </w:rPr>
            </w:pPr>
            <w:r w:rsidRPr="00142780">
              <w:rPr>
                <w:color w:val="000000"/>
                <w:sz w:val="22"/>
                <w:szCs w:val="22"/>
              </w:rPr>
              <w:t>0.11</w:t>
            </w:r>
          </w:p>
        </w:tc>
        <w:tc>
          <w:tcPr>
            <w:tcW w:w="791" w:type="pct"/>
            <w:tcBorders>
              <w:top w:val="nil"/>
              <w:left w:val="nil"/>
              <w:right w:val="nil"/>
            </w:tcBorders>
            <w:shd w:val="clear" w:color="auto" w:fill="auto"/>
            <w:noWrap/>
            <w:vAlign w:val="center"/>
            <w:hideMark/>
          </w:tcPr>
          <w:p w:rsidR="0082462D" w:rsidRPr="00142780" w:rsidRDefault="0082462D" w:rsidP="00462022">
            <w:pPr>
              <w:tabs>
                <w:tab w:val="left" w:pos="426"/>
              </w:tabs>
              <w:jc w:val="center"/>
              <w:rPr>
                <w:color w:val="000000"/>
                <w:sz w:val="22"/>
                <w:szCs w:val="22"/>
              </w:rPr>
            </w:pPr>
            <w:r w:rsidRPr="00142780">
              <w:rPr>
                <w:color w:val="000000"/>
                <w:sz w:val="22"/>
                <w:szCs w:val="22"/>
              </w:rPr>
              <w:t>0.49</w:t>
            </w:r>
          </w:p>
        </w:tc>
        <w:tc>
          <w:tcPr>
            <w:tcW w:w="791" w:type="pct"/>
            <w:tcBorders>
              <w:top w:val="nil"/>
              <w:left w:val="nil"/>
              <w:right w:val="nil"/>
            </w:tcBorders>
            <w:shd w:val="clear" w:color="auto" w:fill="auto"/>
            <w:noWrap/>
            <w:vAlign w:val="center"/>
            <w:hideMark/>
          </w:tcPr>
          <w:p w:rsidR="0082462D" w:rsidRPr="00142780" w:rsidRDefault="0082462D" w:rsidP="00462022">
            <w:pPr>
              <w:tabs>
                <w:tab w:val="left" w:pos="426"/>
              </w:tabs>
              <w:jc w:val="center"/>
              <w:rPr>
                <w:color w:val="000000"/>
                <w:sz w:val="22"/>
                <w:szCs w:val="22"/>
              </w:rPr>
            </w:pPr>
            <w:r w:rsidRPr="00142780">
              <w:rPr>
                <w:color w:val="000000"/>
                <w:sz w:val="22"/>
                <w:szCs w:val="22"/>
              </w:rPr>
              <w:t>3107</w:t>
            </w:r>
          </w:p>
        </w:tc>
        <w:tc>
          <w:tcPr>
            <w:tcW w:w="791" w:type="pct"/>
            <w:tcBorders>
              <w:top w:val="nil"/>
              <w:left w:val="nil"/>
              <w:right w:val="nil"/>
            </w:tcBorders>
            <w:shd w:val="clear" w:color="auto" w:fill="auto"/>
            <w:noWrap/>
            <w:vAlign w:val="center"/>
            <w:hideMark/>
          </w:tcPr>
          <w:p w:rsidR="0082462D" w:rsidRPr="00142780" w:rsidRDefault="0082462D" w:rsidP="00462022">
            <w:pPr>
              <w:tabs>
                <w:tab w:val="left" w:pos="426"/>
              </w:tabs>
              <w:jc w:val="center"/>
              <w:rPr>
                <w:color w:val="000000"/>
                <w:sz w:val="22"/>
                <w:szCs w:val="22"/>
              </w:rPr>
            </w:pPr>
            <w:r w:rsidRPr="00142780">
              <w:rPr>
                <w:color w:val="000000"/>
                <w:sz w:val="22"/>
                <w:szCs w:val="22"/>
              </w:rPr>
              <w:t>1.43</w:t>
            </w:r>
          </w:p>
        </w:tc>
        <w:tc>
          <w:tcPr>
            <w:tcW w:w="791" w:type="pct"/>
            <w:tcBorders>
              <w:top w:val="nil"/>
              <w:left w:val="nil"/>
              <w:right w:val="nil"/>
            </w:tcBorders>
            <w:shd w:val="clear" w:color="auto" w:fill="auto"/>
            <w:noWrap/>
            <w:vAlign w:val="center"/>
            <w:hideMark/>
          </w:tcPr>
          <w:p w:rsidR="0082462D" w:rsidRPr="00142780" w:rsidRDefault="0082462D" w:rsidP="00462022">
            <w:pPr>
              <w:tabs>
                <w:tab w:val="left" w:pos="426"/>
              </w:tabs>
              <w:jc w:val="center"/>
              <w:rPr>
                <w:color w:val="000000"/>
                <w:sz w:val="22"/>
                <w:szCs w:val="22"/>
              </w:rPr>
            </w:pPr>
            <w:r w:rsidRPr="00142780">
              <w:rPr>
                <w:color w:val="000000"/>
                <w:sz w:val="22"/>
                <w:szCs w:val="22"/>
              </w:rPr>
              <w:t>1.31</w:t>
            </w:r>
          </w:p>
        </w:tc>
      </w:tr>
      <w:tr w:rsidR="0082462D" w:rsidRPr="00142780" w:rsidTr="002E79FE">
        <w:trPr>
          <w:trHeight w:val="300"/>
        </w:trPr>
        <w:tc>
          <w:tcPr>
            <w:tcW w:w="1044" w:type="pct"/>
            <w:tcBorders>
              <w:top w:val="nil"/>
              <w:left w:val="nil"/>
              <w:bottom w:val="single" w:sz="4" w:space="0" w:color="auto"/>
              <w:right w:val="nil"/>
            </w:tcBorders>
            <w:shd w:val="clear" w:color="auto" w:fill="auto"/>
            <w:noWrap/>
            <w:vAlign w:val="center"/>
            <w:hideMark/>
          </w:tcPr>
          <w:p w:rsidR="0082462D" w:rsidRPr="00142780" w:rsidRDefault="0082462D" w:rsidP="00462022">
            <w:pPr>
              <w:tabs>
                <w:tab w:val="left" w:pos="426"/>
              </w:tabs>
              <w:rPr>
                <w:color w:val="000000"/>
                <w:sz w:val="22"/>
                <w:szCs w:val="22"/>
              </w:rPr>
            </w:pPr>
            <w:r w:rsidRPr="00142780">
              <w:rPr>
                <w:color w:val="000000"/>
                <w:sz w:val="22"/>
                <w:szCs w:val="22"/>
              </w:rPr>
              <w:t>Xinjiang</w:t>
            </w:r>
          </w:p>
        </w:tc>
        <w:tc>
          <w:tcPr>
            <w:tcW w:w="791" w:type="pct"/>
            <w:tcBorders>
              <w:top w:val="nil"/>
              <w:left w:val="nil"/>
              <w:bottom w:val="single" w:sz="4" w:space="0" w:color="auto"/>
              <w:right w:val="nil"/>
            </w:tcBorders>
            <w:shd w:val="clear" w:color="auto" w:fill="auto"/>
            <w:noWrap/>
            <w:vAlign w:val="center"/>
            <w:hideMark/>
          </w:tcPr>
          <w:p w:rsidR="0082462D" w:rsidRPr="00142780" w:rsidRDefault="0082462D" w:rsidP="00462022">
            <w:pPr>
              <w:tabs>
                <w:tab w:val="left" w:pos="426"/>
              </w:tabs>
              <w:jc w:val="center"/>
              <w:rPr>
                <w:color w:val="000000"/>
                <w:sz w:val="22"/>
                <w:szCs w:val="22"/>
              </w:rPr>
            </w:pPr>
            <w:r w:rsidRPr="00142780">
              <w:rPr>
                <w:color w:val="000000"/>
                <w:sz w:val="22"/>
                <w:szCs w:val="22"/>
              </w:rPr>
              <w:t>0.05</w:t>
            </w:r>
          </w:p>
        </w:tc>
        <w:tc>
          <w:tcPr>
            <w:tcW w:w="791" w:type="pct"/>
            <w:tcBorders>
              <w:top w:val="nil"/>
              <w:left w:val="nil"/>
              <w:bottom w:val="single" w:sz="4" w:space="0" w:color="auto"/>
              <w:right w:val="nil"/>
            </w:tcBorders>
            <w:shd w:val="clear" w:color="auto" w:fill="auto"/>
            <w:noWrap/>
            <w:vAlign w:val="center"/>
            <w:hideMark/>
          </w:tcPr>
          <w:p w:rsidR="0082462D" w:rsidRPr="00142780" w:rsidRDefault="0082462D" w:rsidP="00462022">
            <w:pPr>
              <w:tabs>
                <w:tab w:val="left" w:pos="426"/>
              </w:tabs>
              <w:jc w:val="center"/>
              <w:rPr>
                <w:color w:val="000000"/>
                <w:sz w:val="22"/>
                <w:szCs w:val="22"/>
              </w:rPr>
            </w:pPr>
            <w:r w:rsidRPr="00142780">
              <w:rPr>
                <w:color w:val="000000"/>
                <w:sz w:val="22"/>
                <w:szCs w:val="22"/>
              </w:rPr>
              <w:t>0.53</w:t>
            </w:r>
          </w:p>
        </w:tc>
        <w:tc>
          <w:tcPr>
            <w:tcW w:w="791" w:type="pct"/>
            <w:tcBorders>
              <w:top w:val="nil"/>
              <w:left w:val="nil"/>
              <w:bottom w:val="single" w:sz="4" w:space="0" w:color="auto"/>
              <w:right w:val="nil"/>
            </w:tcBorders>
            <w:shd w:val="clear" w:color="auto" w:fill="auto"/>
            <w:noWrap/>
            <w:vAlign w:val="center"/>
            <w:hideMark/>
          </w:tcPr>
          <w:p w:rsidR="0082462D" w:rsidRPr="00142780" w:rsidRDefault="0082462D" w:rsidP="00462022">
            <w:pPr>
              <w:tabs>
                <w:tab w:val="left" w:pos="426"/>
              </w:tabs>
              <w:jc w:val="center"/>
              <w:rPr>
                <w:color w:val="000000"/>
                <w:sz w:val="22"/>
                <w:szCs w:val="22"/>
              </w:rPr>
            </w:pPr>
            <w:r w:rsidRPr="00142780">
              <w:rPr>
                <w:color w:val="000000"/>
                <w:sz w:val="22"/>
                <w:szCs w:val="22"/>
              </w:rPr>
              <w:t>2872</w:t>
            </w:r>
          </w:p>
        </w:tc>
        <w:tc>
          <w:tcPr>
            <w:tcW w:w="791" w:type="pct"/>
            <w:tcBorders>
              <w:top w:val="nil"/>
              <w:left w:val="nil"/>
              <w:bottom w:val="single" w:sz="4" w:space="0" w:color="auto"/>
              <w:right w:val="nil"/>
            </w:tcBorders>
            <w:shd w:val="clear" w:color="auto" w:fill="auto"/>
            <w:noWrap/>
            <w:vAlign w:val="center"/>
            <w:hideMark/>
          </w:tcPr>
          <w:p w:rsidR="0082462D" w:rsidRPr="00142780" w:rsidRDefault="0082462D" w:rsidP="00462022">
            <w:pPr>
              <w:tabs>
                <w:tab w:val="left" w:pos="426"/>
              </w:tabs>
              <w:jc w:val="center"/>
              <w:rPr>
                <w:color w:val="000000"/>
                <w:sz w:val="22"/>
                <w:szCs w:val="22"/>
              </w:rPr>
            </w:pPr>
            <w:r w:rsidRPr="00142780">
              <w:rPr>
                <w:color w:val="000000"/>
                <w:sz w:val="22"/>
                <w:szCs w:val="22"/>
              </w:rPr>
              <w:t>1.30</w:t>
            </w:r>
          </w:p>
        </w:tc>
        <w:tc>
          <w:tcPr>
            <w:tcW w:w="791" w:type="pct"/>
            <w:tcBorders>
              <w:top w:val="nil"/>
              <w:left w:val="nil"/>
              <w:bottom w:val="single" w:sz="4" w:space="0" w:color="auto"/>
              <w:right w:val="nil"/>
            </w:tcBorders>
            <w:shd w:val="clear" w:color="auto" w:fill="auto"/>
            <w:noWrap/>
            <w:vAlign w:val="center"/>
            <w:hideMark/>
          </w:tcPr>
          <w:p w:rsidR="0082462D" w:rsidRPr="00142780" w:rsidRDefault="0082462D" w:rsidP="00462022">
            <w:pPr>
              <w:tabs>
                <w:tab w:val="left" w:pos="426"/>
              </w:tabs>
              <w:jc w:val="center"/>
              <w:rPr>
                <w:color w:val="000000"/>
                <w:sz w:val="22"/>
                <w:szCs w:val="22"/>
              </w:rPr>
            </w:pPr>
            <w:r w:rsidRPr="00142780">
              <w:rPr>
                <w:color w:val="000000"/>
                <w:sz w:val="22"/>
                <w:szCs w:val="22"/>
              </w:rPr>
              <w:t>1.29</w:t>
            </w:r>
          </w:p>
        </w:tc>
      </w:tr>
      <w:tr w:rsidR="0082462D" w:rsidRPr="00EE23F8" w:rsidTr="00462022">
        <w:trPr>
          <w:trHeight w:val="300"/>
        </w:trPr>
        <w:tc>
          <w:tcPr>
            <w:tcW w:w="5000" w:type="pct"/>
            <w:gridSpan w:val="6"/>
            <w:tcBorders>
              <w:top w:val="single" w:sz="4" w:space="0" w:color="auto"/>
              <w:left w:val="nil"/>
              <w:right w:val="nil"/>
            </w:tcBorders>
            <w:shd w:val="clear" w:color="auto" w:fill="auto"/>
            <w:noWrap/>
            <w:vAlign w:val="center"/>
          </w:tcPr>
          <w:p w:rsidR="0082462D" w:rsidRPr="00EE23F8" w:rsidRDefault="0082462D" w:rsidP="00462022">
            <w:pPr>
              <w:tabs>
                <w:tab w:val="left" w:pos="426"/>
              </w:tabs>
              <w:jc w:val="both"/>
              <w:rPr>
                <w:color w:val="000000"/>
              </w:rPr>
            </w:pPr>
            <w:r w:rsidRPr="00EE23F8">
              <w:rPr>
                <w:i/>
                <w:color w:val="000000"/>
                <w:sz w:val="20"/>
              </w:rPr>
              <w:t>Note</w:t>
            </w:r>
            <w:r>
              <w:rPr>
                <w:color w:val="000000"/>
                <w:sz w:val="20"/>
              </w:rPr>
              <w:t xml:space="preserve">: </w:t>
            </w:r>
            <w:r w:rsidRPr="00EE23F8">
              <w:rPr>
                <w:color w:val="000000"/>
                <w:sz w:val="20"/>
              </w:rPr>
              <w:t>FIRA: fraction of investments on urban residential assets in GDP; FCON: fraction of final consumption expenditure in GDP; HP: average selling price of urban comm</w:t>
            </w:r>
            <w:r>
              <w:rPr>
                <w:color w:val="000000"/>
                <w:sz w:val="20"/>
              </w:rPr>
              <w:t>ercial new house units (</w:t>
            </w:r>
            <w:proofErr w:type="spellStart"/>
            <w:r>
              <w:rPr>
                <w:color w:val="000000"/>
                <w:sz w:val="20"/>
              </w:rPr>
              <w:t>yuan</w:t>
            </w:r>
            <w:proofErr w:type="spellEnd"/>
            <w:r>
              <w:rPr>
                <w:color w:val="000000"/>
                <w:sz w:val="20"/>
              </w:rPr>
              <w:t xml:space="preserve"> per square </w:t>
            </w:r>
            <w:proofErr w:type="spellStart"/>
            <w:r w:rsidRPr="00EE23F8">
              <w:rPr>
                <w:color w:val="000000"/>
                <w:sz w:val="20"/>
              </w:rPr>
              <w:t>m</w:t>
            </w:r>
            <w:r>
              <w:rPr>
                <w:color w:val="000000"/>
                <w:sz w:val="20"/>
              </w:rPr>
              <w:t>etre</w:t>
            </w:r>
            <w:proofErr w:type="spellEnd"/>
            <w:r w:rsidRPr="00EE23F8">
              <w:rPr>
                <w:color w:val="000000"/>
                <w:sz w:val="20"/>
              </w:rPr>
              <w:t xml:space="preserve">); </w:t>
            </w:r>
            <w:proofErr w:type="spellStart"/>
            <w:r w:rsidRPr="00EE23F8">
              <w:rPr>
                <w:color w:val="000000"/>
                <w:sz w:val="20"/>
              </w:rPr>
              <w:t>Tornqvist</w:t>
            </w:r>
            <w:proofErr w:type="spellEnd"/>
            <w:r w:rsidRPr="00EE23F8">
              <w:rPr>
                <w:color w:val="000000"/>
                <w:sz w:val="20"/>
              </w:rPr>
              <w:t>: deflation index used by authors; DINXB&amp;H: de</w:t>
            </w:r>
            <w:r>
              <w:rPr>
                <w:color w:val="000000"/>
                <w:sz w:val="20"/>
              </w:rPr>
              <w:t>flation index of Brandt and</w:t>
            </w:r>
            <w:r w:rsidRPr="00EE23F8">
              <w:rPr>
                <w:color w:val="000000"/>
                <w:sz w:val="20"/>
              </w:rPr>
              <w:t xml:space="preserve"> </w:t>
            </w:r>
            <w:proofErr w:type="spellStart"/>
            <w:r w:rsidRPr="00EE23F8">
              <w:rPr>
                <w:color w:val="000000"/>
                <w:sz w:val="20"/>
              </w:rPr>
              <w:t>Holz</w:t>
            </w:r>
            <w:proofErr w:type="spellEnd"/>
            <w:r w:rsidRPr="00EE23F8">
              <w:rPr>
                <w:color w:val="000000"/>
                <w:sz w:val="20"/>
              </w:rPr>
              <w:t xml:space="preserve"> (2006)</w:t>
            </w:r>
            <w:r>
              <w:rPr>
                <w:color w:val="000000"/>
                <w:sz w:val="20"/>
              </w:rPr>
              <w:t xml:space="preserve"> updated to 2010.</w:t>
            </w:r>
          </w:p>
        </w:tc>
      </w:tr>
    </w:tbl>
    <w:p w:rsidR="00C66BE7" w:rsidRPr="00C66BE7" w:rsidRDefault="00C66BE7" w:rsidP="00DF0191">
      <w:pPr>
        <w:tabs>
          <w:tab w:val="left" w:pos="426"/>
        </w:tabs>
        <w:spacing w:line="300" w:lineRule="auto"/>
        <w:jc w:val="both"/>
        <w:rPr>
          <w:bCs/>
          <w:sz w:val="12"/>
          <w:szCs w:val="12"/>
        </w:rPr>
      </w:pPr>
    </w:p>
    <w:p w:rsidR="00977BA5" w:rsidRDefault="0082462D" w:rsidP="0082462D">
      <w:pPr>
        <w:pStyle w:val="ListParagraph"/>
        <w:tabs>
          <w:tab w:val="left" w:pos="426"/>
        </w:tabs>
        <w:spacing w:line="300" w:lineRule="auto"/>
        <w:ind w:left="0"/>
        <w:jc w:val="both"/>
        <w:rPr>
          <w:b/>
          <w:bCs/>
        </w:rPr>
      </w:pPr>
      <w:r>
        <w:rPr>
          <w:b/>
          <w:bCs/>
        </w:rPr>
        <w:lastRenderedPageBreak/>
        <w:t xml:space="preserve">6.  </w:t>
      </w:r>
      <w:r w:rsidR="00977BA5">
        <w:rPr>
          <w:b/>
          <w:bCs/>
        </w:rPr>
        <w:t xml:space="preserve">IMPACTS OF </w:t>
      </w:r>
      <w:r w:rsidR="00647145">
        <w:rPr>
          <w:b/>
          <w:bCs/>
        </w:rPr>
        <w:t xml:space="preserve">DEFLATION ON </w:t>
      </w:r>
      <w:r w:rsidR="00977BA5">
        <w:rPr>
          <w:b/>
          <w:bCs/>
        </w:rPr>
        <w:t xml:space="preserve">SPATIAL INEQUALITY </w:t>
      </w:r>
    </w:p>
    <w:p w:rsidR="0082462D" w:rsidRPr="0082462D" w:rsidRDefault="0082462D" w:rsidP="0082462D">
      <w:pPr>
        <w:pStyle w:val="ListParagraph"/>
        <w:tabs>
          <w:tab w:val="left" w:pos="426"/>
        </w:tabs>
        <w:spacing w:line="300" w:lineRule="auto"/>
        <w:ind w:left="0"/>
        <w:jc w:val="both"/>
        <w:rPr>
          <w:b/>
          <w:bCs/>
          <w:sz w:val="12"/>
          <w:szCs w:val="12"/>
        </w:rPr>
      </w:pPr>
    </w:p>
    <w:p w:rsidR="002933A9" w:rsidRDefault="001E5AED" w:rsidP="0082462D">
      <w:pPr>
        <w:tabs>
          <w:tab w:val="left" w:pos="426"/>
        </w:tabs>
        <w:spacing w:line="300" w:lineRule="auto"/>
        <w:jc w:val="both"/>
        <w:rPr>
          <w:bCs/>
        </w:rPr>
      </w:pPr>
      <w:r>
        <w:rPr>
          <w:bCs/>
        </w:rPr>
        <w:t xml:space="preserve">Our overall goal in carrying out the analysis reported here is to examine how much difference is made to estimates of spatial inequality in China when using deflators derived just from variation in housing costs. The results are summarized in Table 3, which reports three measures of inequality – the </w:t>
      </w:r>
      <w:proofErr w:type="spellStart"/>
      <w:r>
        <w:rPr>
          <w:bCs/>
        </w:rPr>
        <w:t>Gini</w:t>
      </w:r>
      <w:proofErr w:type="spellEnd"/>
      <w:r>
        <w:rPr>
          <w:bCs/>
        </w:rPr>
        <w:t xml:space="preserve"> coefficient, the Theil index</w:t>
      </w:r>
      <w:r w:rsidR="001172F7">
        <w:rPr>
          <w:bCs/>
        </w:rPr>
        <w:t>,</w:t>
      </w:r>
      <w:r>
        <w:rPr>
          <w:bCs/>
        </w:rPr>
        <w:t xml:space="preserve"> and the weighted coefficient of variation </w:t>
      </w:r>
      <w:r w:rsidR="001172F7">
        <w:rPr>
          <w:bCs/>
        </w:rPr>
        <w:t>(</w:t>
      </w:r>
      <w:proofErr w:type="spellStart"/>
      <w:r w:rsidR="001172F7">
        <w:rPr>
          <w:bCs/>
        </w:rPr>
        <w:t>CoV</w:t>
      </w:r>
      <w:proofErr w:type="spellEnd"/>
      <w:r w:rsidR="001172F7">
        <w:rPr>
          <w:bCs/>
        </w:rPr>
        <w:t xml:space="preserve">) </w:t>
      </w:r>
      <w:r>
        <w:rPr>
          <w:bCs/>
        </w:rPr>
        <w:t>– for three levels of geography – province, urban prefecture</w:t>
      </w:r>
      <w:r w:rsidR="006D3DB4">
        <w:rPr>
          <w:bCs/>
        </w:rPr>
        <w:t>,</w:t>
      </w:r>
      <w:r>
        <w:rPr>
          <w:bCs/>
        </w:rPr>
        <w:t xml:space="preserve"> and the urban </w:t>
      </w:r>
      <w:r w:rsidR="001172F7">
        <w:rPr>
          <w:bCs/>
        </w:rPr>
        <w:t xml:space="preserve">core </w:t>
      </w:r>
      <w:r>
        <w:rPr>
          <w:bCs/>
        </w:rPr>
        <w:t>districts within urban prefectures.</w:t>
      </w:r>
      <w:r w:rsidR="006D3DB4">
        <w:rPr>
          <w:rStyle w:val="FootnoteReference"/>
          <w:bCs/>
        </w:rPr>
        <w:footnoteReference w:id="9"/>
      </w:r>
      <w:r>
        <w:rPr>
          <w:bCs/>
        </w:rPr>
        <w:t xml:space="preserve"> </w:t>
      </w:r>
      <w:r w:rsidR="002D7478">
        <w:rPr>
          <w:bCs/>
        </w:rPr>
        <w:t xml:space="preserve">The nominal values that are deflated are GDP per resident </w:t>
      </w:r>
      <w:r w:rsidR="006D3DB4">
        <w:rPr>
          <w:bCs/>
        </w:rPr>
        <w:t xml:space="preserve">in </w:t>
      </w:r>
      <w:r w:rsidR="002D7478">
        <w:rPr>
          <w:bCs/>
        </w:rPr>
        <w:t xml:space="preserve">2010, which takes into account the various corrections </w:t>
      </w:r>
      <w:r w:rsidR="001172F7">
        <w:rPr>
          <w:bCs/>
        </w:rPr>
        <w:t xml:space="preserve">to both GDP statistics and population denominators that are </w:t>
      </w:r>
      <w:r w:rsidR="002D7478">
        <w:rPr>
          <w:bCs/>
        </w:rPr>
        <w:t xml:space="preserve">summarized in Li and Gibson (2013). </w:t>
      </w:r>
      <w:r w:rsidR="006D3DB4">
        <w:rPr>
          <w:bCs/>
        </w:rPr>
        <w:t xml:space="preserve">We restrict attention to 2010 because of the need for census data to provide correct counts of the resident population (rather than the </w:t>
      </w:r>
      <w:proofErr w:type="spellStart"/>
      <w:r w:rsidR="006D3DB4">
        <w:rPr>
          <w:bCs/>
          <w:i/>
        </w:rPr>
        <w:t>hukou</w:t>
      </w:r>
      <w:proofErr w:type="spellEnd"/>
      <w:r w:rsidR="006D3DB4">
        <w:rPr>
          <w:bCs/>
          <w:i/>
        </w:rPr>
        <w:t xml:space="preserve"> </w:t>
      </w:r>
      <w:r w:rsidR="006D3DB4">
        <w:rPr>
          <w:bCs/>
        </w:rPr>
        <w:t>registered population) for sub-provincial spatial units.</w:t>
      </w:r>
    </w:p>
    <w:p w:rsidR="0082462D" w:rsidRPr="00462022" w:rsidRDefault="0082462D" w:rsidP="0082462D">
      <w:pPr>
        <w:tabs>
          <w:tab w:val="left" w:pos="426"/>
        </w:tabs>
        <w:spacing w:line="300" w:lineRule="auto"/>
        <w:jc w:val="both"/>
        <w:rPr>
          <w:bCs/>
          <w:sz w:val="12"/>
          <w:szCs w:val="12"/>
        </w:rPr>
      </w:pPr>
    </w:p>
    <w:p w:rsidR="001009A7" w:rsidRDefault="001009A7" w:rsidP="0082462D">
      <w:pPr>
        <w:tabs>
          <w:tab w:val="left" w:pos="426"/>
        </w:tabs>
        <w:spacing w:line="300" w:lineRule="auto"/>
        <w:jc w:val="both"/>
        <w:rPr>
          <w:bCs/>
        </w:rPr>
      </w:pPr>
    </w:p>
    <w:tbl>
      <w:tblPr>
        <w:tblW w:w="5000" w:type="pct"/>
        <w:tblLook w:val="04A0"/>
      </w:tblPr>
      <w:tblGrid>
        <w:gridCol w:w="1319"/>
        <w:gridCol w:w="1320"/>
        <w:gridCol w:w="1322"/>
        <w:gridCol w:w="1320"/>
        <w:gridCol w:w="1322"/>
        <w:gridCol w:w="1320"/>
        <w:gridCol w:w="1320"/>
      </w:tblGrid>
      <w:tr w:rsidR="00904724" w:rsidRPr="00142780" w:rsidTr="00462022">
        <w:trPr>
          <w:trHeight w:val="300"/>
        </w:trPr>
        <w:tc>
          <w:tcPr>
            <w:tcW w:w="5000" w:type="pct"/>
            <w:gridSpan w:val="7"/>
            <w:tcBorders>
              <w:left w:val="nil"/>
              <w:bottom w:val="single" w:sz="4" w:space="0" w:color="auto"/>
              <w:right w:val="nil"/>
            </w:tcBorders>
            <w:shd w:val="clear" w:color="auto" w:fill="auto"/>
            <w:noWrap/>
            <w:vAlign w:val="center"/>
          </w:tcPr>
          <w:p w:rsidR="00904724" w:rsidRPr="00142780" w:rsidRDefault="00904724" w:rsidP="00462022">
            <w:pPr>
              <w:tabs>
                <w:tab w:val="left" w:pos="426"/>
              </w:tabs>
              <w:spacing w:line="300" w:lineRule="auto"/>
              <w:jc w:val="center"/>
              <w:rPr>
                <w:b/>
                <w:color w:val="000000"/>
                <w:sz w:val="22"/>
                <w:szCs w:val="22"/>
              </w:rPr>
            </w:pPr>
            <w:r w:rsidRPr="00142780">
              <w:rPr>
                <w:b/>
                <w:color w:val="000000"/>
                <w:sz w:val="22"/>
                <w:szCs w:val="22"/>
              </w:rPr>
              <w:t xml:space="preserve">Table 3. Inter-Regional Inequality in GDP </w:t>
            </w:r>
            <w:r w:rsidRPr="00142780">
              <w:rPr>
                <w:b/>
                <w:i/>
                <w:color w:val="000000"/>
                <w:sz w:val="22"/>
                <w:szCs w:val="22"/>
              </w:rPr>
              <w:t>per capita</w:t>
            </w:r>
            <w:r w:rsidRPr="00142780">
              <w:rPr>
                <w:b/>
                <w:color w:val="000000"/>
                <w:sz w:val="22"/>
                <w:szCs w:val="22"/>
              </w:rPr>
              <w:t xml:space="preserve"> With and Without Spatial Deflation</w:t>
            </w:r>
          </w:p>
        </w:tc>
      </w:tr>
      <w:tr w:rsidR="00904724" w:rsidRPr="00142780" w:rsidTr="00462022">
        <w:trPr>
          <w:trHeight w:val="300"/>
        </w:trPr>
        <w:tc>
          <w:tcPr>
            <w:tcW w:w="714" w:type="pct"/>
            <w:tcBorders>
              <w:top w:val="single" w:sz="4" w:space="0" w:color="auto"/>
              <w:left w:val="nil"/>
              <w:bottom w:val="single" w:sz="4" w:space="0" w:color="auto"/>
              <w:right w:val="nil"/>
            </w:tcBorders>
            <w:shd w:val="clear" w:color="auto" w:fill="auto"/>
            <w:noWrap/>
            <w:vAlign w:val="center"/>
            <w:hideMark/>
          </w:tcPr>
          <w:p w:rsidR="00904724" w:rsidRPr="00142780" w:rsidRDefault="00904724" w:rsidP="00462022">
            <w:pPr>
              <w:tabs>
                <w:tab w:val="left" w:pos="426"/>
              </w:tabs>
              <w:spacing w:line="300" w:lineRule="auto"/>
              <w:jc w:val="center"/>
              <w:rPr>
                <w:color w:val="000000"/>
                <w:sz w:val="22"/>
                <w:szCs w:val="22"/>
              </w:rPr>
            </w:pPr>
          </w:p>
        </w:tc>
        <w:tc>
          <w:tcPr>
            <w:tcW w:w="714" w:type="pct"/>
            <w:tcBorders>
              <w:top w:val="single" w:sz="4" w:space="0" w:color="auto"/>
              <w:left w:val="nil"/>
              <w:bottom w:val="single" w:sz="4" w:space="0" w:color="auto"/>
              <w:right w:val="nil"/>
            </w:tcBorders>
            <w:shd w:val="clear" w:color="auto" w:fill="auto"/>
            <w:noWrap/>
            <w:vAlign w:val="center"/>
            <w:hideMark/>
          </w:tcPr>
          <w:p w:rsidR="00904724" w:rsidRPr="00142780" w:rsidRDefault="00904724" w:rsidP="00462022">
            <w:pPr>
              <w:tabs>
                <w:tab w:val="left" w:pos="426"/>
              </w:tabs>
              <w:spacing w:line="300" w:lineRule="auto"/>
              <w:jc w:val="center"/>
              <w:rPr>
                <w:color w:val="000000"/>
                <w:sz w:val="22"/>
                <w:szCs w:val="22"/>
              </w:rPr>
            </w:pPr>
            <w:r w:rsidRPr="00142780">
              <w:rPr>
                <w:color w:val="000000"/>
                <w:sz w:val="22"/>
                <w:szCs w:val="22"/>
              </w:rPr>
              <w:t>THEIL</w:t>
            </w:r>
          </w:p>
        </w:tc>
        <w:tc>
          <w:tcPr>
            <w:tcW w:w="715" w:type="pct"/>
            <w:tcBorders>
              <w:top w:val="single" w:sz="4" w:space="0" w:color="auto"/>
              <w:left w:val="nil"/>
              <w:bottom w:val="single" w:sz="4" w:space="0" w:color="auto"/>
              <w:right w:val="nil"/>
            </w:tcBorders>
            <w:shd w:val="clear" w:color="auto" w:fill="auto"/>
            <w:noWrap/>
            <w:vAlign w:val="center"/>
            <w:hideMark/>
          </w:tcPr>
          <w:p w:rsidR="00904724" w:rsidRPr="00142780" w:rsidRDefault="00904724" w:rsidP="00462022">
            <w:pPr>
              <w:tabs>
                <w:tab w:val="left" w:pos="426"/>
              </w:tabs>
              <w:spacing w:line="300" w:lineRule="auto"/>
              <w:jc w:val="center"/>
              <w:rPr>
                <w:color w:val="000000"/>
                <w:sz w:val="22"/>
                <w:szCs w:val="22"/>
              </w:rPr>
            </w:pPr>
            <w:r w:rsidRPr="00142780">
              <w:rPr>
                <w:color w:val="000000"/>
                <w:sz w:val="22"/>
                <w:szCs w:val="22"/>
              </w:rPr>
              <w:t>THEIL(D)</w:t>
            </w:r>
          </w:p>
        </w:tc>
        <w:tc>
          <w:tcPr>
            <w:tcW w:w="714" w:type="pct"/>
            <w:tcBorders>
              <w:top w:val="single" w:sz="4" w:space="0" w:color="auto"/>
              <w:left w:val="nil"/>
              <w:bottom w:val="single" w:sz="4" w:space="0" w:color="auto"/>
              <w:right w:val="nil"/>
            </w:tcBorders>
            <w:shd w:val="clear" w:color="auto" w:fill="auto"/>
            <w:noWrap/>
            <w:vAlign w:val="center"/>
            <w:hideMark/>
          </w:tcPr>
          <w:p w:rsidR="00904724" w:rsidRPr="00142780" w:rsidRDefault="00904724" w:rsidP="00462022">
            <w:pPr>
              <w:tabs>
                <w:tab w:val="left" w:pos="426"/>
              </w:tabs>
              <w:spacing w:line="300" w:lineRule="auto"/>
              <w:jc w:val="center"/>
              <w:rPr>
                <w:color w:val="000000"/>
                <w:sz w:val="22"/>
                <w:szCs w:val="22"/>
              </w:rPr>
            </w:pPr>
            <w:proofErr w:type="spellStart"/>
            <w:r w:rsidRPr="00142780">
              <w:rPr>
                <w:color w:val="000000"/>
                <w:sz w:val="22"/>
                <w:szCs w:val="22"/>
              </w:rPr>
              <w:t>CoV</w:t>
            </w:r>
            <w:proofErr w:type="spellEnd"/>
          </w:p>
        </w:tc>
        <w:tc>
          <w:tcPr>
            <w:tcW w:w="715" w:type="pct"/>
            <w:tcBorders>
              <w:top w:val="single" w:sz="4" w:space="0" w:color="auto"/>
              <w:left w:val="nil"/>
              <w:bottom w:val="single" w:sz="4" w:space="0" w:color="auto"/>
              <w:right w:val="nil"/>
            </w:tcBorders>
            <w:shd w:val="clear" w:color="auto" w:fill="auto"/>
            <w:noWrap/>
            <w:vAlign w:val="center"/>
            <w:hideMark/>
          </w:tcPr>
          <w:p w:rsidR="00904724" w:rsidRPr="00142780" w:rsidRDefault="00904724" w:rsidP="00462022">
            <w:pPr>
              <w:tabs>
                <w:tab w:val="left" w:pos="426"/>
              </w:tabs>
              <w:spacing w:line="300" w:lineRule="auto"/>
              <w:jc w:val="center"/>
              <w:rPr>
                <w:color w:val="000000"/>
                <w:sz w:val="22"/>
                <w:szCs w:val="22"/>
              </w:rPr>
            </w:pPr>
            <w:proofErr w:type="spellStart"/>
            <w:r w:rsidRPr="00142780">
              <w:rPr>
                <w:color w:val="000000"/>
                <w:sz w:val="22"/>
                <w:szCs w:val="22"/>
              </w:rPr>
              <w:t>CoV</w:t>
            </w:r>
            <w:proofErr w:type="spellEnd"/>
            <w:r w:rsidRPr="00142780">
              <w:rPr>
                <w:color w:val="000000"/>
                <w:sz w:val="22"/>
                <w:szCs w:val="22"/>
              </w:rPr>
              <w:t>(D)</w:t>
            </w:r>
          </w:p>
        </w:tc>
        <w:tc>
          <w:tcPr>
            <w:tcW w:w="714" w:type="pct"/>
            <w:tcBorders>
              <w:top w:val="single" w:sz="4" w:space="0" w:color="auto"/>
              <w:left w:val="nil"/>
              <w:bottom w:val="single" w:sz="4" w:space="0" w:color="auto"/>
              <w:right w:val="nil"/>
            </w:tcBorders>
            <w:shd w:val="clear" w:color="auto" w:fill="auto"/>
            <w:noWrap/>
            <w:vAlign w:val="center"/>
            <w:hideMark/>
          </w:tcPr>
          <w:p w:rsidR="00904724" w:rsidRPr="00142780" w:rsidRDefault="00904724" w:rsidP="00462022">
            <w:pPr>
              <w:tabs>
                <w:tab w:val="left" w:pos="426"/>
              </w:tabs>
              <w:spacing w:line="300" w:lineRule="auto"/>
              <w:jc w:val="center"/>
              <w:rPr>
                <w:color w:val="000000"/>
                <w:sz w:val="22"/>
                <w:szCs w:val="22"/>
              </w:rPr>
            </w:pPr>
            <w:r w:rsidRPr="00142780">
              <w:rPr>
                <w:color w:val="000000"/>
                <w:sz w:val="22"/>
                <w:szCs w:val="22"/>
              </w:rPr>
              <w:t>GINI</w:t>
            </w:r>
          </w:p>
        </w:tc>
        <w:tc>
          <w:tcPr>
            <w:tcW w:w="714" w:type="pct"/>
            <w:tcBorders>
              <w:top w:val="single" w:sz="4" w:space="0" w:color="auto"/>
              <w:left w:val="nil"/>
              <w:bottom w:val="single" w:sz="4" w:space="0" w:color="auto"/>
              <w:right w:val="nil"/>
            </w:tcBorders>
            <w:shd w:val="clear" w:color="auto" w:fill="auto"/>
            <w:noWrap/>
            <w:vAlign w:val="center"/>
            <w:hideMark/>
          </w:tcPr>
          <w:p w:rsidR="00904724" w:rsidRPr="00142780" w:rsidRDefault="00904724" w:rsidP="00462022">
            <w:pPr>
              <w:tabs>
                <w:tab w:val="left" w:pos="426"/>
              </w:tabs>
              <w:spacing w:line="300" w:lineRule="auto"/>
              <w:jc w:val="center"/>
              <w:rPr>
                <w:color w:val="000000"/>
                <w:sz w:val="22"/>
                <w:szCs w:val="22"/>
              </w:rPr>
            </w:pPr>
            <w:r w:rsidRPr="00142780">
              <w:rPr>
                <w:color w:val="000000"/>
                <w:sz w:val="22"/>
                <w:szCs w:val="22"/>
              </w:rPr>
              <w:t>GINI(D)</w:t>
            </w:r>
          </w:p>
        </w:tc>
      </w:tr>
      <w:tr w:rsidR="00904724" w:rsidRPr="00142780" w:rsidTr="00462022">
        <w:trPr>
          <w:trHeight w:val="300"/>
        </w:trPr>
        <w:tc>
          <w:tcPr>
            <w:tcW w:w="714" w:type="pct"/>
            <w:tcBorders>
              <w:top w:val="single" w:sz="4" w:space="0" w:color="auto"/>
              <w:left w:val="nil"/>
              <w:bottom w:val="nil"/>
              <w:right w:val="nil"/>
            </w:tcBorders>
            <w:shd w:val="clear" w:color="auto" w:fill="auto"/>
            <w:noWrap/>
            <w:vAlign w:val="center"/>
            <w:hideMark/>
          </w:tcPr>
          <w:p w:rsidR="00904724" w:rsidRPr="00142780" w:rsidRDefault="00904724" w:rsidP="00462022">
            <w:pPr>
              <w:tabs>
                <w:tab w:val="left" w:pos="426"/>
              </w:tabs>
              <w:spacing w:line="300" w:lineRule="auto"/>
              <w:rPr>
                <w:color w:val="000000"/>
                <w:sz w:val="22"/>
                <w:szCs w:val="22"/>
              </w:rPr>
            </w:pPr>
            <w:r w:rsidRPr="00142780">
              <w:rPr>
                <w:color w:val="000000"/>
                <w:sz w:val="22"/>
                <w:szCs w:val="22"/>
              </w:rPr>
              <w:t>Province</w:t>
            </w:r>
          </w:p>
        </w:tc>
        <w:tc>
          <w:tcPr>
            <w:tcW w:w="714" w:type="pct"/>
            <w:tcBorders>
              <w:top w:val="single" w:sz="4" w:space="0" w:color="auto"/>
              <w:left w:val="nil"/>
              <w:bottom w:val="nil"/>
              <w:right w:val="nil"/>
            </w:tcBorders>
            <w:shd w:val="clear" w:color="auto" w:fill="auto"/>
            <w:noWrap/>
            <w:vAlign w:val="center"/>
            <w:hideMark/>
          </w:tcPr>
          <w:p w:rsidR="00904724" w:rsidRPr="00142780" w:rsidRDefault="00904724" w:rsidP="00462022">
            <w:pPr>
              <w:tabs>
                <w:tab w:val="left" w:pos="426"/>
              </w:tabs>
              <w:spacing w:line="300" w:lineRule="auto"/>
              <w:jc w:val="center"/>
              <w:rPr>
                <w:color w:val="000000"/>
                <w:sz w:val="22"/>
                <w:szCs w:val="22"/>
              </w:rPr>
            </w:pPr>
            <w:r w:rsidRPr="00142780">
              <w:rPr>
                <w:color w:val="000000"/>
                <w:sz w:val="22"/>
                <w:szCs w:val="22"/>
              </w:rPr>
              <w:t>0.08323</w:t>
            </w:r>
          </w:p>
        </w:tc>
        <w:tc>
          <w:tcPr>
            <w:tcW w:w="715" w:type="pct"/>
            <w:tcBorders>
              <w:top w:val="single" w:sz="4" w:space="0" w:color="auto"/>
              <w:left w:val="nil"/>
              <w:bottom w:val="nil"/>
              <w:right w:val="nil"/>
            </w:tcBorders>
            <w:shd w:val="clear" w:color="auto" w:fill="auto"/>
            <w:noWrap/>
            <w:vAlign w:val="center"/>
            <w:hideMark/>
          </w:tcPr>
          <w:p w:rsidR="00904724" w:rsidRPr="00142780" w:rsidRDefault="00904724" w:rsidP="00462022">
            <w:pPr>
              <w:tabs>
                <w:tab w:val="left" w:pos="426"/>
              </w:tabs>
              <w:spacing w:line="300" w:lineRule="auto"/>
              <w:jc w:val="center"/>
              <w:rPr>
                <w:color w:val="000000"/>
                <w:sz w:val="22"/>
                <w:szCs w:val="22"/>
              </w:rPr>
            </w:pPr>
            <w:r w:rsidRPr="00142780">
              <w:rPr>
                <w:color w:val="000000"/>
                <w:sz w:val="22"/>
                <w:szCs w:val="22"/>
              </w:rPr>
              <w:t>0.06147</w:t>
            </w:r>
          </w:p>
        </w:tc>
        <w:tc>
          <w:tcPr>
            <w:tcW w:w="714" w:type="pct"/>
            <w:tcBorders>
              <w:top w:val="single" w:sz="4" w:space="0" w:color="auto"/>
              <w:left w:val="nil"/>
              <w:bottom w:val="nil"/>
              <w:right w:val="nil"/>
            </w:tcBorders>
            <w:shd w:val="clear" w:color="auto" w:fill="auto"/>
            <w:noWrap/>
            <w:vAlign w:val="center"/>
            <w:hideMark/>
          </w:tcPr>
          <w:p w:rsidR="00904724" w:rsidRPr="00142780" w:rsidRDefault="00904724" w:rsidP="00462022">
            <w:pPr>
              <w:tabs>
                <w:tab w:val="left" w:pos="426"/>
              </w:tabs>
              <w:spacing w:line="300" w:lineRule="auto"/>
              <w:jc w:val="center"/>
              <w:rPr>
                <w:color w:val="000000"/>
                <w:sz w:val="22"/>
                <w:szCs w:val="22"/>
              </w:rPr>
            </w:pPr>
            <w:r w:rsidRPr="00142780">
              <w:rPr>
                <w:color w:val="000000"/>
                <w:sz w:val="22"/>
                <w:szCs w:val="22"/>
              </w:rPr>
              <w:t>0.42332</w:t>
            </w:r>
          </w:p>
        </w:tc>
        <w:tc>
          <w:tcPr>
            <w:tcW w:w="715" w:type="pct"/>
            <w:tcBorders>
              <w:top w:val="single" w:sz="4" w:space="0" w:color="auto"/>
              <w:left w:val="nil"/>
              <w:bottom w:val="nil"/>
              <w:right w:val="nil"/>
            </w:tcBorders>
            <w:shd w:val="clear" w:color="auto" w:fill="auto"/>
            <w:noWrap/>
            <w:vAlign w:val="center"/>
            <w:hideMark/>
          </w:tcPr>
          <w:p w:rsidR="00904724" w:rsidRPr="00142780" w:rsidRDefault="00904724" w:rsidP="00462022">
            <w:pPr>
              <w:tabs>
                <w:tab w:val="left" w:pos="426"/>
              </w:tabs>
              <w:spacing w:line="300" w:lineRule="auto"/>
              <w:jc w:val="center"/>
              <w:rPr>
                <w:color w:val="000000"/>
                <w:sz w:val="22"/>
                <w:szCs w:val="22"/>
              </w:rPr>
            </w:pPr>
            <w:r w:rsidRPr="00142780">
              <w:rPr>
                <w:color w:val="000000"/>
                <w:sz w:val="22"/>
                <w:szCs w:val="22"/>
              </w:rPr>
              <w:t>0.35521</w:t>
            </w:r>
          </w:p>
        </w:tc>
        <w:tc>
          <w:tcPr>
            <w:tcW w:w="714" w:type="pct"/>
            <w:tcBorders>
              <w:top w:val="single" w:sz="4" w:space="0" w:color="auto"/>
              <w:left w:val="nil"/>
              <w:bottom w:val="nil"/>
              <w:right w:val="nil"/>
            </w:tcBorders>
            <w:shd w:val="clear" w:color="auto" w:fill="auto"/>
            <w:noWrap/>
            <w:vAlign w:val="center"/>
            <w:hideMark/>
          </w:tcPr>
          <w:p w:rsidR="00904724" w:rsidRPr="00142780" w:rsidRDefault="00904724" w:rsidP="00462022">
            <w:pPr>
              <w:tabs>
                <w:tab w:val="left" w:pos="426"/>
              </w:tabs>
              <w:spacing w:line="300" w:lineRule="auto"/>
              <w:jc w:val="center"/>
              <w:rPr>
                <w:color w:val="000000"/>
                <w:sz w:val="22"/>
                <w:szCs w:val="22"/>
              </w:rPr>
            </w:pPr>
            <w:r w:rsidRPr="00142780">
              <w:rPr>
                <w:color w:val="000000"/>
                <w:sz w:val="22"/>
                <w:szCs w:val="22"/>
              </w:rPr>
              <w:t>0.22672</w:t>
            </w:r>
          </w:p>
        </w:tc>
        <w:tc>
          <w:tcPr>
            <w:tcW w:w="714" w:type="pct"/>
            <w:tcBorders>
              <w:top w:val="single" w:sz="4" w:space="0" w:color="auto"/>
              <w:left w:val="nil"/>
              <w:bottom w:val="nil"/>
              <w:right w:val="nil"/>
            </w:tcBorders>
            <w:shd w:val="clear" w:color="auto" w:fill="auto"/>
            <w:noWrap/>
            <w:vAlign w:val="center"/>
            <w:hideMark/>
          </w:tcPr>
          <w:p w:rsidR="00904724" w:rsidRPr="00142780" w:rsidRDefault="00904724" w:rsidP="00462022">
            <w:pPr>
              <w:tabs>
                <w:tab w:val="left" w:pos="426"/>
              </w:tabs>
              <w:spacing w:line="300" w:lineRule="auto"/>
              <w:jc w:val="center"/>
              <w:rPr>
                <w:color w:val="000000"/>
                <w:sz w:val="22"/>
                <w:szCs w:val="22"/>
              </w:rPr>
            </w:pPr>
            <w:r w:rsidRPr="00142780">
              <w:rPr>
                <w:color w:val="000000"/>
                <w:sz w:val="22"/>
                <w:szCs w:val="22"/>
              </w:rPr>
              <w:t>0.19790</w:t>
            </w:r>
          </w:p>
        </w:tc>
      </w:tr>
      <w:tr w:rsidR="00904724" w:rsidRPr="00142780" w:rsidTr="00462022">
        <w:trPr>
          <w:trHeight w:val="300"/>
        </w:trPr>
        <w:tc>
          <w:tcPr>
            <w:tcW w:w="714" w:type="pct"/>
            <w:tcBorders>
              <w:top w:val="nil"/>
              <w:left w:val="nil"/>
              <w:bottom w:val="nil"/>
              <w:right w:val="nil"/>
            </w:tcBorders>
            <w:shd w:val="clear" w:color="auto" w:fill="auto"/>
            <w:noWrap/>
            <w:vAlign w:val="center"/>
            <w:hideMark/>
          </w:tcPr>
          <w:p w:rsidR="00904724" w:rsidRPr="00142780" w:rsidRDefault="00904724" w:rsidP="00462022">
            <w:pPr>
              <w:tabs>
                <w:tab w:val="left" w:pos="426"/>
              </w:tabs>
              <w:spacing w:line="300" w:lineRule="auto"/>
              <w:rPr>
                <w:color w:val="000000"/>
                <w:sz w:val="22"/>
                <w:szCs w:val="22"/>
              </w:rPr>
            </w:pPr>
            <w:r w:rsidRPr="00142780">
              <w:rPr>
                <w:color w:val="000000"/>
                <w:sz w:val="22"/>
                <w:szCs w:val="22"/>
              </w:rPr>
              <w:t>Prefecture</w:t>
            </w:r>
          </w:p>
        </w:tc>
        <w:tc>
          <w:tcPr>
            <w:tcW w:w="714" w:type="pct"/>
            <w:tcBorders>
              <w:top w:val="nil"/>
              <w:left w:val="nil"/>
              <w:bottom w:val="nil"/>
              <w:right w:val="nil"/>
            </w:tcBorders>
            <w:shd w:val="clear" w:color="auto" w:fill="auto"/>
            <w:noWrap/>
            <w:vAlign w:val="center"/>
            <w:hideMark/>
          </w:tcPr>
          <w:p w:rsidR="00904724" w:rsidRPr="00142780" w:rsidRDefault="00904724" w:rsidP="00462022">
            <w:pPr>
              <w:tabs>
                <w:tab w:val="left" w:pos="426"/>
              </w:tabs>
              <w:spacing w:line="300" w:lineRule="auto"/>
              <w:jc w:val="center"/>
              <w:rPr>
                <w:color w:val="000000"/>
                <w:sz w:val="22"/>
                <w:szCs w:val="22"/>
              </w:rPr>
            </w:pPr>
            <w:r w:rsidRPr="00142780">
              <w:rPr>
                <w:color w:val="000000"/>
                <w:sz w:val="22"/>
                <w:szCs w:val="22"/>
              </w:rPr>
              <w:t>0.17442</w:t>
            </w:r>
          </w:p>
        </w:tc>
        <w:tc>
          <w:tcPr>
            <w:tcW w:w="715" w:type="pct"/>
            <w:tcBorders>
              <w:top w:val="nil"/>
              <w:left w:val="nil"/>
              <w:bottom w:val="nil"/>
              <w:right w:val="nil"/>
            </w:tcBorders>
            <w:shd w:val="clear" w:color="auto" w:fill="auto"/>
            <w:noWrap/>
            <w:vAlign w:val="center"/>
            <w:hideMark/>
          </w:tcPr>
          <w:p w:rsidR="00904724" w:rsidRPr="00142780" w:rsidRDefault="00904724" w:rsidP="00462022">
            <w:pPr>
              <w:tabs>
                <w:tab w:val="left" w:pos="426"/>
              </w:tabs>
              <w:spacing w:line="300" w:lineRule="auto"/>
              <w:jc w:val="center"/>
              <w:rPr>
                <w:color w:val="000000"/>
                <w:sz w:val="22"/>
                <w:szCs w:val="22"/>
              </w:rPr>
            </w:pPr>
            <w:r w:rsidRPr="00142780">
              <w:rPr>
                <w:color w:val="000000"/>
                <w:sz w:val="22"/>
                <w:szCs w:val="22"/>
              </w:rPr>
              <w:t>0.14105</w:t>
            </w:r>
          </w:p>
        </w:tc>
        <w:tc>
          <w:tcPr>
            <w:tcW w:w="714" w:type="pct"/>
            <w:tcBorders>
              <w:top w:val="nil"/>
              <w:left w:val="nil"/>
              <w:bottom w:val="nil"/>
              <w:right w:val="nil"/>
            </w:tcBorders>
            <w:shd w:val="clear" w:color="auto" w:fill="auto"/>
            <w:noWrap/>
            <w:vAlign w:val="center"/>
            <w:hideMark/>
          </w:tcPr>
          <w:p w:rsidR="00904724" w:rsidRPr="00142780" w:rsidRDefault="00904724" w:rsidP="00462022">
            <w:pPr>
              <w:tabs>
                <w:tab w:val="left" w:pos="426"/>
              </w:tabs>
              <w:spacing w:line="300" w:lineRule="auto"/>
              <w:jc w:val="center"/>
              <w:rPr>
                <w:color w:val="000000"/>
                <w:sz w:val="22"/>
                <w:szCs w:val="22"/>
              </w:rPr>
            </w:pPr>
            <w:r w:rsidRPr="00142780">
              <w:rPr>
                <w:color w:val="000000"/>
                <w:sz w:val="22"/>
                <w:szCs w:val="22"/>
              </w:rPr>
              <w:t>0.62303</w:t>
            </w:r>
          </w:p>
        </w:tc>
        <w:tc>
          <w:tcPr>
            <w:tcW w:w="715" w:type="pct"/>
            <w:tcBorders>
              <w:top w:val="nil"/>
              <w:left w:val="nil"/>
              <w:bottom w:val="nil"/>
              <w:right w:val="nil"/>
            </w:tcBorders>
            <w:shd w:val="clear" w:color="auto" w:fill="auto"/>
            <w:noWrap/>
            <w:vAlign w:val="center"/>
            <w:hideMark/>
          </w:tcPr>
          <w:p w:rsidR="00904724" w:rsidRPr="00142780" w:rsidRDefault="00904724" w:rsidP="00462022">
            <w:pPr>
              <w:tabs>
                <w:tab w:val="left" w:pos="426"/>
              </w:tabs>
              <w:spacing w:line="300" w:lineRule="auto"/>
              <w:jc w:val="center"/>
              <w:rPr>
                <w:color w:val="000000"/>
                <w:sz w:val="22"/>
                <w:szCs w:val="22"/>
              </w:rPr>
            </w:pPr>
            <w:r w:rsidRPr="00142780">
              <w:rPr>
                <w:color w:val="000000"/>
                <w:sz w:val="22"/>
                <w:szCs w:val="22"/>
              </w:rPr>
              <w:t>0.55361</w:t>
            </w:r>
          </w:p>
        </w:tc>
        <w:tc>
          <w:tcPr>
            <w:tcW w:w="714" w:type="pct"/>
            <w:tcBorders>
              <w:top w:val="nil"/>
              <w:left w:val="nil"/>
              <w:bottom w:val="nil"/>
              <w:right w:val="nil"/>
            </w:tcBorders>
            <w:shd w:val="clear" w:color="auto" w:fill="auto"/>
            <w:noWrap/>
            <w:vAlign w:val="center"/>
            <w:hideMark/>
          </w:tcPr>
          <w:p w:rsidR="00904724" w:rsidRPr="00142780" w:rsidRDefault="00904724" w:rsidP="00462022">
            <w:pPr>
              <w:tabs>
                <w:tab w:val="left" w:pos="426"/>
              </w:tabs>
              <w:spacing w:line="300" w:lineRule="auto"/>
              <w:jc w:val="center"/>
              <w:rPr>
                <w:color w:val="000000"/>
                <w:sz w:val="22"/>
                <w:szCs w:val="22"/>
              </w:rPr>
            </w:pPr>
            <w:r w:rsidRPr="00142780">
              <w:rPr>
                <w:color w:val="000000"/>
                <w:sz w:val="22"/>
                <w:szCs w:val="22"/>
              </w:rPr>
              <w:t>0.33106</w:t>
            </w:r>
          </w:p>
        </w:tc>
        <w:tc>
          <w:tcPr>
            <w:tcW w:w="714" w:type="pct"/>
            <w:tcBorders>
              <w:top w:val="nil"/>
              <w:left w:val="nil"/>
              <w:bottom w:val="nil"/>
              <w:right w:val="nil"/>
            </w:tcBorders>
            <w:shd w:val="clear" w:color="auto" w:fill="auto"/>
            <w:noWrap/>
            <w:vAlign w:val="center"/>
            <w:hideMark/>
          </w:tcPr>
          <w:p w:rsidR="00904724" w:rsidRPr="00142780" w:rsidRDefault="00904724" w:rsidP="00462022">
            <w:pPr>
              <w:tabs>
                <w:tab w:val="left" w:pos="426"/>
              </w:tabs>
              <w:spacing w:line="300" w:lineRule="auto"/>
              <w:jc w:val="center"/>
              <w:rPr>
                <w:color w:val="000000"/>
                <w:sz w:val="22"/>
                <w:szCs w:val="22"/>
              </w:rPr>
            </w:pPr>
            <w:r w:rsidRPr="00142780">
              <w:rPr>
                <w:color w:val="000000"/>
                <w:sz w:val="22"/>
                <w:szCs w:val="22"/>
              </w:rPr>
              <w:t>0.29865</w:t>
            </w:r>
          </w:p>
        </w:tc>
      </w:tr>
      <w:tr w:rsidR="00904724" w:rsidRPr="00142780" w:rsidTr="00462022">
        <w:trPr>
          <w:trHeight w:val="300"/>
        </w:trPr>
        <w:tc>
          <w:tcPr>
            <w:tcW w:w="714" w:type="pct"/>
            <w:tcBorders>
              <w:top w:val="nil"/>
              <w:left w:val="nil"/>
              <w:bottom w:val="single" w:sz="4" w:space="0" w:color="auto"/>
              <w:right w:val="nil"/>
            </w:tcBorders>
            <w:shd w:val="clear" w:color="auto" w:fill="auto"/>
            <w:noWrap/>
            <w:vAlign w:val="center"/>
            <w:hideMark/>
          </w:tcPr>
          <w:p w:rsidR="00904724" w:rsidRPr="00142780" w:rsidRDefault="00904724" w:rsidP="00462022">
            <w:pPr>
              <w:tabs>
                <w:tab w:val="left" w:pos="426"/>
              </w:tabs>
              <w:spacing w:line="300" w:lineRule="auto"/>
              <w:rPr>
                <w:color w:val="000000"/>
                <w:sz w:val="22"/>
                <w:szCs w:val="22"/>
              </w:rPr>
            </w:pPr>
            <w:r w:rsidRPr="00142780">
              <w:rPr>
                <w:color w:val="000000"/>
                <w:sz w:val="22"/>
                <w:szCs w:val="22"/>
              </w:rPr>
              <w:t>Districts</w:t>
            </w:r>
          </w:p>
        </w:tc>
        <w:tc>
          <w:tcPr>
            <w:tcW w:w="714" w:type="pct"/>
            <w:tcBorders>
              <w:top w:val="nil"/>
              <w:left w:val="nil"/>
              <w:bottom w:val="single" w:sz="4" w:space="0" w:color="auto"/>
              <w:right w:val="nil"/>
            </w:tcBorders>
            <w:shd w:val="clear" w:color="auto" w:fill="auto"/>
            <w:noWrap/>
            <w:vAlign w:val="center"/>
            <w:hideMark/>
          </w:tcPr>
          <w:p w:rsidR="00904724" w:rsidRPr="00142780" w:rsidRDefault="00904724" w:rsidP="00462022">
            <w:pPr>
              <w:tabs>
                <w:tab w:val="left" w:pos="426"/>
              </w:tabs>
              <w:spacing w:line="300" w:lineRule="auto"/>
              <w:jc w:val="center"/>
              <w:rPr>
                <w:color w:val="000000"/>
                <w:sz w:val="22"/>
                <w:szCs w:val="22"/>
              </w:rPr>
            </w:pPr>
            <w:r w:rsidRPr="00142780">
              <w:rPr>
                <w:color w:val="000000"/>
                <w:sz w:val="22"/>
                <w:szCs w:val="22"/>
              </w:rPr>
              <w:t>0.11026</w:t>
            </w:r>
          </w:p>
        </w:tc>
        <w:tc>
          <w:tcPr>
            <w:tcW w:w="715" w:type="pct"/>
            <w:tcBorders>
              <w:top w:val="nil"/>
              <w:left w:val="nil"/>
              <w:bottom w:val="single" w:sz="4" w:space="0" w:color="auto"/>
              <w:right w:val="nil"/>
            </w:tcBorders>
            <w:shd w:val="clear" w:color="auto" w:fill="auto"/>
            <w:noWrap/>
            <w:vAlign w:val="center"/>
            <w:hideMark/>
          </w:tcPr>
          <w:p w:rsidR="00904724" w:rsidRPr="00142780" w:rsidRDefault="00904724" w:rsidP="00462022">
            <w:pPr>
              <w:tabs>
                <w:tab w:val="left" w:pos="426"/>
              </w:tabs>
              <w:spacing w:line="300" w:lineRule="auto"/>
              <w:jc w:val="center"/>
              <w:rPr>
                <w:color w:val="000000"/>
                <w:sz w:val="22"/>
                <w:szCs w:val="22"/>
              </w:rPr>
            </w:pPr>
            <w:r w:rsidRPr="00142780">
              <w:rPr>
                <w:color w:val="000000"/>
                <w:sz w:val="22"/>
                <w:szCs w:val="22"/>
              </w:rPr>
              <w:t>0.08512</w:t>
            </w:r>
          </w:p>
        </w:tc>
        <w:tc>
          <w:tcPr>
            <w:tcW w:w="714" w:type="pct"/>
            <w:tcBorders>
              <w:top w:val="nil"/>
              <w:left w:val="nil"/>
              <w:bottom w:val="single" w:sz="4" w:space="0" w:color="auto"/>
              <w:right w:val="nil"/>
            </w:tcBorders>
            <w:shd w:val="clear" w:color="auto" w:fill="auto"/>
            <w:noWrap/>
            <w:vAlign w:val="center"/>
            <w:hideMark/>
          </w:tcPr>
          <w:p w:rsidR="00904724" w:rsidRPr="00142780" w:rsidRDefault="00904724" w:rsidP="00462022">
            <w:pPr>
              <w:tabs>
                <w:tab w:val="left" w:pos="426"/>
              </w:tabs>
              <w:spacing w:line="300" w:lineRule="auto"/>
              <w:jc w:val="center"/>
              <w:rPr>
                <w:color w:val="000000"/>
                <w:sz w:val="22"/>
                <w:szCs w:val="22"/>
              </w:rPr>
            </w:pPr>
            <w:r w:rsidRPr="00142780">
              <w:rPr>
                <w:color w:val="000000"/>
                <w:sz w:val="22"/>
                <w:szCs w:val="22"/>
              </w:rPr>
              <w:t>0.46545</w:t>
            </w:r>
          </w:p>
        </w:tc>
        <w:tc>
          <w:tcPr>
            <w:tcW w:w="715" w:type="pct"/>
            <w:tcBorders>
              <w:top w:val="nil"/>
              <w:left w:val="nil"/>
              <w:bottom w:val="single" w:sz="4" w:space="0" w:color="auto"/>
              <w:right w:val="nil"/>
            </w:tcBorders>
            <w:shd w:val="clear" w:color="auto" w:fill="auto"/>
            <w:noWrap/>
            <w:vAlign w:val="center"/>
            <w:hideMark/>
          </w:tcPr>
          <w:p w:rsidR="00904724" w:rsidRPr="00142780" w:rsidRDefault="00904724" w:rsidP="00462022">
            <w:pPr>
              <w:tabs>
                <w:tab w:val="left" w:pos="426"/>
              </w:tabs>
              <w:spacing w:line="300" w:lineRule="auto"/>
              <w:jc w:val="center"/>
              <w:rPr>
                <w:color w:val="000000"/>
                <w:sz w:val="22"/>
                <w:szCs w:val="22"/>
              </w:rPr>
            </w:pPr>
            <w:r w:rsidRPr="00142780">
              <w:rPr>
                <w:color w:val="000000"/>
                <w:sz w:val="22"/>
                <w:szCs w:val="22"/>
              </w:rPr>
              <w:t>0.40836</w:t>
            </w:r>
          </w:p>
        </w:tc>
        <w:tc>
          <w:tcPr>
            <w:tcW w:w="714" w:type="pct"/>
            <w:tcBorders>
              <w:top w:val="nil"/>
              <w:left w:val="nil"/>
              <w:bottom w:val="single" w:sz="4" w:space="0" w:color="auto"/>
              <w:right w:val="nil"/>
            </w:tcBorders>
            <w:shd w:val="clear" w:color="auto" w:fill="auto"/>
            <w:noWrap/>
            <w:vAlign w:val="center"/>
            <w:hideMark/>
          </w:tcPr>
          <w:p w:rsidR="00904724" w:rsidRPr="00142780" w:rsidRDefault="00904724" w:rsidP="00462022">
            <w:pPr>
              <w:tabs>
                <w:tab w:val="left" w:pos="426"/>
              </w:tabs>
              <w:spacing w:line="300" w:lineRule="auto"/>
              <w:jc w:val="center"/>
              <w:rPr>
                <w:color w:val="000000"/>
                <w:sz w:val="22"/>
                <w:szCs w:val="22"/>
              </w:rPr>
            </w:pPr>
            <w:r w:rsidRPr="00142780">
              <w:rPr>
                <w:color w:val="000000"/>
                <w:sz w:val="22"/>
                <w:szCs w:val="22"/>
              </w:rPr>
              <w:t>0.26059</w:t>
            </w:r>
          </w:p>
        </w:tc>
        <w:tc>
          <w:tcPr>
            <w:tcW w:w="714" w:type="pct"/>
            <w:tcBorders>
              <w:top w:val="nil"/>
              <w:left w:val="nil"/>
              <w:bottom w:val="single" w:sz="4" w:space="0" w:color="auto"/>
              <w:right w:val="nil"/>
            </w:tcBorders>
            <w:shd w:val="clear" w:color="auto" w:fill="auto"/>
            <w:noWrap/>
            <w:vAlign w:val="center"/>
            <w:hideMark/>
          </w:tcPr>
          <w:p w:rsidR="00904724" w:rsidRPr="00142780" w:rsidRDefault="00904724" w:rsidP="00462022">
            <w:pPr>
              <w:tabs>
                <w:tab w:val="left" w:pos="426"/>
              </w:tabs>
              <w:spacing w:line="300" w:lineRule="auto"/>
              <w:jc w:val="center"/>
              <w:rPr>
                <w:color w:val="000000"/>
                <w:sz w:val="22"/>
                <w:szCs w:val="22"/>
              </w:rPr>
            </w:pPr>
            <w:r w:rsidRPr="00142780">
              <w:rPr>
                <w:color w:val="000000"/>
                <w:sz w:val="22"/>
                <w:szCs w:val="22"/>
              </w:rPr>
              <w:t>0.22552</w:t>
            </w:r>
          </w:p>
        </w:tc>
      </w:tr>
      <w:tr w:rsidR="00904724" w:rsidRPr="0024794C" w:rsidTr="00462022">
        <w:trPr>
          <w:trHeight w:val="300"/>
        </w:trPr>
        <w:tc>
          <w:tcPr>
            <w:tcW w:w="5000" w:type="pct"/>
            <w:gridSpan w:val="7"/>
            <w:tcBorders>
              <w:top w:val="single" w:sz="4" w:space="0" w:color="auto"/>
              <w:left w:val="nil"/>
              <w:bottom w:val="nil"/>
              <w:right w:val="nil"/>
            </w:tcBorders>
            <w:shd w:val="clear" w:color="auto" w:fill="auto"/>
            <w:noWrap/>
            <w:vAlign w:val="center"/>
          </w:tcPr>
          <w:p w:rsidR="00904724" w:rsidRPr="0024794C" w:rsidRDefault="00904724" w:rsidP="00462022">
            <w:pPr>
              <w:tabs>
                <w:tab w:val="left" w:pos="426"/>
              </w:tabs>
              <w:rPr>
                <w:color w:val="000000"/>
              </w:rPr>
            </w:pPr>
            <w:r w:rsidRPr="0024794C">
              <w:rPr>
                <w:i/>
                <w:color w:val="000000"/>
                <w:sz w:val="20"/>
              </w:rPr>
              <w:t>Note</w:t>
            </w:r>
            <w:r>
              <w:rPr>
                <w:color w:val="000000"/>
                <w:sz w:val="20"/>
              </w:rPr>
              <w:t xml:space="preserve">: Results are for </w:t>
            </w:r>
            <w:r w:rsidRPr="0024794C">
              <w:rPr>
                <w:color w:val="000000"/>
                <w:sz w:val="20"/>
              </w:rPr>
              <w:t xml:space="preserve">31 provinces; 288 prefectures; 288 prefecture-merged-districts (prefecture urban cores); (D) is inequality measure on GDP per resident with spatial housing cost deflation. </w:t>
            </w:r>
            <w:proofErr w:type="spellStart"/>
            <w:r w:rsidRPr="0024794C">
              <w:rPr>
                <w:color w:val="000000"/>
                <w:sz w:val="20"/>
              </w:rPr>
              <w:t>CoV</w:t>
            </w:r>
            <w:proofErr w:type="spellEnd"/>
            <w:r w:rsidRPr="0024794C">
              <w:rPr>
                <w:color w:val="000000"/>
                <w:sz w:val="20"/>
              </w:rPr>
              <w:t xml:space="preserve"> is population weighted coefficient of variation.</w:t>
            </w:r>
          </w:p>
        </w:tc>
      </w:tr>
    </w:tbl>
    <w:p w:rsidR="00904724" w:rsidRDefault="00904724" w:rsidP="0082462D">
      <w:pPr>
        <w:tabs>
          <w:tab w:val="left" w:pos="426"/>
        </w:tabs>
        <w:spacing w:line="300" w:lineRule="auto"/>
        <w:jc w:val="both"/>
        <w:rPr>
          <w:bCs/>
        </w:rPr>
      </w:pPr>
    </w:p>
    <w:p w:rsidR="00904724" w:rsidRPr="00462022" w:rsidRDefault="00904724" w:rsidP="0082462D">
      <w:pPr>
        <w:tabs>
          <w:tab w:val="left" w:pos="426"/>
        </w:tabs>
        <w:spacing w:line="300" w:lineRule="auto"/>
        <w:jc w:val="both"/>
        <w:rPr>
          <w:bCs/>
          <w:sz w:val="12"/>
          <w:szCs w:val="12"/>
        </w:rPr>
      </w:pPr>
    </w:p>
    <w:p w:rsidR="006D3DB4" w:rsidRDefault="0082462D" w:rsidP="0082462D">
      <w:pPr>
        <w:tabs>
          <w:tab w:val="left" w:pos="426"/>
        </w:tabs>
        <w:spacing w:line="300" w:lineRule="auto"/>
        <w:jc w:val="both"/>
        <w:rPr>
          <w:bCs/>
          <w:kern w:val="36"/>
          <w:szCs w:val="48"/>
          <w:lang w:val="en-NZ" w:eastAsia="en-NZ"/>
        </w:rPr>
      </w:pPr>
      <w:r>
        <w:rPr>
          <w:bCs/>
        </w:rPr>
        <w:tab/>
      </w:r>
      <w:r w:rsidR="002D7478">
        <w:rPr>
          <w:bCs/>
        </w:rPr>
        <w:t xml:space="preserve">If no account is taken of spatial variation in the cost-of-living, the level of spatial inequality is overstated by up to 35 percent (for inter-provincial analysis, using the Theil index). </w:t>
      </w:r>
      <w:r w:rsidR="006D3DB4">
        <w:rPr>
          <w:bCs/>
        </w:rPr>
        <w:t xml:space="preserve">This is two-thirds larger than the impact of spatial deflation found by Li and Gibson (2013) who use the </w:t>
      </w:r>
      <w:r w:rsidR="006D3DB4">
        <w:t xml:space="preserve">deflator from </w:t>
      </w:r>
      <w:r w:rsidR="006D3DB4">
        <w:rPr>
          <w:bCs/>
          <w:kern w:val="36"/>
          <w:szCs w:val="48"/>
          <w:lang w:val="en-NZ" w:eastAsia="en-NZ"/>
        </w:rPr>
        <w:t xml:space="preserve">Brandt and </w:t>
      </w:r>
      <w:proofErr w:type="spellStart"/>
      <w:r w:rsidR="006D3DB4">
        <w:rPr>
          <w:bCs/>
          <w:kern w:val="36"/>
          <w:szCs w:val="48"/>
          <w:lang w:val="en-NZ" w:eastAsia="en-NZ"/>
        </w:rPr>
        <w:t>Holz</w:t>
      </w:r>
      <w:proofErr w:type="spellEnd"/>
      <w:r w:rsidR="006D3DB4">
        <w:rPr>
          <w:bCs/>
          <w:kern w:val="36"/>
          <w:szCs w:val="48"/>
          <w:lang w:val="en-NZ" w:eastAsia="en-NZ"/>
        </w:rPr>
        <w:t xml:space="preserve"> (2006), updated to 2010 with the rise in each province’s CPI. Since the current analysis assumes that prices for all goods other than housing are set on perfectly integrated markets, it should provide a lower bound to the impact of spatial deflation if a ‘full’ deflator was used which considered all components of consumption.</w:t>
      </w:r>
    </w:p>
    <w:p w:rsidR="0082462D" w:rsidRDefault="0082462D" w:rsidP="0082462D">
      <w:pPr>
        <w:tabs>
          <w:tab w:val="left" w:pos="426"/>
        </w:tabs>
        <w:spacing w:line="300" w:lineRule="auto"/>
        <w:jc w:val="both"/>
        <w:rPr>
          <w:bCs/>
        </w:rPr>
      </w:pPr>
    </w:p>
    <w:p w:rsidR="002D7478" w:rsidRDefault="0082462D" w:rsidP="0082462D">
      <w:pPr>
        <w:tabs>
          <w:tab w:val="left" w:pos="426"/>
        </w:tabs>
        <w:spacing w:line="300" w:lineRule="auto"/>
        <w:jc w:val="both"/>
        <w:rPr>
          <w:bCs/>
        </w:rPr>
      </w:pPr>
      <w:r>
        <w:rPr>
          <w:bCs/>
        </w:rPr>
        <w:tab/>
      </w:r>
      <w:r w:rsidR="002D7478">
        <w:rPr>
          <w:bCs/>
        </w:rPr>
        <w:t>The lowest proportionate over-statement from not deflating comes when studying urban prefectures</w:t>
      </w:r>
      <w:r w:rsidR="006D3DB4">
        <w:rPr>
          <w:bCs/>
        </w:rPr>
        <w:t xml:space="preserve">. This most likely reflects </w:t>
      </w:r>
      <w:r w:rsidR="002D7478">
        <w:rPr>
          <w:bCs/>
        </w:rPr>
        <w:t xml:space="preserve">the fact that these </w:t>
      </w:r>
      <w:r w:rsidR="006D3DB4">
        <w:rPr>
          <w:bCs/>
        </w:rPr>
        <w:t xml:space="preserve">spatial units </w:t>
      </w:r>
      <w:r w:rsidR="002D7478">
        <w:rPr>
          <w:bCs/>
        </w:rPr>
        <w:t xml:space="preserve">have the highest </w:t>
      </w:r>
      <w:r w:rsidR="00055BBF">
        <w:rPr>
          <w:bCs/>
        </w:rPr>
        <w:t xml:space="preserve">apparent </w:t>
      </w:r>
      <w:r w:rsidR="002D7478">
        <w:rPr>
          <w:bCs/>
        </w:rPr>
        <w:t xml:space="preserve">of inequality </w:t>
      </w:r>
      <w:r w:rsidR="006D3DB4">
        <w:rPr>
          <w:bCs/>
        </w:rPr>
        <w:t>amo</w:t>
      </w:r>
      <w:r w:rsidR="00055BBF">
        <w:rPr>
          <w:bCs/>
        </w:rPr>
        <w:t>ngst the various levels of disaggregation</w:t>
      </w:r>
      <w:r w:rsidR="006D3DB4">
        <w:rPr>
          <w:bCs/>
        </w:rPr>
        <w:t xml:space="preserve"> presented in Table 3, </w:t>
      </w:r>
      <w:r w:rsidR="002D7478">
        <w:rPr>
          <w:bCs/>
        </w:rPr>
        <w:t xml:space="preserve">due to their heterogeneity. </w:t>
      </w:r>
      <w:r w:rsidR="006D3DB4">
        <w:rPr>
          <w:bCs/>
        </w:rPr>
        <w:t>An urban</w:t>
      </w:r>
      <w:r w:rsidR="00055BBF">
        <w:rPr>
          <w:bCs/>
        </w:rPr>
        <w:t xml:space="preserve"> prefecture</w:t>
      </w:r>
      <w:r w:rsidR="002D7478">
        <w:rPr>
          <w:bCs/>
        </w:rPr>
        <w:t xml:space="preserve"> may </w:t>
      </w:r>
      <w:r w:rsidR="006D3DB4">
        <w:rPr>
          <w:bCs/>
        </w:rPr>
        <w:t>contain rural counties and this</w:t>
      </w:r>
      <w:r w:rsidR="002D7478">
        <w:rPr>
          <w:bCs/>
        </w:rPr>
        <w:t xml:space="preserve"> lack of </w:t>
      </w:r>
      <w:r w:rsidR="006D3DB4">
        <w:rPr>
          <w:bCs/>
        </w:rPr>
        <w:t xml:space="preserve">a </w:t>
      </w:r>
      <w:r w:rsidR="002D7478">
        <w:rPr>
          <w:bCs/>
        </w:rPr>
        <w:t xml:space="preserve">consistent </w:t>
      </w:r>
      <w:r w:rsidR="006D3DB4">
        <w:rPr>
          <w:bCs/>
        </w:rPr>
        <w:t xml:space="preserve">defined </w:t>
      </w:r>
      <w:r w:rsidR="002D7478">
        <w:rPr>
          <w:bCs/>
        </w:rPr>
        <w:t xml:space="preserve">urbanity </w:t>
      </w:r>
      <w:r w:rsidR="006D3DB4">
        <w:rPr>
          <w:bCs/>
        </w:rPr>
        <w:t xml:space="preserve">gives </w:t>
      </w:r>
      <w:r w:rsidR="002D7478">
        <w:rPr>
          <w:bCs/>
        </w:rPr>
        <w:t>higher apparent inequality</w:t>
      </w:r>
      <w:r w:rsidR="006D3DB4">
        <w:rPr>
          <w:bCs/>
        </w:rPr>
        <w:t xml:space="preserve"> between these ‘urban’ units</w:t>
      </w:r>
      <w:r w:rsidR="002D7478">
        <w:rPr>
          <w:bCs/>
        </w:rPr>
        <w:t xml:space="preserve">, </w:t>
      </w:r>
      <w:r w:rsidR="006D3DB4">
        <w:rPr>
          <w:bCs/>
        </w:rPr>
        <w:t xml:space="preserve">and </w:t>
      </w:r>
      <w:r w:rsidR="002D7478">
        <w:rPr>
          <w:bCs/>
        </w:rPr>
        <w:t xml:space="preserve">correcting </w:t>
      </w:r>
      <w:r w:rsidR="002D7478">
        <w:rPr>
          <w:bCs/>
        </w:rPr>
        <w:lastRenderedPageBreak/>
        <w:t xml:space="preserve">for spatial price differences has less impact. The more defensible level of sub-provincial analysis is the urban </w:t>
      </w:r>
      <w:r w:rsidR="006D3DB4">
        <w:rPr>
          <w:bCs/>
        </w:rPr>
        <w:t xml:space="preserve">core </w:t>
      </w:r>
      <w:r w:rsidR="002D7478">
        <w:rPr>
          <w:bCs/>
        </w:rPr>
        <w:t xml:space="preserve">district within an urban prefecture, </w:t>
      </w:r>
      <w:r w:rsidR="006D3DB4">
        <w:rPr>
          <w:bCs/>
        </w:rPr>
        <w:t>since this excludes rural counties. A</w:t>
      </w:r>
      <w:r w:rsidR="002D7478">
        <w:rPr>
          <w:bCs/>
        </w:rPr>
        <w:t>t this level of geography</w:t>
      </w:r>
      <w:r w:rsidR="006D3DB4">
        <w:rPr>
          <w:bCs/>
        </w:rPr>
        <w:t>,</w:t>
      </w:r>
      <w:r w:rsidR="002D7478">
        <w:rPr>
          <w:bCs/>
        </w:rPr>
        <w:t xml:space="preserve"> spatial inequality is overstated by between 14 percent (using the weighted coefficient of variation) and 30 percent (using the Theil index)</w:t>
      </w:r>
      <w:r w:rsidR="006D3DB4">
        <w:rPr>
          <w:bCs/>
        </w:rPr>
        <w:t xml:space="preserve"> if differences in the urban cost-of-living are not taken into account</w:t>
      </w:r>
      <w:r w:rsidR="002D7478">
        <w:rPr>
          <w:bCs/>
        </w:rPr>
        <w:t xml:space="preserve">. </w:t>
      </w:r>
    </w:p>
    <w:p w:rsidR="00055BBF" w:rsidRDefault="00055BBF" w:rsidP="00DF0191">
      <w:pPr>
        <w:tabs>
          <w:tab w:val="left" w:pos="426"/>
        </w:tabs>
        <w:spacing w:line="300" w:lineRule="auto"/>
        <w:ind w:firstLine="720"/>
        <w:jc w:val="both"/>
        <w:rPr>
          <w:bCs/>
        </w:rPr>
      </w:pPr>
    </w:p>
    <w:p w:rsidR="00C66BE7" w:rsidRPr="00C66BE7" w:rsidRDefault="00C66BE7" w:rsidP="00DF0191">
      <w:pPr>
        <w:tabs>
          <w:tab w:val="left" w:pos="426"/>
        </w:tabs>
        <w:spacing w:line="300" w:lineRule="auto"/>
        <w:ind w:firstLine="720"/>
        <w:jc w:val="both"/>
        <w:rPr>
          <w:bCs/>
          <w:sz w:val="12"/>
          <w:szCs w:val="12"/>
        </w:rPr>
      </w:pPr>
    </w:p>
    <w:p w:rsidR="00055BBF" w:rsidRDefault="0082462D" w:rsidP="0082462D">
      <w:pPr>
        <w:pStyle w:val="ListParagraph"/>
        <w:tabs>
          <w:tab w:val="left" w:pos="426"/>
        </w:tabs>
        <w:spacing w:line="300" w:lineRule="auto"/>
        <w:ind w:left="0"/>
        <w:jc w:val="both"/>
        <w:rPr>
          <w:b/>
          <w:bCs/>
        </w:rPr>
      </w:pPr>
      <w:r>
        <w:rPr>
          <w:b/>
          <w:bCs/>
        </w:rPr>
        <w:t xml:space="preserve">7.  </w:t>
      </w:r>
      <w:r w:rsidR="00055BBF">
        <w:rPr>
          <w:b/>
          <w:bCs/>
        </w:rPr>
        <w:t>CONCLUSIONS</w:t>
      </w:r>
    </w:p>
    <w:p w:rsidR="0082462D" w:rsidRPr="0082462D" w:rsidRDefault="0082462D" w:rsidP="0082462D">
      <w:pPr>
        <w:pStyle w:val="ListParagraph"/>
        <w:tabs>
          <w:tab w:val="left" w:pos="426"/>
        </w:tabs>
        <w:spacing w:line="300" w:lineRule="auto"/>
        <w:ind w:left="0"/>
        <w:jc w:val="both"/>
        <w:rPr>
          <w:b/>
          <w:bCs/>
          <w:sz w:val="12"/>
          <w:szCs w:val="12"/>
        </w:rPr>
      </w:pPr>
    </w:p>
    <w:p w:rsidR="00A006C5" w:rsidRDefault="00A006C5" w:rsidP="0082462D">
      <w:pPr>
        <w:tabs>
          <w:tab w:val="left" w:pos="426"/>
        </w:tabs>
        <w:spacing w:line="300" w:lineRule="auto"/>
        <w:jc w:val="both"/>
      </w:pPr>
      <w:r w:rsidRPr="00370890">
        <w:t xml:space="preserve">In this paper we use newly available </w:t>
      </w:r>
      <w:r>
        <w:t>data</w:t>
      </w:r>
      <w:r w:rsidRPr="00370890">
        <w:t xml:space="preserve"> on dwelling sales in urban China to develop spatially-disaggregated indices of house prices, which are used as spatial deflators for provinces</w:t>
      </w:r>
      <w:r>
        <w:t>, urban prefectures,</w:t>
      </w:r>
      <w:r w:rsidRPr="00370890">
        <w:t xml:space="preserve"> and urban </w:t>
      </w:r>
      <w:r>
        <w:t xml:space="preserve">core </w:t>
      </w:r>
      <w:r w:rsidRPr="00370890">
        <w:t>districts.</w:t>
      </w:r>
      <w:r>
        <w:t xml:space="preserve"> Since we account for only one source of cost-of-living variation over space, the impacts on inequality that we find when using these deflators should be considered a conservative, lower bound. Previous approaches to forming spatial deflators for China have focused more on traded goods prices but our interpretation of the recent evidence is that these adjust quickly to parity levels, and so are unlikely to cause long-run cost-of-living differences between areas. In contrast, the fixity of land makes housing the most likely source of price dispersion across space.</w:t>
      </w:r>
    </w:p>
    <w:p w:rsidR="0082462D" w:rsidRDefault="0082462D" w:rsidP="0082462D">
      <w:pPr>
        <w:tabs>
          <w:tab w:val="left" w:pos="426"/>
        </w:tabs>
        <w:spacing w:line="300" w:lineRule="auto"/>
        <w:jc w:val="both"/>
      </w:pPr>
    </w:p>
    <w:p w:rsidR="00C66BE7" w:rsidRDefault="00A006C5" w:rsidP="00C66BE7">
      <w:pPr>
        <w:tabs>
          <w:tab w:val="left" w:pos="426"/>
        </w:tabs>
        <w:spacing w:line="300" w:lineRule="auto"/>
        <w:ind w:firstLine="720"/>
        <w:jc w:val="both"/>
      </w:pPr>
      <w:r>
        <w:t xml:space="preserve">It would ideal to generate regional components of house prices that hedonically adjust for all components of dwelling quality, but such data are not available beyond a limited number of cities. Nevertheless, </w:t>
      </w:r>
      <w:r w:rsidR="00134AD4">
        <w:t xml:space="preserve">our limited analysis suggests that systematic variation in the quality of new dwellings between cities is unlikely, making the published data on the average price of newly constructed urban dwellings a potentially useful source of information on spatial cost-of-living differences. When we use this information to adjust nominal GDP per resident we find that around one-quarter of the </w:t>
      </w:r>
      <w:r w:rsidR="00134AD4" w:rsidRPr="00370890">
        <w:t xml:space="preserve">apparent </w:t>
      </w:r>
      <w:r w:rsidR="00134AD4">
        <w:t xml:space="preserve">spatial </w:t>
      </w:r>
      <w:r w:rsidR="00134AD4" w:rsidRPr="00370890">
        <w:t xml:space="preserve">inequality disappears once account is taken of </w:t>
      </w:r>
      <w:r w:rsidR="00134AD4">
        <w:t xml:space="preserve">cost-of-living </w:t>
      </w:r>
      <w:r w:rsidR="00134AD4" w:rsidRPr="00370890">
        <w:t>differences</w:t>
      </w:r>
      <w:r w:rsidR="00134AD4">
        <w:t>. Since there are good theoretical reasons for expecting a higher price level in nominally richer areas, our results provide a caveat to concerns about the degree of spatial inequality experienced in China.</w:t>
      </w:r>
    </w:p>
    <w:p w:rsidR="001009A7" w:rsidRDefault="001009A7" w:rsidP="002E79FE">
      <w:pPr>
        <w:tabs>
          <w:tab w:val="left" w:pos="426"/>
        </w:tabs>
        <w:spacing w:line="300" w:lineRule="auto"/>
        <w:ind w:firstLine="720"/>
        <w:jc w:val="both"/>
        <w:rPr>
          <w:b/>
          <w:bCs/>
        </w:rPr>
      </w:pPr>
      <w:r>
        <w:rPr>
          <w:b/>
          <w:bCs/>
        </w:rPr>
        <w:br/>
      </w:r>
    </w:p>
    <w:p w:rsidR="005E0B20" w:rsidRDefault="005E0B20" w:rsidP="00DF0191">
      <w:pPr>
        <w:tabs>
          <w:tab w:val="left" w:pos="426"/>
        </w:tabs>
        <w:spacing w:line="300" w:lineRule="auto"/>
        <w:jc w:val="both"/>
        <w:rPr>
          <w:b/>
          <w:bCs/>
        </w:rPr>
      </w:pPr>
      <w:r w:rsidRPr="00370890">
        <w:rPr>
          <w:b/>
          <w:bCs/>
        </w:rPr>
        <w:t>REFERENCES</w:t>
      </w:r>
    </w:p>
    <w:p w:rsidR="001009A7" w:rsidRPr="001009A7" w:rsidRDefault="001009A7" w:rsidP="00DF0191">
      <w:pPr>
        <w:tabs>
          <w:tab w:val="left" w:pos="426"/>
        </w:tabs>
        <w:spacing w:line="300" w:lineRule="auto"/>
        <w:jc w:val="both"/>
        <w:rPr>
          <w:b/>
          <w:bCs/>
          <w:sz w:val="12"/>
          <w:szCs w:val="12"/>
        </w:rPr>
      </w:pPr>
    </w:p>
    <w:p w:rsidR="005E0B20" w:rsidRPr="001F625B" w:rsidRDefault="005E0B20" w:rsidP="00DF0191">
      <w:pPr>
        <w:tabs>
          <w:tab w:val="left" w:pos="426"/>
        </w:tabs>
        <w:ind w:left="426" w:hanging="426"/>
        <w:jc w:val="both"/>
        <w:rPr>
          <w:sz w:val="22"/>
          <w:szCs w:val="22"/>
        </w:rPr>
      </w:pPr>
      <w:proofErr w:type="spellStart"/>
      <w:proofErr w:type="gramStart"/>
      <w:r w:rsidRPr="001F625B">
        <w:rPr>
          <w:sz w:val="22"/>
          <w:szCs w:val="22"/>
        </w:rPr>
        <w:t>Alm</w:t>
      </w:r>
      <w:proofErr w:type="spellEnd"/>
      <w:r w:rsidRPr="001F625B">
        <w:rPr>
          <w:bCs/>
          <w:kern w:val="36"/>
          <w:sz w:val="22"/>
          <w:szCs w:val="22"/>
          <w:lang w:val="en-NZ" w:eastAsia="en-NZ"/>
        </w:rPr>
        <w:t>å</w:t>
      </w:r>
      <w:r w:rsidRPr="001F625B">
        <w:rPr>
          <w:sz w:val="22"/>
          <w:szCs w:val="22"/>
        </w:rPr>
        <w:t xml:space="preserve">s, I., and </w:t>
      </w:r>
      <w:proofErr w:type="spellStart"/>
      <w:r w:rsidRPr="001F625B">
        <w:rPr>
          <w:sz w:val="22"/>
          <w:szCs w:val="22"/>
        </w:rPr>
        <w:t>Johnsen</w:t>
      </w:r>
      <w:proofErr w:type="spellEnd"/>
      <w:r w:rsidRPr="001F625B">
        <w:rPr>
          <w:sz w:val="22"/>
          <w:szCs w:val="22"/>
        </w:rPr>
        <w:t>, A. (2012).</w:t>
      </w:r>
      <w:proofErr w:type="gramEnd"/>
      <w:r w:rsidRPr="001F625B">
        <w:rPr>
          <w:sz w:val="22"/>
          <w:szCs w:val="22"/>
        </w:rPr>
        <w:t xml:space="preserve"> </w:t>
      </w:r>
      <w:proofErr w:type="gramStart"/>
      <w:r w:rsidRPr="001F625B">
        <w:rPr>
          <w:sz w:val="22"/>
          <w:szCs w:val="22"/>
        </w:rPr>
        <w:t xml:space="preserve">The </w:t>
      </w:r>
      <w:r w:rsidR="00187B28" w:rsidRPr="001F625B">
        <w:rPr>
          <w:sz w:val="22"/>
          <w:szCs w:val="22"/>
        </w:rPr>
        <w:t>Cost-of-living</w:t>
      </w:r>
      <w:r w:rsidRPr="001F625B">
        <w:rPr>
          <w:sz w:val="22"/>
          <w:szCs w:val="22"/>
        </w:rPr>
        <w:t xml:space="preserve"> and its Implications for Inequality and Poverty Measures for China.</w:t>
      </w:r>
      <w:proofErr w:type="gramEnd"/>
      <w:r w:rsidRPr="001F625B">
        <w:rPr>
          <w:sz w:val="22"/>
          <w:szCs w:val="22"/>
        </w:rPr>
        <w:t xml:space="preserve"> </w:t>
      </w:r>
      <w:r w:rsidRPr="001F625B">
        <w:rPr>
          <w:i/>
          <w:sz w:val="22"/>
          <w:szCs w:val="22"/>
        </w:rPr>
        <w:t>Mimeo</w:t>
      </w:r>
      <w:r w:rsidRPr="001F625B">
        <w:rPr>
          <w:sz w:val="22"/>
          <w:szCs w:val="22"/>
        </w:rPr>
        <w:t xml:space="preserve"> Norwegian School of Economics</w:t>
      </w:r>
    </w:p>
    <w:p w:rsidR="009C7442" w:rsidRPr="001F625B" w:rsidRDefault="009C7442" w:rsidP="00DF0191">
      <w:pPr>
        <w:tabs>
          <w:tab w:val="left" w:pos="426"/>
        </w:tabs>
        <w:ind w:left="426" w:hanging="426"/>
        <w:jc w:val="both"/>
        <w:rPr>
          <w:sz w:val="22"/>
          <w:szCs w:val="22"/>
        </w:rPr>
      </w:pPr>
      <w:proofErr w:type="spellStart"/>
      <w:r w:rsidRPr="001F625B">
        <w:rPr>
          <w:rStyle w:val="nlmyear"/>
          <w:sz w:val="22"/>
          <w:szCs w:val="22"/>
        </w:rPr>
        <w:t>Balassa</w:t>
      </w:r>
      <w:proofErr w:type="spellEnd"/>
      <w:r w:rsidRPr="001F625B">
        <w:rPr>
          <w:rStyle w:val="nlmyear"/>
          <w:sz w:val="22"/>
          <w:szCs w:val="22"/>
        </w:rPr>
        <w:t>, B. (1964)</w:t>
      </w:r>
      <w:r w:rsidRPr="001F625B">
        <w:rPr>
          <w:sz w:val="22"/>
          <w:szCs w:val="22"/>
        </w:rPr>
        <w:t xml:space="preserve">. The purchasing-power parity doctrine: a reappraisal. </w:t>
      </w:r>
      <w:r w:rsidRPr="001F625B">
        <w:rPr>
          <w:i/>
          <w:iCs/>
          <w:sz w:val="22"/>
          <w:szCs w:val="22"/>
        </w:rPr>
        <w:t>Journal of Political Economy</w:t>
      </w:r>
      <w:r w:rsidRPr="001F625B">
        <w:rPr>
          <w:sz w:val="22"/>
          <w:szCs w:val="22"/>
        </w:rPr>
        <w:t xml:space="preserve"> 72(6): 584-596.</w:t>
      </w:r>
    </w:p>
    <w:p w:rsidR="00EC128A" w:rsidRPr="001F625B" w:rsidRDefault="00EC128A" w:rsidP="00DF0191">
      <w:pPr>
        <w:tabs>
          <w:tab w:val="left" w:pos="426"/>
        </w:tabs>
        <w:autoSpaceDE w:val="0"/>
        <w:autoSpaceDN w:val="0"/>
        <w:adjustRightInd w:val="0"/>
        <w:ind w:left="426" w:hanging="426"/>
        <w:jc w:val="both"/>
        <w:rPr>
          <w:sz w:val="22"/>
          <w:szCs w:val="22"/>
        </w:rPr>
      </w:pPr>
      <w:proofErr w:type="spellStart"/>
      <w:proofErr w:type="gramStart"/>
      <w:r w:rsidRPr="001F625B">
        <w:rPr>
          <w:sz w:val="22"/>
          <w:szCs w:val="22"/>
        </w:rPr>
        <w:t>Bian</w:t>
      </w:r>
      <w:proofErr w:type="spellEnd"/>
      <w:r w:rsidRPr="001F625B">
        <w:rPr>
          <w:sz w:val="22"/>
          <w:szCs w:val="22"/>
        </w:rPr>
        <w:t>, Y., Logan, J., Lu, H., Pan, Y., and Guan, Y. (1997).</w:t>
      </w:r>
      <w:proofErr w:type="gramEnd"/>
      <w:r w:rsidRPr="001F625B">
        <w:rPr>
          <w:sz w:val="22"/>
          <w:szCs w:val="22"/>
        </w:rPr>
        <w:t xml:space="preserve"> </w:t>
      </w:r>
      <w:proofErr w:type="gramStart"/>
      <w:r w:rsidRPr="001F625B">
        <w:rPr>
          <w:sz w:val="22"/>
          <w:szCs w:val="22"/>
        </w:rPr>
        <w:t>Working units and the commodification of housing: observations on the transition to a market economy with Chinese characteristics.</w:t>
      </w:r>
      <w:proofErr w:type="gramEnd"/>
      <w:r w:rsidRPr="001F625B">
        <w:rPr>
          <w:sz w:val="22"/>
          <w:szCs w:val="22"/>
        </w:rPr>
        <w:t xml:space="preserve"> </w:t>
      </w:r>
      <w:r w:rsidRPr="001F625B">
        <w:rPr>
          <w:i/>
          <w:sz w:val="22"/>
          <w:szCs w:val="22"/>
        </w:rPr>
        <w:t>Social Sciences in China</w:t>
      </w:r>
      <w:r w:rsidRPr="001F625B">
        <w:rPr>
          <w:sz w:val="22"/>
          <w:szCs w:val="22"/>
        </w:rPr>
        <w:t xml:space="preserve"> 18(4): 28-35.</w:t>
      </w:r>
    </w:p>
    <w:p w:rsidR="005E0B20" w:rsidRPr="001F625B" w:rsidRDefault="005E0B20" w:rsidP="00DF0191">
      <w:pPr>
        <w:tabs>
          <w:tab w:val="left" w:pos="426"/>
        </w:tabs>
        <w:autoSpaceDE w:val="0"/>
        <w:autoSpaceDN w:val="0"/>
        <w:adjustRightInd w:val="0"/>
        <w:ind w:left="426" w:hanging="426"/>
        <w:jc w:val="both"/>
        <w:rPr>
          <w:sz w:val="22"/>
          <w:szCs w:val="22"/>
        </w:rPr>
      </w:pPr>
      <w:proofErr w:type="gramStart"/>
      <w:r w:rsidRPr="001F625B">
        <w:rPr>
          <w:sz w:val="22"/>
          <w:szCs w:val="22"/>
        </w:rPr>
        <w:t xml:space="preserve">Brandt, L., and </w:t>
      </w:r>
      <w:proofErr w:type="spellStart"/>
      <w:r w:rsidRPr="001F625B">
        <w:rPr>
          <w:sz w:val="22"/>
          <w:szCs w:val="22"/>
        </w:rPr>
        <w:t>Holz</w:t>
      </w:r>
      <w:proofErr w:type="spellEnd"/>
      <w:r w:rsidRPr="001F625B">
        <w:rPr>
          <w:sz w:val="22"/>
          <w:szCs w:val="22"/>
        </w:rPr>
        <w:t>, C. A. (2006).</w:t>
      </w:r>
      <w:proofErr w:type="gramEnd"/>
      <w:r w:rsidRPr="001F625B">
        <w:rPr>
          <w:sz w:val="22"/>
          <w:szCs w:val="22"/>
        </w:rPr>
        <w:t xml:space="preserve"> Spatial Price Differences in China: Estimates and Implications. </w:t>
      </w:r>
      <w:r w:rsidRPr="001F625B">
        <w:rPr>
          <w:i/>
          <w:iCs/>
          <w:sz w:val="22"/>
          <w:szCs w:val="22"/>
        </w:rPr>
        <w:t>Economic Development and Cultural Change,</w:t>
      </w:r>
      <w:r w:rsidRPr="001F625B">
        <w:rPr>
          <w:sz w:val="22"/>
          <w:szCs w:val="22"/>
        </w:rPr>
        <w:t xml:space="preserve"> 55(1), pp. 43-86.</w:t>
      </w:r>
    </w:p>
    <w:p w:rsidR="00523C87" w:rsidRPr="001F625B" w:rsidRDefault="00523C87" w:rsidP="00DF0191">
      <w:pPr>
        <w:tabs>
          <w:tab w:val="left" w:pos="426"/>
        </w:tabs>
        <w:autoSpaceDE w:val="0"/>
        <w:autoSpaceDN w:val="0"/>
        <w:adjustRightInd w:val="0"/>
        <w:ind w:left="426" w:hanging="426"/>
        <w:jc w:val="both"/>
        <w:rPr>
          <w:sz w:val="22"/>
          <w:szCs w:val="22"/>
        </w:rPr>
      </w:pPr>
      <w:proofErr w:type="gramStart"/>
      <w:r w:rsidRPr="001F625B">
        <w:rPr>
          <w:sz w:val="22"/>
          <w:szCs w:val="22"/>
        </w:rPr>
        <w:t xml:space="preserve">Chen, Q., </w:t>
      </w:r>
      <w:proofErr w:type="spellStart"/>
      <w:r w:rsidRPr="001F625B">
        <w:rPr>
          <w:sz w:val="22"/>
          <w:szCs w:val="22"/>
        </w:rPr>
        <w:t>Goh</w:t>
      </w:r>
      <w:proofErr w:type="spellEnd"/>
      <w:r w:rsidRPr="001F625B">
        <w:rPr>
          <w:sz w:val="22"/>
          <w:szCs w:val="22"/>
        </w:rPr>
        <w:t xml:space="preserve">, C-C, Sun, B., and </w:t>
      </w:r>
      <w:proofErr w:type="spellStart"/>
      <w:r w:rsidRPr="001F625B">
        <w:rPr>
          <w:sz w:val="22"/>
          <w:szCs w:val="22"/>
        </w:rPr>
        <w:t>Xu</w:t>
      </w:r>
      <w:proofErr w:type="spellEnd"/>
      <w:r w:rsidRPr="001F625B">
        <w:rPr>
          <w:sz w:val="22"/>
          <w:szCs w:val="22"/>
        </w:rPr>
        <w:t>, C. (2011).</w:t>
      </w:r>
      <w:proofErr w:type="gramEnd"/>
      <w:r w:rsidRPr="001F625B">
        <w:rPr>
          <w:sz w:val="22"/>
          <w:szCs w:val="22"/>
        </w:rPr>
        <w:t xml:space="preserve"> </w:t>
      </w:r>
      <w:proofErr w:type="gramStart"/>
      <w:r w:rsidRPr="001F625B">
        <w:rPr>
          <w:sz w:val="22"/>
          <w:szCs w:val="22"/>
        </w:rPr>
        <w:t>Market integration in the People’s Republic of China.</w:t>
      </w:r>
      <w:proofErr w:type="gramEnd"/>
      <w:r w:rsidRPr="001F625B">
        <w:rPr>
          <w:sz w:val="22"/>
          <w:szCs w:val="22"/>
        </w:rPr>
        <w:t xml:space="preserve"> </w:t>
      </w:r>
      <w:r w:rsidRPr="001F625B">
        <w:rPr>
          <w:i/>
          <w:sz w:val="22"/>
          <w:szCs w:val="22"/>
        </w:rPr>
        <w:t>Asian Development Review</w:t>
      </w:r>
      <w:r w:rsidRPr="001F625B">
        <w:rPr>
          <w:sz w:val="22"/>
          <w:szCs w:val="22"/>
        </w:rPr>
        <w:t xml:space="preserve"> 28(1): 72-93.</w:t>
      </w:r>
    </w:p>
    <w:p w:rsidR="008603EB" w:rsidRPr="001F625B" w:rsidRDefault="008603EB" w:rsidP="00DF0191">
      <w:pPr>
        <w:tabs>
          <w:tab w:val="left" w:pos="426"/>
        </w:tabs>
        <w:autoSpaceDE w:val="0"/>
        <w:autoSpaceDN w:val="0"/>
        <w:adjustRightInd w:val="0"/>
        <w:ind w:left="426" w:hanging="426"/>
        <w:jc w:val="both"/>
        <w:rPr>
          <w:sz w:val="22"/>
          <w:szCs w:val="22"/>
        </w:rPr>
      </w:pPr>
      <w:proofErr w:type="gramStart"/>
      <w:r w:rsidRPr="001F625B">
        <w:rPr>
          <w:sz w:val="22"/>
          <w:szCs w:val="22"/>
        </w:rPr>
        <w:lastRenderedPageBreak/>
        <w:t xml:space="preserve">Deaton, A., and </w:t>
      </w:r>
      <w:proofErr w:type="spellStart"/>
      <w:r w:rsidRPr="001F625B">
        <w:rPr>
          <w:sz w:val="22"/>
          <w:szCs w:val="22"/>
        </w:rPr>
        <w:t>Dupriez</w:t>
      </w:r>
      <w:proofErr w:type="spellEnd"/>
      <w:r w:rsidRPr="001F625B">
        <w:rPr>
          <w:sz w:val="22"/>
          <w:szCs w:val="22"/>
        </w:rPr>
        <w:t>, O. (2011).</w:t>
      </w:r>
      <w:proofErr w:type="gramEnd"/>
      <w:r w:rsidRPr="001F625B">
        <w:rPr>
          <w:sz w:val="22"/>
          <w:szCs w:val="22"/>
        </w:rPr>
        <w:t xml:space="preserve"> </w:t>
      </w:r>
      <w:proofErr w:type="gramStart"/>
      <w:r w:rsidRPr="001F625B">
        <w:rPr>
          <w:sz w:val="22"/>
          <w:szCs w:val="22"/>
        </w:rPr>
        <w:t>Spatial price differences within large countries.</w:t>
      </w:r>
      <w:proofErr w:type="gramEnd"/>
      <w:r w:rsidRPr="001F625B">
        <w:rPr>
          <w:sz w:val="22"/>
          <w:szCs w:val="22"/>
        </w:rPr>
        <w:t xml:space="preserve"> </w:t>
      </w:r>
      <w:proofErr w:type="gramStart"/>
      <w:r w:rsidRPr="001F625B">
        <w:rPr>
          <w:i/>
          <w:sz w:val="22"/>
          <w:szCs w:val="22"/>
        </w:rPr>
        <w:t>Mimeo</w:t>
      </w:r>
      <w:r w:rsidRPr="001F625B">
        <w:rPr>
          <w:sz w:val="22"/>
          <w:szCs w:val="22"/>
        </w:rPr>
        <w:t>, Princeton University.</w:t>
      </w:r>
      <w:proofErr w:type="gramEnd"/>
    </w:p>
    <w:p w:rsidR="00AE7CEC" w:rsidRPr="001F625B" w:rsidRDefault="00AE7CEC" w:rsidP="00DF0191">
      <w:pPr>
        <w:tabs>
          <w:tab w:val="left" w:pos="426"/>
        </w:tabs>
        <w:autoSpaceDE w:val="0"/>
        <w:autoSpaceDN w:val="0"/>
        <w:adjustRightInd w:val="0"/>
        <w:ind w:left="426" w:hanging="426"/>
        <w:jc w:val="both"/>
        <w:rPr>
          <w:sz w:val="22"/>
          <w:szCs w:val="22"/>
        </w:rPr>
      </w:pPr>
      <w:proofErr w:type="gramStart"/>
      <w:r w:rsidRPr="001F625B">
        <w:rPr>
          <w:sz w:val="22"/>
          <w:szCs w:val="22"/>
        </w:rPr>
        <w:t xml:space="preserve">Deng, Y. H., </w:t>
      </w:r>
      <w:proofErr w:type="spellStart"/>
      <w:r w:rsidRPr="001F625B">
        <w:rPr>
          <w:sz w:val="22"/>
          <w:szCs w:val="22"/>
        </w:rPr>
        <w:t>Gyourko</w:t>
      </w:r>
      <w:proofErr w:type="spellEnd"/>
      <w:r w:rsidRPr="001F625B">
        <w:rPr>
          <w:sz w:val="22"/>
          <w:szCs w:val="22"/>
        </w:rPr>
        <w:t>, J., and Wu, J. (2012).</w:t>
      </w:r>
      <w:proofErr w:type="gramEnd"/>
      <w:r w:rsidRPr="001F625B">
        <w:rPr>
          <w:sz w:val="22"/>
          <w:szCs w:val="22"/>
        </w:rPr>
        <w:t xml:space="preserve"> Land and house price measurement in China. </w:t>
      </w:r>
      <w:proofErr w:type="gramStart"/>
      <w:r w:rsidRPr="001F625B">
        <w:rPr>
          <w:i/>
          <w:sz w:val="22"/>
          <w:szCs w:val="22"/>
        </w:rPr>
        <w:t>Working Paper</w:t>
      </w:r>
      <w:r w:rsidRPr="001F625B">
        <w:rPr>
          <w:sz w:val="22"/>
          <w:szCs w:val="22"/>
        </w:rPr>
        <w:t xml:space="preserve"> No. 18403, National Bureau of Economic Research.</w:t>
      </w:r>
      <w:proofErr w:type="gramEnd"/>
    </w:p>
    <w:p w:rsidR="005E0B20" w:rsidRPr="001F625B" w:rsidRDefault="005E0B20" w:rsidP="00DF0191">
      <w:pPr>
        <w:tabs>
          <w:tab w:val="left" w:pos="426"/>
        </w:tabs>
        <w:autoSpaceDE w:val="0"/>
        <w:autoSpaceDN w:val="0"/>
        <w:adjustRightInd w:val="0"/>
        <w:ind w:left="426" w:hanging="426"/>
        <w:jc w:val="both"/>
        <w:rPr>
          <w:sz w:val="22"/>
          <w:szCs w:val="22"/>
        </w:rPr>
      </w:pPr>
      <w:proofErr w:type="gramStart"/>
      <w:r w:rsidRPr="001F625B">
        <w:rPr>
          <w:sz w:val="22"/>
          <w:szCs w:val="22"/>
        </w:rPr>
        <w:t>Fan, C., and Wei, X. (2006).</w:t>
      </w:r>
      <w:proofErr w:type="gramEnd"/>
      <w:r w:rsidRPr="001F625B">
        <w:rPr>
          <w:sz w:val="22"/>
          <w:szCs w:val="22"/>
        </w:rPr>
        <w:t xml:space="preserve"> The Law of One Price: Evidence from the Transitional Economy of China. </w:t>
      </w:r>
      <w:r w:rsidRPr="001F625B">
        <w:rPr>
          <w:i/>
          <w:sz w:val="22"/>
          <w:szCs w:val="22"/>
        </w:rPr>
        <w:t>Review of Economics and Statistics</w:t>
      </w:r>
      <w:r w:rsidRPr="001F625B">
        <w:rPr>
          <w:sz w:val="22"/>
          <w:szCs w:val="22"/>
        </w:rPr>
        <w:t xml:space="preserve"> 88(4): 682-697.</w:t>
      </w:r>
    </w:p>
    <w:p w:rsidR="00600907" w:rsidRPr="001F625B" w:rsidRDefault="00600907" w:rsidP="00DF0191">
      <w:pPr>
        <w:tabs>
          <w:tab w:val="left" w:pos="426"/>
        </w:tabs>
        <w:ind w:left="426" w:hanging="426"/>
        <w:jc w:val="both"/>
        <w:rPr>
          <w:color w:val="000000"/>
          <w:sz w:val="22"/>
          <w:szCs w:val="22"/>
          <w:shd w:val="clear" w:color="auto" w:fill="FFFFFF"/>
        </w:rPr>
      </w:pPr>
      <w:r w:rsidRPr="001F625B">
        <w:rPr>
          <w:color w:val="000000"/>
          <w:sz w:val="22"/>
          <w:szCs w:val="22"/>
          <w:shd w:val="clear" w:color="auto" w:fill="FFFFFF"/>
        </w:rPr>
        <w:t xml:space="preserve">Fan, S., </w:t>
      </w:r>
      <w:proofErr w:type="spellStart"/>
      <w:r w:rsidRPr="001F625B">
        <w:rPr>
          <w:color w:val="000000"/>
          <w:sz w:val="22"/>
          <w:szCs w:val="22"/>
          <w:shd w:val="clear" w:color="auto" w:fill="FFFFFF"/>
        </w:rPr>
        <w:t>Kanbur</w:t>
      </w:r>
      <w:proofErr w:type="spellEnd"/>
      <w:r w:rsidRPr="001F625B">
        <w:rPr>
          <w:color w:val="000000"/>
          <w:sz w:val="22"/>
          <w:szCs w:val="22"/>
          <w:shd w:val="clear" w:color="auto" w:fill="FFFFFF"/>
        </w:rPr>
        <w:t>, R., and Zhang, X. (2011). China’s Regional Disparities: Experience and Policy.</w:t>
      </w:r>
      <w:r w:rsidRPr="001F625B">
        <w:rPr>
          <w:rStyle w:val="apple-converted-space"/>
          <w:color w:val="000000"/>
          <w:sz w:val="22"/>
          <w:szCs w:val="22"/>
          <w:shd w:val="clear" w:color="auto" w:fill="FFFFFF"/>
        </w:rPr>
        <w:t> </w:t>
      </w:r>
      <w:r w:rsidRPr="001F625B">
        <w:rPr>
          <w:rStyle w:val="Emphasis"/>
          <w:color w:val="000000"/>
          <w:sz w:val="22"/>
          <w:szCs w:val="22"/>
          <w:shd w:val="clear" w:color="auto" w:fill="FFFFFF"/>
        </w:rPr>
        <w:t>Review of Development Finance</w:t>
      </w:r>
      <w:r w:rsidRPr="001F625B">
        <w:rPr>
          <w:color w:val="000000"/>
          <w:sz w:val="22"/>
          <w:szCs w:val="22"/>
          <w:shd w:val="clear" w:color="auto" w:fill="FFFFFF"/>
        </w:rPr>
        <w:t xml:space="preserve"> 1(1): 47-56.</w:t>
      </w:r>
    </w:p>
    <w:p w:rsidR="001356D1" w:rsidRPr="001F625B" w:rsidRDefault="001356D1" w:rsidP="00DF0191">
      <w:pPr>
        <w:tabs>
          <w:tab w:val="left" w:pos="426"/>
        </w:tabs>
        <w:autoSpaceDE w:val="0"/>
        <w:autoSpaceDN w:val="0"/>
        <w:adjustRightInd w:val="0"/>
        <w:ind w:left="426" w:hanging="426"/>
        <w:jc w:val="both"/>
        <w:rPr>
          <w:sz w:val="22"/>
          <w:szCs w:val="22"/>
        </w:rPr>
      </w:pPr>
      <w:proofErr w:type="gramStart"/>
      <w:r w:rsidRPr="001F625B">
        <w:rPr>
          <w:sz w:val="22"/>
          <w:szCs w:val="22"/>
        </w:rPr>
        <w:t xml:space="preserve">Gibson, J., </w:t>
      </w:r>
      <w:proofErr w:type="spellStart"/>
      <w:r w:rsidRPr="001F625B">
        <w:rPr>
          <w:sz w:val="22"/>
          <w:szCs w:val="22"/>
        </w:rPr>
        <w:t>Stillman</w:t>
      </w:r>
      <w:proofErr w:type="spellEnd"/>
      <w:r w:rsidRPr="001F625B">
        <w:rPr>
          <w:sz w:val="22"/>
          <w:szCs w:val="22"/>
        </w:rPr>
        <w:t>, S., and Le, T. (2008).</w:t>
      </w:r>
      <w:proofErr w:type="gramEnd"/>
      <w:r w:rsidRPr="001F625B">
        <w:rPr>
          <w:sz w:val="22"/>
          <w:szCs w:val="22"/>
        </w:rPr>
        <w:t xml:space="preserve"> </w:t>
      </w:r>
      <w:proofErr w:type="gramStart"/>
      <w:r w:rsidRPr="001F625B">
        <w:rPr>
          <w:sz w:val="22"/>
          <w:szCs w:val="22"/>
        </w:rPr>
        <w:t>CPI bias and real living standards in Russia during the transition.</w:t>
      </w:r>
      <w:proofErr w:type="gramEnd"/>
      <w:r w:rsidRPr="001F625B">
        <w:rPr>
          <w:i/>
          <w:sz w:val="22"/>
          <w:szCs w:val="22"/>
        </w:rPr>
        <w:t xml:space="preserve"> Journal of Development Economics </w:t>
      </w:r>
      <w:r w:rsidRPr="001F625B">
        <w:rPr>
          <w:sz w:val="22"/>
          <w:szCs w:val="22"/>
        </w:rPr>
        <w:t>87(1): 140-160</w:t>
      </w:r>
    </w:p>
    <w:p w:rsidR="005E0B20" w:rsidRPr="001F625B" w:rsidRDefault="005E0B20" w:rsidP="00DF0191">
      <w:pPr>
        <w:tabs>
          <w:tab w:val="left" w:pos="426"/>
        </w:tabs>
        <w:autoSpaceDE w:val="0"/>
        <w:autoSpaceDN w:val="0"/>
        <w:adjustRightInd w:val="0"/>
        <w:ind w:left="426" w:hanging="426"/>
        <w:jc w:val="both"/>
        <w:rPr>
          <w:sz w:val="22"/>
          <w:szCs w:val="22"/>
        </w:rPr>
      </w:pPr>
      <w:proofErr w:type="spellStart"/>
      <w:r w:rsidRPr="001F625B">
        <w:rPr>
          <w:sz w:val="22"/>
          <w:szCs w:val="22"/>
        </w:rPr>
        <w:t>Gluschenko</w:t>
      </w:r>
      <w:proofErr w:type="spellEnd"/>
      <w:r w:rsidRPr="001F625B">
        <w:rPr>
          <w:sz w:val="22"/>
          <w:szCs w:val="22"/>
        </w:rPr>
        <w:t xml:space="preserve">, K. (2006). Biases in Cross-Space Comparisons Through Cross-Time Price Indexes: The Case of Russia. </w:t>
      </w:r>
      <w:r w:rsidRPr="001F625B">
        <w:rPr>
          <w:i/>
          <w:sz w:val="22"/>
          <w:szCs w:val="22"/>
        </w:rPr>
        <w:t xml:space="preserve">BOFIT Discussion Paper </w:t>
      </w:r>
      <w:r w:rsidRPr="001F625B">
        <w:rPr>
          <w:sz w:val="22"/>
          <w:szCs w:val="22"/>
        </w:rPr>
        <w:t>No. 9.</w:t>
      </w:r>
    </w:p>
    <w:p w:rsidR="008603EB" w:rsidRPr="001F625B" w:rsidRDefault="008603EB" w:rsidP="00DF0191">
      <w:pPr>
        <w:tabs>
          <w:tab w:val="left" w:pos="426"/>
        </w:tabs>
        <w:autoSpaceDE w:val="0"/>
        <w:autoSpaceDN w:val="0"/>
        <w:adjustRightInd w:val="0"/>
        <w:ind w:left="426" w:hanging="426"/>
        <w:jc w:val="both"/>
        <w:rPr>
          <w:sz w:val="22"/>
          <w:szCs w:val="22"/>
        </w:rPr>
      </w:pPr>
      <w:proofErr w:type="gramStart"/>
      <w:r w:rsidRPr="001F625B">
        <w:rPr>
          <w:sz w:val="22"/>
          <w:szCs w:val="22"/>
        </w:rPr>
        <w:t xml:space="preserve">Gong, C., and </w:t>
      </w:r>
      <w:proofErr w:type="spellStart"/>
      <w:r w:rsidRPr="001F625B">
        <w:rPr>
          <w:sz w:val="22"/>
          <w:szCs w:val="22"/>
        </w:rPr>
        <w:t>Meng</w:t>
      </w:r>
      <w:proofErr w:type="spellEnd"/>
      <w:r w:rsidRPr="001F625B">
        <w:rPr>
          <w:sz w:val="22"/>
          <w:szCs w:val="22"/>
        </w:rPr>
        <w:t>, X. (2008).</w:t>
      </w:r>
      <w:proofErr w:type="gramEnd"/>
      <w:r w:rsidRPr="001F625B">
        <w:rPr>
          <w:sz w:val="22"/>
          <w:szCs w:val="22"/>
        </w:rPr>
        <w:t xml:space="preserve"> Regional price differences in urban China 1986-2001: Estimation and implication. </w:t>
      </w:r>
      <w:r w:rsidRPr="001F625B">
        <w:rPr>
          <w:i/>
          <w:sz w:val="22"/>
          <w:szCs w:val="22"/>
        </w:rPr>
        <w:t>Discussion Paper</w:t>
      </w:r>
      <w:r w:rsidRPr="001F625B">
        <w:rPr>
          <w:sz w:val="22"/>
          <w:szCs w:val="22"/>
        </w:rPr>
        <w:t xml:space="preserve"> No. 3621, Institute for the Study of Labor (IZA), Bonn.</w:t>
      </w:r>
    </w:p>
    <w:p w:rsidR="005E0B20" w:rsidRPr="001F625B" w:rsidRDefault="005E0B20" w:rsidP="00DF0191">
      <w:pPr>
        <w:tabs>
          <w:tab w:val="left" w:pos="426"/>
        </w:tabs>
        <w:ind w:left="426" w:hanging="426"/>
        <w:jc w:val="both"/>
        <w:rPr>
          <w:sz w:val="22"/>
          <w:szCs w:val="22"/>
        </w:rPr>
      </w:pPr>
      <w:proofErr w:type="spellStart"/>
      <w:r w:rsidRPr="001F625B">
        <w:rPr>
          <w:sz w:val="22"/>
          <w:szCs w:val="22"/>
        </w:rPr>
        <w:t>Gustafsson</w:t>
      </w:r>
      <w:proofErr w:type="spellEnd"/>
      <w:r w:rsidRPr="001F625B">
        <w:rPr>
          <w:sz w:val="22"/>
          <w:szCs w:val="22"/>
        </w:rPr>
        <w:t xml:space="preserve">, B., and Li, S. (2002). </w:t>
      </w:r>
      <w:proofErr w:type="gramStart"/>
      <w:r w:rsidRPr="001F625B">
        <w:rPr>
          <w:sz w:val="22"/>
          <w:szCs w:val="22"/>
        </w:rPr>
        <w:t>Income Inequality Within and Across Counties in Rural China.</w:t>
      </w:r>
      <w:proofErr w:type="gramEnd"/>
      <w:r w:rsidRPr="001F625B">
        <w:rPr>
          <w:sz w:val="22"/>
          <w:szCs w:val="22"/>
        </w:rPr>
        <w:t xml:space="preserve"> </w:t>
      </w:r>
      <w:r w:rsidRPr="001F625B">
        <w:rPr>
          <w:i/>
          <w:sz w:val="22"/>
          <w:szCs w:val="22"/>
        </w:rPr>
        <w:t>Journal of Development Economics</w:t>
      </w:r>
      <w:r w:rsidRPr="001F625B">
        <w:rPr>
          <w:sz w:val="22"/>
          <w:szCs w:val="22"/>
        </w:rPr>
        <w:t xml:space="preserve"> 69(2): 179-204.</w:t>
      </w:r>
    </w:p>
    <w:p w:rsidR="00523C87" w:rsidRPr="001F625B" w:rsidRDefault="00523C87" w:rsidP="00DF0191">
      <w:pPr>
        <w:tabs>
          <w:tab w:val="left" w:pos="426"/>
        </w:tabs>
        <w:ind w:left="426" w:hanging="426"/>
        <w:jc w:val="both"/>
        <w:rPr>
          <w:sz w:val="22"/>
          <w:szCs w:val="22"/>
        </w:rPr>
      </w:pPr>
      <w:r w:rsidRPr="001F625B">
        <w:rPr>
          <w:sz w:val="22"/>
          <w:szCs w:val="22"/>
        </w:rPr>
        <w:t xml:space="preserve">Hamilton, B. (2001) Using Engel’s Law to Estimate CPI Bias. </w:t>
      </w:r>
      <w:r w:rsidRPr="001F625B">
        <w:rPr>
          <w:i/>
          <w:sz w:val="22"/>
          <w:szCs w:val="22"/>
        </w:rPr>
        <w:t>American Economic Review</w:t>
      </w:r>
      <w:r w:rsidRPr="001F625B">
        <w:rPr>
          <w:sz w:val="22"/>
          <w:szCs w:val="22"/>
        </w:rPr>
        <w:t xml:space="preserve"> 91(3): 619</w:t>
      </w:r>
      <w:r w:rsidRPr="001F625B">
        <w:rPr>
          <w:sz w:val="22"/>
          <w:szCs w:val="22"/>
        </w:rPr>
        <w:noBreakHyphen/>
        <w:t>630.</w:t>
      </w:r>
    </w:p>
    <w:p w:rsidR="005E0B20" w:rsidRPr="001F625B" w:rsidRDefault="005E0B20" w:rsidP="00DF0191">
      <w:pPr>
        <w:tabs>
          <w:tab w:val="left" w:pos="426"/>
        </w:tabs>
        <w:ind w:left="426" w:hanging="426"/>
        <w:jc w:val="both"/>
        <w:rPr>
          <w:sz w:val="22"/>
          <w:szCs w:val="22"/>
        </w:rPr>
      </w:pPr>
      <w:r w:rsidRPr="001F625B">
        <w:rPr>
          <w:sz w:val="22"/>
          <w:szCs w:val="22"/>
        </w:rPr>
        <w:t xml:space="preserve">Hill, R. (2004). </w:t>
      </w:r>
      <w:proofErr w:type="gramStart"/>
      <w:r w:rsidRPr="001F625B">
        <w:rPr>
          <w:sz w:val="22"/>
          <w:szCs w:val="22"/>
        </w:rPr>
        <w:t>Constructing Price Indexes Across Space and Time: The Case of the European Union.</w:t>
      </w:r>
      <w:proofErr w:type="gramEnd"/>
      <w:r w:rsidRPr="001F625B">
        <w:rPr>
          <w:sz w:val="22"/>
          <w:szCs w:val="22"/>
        </w:rPr>
        <w:t xml:space="preserve"> </w:t>
      </w:r>
      <w:r w:rsidRPr="001F625B">
        <w:rPr>
          <w:i/>
          <w:sz w:val="22"/>
          <w:szCs w:val="22"/>
        </w:rPr>
        <w:t>American Economic Review</w:t>
      </w:r>
      <w:r w:rsidRPr="001F625B">
        <w:rPr>
          <w:sz w:val="22"/>
          <w:szCs w:val="22"/>
        </w:rPr>
        <w:t xml:space="preserve"> 94(5): 1379-1409.</w:t>
      </w:r>
    </w:p>
    <w:p w:rsidR="007B1A2C" w:rsidRPr="001F625B" w:rsidRDefault="007B1A2C" w:rsidP="00DF0191">
      <w:pPr>
        <w:tabs>
          <w:tab w:val="left" w:pos="426"/>
        </w:tabs>
        <w:autoSpaceDE w:val="0"/>
        <w:autoSpaceDN w:val="0"/>
        <w:adjustRightInd w:val="0"/>
        <w:ind w:left="426" w:hanging="426"/>
        <w:jc w:val="both"/>
        <w:rPr>
          <w:sz w:val="22"/>
          <w:szCs w:val="22"/>
          <w:lang w:val="en-NZ" w:eastAsia="en-NZ"/>
        </w:rPr>
      </w:pPr>
      <w:proofErr w:type="spellStart"/>
      <w:r w:rsidRPr="001F625B">
        <w:rPr>
          <w:sz w:val="22"/>
          <w:szCs w:val="22"/>
          <w:lang w:val="en-NZ" w:eastAsia="en-NZ"/>
        </w:rPr>
        <w:t>Holz</w:t>
      </w:r>
      <w:proofErr w:type="spellEnd"/>
      <w:r w:rsidRPr="001F625B">
        <w:rPr>
          <w:sz w:val="22"/>
          <w:szCs w:val="22"/>
          <w:lang w:val="en-NZ" w:eastAsia="en-NZ"/>
        </w:rPr>
        <w:t xml:space="preserve">, C. </w:t>
      </w:r>
      <w:r w:rsidR="00523C87" w:rsidRPr="001F625B">
        <w:rPr>
          <w:sz w:val="22"/>
          <w:szCs w:val="22"/>
          <w:lang w:val="en-NZ" w:eastAsia="en-NZ"/>
        </w:rPr>
        <w:t>(</w:t>
      </w:r>
      <w:r w:rsidRPr="001F625B">
        <w:rPr>
          <w:sz w:val="22"/>
          <w:szCs w:val="22"/>
          <w:lang w:val="en-NZ" w:eastAsia="en-NZ"/>
        </w:rPr>
        <w:t>2009</w:t>
      </w:r>
      <w:r w:rsidR="00523C87" w:rsidRPr="001F625B">
        <w:rPr>
          <w:sz w:val="22"/>
          <w:szCs w:val="22"/>
          <w:lang w:val="en-NZ" w:eastAsia="en-NZ"/>
        </w:rPr>
        <w:t>)</w:t>
      </w:r>
      <w:r w:rsidRPr="001F625B">
        <w:rPr>
          <w:sz w:val="22"/>
          <w:szCs w:val="22"/>
          <w:lang w:val="en-NZ" w:eastAsia="en-NZ"/>
        </w:rPr>
        <w:t>. No Razor’s Edge: Re</w:t>
      </w:r>
      <w:r w:rsidR="00523C87" w:rsidRPr="001F625B">
        <w:rPr>
          <w:sz w:val="22"/>
          <w:szCs w:val="22"/>
          <w:lang w:val="en-NZ" w:eastAsia="en-NZ"/>
        </w:rPr>
        <w:t>-</w:t>
      </w:r>
      <w:r w:rsidRPr="001F625B">
        <w:rPr>
          <w:sz w:val="22"/>
          <w:szCs w:val="22"/>
          <w:lang w:val="en-NZ" w:eastAsia="en-NZ"/>
        </w:rPr>
        <w:t xml:space="preserve">examining </w:t>
      </w:r>
      <w:proofErr w:type="spellStart"/>
      <w:r w:rsidRPr="001F625B">
        <w:rPr>
          <w:sz w:val="22"/>
          <w:szCs w:val="22"/>
          <w:lang w:val="en-NZ" w:eastAsia="en-NZ"/>
        </w:rPr>
        <w:t>Alwyn</w:t>
      </w:r>
      <w:proofErr w:type="spellEnd"/>
      <w:r w:rsidRPr="001F625B">
        <w:rPr>
          <w:sz w:val="22"/>
          <w:szCs w:val="22"/>
          <w:lang w:val="en-NZ" w:eastAsia="en-NZ"/>
        </w:rPr>
        <w:t xml:space="preserve"> Young’</w:t>
      </w:r>
      <w:r w:rsidR="00523C87" w:rsidRPr="001F625B">
        <w:rPr>
          <w:sz w:val="22"/>
          <w:szCs w:val="22"/>
          <w:lang w:val="en-NZ" w:eastAsia="en-NZ"/>
        </w:rPr>
        <w:t xml:space="preserve">s Evidence for Increasing </w:t>
      </w:r>
      <w:r w:rsidRPr="001F625B">
        <w:rPr>
          <w:sz w:val="22"/>
          <w:szCs w:val="22"/>
          <w:lang w:val="en-NZ" w:eastAsia="en-NZ"/>
        </w:rPr>
        <w:t>Interprovincial Trade Barriers in China.</w:t>
      </w:r>
      <w:r w:rsidR="00600821">
        <w:rPr>
          <w:sz w:val="22"/>
          <w:szCs w:val="22"/>
          <w:lang w:val="en-NZ" w:eastAsia="en-NZ"/>
        </w:rPr>
        <w:t>’</w:t>
      </w:r>
      <w:r w:rsidRPr="001F625B">
        <w:rPr>
          <w:sz w:val="22"/>
          <w:szCs w:val="22"/>
          <w:lang w:val="en-NZ" w:eastAsia="en-NZ"/>
        </w:rPr>
        <w:t xml:space="preserve"> </w:t>
      </w:r>
      <w:r w:rsidRPr="001F625B">
        <w:rPr>
          <w:i/>
          <w:iCs/>
          <w:sz w:val="22"/>
          <w:szCs w:val="22"/>
          <w:lang w:val="en-NZ" w:eastAsia="en-NZ"/>
        </w:rPr>
        <w:t xml:space="preserve">Review of Economics and Statistics </w:t>
      </w:r>
      <w:r w:rsidRPr="001F625B">
        <w:rPr>
          <w:sz w:val="22"/>
          <w:szCs w:val="22"/>
          <w:lang w:val="en-NZ" w:eastAsia="en-NZ"/>
        </w:rPr>
        <w:t>91(3):599</w:t>
      </w:r>
      <w:r w:rsidR="00523C87" w:rsidRPr="001F625B">
        <w:rPr>
          <w:sz w:val="22"/>
          <w:szCs w:val="22"/>
          <w:lang w:val="en-NZ" w:eastAsia="en-NZ"/>
        </w:rPr>
        <w:noBreakHyphen/>
      </w:r>
      <w:r w:rsidRPr="001F625B">
        <w:rPr>
          <w:sz w:val="22"/>
          <w:szCs w:val="22"/>
          <w:lang w:val="en-NZ" w:eastAsia="en-NZ"/>
        </w:rPr>
        <w:t>616.</w:t>
      </w:r>
    </w:p>
    <w:p w:rsidR="00CD1794" w:rsidRPr="001F625B" w:rsidRDefault="00CD1794" w:rsidP="00DF0191">
      <w:pPr>
        <w:tabs>
          <w:tab w:val="left" w:pos="426"/>
        </w:tabs>
        <w:autoSpaceDE w:val="0"/>
        <w:autoSpaceDN w:val="0"/>
        <w:adjustRightInd w:val="0"/>
        <w:ind w:left="426" w:hanging="426"/>
        <w:jc w:val="both"/>
        <w:rPr>
          <w:sz w:val="22"/>
          <w:szCs w:val="22"/>
        </w:rPr>
      </w:pPr>
      <w:r w:rsidRPr="001F625B">
        <w:rPr>
          <w:sz w:val="22"/>
          <w:szCs w:val="22"/>
        </w:rPr>
        <w:t xml:space="preserve">Huang, Y. (2003). A room of one's own: housing consumption and residential crowding in transitional urban China. </w:t>
      </w:r>
      <w:r w:rsidRPr="001F625B">
        <w:rPr>
          <w:i/>
          <w:sz w:val="22"/>
          <w:szCs w:val="22"/>
        </w:rPr>
        <w:t>Environment and Planning A</w:t>
      </w:r>
      <w:r w:rsidRPr="001F625B">
        <w:rPr>
          <w:sz w:val="22"/>
          <w:szCs w:val="22"/>
        </w:rPr>
        <w:t xml:space="preserve"> 35(3): 591-614.</w:t>
      </w:r>
    </w:p>
    <w:p w:rsidR="00CD1794" w:rsidRPr="001F625B" w:rsidRDefault="00CD1794" w:rsidP="00DF0191">
      <w:pPr>
        <w:tabs>
          <w:tab w:val="left" w:pos="426"/>
        </w:tabs>
        <w:autoSpaceDE w:val="0"/>
        <w:autoSpaceDN w:val="0"/>
        <w:adjustRightInd w:val="0"/>
        <w:ind w:left="426" w:hanging="426"/>
        <w:jc w:val="both"/>
        <w:rPr>
          <w:sz w:val="22"/>
          <w:szCs w:val="22"/>
          <w:lang w:val="en-NZ" w:eastAsia="en-NZ"/>
        </w:rPr>
      </w:pPr>
      <w:proofErr w:type="gramStart"/>
      <w:r w:rsidRPr="001F625B">
        <w:rPr>
          <w:sz w:val="22"/>
          <w:szCs w:val="22"/>
        </w:rPr>
        <w:t>Huang, Y., and Clark, W. (2002).</w:t>
      </w:r>
      <w:proofErr w:type="gramEnd"/>
      <w:r w:rsidRPr="001F625B">
        <w:rPr>
          <w:sz w:val="22"/>
          <w:szCs w:val="22"/>
        </w:rPr>
        <w:t xml:space="preserve"> Housing tenure choice in transitional urban China: A multi-level analysis. </w:t>
      </w:r>
      <w:r w:rsidRPr="001F625B">
        <w:rPr>
          <w:i/>
          <w:sz w:val="22"/>
          <w:szCs w:val="22"/>
        </w:rPr>
        <w:t>Urban Studies</w:t>
      </w:r>
      <w:r w:rsidRPr="001F625B">
        <w:rPr>
          <w:sz w:val="22"/>
          <w:szCs w:val="22"/>
        </w:rPr>
        <w:t xml:space="preserve"> 39(1): 7-32.</w:t>
      </w:r>
    </w:p>
    <w:p w:rsidR="00CD1794" w:rsidRPr="001F625B" w:rsidRDefault="00523C87" w:rsidP="00DF0191">
      <w:pPr>
        <w:tabs>
          <w:tab w:val="left" w:pos="426"/>
        </w:tabs>
        <w:autoSpaceDE w:val="0"/>
        <w:autoSpaceDN w:val="0"/>
        <w:adjustRightInd w:val="0"/>
        <w:ind w:left="426" w:hanging="426"/>
        <w:jc w:val="both"/>
        <w:rPr>
          <w:sz w:val="22"/>
          <w:szCs w:val="22"/>
          <w:lang w:val="en-NZ" w:eastAsia="en-NZ"/>
        </w:rPr>
      </w:pPr>
      <w:r w:rsidRPr="001F625B">
        <w:rPr>
          <w:sz w:val="22"/>
          <w:szCs w:val="22"/>
          <w:lang w:val="en-NZ" w:eastAsia="en-NZ"/>
        </w:rPr>
        <w:t xml:space="preserve">Huang, J., </w:t>
      </w:r>
      <w:proofErr w:type="spellStart"/>
      <w:r w:rsidRPr="001F625B">
        <w:rPr>
          <w:sz w:val="22"/>
          <w:szCs w:val="22"/>
          <w:lang w:val="en-NZ" w:eastAsia="en-NZ"/>
        </w:rPr>
        <w:t>Rozelle</w:t>
      </w:r>
      <w:proofErr w:type="spellEnd"/>
      <w:r w:rsidRPr="001F625B">
        <w:rPr>
          <w:sz w:val="22"/>
          <w:szCs w:val="22"/>
          <w:lang w:val="en-NZ" w:eastAsia="en-NZ"/>
        </w:rPr>
        <w:t>, S. and Chang, M. (2004). Tracking distortions in agriculture: China and its</w:t>
      </w:r>
      <w:r w:rsidR="00CD1794" w:rsidRPr="001F625B">
        <w:rPr>
          <w:sz w:val="22"/>
          <w:szCs w:val="22"/>
          <w:lang w:val="en-NZ" w:eastAsia="en-NZ"/>
        </w:rPr>
        <w:t>’</w:t>
      </w:r>
      <w:r w:rsidRPr="001F625B">
        <w:rPr>
          <w:sz w:val="22"/>
          <w:szCs w:val="22"/>
          <w:lang w:val="en-NZ" w:eastAsia="en-NZ"/>
        </w:rPr>
        <w:t xml:space="preserve"> accession to the World Trade Organization. </w:t>
      </w:r>
      <w:r w:rsidRPr="001F625B">
        <w:rPr>
          <w:i/>
          <w:iCs/>
          <w:sz w:val="22"/>
          <w:szCs w:val="22"/>
          <w:lang w:val="en-NZ" w:eastAsia="en-NZ"/>
        </w:rPr>
        <w:t xml:space="preserve">World Bank Economic Review </w:t>
      </w:r>
      <w:r w:rsidRPr="001F625B">
        <w:rPr>
          <w:sz w:val="22"/>
          <w:szCs w:val="22"/>
          <w:lang w:val="en-NZ" w:eastAsia="en-NZ"/>
        </w:rPr>
        <w:t>18(1):59-84.</w:t>
      </w:r>
    </w:p>
    <w:p w:rsidR="0021043A" w:rsidRPr="001F625B" w:rsidRDefault="0021043A" w:rsidP="00DF0191">
      <w:pPr>
        <w:tabs>
          <w:tab w:val="left" w:pos="426"/>
        </w:tabs>
        <w:autoSpaceDE w:val="0"/>
        <w:autoSpaceDN w:val="0"/>
        <w:adjustRightInd w:val="0"/>
        <w:ind w:left="426" w:hanging="426"/>
        <w:jc w:val="both"/>
        <w:rPr>
          <w:sz w:val="22"/>
          <w:szCs w:val="22"/>
          <w:lang w:val="en-NZ" w:eastAsia="en-NZ"/>
        </w:rPr>
      </w:pPr>
      <w:proofErr w:type="spellStart"/>
      <w:r w:rsidRPr="001F625B">
        <w:rPr>
          <w:sz w:val="22"/>
          <w:szCs w:val="22"/>
        </w:rPr>
        <w:t>Hui</w:t>
      </w:r>
      <w:proofErr w:type="spellEnd"/>
      <w:r w:rsidRPr="001F625B">
        <w:rPr>
          <w:sz w:val="22"/>
          <w:szCs w:val="22"/>
        </w:rPr>
        <w:t xml:space="preserve">, E., and </w:t>
      </w:r>
      <w:proofErr w:type="spellStart"/>
      <w:r w:rsidRPr="001F625B">
        <w:rPr>
          <w:sz w:val="22"/>
          <w:szCs w:val="22"/>
        </w:rPr>
        <w:t>Yue</w:t>
      </w:r>
      <w:proofErr w:type="spellEnd"/>
      <w:r w:rsidRPr="001F625B">
        <w:rPr>
          <w:sz w:val="22"/>
          <w:szCs w:val="22"/>
        </w:rPr>
        <w:t xml:space="preserve">, S. (2006). Housing price bubbles in Hong Kong, Beijing and Shanghai: a comparative study. </w:t>
      </w:r>
      <w:r w:rsidRPr="001F625B">
        <w:rPr>
          <w:i/>
          <w:sz w:val="22"/>
          <w:szCs w:val="22"/>
        </w:rPr>
        <w:t>The Journal of Real Estate Finance and Economics</w:t>
      </w:r>
      <w:r w:rsidRPr="001F625B">
        <w:rPr>
          <w:sz w:val="22"/>
          <w:szCs w:val="22"/>
        </w:rPr>
        <w:t xml:space="preserve"> 33(4): 299-327.</w:t>
      </w:r>
    </w:p>
    <w:p w:rsidR="00CF583E" w:rsidRPr="001F625B" w:rsidRDefault="00CF583E" w:rsidP="00DF0191">
      <w:pPr>
        <w:tabs>
          <w:tab w:val="left" w:pos="426"/>
        </w:tabs>
        <w:autoSpaceDE w:val="0"/>
        <w:autoSpaceDN w:val="0"/>
        <w:adjustRightInd w:val="0"/>
        <w:ind w:left="426" w:hanging="426"/>
        <w:jc w:val="both"/>
        <w:rPr>
          <w:sz w:val="22"/>
          <w:szCs w:val="22"/>
          <w:lang w:val="en-NZ" w:eastAsia="en-NZ"/>
        </w:rPr>
      </w:pPr>
      <w:proofErr w:type="spellStart"/>
      <w:r w:rsidRPr="001F625B">
        <w:rPr>
          <w:sz w:val="22"/>
          <w:szCs w:val="22"/>
          <w:lang w:val="en-NZ" w:eastAsia="en-NZ"/>
        </w:rPr>
        <w:t>Jolliffe</w:t>
      </w:r>
      <w:proofErr w:type="spellEnd"/>
      <w:r w:rsidRPr="001F625B">
        <w:rPr>
          <w:sz w:val="22"/>
          <w:szCs w:val="22"/>
          <w:lang w:val="en-NZ" w:eastAsia="en-NZ"/>
        </w:rPr>
        <w:t xml:space="preserve">, D. (2006). Poverty, prices, and place: How sensitive is the spatial distribution of poverty to </w:t>
      </w:r>
      <w:r w:rsidR="00187B28" w:rsidRPr="001F625B">
        <w:rPr>
          <w:sz w:val="22"/>
          <w:szCs w:val="22"/>
          <w:lang w:val="en-NZ" w:eastAsia="en-NZ"/>
        </w:rPr>
        <w:t>cost-of-living</w:t>
      </w:r>
      <w:r w:rsidRPr="001F625B">
        <w:rPr>
          <w:sz w:val="22"/>
          <w:szCs w:val="22"/>
          <w:lang w:val="en-NZ" w:eastAsia="en-NZ"/>
        </w:rPr>
        <w:t xml:space="preserve"> adjustments? </w:t>
      </w:r>
      <w:r w:rsidRPr="001F625B">
        <w:rPr>
          <w:i/>
          <w:iCs/>
          <w:sz w:val="22"/>
          <w:szCs w:val="22"/>
          <w:lang w:val="en-NZ" w:eastAsia="en-NZ"/>
        </w:rPr>
        <w:t xml:space="preserve">Economic Inquiry </w:t>
      </w:r>
      <w:r w:rsidRPr="001F625B">
        <w:rPr>
          <w:iCs/>
          <w:sz w:val="22"/>
          <w:szCs w:val="22"/>
          <w:lang w:val="en-NZ" w:eastAsia="en-NZ"/>
        </w:rPr>
        <w:t>44</w:t>
      </w:r>
      <w:r w:rsidRPr="001F625B">
        <w:rPr>
          <w:sz w:val="22"/>
          <w:szCs w:val="22"/>
          <w:lang w:val="en-NZ" w:eastAsia="en-NZ"/>
        </w:rPr>
        <w:t>(2): 296-310.</w:t>
      </w:r>
    </w:p>
    <w:p w:rsidR="001B4A0F" w:rsidRPr="001F625B" w:rsidRDefault="001B4A0F" w:rsidP="00DF0191">
      <w:pPr>
        <w:tabs>
          <w:tab w:val="left" w:pos="426"/>
        </w:tabs>
        <w:ind w:left="426" w:hanging="426"/>
        <w:jc w:val="both"/>
        <w:rPr>
          <w:sz w:val="22"/>
          <w:szCs w:val="22"/>
        </w:rPr>
      </w:pPr>
      <w:r w:rsidRPr="001F625B">
        <w:rPr>
          <w:sz w:val="22"/>
          <w:szCs w:val="22"/>
        </w:rPr>
        <w:t xml:space="preserve">Keller, W and </w:t>
      </w:r>
      <w:proofErr w:type="spellStart"/>
      <w:r w:rsidRPr="001F625B">
        <w:rPr>
          <w:sz w:val="22"/>
          <w:szCs w:val="22"/>
        </w:rPr>
        <w:t>Shiue</w:t>
      </w:r>
      <w:proofErr w:type="spellEnd"/>
      <w:r w:rsidRPr="001F625B">
        <w:rPr>
          <w:sz w:val="22"/>
          <w:szCs w:val="22"/>
        </w:rPr>
        <w:t>, C. (2007</w:t>
      </w:r>
      <w:r w:rsidR="004F3007" w:rsidRPr="001F625B">
        <w:rPr>
          <w:sz w:val="22"/>
          <w:szCs w:val="22"/>
        </w:rPr>
        <w:t>a</w:t>
      </w:r>
      <w:r w:rsidRPr="001F625B">
        <w:rPr>
          <w:sz w:val="22"/>
          <w:szCs w:val="22"/>
        </w:rPr>
        <w:t>)</w:t>
      </w:r>
      <w:r w:rsidR="00120482" w:rsidRPr="001F625B">
        <w:rPr>
          <w:sz w:val="22"/>
          <w:szCs w:val="22"/>
        </w:rPr>
        <w:t>.</w:t>
      </w:r>
      <w:r w:rsidRPr="001F625B">
        <w:rPr>
          <w:sz w:val="22"/>
          <w:szCs w:val="22"/>
        </w:rPr>
        <w:t xml:space="preserve"> </w:t>
      </w:r>
      <w:proofErr w:type="gramStart"/>
      <w:r w:rsidRPr="001F625B">
        <w:rPr>
          <w:color w:val="000000"/>
          <w:sz w:val="22"/>
          <w:szCs w:val="22"/>
          <w:lang w:val="en-NZ" w:eastAsia="en-NZ"/>
        </w:rPr>
        <w:t>Markets in China and Euro</w:t>
      </w:r>
      <w:r w:rsidR="00B55F2B" w:rsidRPr="001F625B">
        <w:rPr>
          <w:color w:val="000000"/>
          <w:sz w:val="22"/>
          <w:szCs w:val="22"/>
          <w:lang w:val="en-NZ" w:eastAsia="en-NZ"/>
        </w:rPr>
        <w:t>pe on the eve of the industrial r</w:t>
      </w:r>
      <w:r w:rsidRPr="001F625B">
        <w:rPr>
          <w:color w:val="000000"/>
          <w:sz w:val="22"/>
          <w:szCs w:val="22"/>
          <w:lang w:val="en-NZ" w:eastAsia="en-NZ"/>
        </w:rPr>
        <w:t>evolution.</w:t>
      </w:r>
      <w:proofErr w:type="gramEnd"/>
      <w:r w:rsidRPr="001F625B">
        <w:rPr>
          <w:color w:val="000000"/>
          <w:sz w:val="22"/>
          <w:szCs w:val="22"/>
          <w:lang w:val="en-NZ" w:eastAsia="en-NZ"/>
        </w:rPr>
        <w:t xml:space="preserve"> </w:t>
      </w:r>
      <w:r w:rsidRPr="001F625B">
        <w:rPr>
          <w:i/>
          <w:color w:val="000000"/>
          <w:sz w:val="22"/>
          <w:szCs w:val="22"/>
          <w:lang w:val="en-NZ" w:eastAsia="en-NZ"/>
        </w:rPr>
        <w:t>American Economic Review</w:t>
      </w:r>
      <w:r w:rsidRPr="001F625B">
        <w:rPr>
          <w:color w:val="000000"/>
          <w:sz w:val="22"/>
          <w:szCs w:val="22"/>
          <w:lang w:val="en-NZ" w:eastAsia="en-NZ"/>
        </w:rPr>
        <w:t xml:space="preserve"> 97(4): 1189-1216.</w:t>
      </w:r>
    </w:p>
    <w:p w:rsidR="005E0B20" w:rsidRPr="001F625B" w:rsidRDefault="005E0B20" w:rsidP="00DF0191">
      <w:pPr>
        <w:tabs>
          <w:tab w:val="left" w:pos="426"/>
        </w:tabs>
        <w:ind w:left="426" w:hanging="426"/>
        <w:jc w:val="both"/>
        <w:rPr>
          <w:bCs/>
          <w:color w:val="333333"/>
          <w:sz w:val="22"/>
          <w:szCs w:val="22"/>
        </w:rPr>
      </w:pPr>
      <w:r w:rsidRPr="001F625B">
        <w:rPr>
          <w:sz w:val="22"/>
          <w:szCs w:val="22"/>
        </w:rPr>
        <w:t xml:space="preserve">Keller, W and </w:t>
      </w:r>
      <w:proofErr w:type="spellStart"/>
      <w:r w:rsidRPr="001F625B">
        <w:rPr>
          <w:sz w:val="22"/>
          <w:szCs w:val="22"/>
        </w:rPr>
        <w:t>Shiue</w:t>
      </w:r>
      <w:proofErr w:type="spellEnd"/>
      <w:r w:rsidRPr="001F625B">
        <w:rPr>
          <w:sz w:val="22"/>
          <w:szCs w:val="22"/>
        </w:rPr>
        <w:t>, C. (2007</w:t>
      </w:r>
      <w:r w:rsidR="004F3007" w:rsidRPr="001F625B">
        <w:rPr>
          <w:sz w:val="22"/>
          <w:szCs w:val="22"/>
        </w:rPr>
        <w:t>b</w:t>
      </w:r>
      <w:r w:rsidRPr="001F625B">
        <w:rPr>
          <w:sz w:val="22"/>
          <w:szCs w:val="22"/>
        </w:rPr>
        <w:t>)</w:t>
      </w:r>
      <w:r w:rsidR="00120482" w:rsidRPr="001F625B">
        <w:rPr>
          <w:sz w:val="22"/>
          <w:szCs w:val="22"/>
        </w:rPr>
        <w:t>.</w:t>
      </w:r>
      <w:r w:rsidRPr="001F625B">
        <w:rPr>
          <w:sz w:val="22"/>
          <w:szCs w:val="22"/>
        </w:rPr>
        <w:t xml:space="preserve"> </w:t>
      </w:r>
      <w:r w:rsidR="00600821">
        <w:rPr>
          <w:sz w:val="22"/>
          <w:szCs w:val="22"/>
        </w:rPr>
        <w:t>‘</w:t>
      </w:r>
      <w:r w:rsidRPr="001F625B">
        <w:rPr>
          <w:rStyle w:val="apple-style-span"/>
          <w:bCs/>
          <w:sz w:val="22"/>
          <w:szCs w:val="22"/>
        </w:rPr>
        <w:t>Market integration and economic development: A long-run comparison</w:t>
      </w:r>
      <w:r w:rsidR="00600821">
        <w:rPr>
          <w:rStyle w:val="apple-style-span"/>
          <w:bCs/>
          <w:sz w:val="22"/>
          <w:szCs w:val="22"/>
        </w:rPr>
        <w:t>’</w:t>
      </w:r>
      <w:r w:rsidRPr="001F625B">
        <w:rPr>
          <w:rStyle w:val="apple-style-span"/>
          <w:bCs/>
          <w:sz w:val="22"/>
          <w:szCs w:val="22"/>
        </w:rPr>
        <w:t xml:space="preserve"> </w:t>
      </w:r>
      <w:r w:rsidRPr="001F625B">
        <w:rPr>
          <w:rStyle w:val="apple-style-span"/>
          <w:bCs/>
          <w:i/>
          <w:sz w:val="22"/>
          <w:szCs w:val="22"/>
        </w:rPr>
        <w:t>Review of Development Economics</w:t>
      </w:r>
      <w:r w:rsidRPr="001F625B">
        <w:rPr>
          <w:rStyle w:val="apple-style-span"/>
          <w:bCs/>
          <w:sz w:val="22"/>
          <w:szCs w:val="22"/>
        </w:rPr>
        <w:t xml:space="preserve"> 11(1): 107-123.</w:t>
      </w:r>
    </w:p>
    <w:p w:rsidR="00A32EE6" w:rsidRPr="001F625B" w:rsidRDefault="00A32EE6" w:rsidP="00DF0191">
      <w:pPr>
        <w:tabs>
          <w:tab w:val="left" w:pos="426"/>
        </w:tabs>
        <w:autoSpaceDE w:val="0"/>
        <w:autoSpaceDN w:val="0"/>
        <w:adjustRightInd w:val="0"/>
        <w:ind w:left="426" w:hanging="426"/>
        <w:jc w:val="both"/>
        <w:rPr>
          <w:sz w:val="22"/>
          <w:szCs w:val="22"/>
        </w:rPr>
      </w:pPr>
      <w:proofErr w:type="gramStart"/>
      <w:r w:rsidRPr="001F625B">
        <w:rPr>
          <w:sz w:val="22"/>
          <w:szCs w:val="22"/>
        </w:rPr>
        <w:t xml:space="preserve">Krueger, A., and </w:t>
      </w:r>
      <w:proofErr w:type="spellStart"/>
      <w:r w:rsidRPr="001F625B">
        <w:rPr>
          <w:sz w:val="22"/>
          <w:szCs w:val="22"/>
        </w:rPr>
        <w:t>Siskind</w:t>
      </w:r>
      <w:proofErr w:type="spellEnd"/>
      <w:r w:rsidRPr="001F625B">
        <w:rPr>
          <w:sz w:val="22"/>
          <w:szCs w:val="22"/>
        </w:rPr>
        <w:t>, A. (1998).</w:t>
      </w:r>
      <w:proofErr w:type="gramEnd"/>
      <w:r w:rsidRPr="001F625B">
        <w:rPr>
          <w:sz w:val="22"/>
          <w:szCs w:val="22"/>
        </w:rPr>
        <w:t xml:space="preserve"> </w:t>
      </w:r>
      <w:proofErr w:type="gramStart"/>
      <w:r w:rsidRPr="001F625B">
        <w:rPr>
          <w:sz w:val="22"/>
          <w:szCs w:val="22"/>
        </w:rPr>
        <w:t>Using survey data to assess bias in the Consumer Price Index.</w:t>
      </w:r>
      <w:proofErr w:type="gramEnd"/>
      <w:r w:rsidRPr="001F625B">
        <w:rPr>
          <w:sz w:val="22"/>
          <w:szCs w:val="22"/>
        </w:rPr>
        <w:t xml:space="preserve"> </w:t>
      </w:r>
      <w:r w:rsidRPr="001F625B">
        <w:rPr>
          <w:i/>
          <w:sz w:val="22"/>
          <w:szCs w:val="22"/>
        </w:rPr>
        <w:t>Monthly Labor Review</w:t>
      </w:r>
      <w:r w:rsidRPr="001F625B">
        <w:rPr>
          <w:sz w:val="22"/>
          <w:szCs w:val="22"/>
        </w:rPr>
        <w:t xml:space="preserve"> 121(4): 24-33.</w:t>
      </w:r>
    </w:p>
    <w:p w:rsidR="00CF1973" w:rsidRPr="001F625B" w:rsidRDefault="00CF1973" w:rsidP="00DF0191">
      <w:pPr>
        <w:tabs>
          <w:tab w:val="left" w:pos="426"/>
        </w:tabs>
        <w:autoSpaceDE w:val="0"/>
        <w:autoSpaceDN w:val="0"/>
        <w:adjustRightInd w:val="0"/>
        <w:ind w:left="426" w:hanging="426"/>
        <w:jc w:val="both"/>
        <w:rPr>
          <w:sz w:val="22"/>
          <w:szCs w:val="22"/>
        </w:rPr>
      </w:pPr>
      <w:r w:rsidRPr="001F625B">
        <w:rPr>
          <w:sz w:val="22"/>
          <w:szCs w:val="22"/>
        </w:rPr>
        <w:t xml:space="preserve">Lai, H. (2002). China's Western Development Program: Its Rationale, Implementation, and Prospects. </w:t>
      </w:r>
      <w:r w:rsidRPr="001F625B">
        <w:rPr>
          <w:i/>
          <w:iCs/>
          <w:sz w:val="22"/>
          <w:szCs w:val="22"/>
        </w:rPr>
        <w:t>Modern China,</w:t>
      </w:r>
      <w:r w:rsidRPr="001F625B">
        <w:rPr>
          <w:sz w:val="22"/>
          <w:szCs w:val="22"/>
        </w:rPr>
        <w:t xml:space="preserve"> 28(4): 432-453.</w:t>
      </w:r>
    </w:p>
    <w:p w:rsidR="00CF1973" w:rsidRPr="001F625B" w:rsidRDefault="00CF1973" w:rsidP="00DF0191">
      <w:pPr>
        <w:tabs>
          <w:tab w:val="left" w:pos="426"/>
        </w:tabs>
        <w:autoSpaceDE w:val="0"/>
        <w:autoSpaceDN w:val="0"/>
        <w:adjustRightInd w:val="0"/>
        <w:ind w:left="426" w:hanging="426"/>
        <w:jc w:val="both"/>
        <w:rPr>
          <w:sz w:val="22"/>
          <w:szCs w:val="22"/>
        </w:rPr>
      </w:pPr>
      <w:r w:rsidRPr="001F625B">
        <w:rPr>
          <w:sz w:val="22"/>
          <w:szCs w:val="22"/>
        </w:rPr>
        <w:t xml:space="preserve">Lai, H. (2007). </w:t>
      </w:r>
      <w:proofErr w:type="gramStart"/>
      <w:r w:rsidRPr="001F625B">
        <w:rPr>
          <w:sz w:val="22"/>
          <w:szCs w:val="22"/>
        </w:rPr>
        <w:t>Developing Central China: A New Regional Programme.</w:t>
      </w:r>
      <w:proofErr w:type="gramEnd"/>
      <w:r w:rsidRPr="001F625B">
        <w:rPr>
          <w:sz w:val="22"/>
          <w:szCs w:val="22"/>
        </w:rPr>
        <w:t xml:space="preserve"> </w:t>
      </w:r>
      <w:r w:rsidRPr="001F625B">
        <w:rPr>
          <w:i/>
          <w:sz w:val="22"/>
          <w:szCs w:val="22"/>
        </w:rPr>
        <w:t>China: An International Journal,</w:t>
      </w:r>
      <w:r w:rsidRPr="001F625B">
        <w:rPr>
          <w:sz w:val="22"/>
          <w:szCs w:val="22"/>
        </w:rPr>
        <w:t xml:space="preserve"> 5(1): 109-128.</w:t>
      </w:r>
    </w:p>
    <w:p w:rsidR="005E0B20" w:rsidRPr="001F625B" w:rsidRDefault="005E0B20" w:rsidP="00DF0191">
      <w:pPr>
        <w:tabs>
          <w:tab w:val="left" w:pos="426"/>
        </w:tabs>
        <w:autoSpaceDE w:val="0"/>
        <w:autoSpaceDN w:val="0"/>
        <w:adjustRightInd w:val="0"/>
        <w:ind w:left="426" w:hanging="426"/>
        <w:jc w:val="both"/>
        <w:rPr>
          <w:sz w:val="22"/>
          <w:szCs w:val="22"/>
        </w:rPr>
      </w:pPr>
      <w:proofErr w:type="spellStart"/>
      <w:proofErr w:type="gramStart"/>
      <w:r w:rsidRPr="001F625B">
        <w:rPr>
          <w:sz w:val="22"/>
          <w:szCs w:val="22"/>
        </w:rPr>
        <w:t>Lan</w:t>
      </w:r>
      <w:proofErr w:type="spellEnd"/>
      <w:r w:rsidRPr="001F625B">
        <w:rPr>
          <w:sz w:val="22"/>
          <w:szCs w:val="22"/>
        </w:rPr>
        <w:t xml:space="preserve">, Y., and </w:t>
      </w:r>
      <w:proofErr w:type="spellStart"/>
      <w:r w:rsidRPr="001F625B">
        <w:rPr>
          <w:sz w:val="22"/>
          <w:szCs w:val="22"/>
        </w:rPr>
        <w:t>Sylwester</w:t>
      </w:r>
      <w:proofErr w:type="spellEnd"/>
      <w:r w:rsidRPr="001F625B">
        <w:rPr>
          <w:sz w:val="22"/>
          <w:szCs w:val="22"/>
        </w:rPr>
        <w:t>, K. (2010).</w:t>
      </w:r>
      <w:proofErr w:type="gramEnd"/>
      <w:r w:rsidRPr="001F625B">
        <w:rPr>
          <w:sz w:val="22"/>
          <w:szCs w:val="22"/>
        </w:rPr>
        <w:t xml:space="preserve"> Does the Law of One Price Hold in China? </w:t>
      </w:r>
      <w:proofErr w:type="gramStart"/>
      <w:r w:rsidRPr="001F625B">
        <w:rPr>
          <w:sz w:val="22"/>
          <w:szCs w:val="22"/>
        </w:rPr>
        <w:t>Testing Price Convergence Using Disaggregated Data.</w:t>
      </w:r>
      <w:proofErr w:type="gramEnd"/>
      <w:r w:rsidRPr="001F625B">
        <w:rPr>
          <w:sz w:val="22"/>
          <w:szCs w:val="22"/>
        </w:rPr>
        <w:t xml:space="preserve"> </w:t>
      </w:r>
      <w:r w:rsidRPr="001F625B">
        <w:rPr>
          <w:i/>
          <w:sz w:val="22"/>
          <w:szCs w:val="22"/>
        </w:rPr>
        <w:t>China Economic Review</w:t>
      </w:r>
      <w:r w:rsidRPr="001F625B">
        <w:rPr>
          <w:sz w:val="22"/>
          <w:szCs w:val="22"/>
        </w:rPr>
        <w:t xml:space="preserve"> 21(2): 224-236.</w:t>
      </w:r>
    </w:p>
    <w:p w:rsidR="00B55F2B" w:rsidRPr="001F625B" w:rsidRDefault="00B55F2B" w:rsidP="00DF0191">
      <w:pPr>
        <w:tabs>
          <w:tab w:val="left" w:pos="426"/>
        </w:tabs>
        <w:autoSpaceDE w:val="0"/>
        <w:autoSpaceDN w:val="0"/>
        <w:adjustRightInd w:val="0"/>
        <w:ind w:left="426" w:hanging="426"/>
        <w:jc w:val="both"/>
        <w:rPr>
          <w:sz w:val="22"/>
          <w:szCs w:val="22"/>
        </w:rPr>
      </w:pPr>
      <w:proofErr w:type="spellStart"/>
      <w:proofErr w:type="gramStart"/>
      <w:r w:rsidRPr="001F625B">
        <w:rPr>
          <w:sz w:val="22"/>
          <w:szCs w:val="22"/>
        </w:rPr>
        <w:t>Lanjouw</w:t>
      </w:r>
      <w:proofErr w:type="spellEnd"/>
      <w:r w:rsidRPr="001F625B">
        <w:rPr>
          <w:sz w:val="22"/>
          <w:szCs w:val="22"/>
        </w:rPr>
        <w:t xml:space="preserve">, P., and </w:t>
      </w:r>
      <w:proofErr w:type="spellStart"/>
      <w:r w:rsidRPr="001F625B">
        <w:rPr>
          <w:sz w:val="22"/>
          <w:szCs w:val="22"/>
        </w:rPr>
        <w:t>Ravallion</w:t>
      </w:r>
      <w:proofErr w:type="spellEnd"/>
      <w:r w:rsidRPr="001F625B">
        <w:rPr>
          <w:sz w:val="22"/>
          <w:szCs w:val="22"/>
        </w:rPr>
        <w:t>, M. (1995).</w:t>
      </w:r>
      <w:proofErr w:type="gramEnd"/>
      <w:r w:rsidRPr="001F625B">
        <w:rPr>
          <w:sz w:val="22"/>
          <w:szCs w:val="22"/>
        </w:rPr>
        <w:t xml:space="preserve"> </w:t>
      </w:r>
      <w:proofErr w:type="gramStart"/>
      <w:r w:rsidRPr="001F625B">
        <w:rPr>
          <w:sz w:val="22"/>
          <w:szCs w:val="22"/>
        </w:rPr>
        <w:t>Poverty and household size.</w:t>
      </w:r>
      <w:proofErr w:type="gramEnd"/>
      <w:r w:rsidRPr="001F625B">
        <w:rPr>
          <w:sz w:val="22"/>
          <w:szCs w:val="22"/>
        </w:rPr>
        <w:t xml:space="preserve"> </w:t>
      </w:r>
      <w:r w:rsidRPr="001F625B">
        <w:rPr>
          <w:i/>
          <w:sz w:val="22"/>
          <w:szCs w:val="22"/>
        </w:rPr>
        <w:t>Economic Journal</w:t>
      </w:r>
      <w:r w:rsidRPr="001F625B">
        <w:rPr>
          <w:sz w:val="22"/>
          <w:szCs w:val="22"/>
        </w:rPr>
        <w:t xml:space="preserve"> 105(433): 1415-1434.</w:t>
      </w:r>
    </w:p>
    <w:p w:rsidR="005E0B20" w:rsidRPr="001F625B" w:rsidRDefault="005E0B20" w:rsidP="00DF0191">
      <w:pPr>
        <w:tabs>
          <w:tab w:val="left" w:pos="426"/>
        </w:tabs>
        <w:autoSpaceDE w:val="0"/>
        <w:autoSpaceDN w:val="0"/>
        <w:adjustRightInd w:val="0"/>
        <w:ind w:left="426" w:hanging="426"/>
        <w:jc w:val="both"/>
        <w:rPr>
          <w:sz w:val="22"/>
          <w:szCs w:val="22"/>
        </w:rPr>
      </w:pPr>
      <w:proofErr w:type="gramStart"/>
      <w:r w:rsidRPr="001F625B">
        <w:rPr>
          <w:sz w:val="22"/>
          <w:szCs w:val="22"/>
        </w:rPr>
        <w:t>Li, C., and Gibson, J. (2013).</w:t>
      </w:r>
      <w:proofErr w:type="gramEnd"/>
      <w:r w:rsidRPr="001F625B">
        <w:rPr>
          <w:sz w:val="22"/>
          <w:szCs w:val="22"/>
        </w:rPr>
        <w:t xml:space="preserve"> Rising regional inequality in China: Fact or </w:t>
      </w:r>
      <w:proofErr w:type="spellStart"/>
      <w:r w:rsidRPr="001F625B">
        <w:rPr>
          <w:sz w:val="22"/>
          <w:szCs w:val="22"/>
        </w:rPr>
        <w:t>artefact</w:t>
      </w:r>
      <w:proofErr w:type="spellEnd"/>
      <w:r w:rsidRPr="001F625B">
        <w:rPr>
          <w:sz w:val="22"/>
          <w:szCs w:val="22"/>
        </w:rPr>
        <w:t xml:space="preserve">? </w:t>
      </w:r>
      <w:proofErr w:type="gramStart"/>
      <w:r w:rsidRPr="001F625B">
        <w:rPr>
          <w:i/>
          <w:sz w:val="22"/>
          <w:szCs w:val="22"/>
        </w:rPr>
        <w:t>World Development</w:t>
      </w:r>
      <w:r w:rsidRPr="001F625B">
        <w:rPr>
          <w:sz w:val="22"/>
          <w:szCs w:val="22"/>
        </w:rPr>
        <w:t xml:space="preserve"> (forthcoming).</w:t>
      </w:r>
      <w:proofErr w:type="gramEnd"/>
    </w:p>
    <w:p w:rsidR="005E0B20" w:rsidRPr="001F625B" w:rsidRDefault="005E0B20" w:rsidP="00DF0191">
      <w:pPr>
        <w:tabs>
          <w:tab w:val="left" w:pos="426"/>
        </w:tabs>
        <w:autoSpaceDE w:val="0"/>
        <w:autoSpaceDN w:val="0"/>
        <w:adjustRightInd w:val="0"/>
        <w:ind w:left="426" w:hanging="426"/>
        <w:jc w:val="both"/>
        <w:rPr>
          <w:sz w:val="22"/>
          <w:szCs w:val="22"/>
        </w:rPr>
      </w:pPr>
      <w:proofErr w:type="gramStart"/>
      <w:r w:rsidRPr="001F625B">
        <w:rPr>
          <w:sz w:val="22"/>
          <w:szCs w:val="22"/>
        </w:rPr>
        <w:t xml:space="preserve">Li, H., Li, L., Wu, B., and </w:t>
      </w:r>
      <w:proofErr w:type="spellStart"/>
      <w:r w:rsidRPr="001F625B">
        <w:rPr>
          <w:sz w:val="22"/>
          <w:szCs w:val="22"/>
        </w:rPr>
        <w:t>Xiong</w:t>
      </w:r>
      <w:proofErr w:type="spellEnd"/>
      <w:r w:rsidRPr="001F625B">
        <w:rPr>
          <w:sz w:val="22"/>
          <w:szCs w:val="22"/>
        </w:rPr>
        <w:t>, Y. (2012).</w:t>
      </w:r>
      <w:proofErr w:type="gramEnd"/>
      <w:r w:rsidRPr="001F625B">
        <w:rPr>
          <w:sz w:val="22"/>
          <w:szCs w:val="22"/>
        </w:rPr>
        <w:t xml:space="preserve"> </w:t>
      </w:r>
      <w:proofErr w:type="gramStart"/>
      <w:r w:rsidRPr="001F625B">
        <w:rPr>
          <w:sz w:val="22"/>
          <w:szCs w:val="22"/>
        </w:rPr>
        <w:t>The End of Cheap Chinese Labor.</w:t>
      </w:r>
      <w:proofErr w:type="gramEnd"/>
      <w:r w:rsidRPr="001F625B">
        <w:rPr>
          <w:sz w:val="22"/>
          <w:szCs w:val="22"/>
        </w:rPr>
        <w:t xml:space="preserve"> </w:t>
      </w:r>
      <w:r w:rsidRPr="001F625B">
        <w:rPr>
          <w:i/>
          <w:sz w:val="22"/>
          <w:szCs w:val="22"/>
        </w:rPr>
        <w:t>Journal of Economic Perspectives</w:t>
      </w:r>
      <w:r w:rsidRPr="001F625B">
        <w:rPr>
          <w:sz w:val="22"/>
          <w:szCs w:val="22"/>
        </w:rPr>
        <w:t xml:space="preserve"> 26(4): 57-74.</w:t>
      </w:r>
    </w:p>
    <w:p w:rsidR="00CD1794" w:rsidRPr="001F625B" w:rsidRDefault="00CD1794" w:rsidP="00DF0191">
      <w:pPr>
        <w:tabs>
          <w:tab w:val="left" w:pos="426"/>
        </w:tabs>
        <w:autoSpaceDE w:val="0"/>
        <w:autoSpaceDN w:val="0"/>
        <w:adjustRightInd w:val="0"/>
        <w:ind w:left="426" w:hanging="426"/>
        <w:jc w:val="both"/>
        <w:rPr>
          <w:sz w:val="22"/>
          <w:szCs w:val="22"/>
        </w:rPr>
      </w:pPr>
      <w:r w:rsidRPr="001F625B">
        <w:rPr>
          <w:sz w:val="22"/>
          <w:szCs w:val="22"/>
        </w:rPr>
        <w:t>Liu, L. (2010). Development and outlook of farm house building in China (</w:t>
      </w:r>
      <w:proofErr w:type="spellStart"/>
      <w:r w:rsidRPr="001F625B">
        <w:rPr>
          <w:i/>
          <w:sz w:val="22"/>
          <w:szCs w:val="22"/>
        </w:rPr>
        <w:t>Woguo</w:t>
      </w:r>
      <w:proofErr w:type="spellEnd"/>
      <w:r w:rsidRPr="001F625B">
        <w:rPr>
          <w:i/>
          <w:sz w:val="22"/>
          <w:szCs w:val="22"/>
        </w:rPr>
        <w:t xml:space="preserve"> </w:t>
      </w:r>
      <w:proofErr w:type="spellStart"/>
      <w:r w:rsidRPr="001F625B">
        <w:rPr>
          <w:i/>
          <w:sz w:val="22"/>
          <w:szCs w:val="22"/>
        </w:rPr>
        <w:t>Nongmin</w:t>
      </w:r>
      <w:proofErr w:type="spellEnd"/>
      <w:r w:rsidRPr="001F625B">
        <w:rPr>
          <w:i/>
          <w:sz w:val="22"/>
          <w:szCs w:val="22"/>
        </w:rPr>
        <w:t xml:space="preserve"> </w:t>
      </w:r>
      <w:proofErr w:type="spellStart"/>
      <w:r w:rsidRPr="001F625B">
        <w:rPr>
          <w:i/>
          <w:sz w:val="22"/>
          <w:szCs w:val="22"/>
        </w:rPr>
        <w:t>Zhufang</w:t>
      </w:r>
      <w:proofErr w:type="spellEnd"/>
      <w:r w:rsidRPr="001F625B">
        <w:rPr>
          <w:i/>
          <w:sz w:val="22"/>
          <w:szCs w:val="22"/>
        </w:rPr>
        <w:t xml:space="preserve"> </w:t>
      </w:r>
      <w:proofErr w:type="spellStart"/>
      <w:r w:rsidRPr="001F625B">
        <w:rPr>
          <w:i/>
          <w:sz w:val="22"/>
          <w:szCs w:val="22"/>
        </w:rPr>
        <w:t>Jianshe</w:t>
      </w:r>
      <w:proofErr w:type="spellEnd"/>
      <w:r w:rsidRPr="001F625B">
        <w:rPr>
          <w:i/>
          <w:sz w:val="22"/>
          <w:szCs w:val="22"/>
        </w:rPr>
        <w:t xml:space="preserve">: </w:t>
      </w:r>
      <w:proofErr w:type="spellStart"/>
      <w:r w:rsidRPr="001F625B">
        <w:rPr>
          <w:i/>
          <w:sz w:val="22"/>
          <w:szCs w:val="22"/>
        </w:rPr>
        <w:t>Fazhan</w:t>
      </w:r>
      <w:proofErr w:type="spellEnd"/>
      <w:r w:rsidRPr="001F625B">
        <w:rPr>
          <w:i/>
          <w:sz w:val="22"/>
          <w:szCs w:val="22"/>
        </w:rPr>
        <w:t xml:space="preserve"> </w:t>
      </w:r>
      <w:proofErr w:type="spellStart"/>
      <w:r w:rsidRPr="001F625B">
        <w:rPr>
          <w:i/>
          <w:sz w:val="22"/>
          <w:szCs w:val="22"/>
        </w:rPr>
        <w:t>Licheng</w:t>
      </w:r>
      <w:proofErr w:type="spellEnd"/>
      <w:r w:rsidRPr="001F625B">
        <w:rPr>
          <w:i/>
          <w:sz w:val="22"/>
          <w:szCs w:val="22"/>
        </w:rPr>
        <w:t xml:space="preserve"> </w:t>
      </w:r>
      <w:proofErr w:type="spellStart"/>
      <w:r w:rsidRPr="001F625B">
        <w:rPr>
          <w:i/>
          <w:sz w:val="22"/>
          <w:szCs w:val="22"/>
        </w:rPr>
        <w:t>yu</w:t>
      </w:r>
      <w:proofErr w:type="spellEnd"/>
      <w:r w:rsidRPr="001F625B">
        <w:rPr>
          <w:i/>
          <w:sz w:val="22"/>
          <w:szCs w:val="22"/>
        </w:rPr>
        <w:t xml:space="preserve"> </w:t>
      </w:r>
      <w:proofErr w:type="spellStart"/>
      <w:r w:rsidRPr="001F625B">
        <w:rPr>
          <w:i/>
          <w:sz w:val="22"/>
          <w:szCs w:val="22"/>
        </w:rPr>
        <w:t>Qianjing</w:t>
      </w:r>
      <w:proofErr w:type="spellEnd"/>
      <w:r w:rsidRPr="001F625B">
        <w:rPr>
          <w:i/>
          <w:sz w:val="22"/>
          <w:szCs w:val="22"/>
        </w:rPr>
        <w:t xml:space="preserve"> </w:t>
      </w:r>
      <w:proofErr w:type="spellStart"/>
      <w:r w:rsidRPr="001F625B">
        <w:rPr>
          <w:i/>
          <w:sz w:val="22"/>
          <w:szCs w:val="22"/>
        </w:rPr>
        <w:t>Zhanwang</w:t>
      </w:r>
      <w:proofErr w:type="spellEnd"/>
      <w:r w:rsidRPr="001F625B">
        <w:rPr>
          <w:sz w:val="22"/>
          <w:szCs w:val="22"/>
        </w:rPr>
        <w:t xml:space="preserve">). </w:t>
      </w:r>
      <w:r w:rsidRPr="001F625B">
        <w:rPr>
          <w:i/>
          <w:sz w:val="22"/>
          <w:szCs w:val="22"/>
        </w:rPr>
        <w:t>Urban Studies</w:t>
      </w:r>
      <w:r w:rsidRPr="001F625B">
        <w:rPr>
          <w:sz w:val="22"/>
          <w:szCs w:val="22"/>
        </w:rPr>
        <w:t xml:space="preserve"> 17(1): 128</w:t>
      </w:r>
      <w:r w:rsidRPr="001F625B">
        <w:rPr>
          <w:sz w:val="22"/>
          <w:szCs w:val="22"/>
        </w:rPr>
        <w:noBreakHyphen/>
        <w:t>133.</w:t>
      </w:r>
    </w:p>
    <w:p w:rsidR="0021043A" w:rsidRPr="001F625B" w:rsidRDefault="0021043A" w:rsidP="00DF0191">
      <w:pPr>
        <w:tabs>
          <w:tab w:val="left" w:pos="426"/>
        </w:tabs>
        <w:autoSpaceDE w:val="0"/>
        <w:autoSpaceDN w:val="0"/>
        <w:adjustRightInd w:val="0"/>
        <w:ind w:left="426" w:hanging="426"/>
        <w:jc w:val="both"/>
        <w:rPr>
          <w:sz w:val="22"/>
          <w:szCs w:val="22"/>
        </w:rPr>
      </w:pPr>
      <w:proofErr w:type="gramStart"/>
      <w:r w:rsidRPr="001F625B">
        <w:rPr>
          <w:sz w:val="22"/>
          <w:szCs w:val="22"/>
        </w:rPr>
        <w:t>Liu, M., Reed, R., and Wu, H. (2008).</w:t>
      </w:r>
      <w:proofErr w:type="gramEnd"/>
      <w:r w:rsidRPr="001F625B">
        <w:rPr>
          <w:sz w:val="22"/>
          <w:szCs w:val="22"/>
        </w:rPr>
        <w:t xml:space="preserve"> </w:t>
      </w:r>
      <w:proofErr w:type="gramStart"/>
      <w:r w:rsidRPr="001F625B">
        <w:rPr>
          <w:sz w:val="22"/>
          <w:szCs w:val="22"/>
        </w:rPr>
        <w:t>Challenges facing housing affordability in Beijing in the 21</w:t>
      </w:r>
      <w:r w:rsidRPr="001F625B">
        <w:rPr>
          <w:sz w:val="22"/>
          <w:szCs w:val="22"/>
          <w:vertAlign w:val="superscript"/>
        </w:rPr>
        <w:t>st</w:t>
      </w:r>
      <w:r w:rsidRPr="001F625B">
        <w:rPr>
          <w:sz w:val="22"/>
          <w:szCs w:val="22"/>
        </w:rPr>
        <w:t xml:space="preserve"> Century.</w:t>
      </w:r>
      <w:proofErr w:type="gramEnd"/>
      <w:r w:rsidRPr="001F625B">
        <w:rPr>
          <w:sz w:val="22"/>
          <w:szCs w:val="22"/>
        </w:rPr>
        <w:t xml:space="preserve"> </w:t>
      </w:r>
      <w:r w:rsidRPr="001F625B">
        <w:rPr>
          <w:i/>
          <w:sz w:val="22"/>
          <w:szCs w:val="22"/>
        </w:rPr>
        <w:t>International Journal of Housing Markets and Analysis</w:t>
      </w:r>
      <w:r w:rsidRPr="001F625B">
        <w:rPr>
          <w:sz w:val="22"/>
          <w:szCs w:val="22"/>
        </w:rPr>
        <w:t xml:space="preserve"> 1(3): 275-287.</w:t>
      </w:r>
    </w:p>
    <w:p w:rsidR="00CD1794" w:rsidRPr="001F625B" w:rsidRDefault="00CD1794" w:rsidP="00DF0191">
      <w:pPr>
        <w:tabs>
          <w:tab w:val="left" w:pos="426"/>
        </w:tabs>
        <w:autoSpaceDE w:val="0"/>
        <w:autoSpaceDN w:val="0"/>
        <w:adjustRightInd w:val="0"/>
        <w:ind w:left="426" w:hanging="426"/>
        <w:jc w:val="both"/>
        <w:rPr>
          <w:sz w:val="22"/>
          <w:szCs w:val="22"/>
        </w:rPr>
      </w:pPr>
      <w:proofErr w:type="gramStart"/>
      <w:r w:rsidRPr="001F625B">
        <w:rPr>
          <w:sz w:val="22"/>
          <w:szCs w:val="22"/>
        </w:rPr>
        <w:lastRenderedPageBreak/>
        <w:t>Logan, J., Fang, Y., and Zhang, Z. (2009).</w:t>
      </w:r>
      <w:proofErr w:type="gramEnd"/>
      <w:r w:rsidRPr="001F625B">
        <w:rPr>
          <w:sz w:val="22"/>
          <w:szCs w:val="22"/>
        </w:rPr>
        <w:t xml:space="preserve"> </w:t>
      </w:r>
      <w:proofErr w:type="gramStart"/>
      <w:r w:rsidRPr="001F625B">
        <w:rPr>
          <w:sz w:val="22"/>
          <w:szCs w:val="22"/>
        </w:rPr>
        <w:t>Access to housing in urban China.</w:t>
      </w:r>
      <w:proofErr w:type="gramEnd"/>
      <w:r w:rsidRPr="001F625B">
        <w:rPr>
          <w:sz w:val="22"/>
          <w:szCs w:val="22"/>
        </w:rPr>
        <w:t xml:space="preserve"> </w:t>
      </w:r>
      <w:r w:rsidRPr="001F625B">
        <w:rPr>
          <w:i/>
          <w:sz w:val="22"/>
          <w:szCs w:val="22"/>
        </w:rPr>
        <w:t>International Journal of Urban and Regional Research</w:t>
      </w:r>
      <w:r w:rsidRPr="001F625B">
        <w:rPr>
          <w:sz w:val="22"/>
          <w:szCs w:val="22"/>
        </w:rPr>
        <w:t xml:space="preserve"> 33(4): 914-935.</w:t>
      </w:r>
    </w:p>
    <w:p w:rsidR="005E0B20" w:rsidRPr="001F625B" w:rsidRDefault="005E0B20" w:rsidP="00DF0191">
      <w:pPr>
        <w:tabs>
          <w:tab w:val="left" w:pos="426"/>
        </w:tabs>
        <w:autoSpaceDE w:val="0"/>
        <w:autoSpaceDN w:val="0"/>
        <w:adjustRightInd w:val="0"/>
        <w:ind w:left="426" w:hanging="426"/>
        <w:jc w:val="both"/>
        <w:rPr>
          <w:sz w:val="22"/>
          <w:szCs w:val="22"/>
        </w:rPr>
      </w:pPr>
      <w:proofErr w:type="gramStart"/>
      <w:r w:rsidRPr="001F625B">
        <w:rPr>
          <w:sz w:val="22"/>
          <w:szCs w:val="22"/>
        </w:rPr>
        <w:t>Ma, H., Oxley, L., and Gibson, J. (2009).</w:t>
      </w:r>
      <w:proofErr w:type="gramEnd"/>
      <w:r w:rsidRPr="001F625B">
        <w:rPr>
          <w:sz w:val="22"/>
          <w:szCs w:val="22"/>
        </w:rPr>
        <w:t xml:space="preserve"> Gradual Reforms and the Emergence of Energy Market in China: Evidence from Tests for Convergence of Energy Prices. </w:t>
      </w:r>
      <w:r w:rsidRPr="001F625B">
        <w:rPr>
          <w:i/>
          <w:sz w:val="22"/>
          <w:szCs w:val="22"/>
        </w:rPr>
        <w:t>Energy Policy</w:t>
      </w:r>
      <w:r w:rsidRPr="001F625B">
        <w:rPr>
          <w:sz w:val="22"/>
          <w:szCs w:val="22"/>
        </w:rPr>
        <w:t>, 37(11): 4834-4850.</w:t>
      </w:r>
    </w:p>
    <w:p w:rsidR="00CF583E" w:rsidRPr="001F625B" w:rsidRDefault="00CF583E" w:rsidP="00DF0191">
      <w:pPr>
        <w:tabs>
          <w:tab w:val="left" w:pos="426"/>
        </w:tabs>
        <w:ind w:left="426" w:hanging="426"/>
        <w:jc w:val="both"/>
        <w:rPr>
          <w:sz w:val="22"/>
          <w:szCs w:val="22"/>
        </w:rPr>
      </w:pPr>
      <w:proofErr w:type="spellStart"/>
      <w:proofErr w:type="gramStart"/>
      <w:r w:rsidRPr="001F625B">
        <w:rPr>
          <w:sz w:val="22"/>
          <w:szCs w:val="22"/>
        </w:rPr>
        <w:t>Massari</w:t>
      </w:r>
      <w:proofErr w:type="spellEnd"/>
      <w:r w:rsidRPr="001F625B">
        <w:rPr>
          <w:sz w:val="22"/>
          <w:szCs w:val="22"/>
        </w:rPr>
        <w:t xml:space="preserve">, R., </w:t>
      </w:r>
      <w:proofErr w:type="spellStart"/>
      <w:r w:rsidRPr="001F625B">
        <w:rPr>
          <w:sz w:val="22"/>
          <w:szCs w:val="22"/>
        </w:rPr>
        <w:t>Pittau</w:t>
      </w:r>
      <w:proofErr w:type="spellEnd"/>
      <w:r w:rsidRPr="001F625B">
        <w:rPr>
          <w:sz w:val="22"/>
          <w:szCs w:val="22"/>
        </w:rPr>
        <w:t xml:space="preserve">, M., and </w:t>
      </w:r>
      <w:proofErr w:type="spellStart"/>
      <w:r w:rsidRPr="001F625B">
        <w:rPr>
          <w:sz w:val="22"/>
          <w:szCs w:val="22"/>
        </w:rPr>
        <w:t>Zelli</w:t>
      </w:r>
      <w:proofErr w:type="spellEnd"/>
      <w:r w:rsidRPr="001F625B">
        <w:rPr>
          <w:sz w:val="22"/>
          <w:szCs w:val="22"/>
        </w:rPr>
        <w:t>, R. (2010).</w:t>
      </w:r>
      <w:proofErr w:type="gramEnd"/>
      <w:r w:rsidRPr="001F625B">
        <w:rPr>
          <w:sz w:val="22"/>
          <w:szCs w:val="22"/>
        </w:rPr>
        <w:t xml:space="preserve"> Does regional cost-of-living reshuffle Italian income distribution? </w:t>
      </w:r>
      <w:r w:rsidRPr="001F625B">
        <w:rPr>
          <w:i/>
          <w:sz w:val="22"/>
          <w:szCs w:val="22"/>
        </w:rPr>
        <w:t>Working Paper</w:t>
      </w:r>
      <w:r w:rsidRPr="001F625B">
        <w:rPr>
          <w:sz w:val="22"/>
          <w:szCs w:val="22"/>
        </w:rPr>
        <w:t xml:space="preserve"> No. 166, ECINEQ - Society for the Study of Economic Inequality.</w:t>
      </w:r>
    </w:p>
    <w:p w:rsidR="00692577" w:rsidRPr="001F625B" w:rsidRDefault="00692577" w:rsidP="00DF0191">
      <w:pPr>
        <w:tabs>
          <w:tab w:val="left" w:pos="426"/>
        </w:tabs>
        <w:ind w:left="426" w:hanging="426"/>
        <w:jc w:val="both"/>
        <w:rPr>
          <w:sz w:val="22"/>
          <w:szCs w:val="22"/>
        </w:rPr>
      </w:pPr>
      <w:r w:rsidRPr="001F625B">
        <w:rPr>
          <w:sz w:val="22"/>
          <w:szCs w:val="22"/>
        </w:rPr>
        <w:t xml:space="preserve">Moulton, B. (1995). </w:t>
      </w:r>
      <w:proofErr w:type="spellStart"/>
      <w:r w:rsidRPr="001F625B">
        <w:rPr>
          <w:sz w:val="22"/>
          <w:szCs w:val="22"/>
        </w:rPr>
        <w:t>Interarea</w:t>
      </w:r>
      <w:proofErr w:type="spellEnd"/>
      <w:r w:rsidRPr="001F625B">
        <w:rPr>
          <w:sz w:val="22"/>
          <w:szCs w:val="22"/>
        </w:rPr>
        <w:t xml:space="preserve"> indexes of the cost of shelter using hedonic quality adjustment techniques. </w:t>
      </w:r>
      <w:r w:rsidRPr="001F625B">
        <w:rPr>
          <w:i/>
          <w:iCs/>
          <w:sz w:val="22"/>
          <w:szCs w:val="22"/>
        </w:rPr>
        <w:t>Journal of Econometrics</w:t>
      </w:r>
      <w:r w:rsidRPr="001F625B">
        <w:rPr>
          <w:sz w:val="22"/>
          <w:szCs w:val="22"/>
        </w:rPr>
        <w:t xml:space="preserve"> </w:t>
      </w:r>
      <w:r w:rsidRPr="001F625B">
        <w:rPr>
          <w:bCs/>
          <w:sz w:val="22"/>
          <w:szCs w:val="22"/>
        </w:rPr>
        <w:t>68</w:t>
      </w:r>
      <w:r w:rsidRPr="001F625B">
        <w:rPr>
          <w:sz w:val="22"/>
          <w:szCs w:val="22"/>
        </w:rPr>
        <w:t>(1): 181-204.</w:t>
      </w:r>
    </w:p>
    <w:p w:rsidR="00AB5E23" w:rsidRPr="001F625B" w:rsidRDefault="00AB5E23" w:rsidP="00DF0191">
      <w:pPr>
        <w:tabs>
          <w:tab w:val="left" w:pos="426"/>
        </w:tabs>
        <w:autoSpaceDE w:val="0"/>
        <w:autoSpaceDN w:val="0"/>
        <w:adjustRightInd w:val="0"/>
        <w:ind w:left="426" w:hanging="426"/>
        <w:jc w:val="both"/>
        <w:rPr>
          <w:sz w:val="22"/>
          <w:szCs w:val="22"/>
        </w:rPr>
      </w:pPr>
      <w:proofErr w:type="gramStart"/>
      <w:r w:rsidRPr="001F625B">
        <w:rPr>
          <w:sz w:val="22"/>
          <w:szCs w:val="22"/>
        </w:rPr>
        <w:t>National Bureau of Statistics (NBS).</w:t>
      </w:r>
      <w:proofErr w:type="gramEnd"/>
      <w:r w:rsidRPr="001F625B">
        <w:rPr>
          <w:sz w:val="22"/>
          <w:szCs w:val="22"/>
        </w:rPr>
        <w:t xml:space="preserve"> </w:t>
      </w:r>
      <w:proofErr w:type="gramStart"/>
      <w:r w:rsidRPr="001F625B">
        <w:rPr>
          <w:sz w:val="22"/>
          <w:szCs w:val="22"/>
        </w:rPr>
        <w:t>(2010). China Urban Life and Price Yearbook 2010 (</w:t>
      </w:r>
      <w:proofErr w:type="spellStart"/>
      <w:r w:rsidRPr="001F625B">
        <w:rPr>
          <w:i/>
          <w:sz w:val="22"/>
          <w:szCs w:val="22"/>
        </w:rPr>
        <w:t>Zhongguo</w:t>
      </w:r>
      <w:proofErr w:type="spellEnd"/>
      <w:r w:rsidRPr="001F625B">
        <w:rPr>
          <w:i/>
          <w:sz w:val="22"/>
          <w:szCs w:val="22"/>
        </w:rPr>
        <w:t xml:space="preserve"> </w:t>
      </w:r>
      <w:proofErr w:type="spellStart"/>
      <w:r w:rsidRPr="001F625B">
        <w:rPr>
          <w:i/>
          <w:sz w:val="22"/>
          <w:szCs w:val="22"/>
        </w:rPr>
        <w:t>Cheangshizhen</w:t>
      </w:r>
      <w:proofErr w:type="spellEnd"/>
      <w:r w:rsidRPr="001F625B">
        <w:rPr>
          <w:i/>
          <w:sz w:val="22"/>
          <w:szCs w:val="22"/>
        </w:rPr>
        <w:t xml:space="preserve"> </w:t>
      </w:r>
      <w:proofErr w:type="spellStart"/>
      <w:r w:rsidRPr="001F625B">
        <w:rPr>
          <w:i/>
          <w:sz w:val="22"/>
          <w:szCs w:val="22"/>
        </w:rPr>
        <w:t>Shenghuo</w:t>
      </w:r>
      <w:proofErr w:type="spellEnd"/>
      <w:r w:rsidRPr="001F625B">
        <w:rPr>
          <w:i/>
          <w:sz w:val="22"/>
          <w:szCs w:val="22"/>
        </w:rPr>
        <w:t xml:space="preserve"> </w:t>
      </w:r>
      <w:proofErr w:type="spellStart"/>
      <w:r w:rsidRPr="001F625B">
        <w:rPr>
          <w:i/>
          <w:sz w:val="22"/>
          <w:szCs w:val="22"/>
        </w:rPr>
        <w:t>yu</w:t>
      </w:r>
      <w:proofErr w:type="spellEnd"/>
      <w:r w:rsidRPr="001F625B">
        <w:rPr>
          <w:i/>
          <w:sz w:val="22"/>
          <w:szCs w:val="22"/>
        </w:rPr>
        <w:t xml:space="preserve"> </w:t>
      </w:r>
      <w:proofErr w:type="spellStart"/>
      <w:r w:rsidRPr="001F625B">
        <w:rPr>
          <w:i/>
          <w:sz w:val="22"/>
          <w:szCs w:val="22"/>
        </w:rPr>
        <w:t>Wujia</w:t>
      </w:r>
      <w:proofErr w:type="spellEnd"/>
      <w:r w:rsidRPr="001F625B">
        <w:rPr>
          <w:i/>
          <w:sz w:val="22"/>
          <w:szCs w:val="22"/>
        </w:rPr>
        <w:t xml:space="preserve"> </w:t>
      </w:r>
      <w:proofErr w:type="spellStart"/>
      <w:r w:rsidRPr="001F625B">
        <w:rPr>
          <w:i/>
          <w:sz w:val="22"/>
          <w:szCs w:val="22"/>
        </w:rPr>
        <w:t>Nianjian</w:t>
      </w:r>
      <w:proofErr w:type="spellEnd"/>
      <w:r w:rsidRPr="001F625B">
        <w:rPr>
          <w:sz w:val="22"/>
          <w:szCs w:val="22"/>
        </w:rPr>
        <w:t>).</w:t>
      </w:r>
      <w:proofErr w:type="gramEnd"/>
      <w:r w:rsidRPr="001F625B">
        <w:rPr>
          <w:sz w:val="22"/>
          <w:szCs w:val="22"/>
        </w:rPr>
        <w:t xml:space="preserve"> Beijing: China Statistics Press.</w:t>
      </w:r>
    </w:p>
    <w:p w:rsidR="00134470" w:rsidRPr="001F625B" w:rsidRDefault="00134470" w:rsidP="00DF0191">
      <w:pPr>
        <w:tabs>
          <w:tab w:val="left" w:pos="426"/>
        </w:tabs>
        <w:autoSpaceDE w:val="0"/>
        <w:autoSpaceDN w:val="0"/>
        <w:adjustRightInd w:val="0"/>
        <w:ind w:left="426" w:hanging="426"/>
        <w:jc w:val="both"/>
        <w:rPr>
          <w:sz w:val="22"/>
          <w:szCs w:val="22"/>
        </w:rPr>
      </w:pPr>
      <w:proofErr w:type="gramStart"/>
      <w:r w:rsidRPr="001F625B">
        <w:rPr>
          <w:sz w:val="22"/>
          <w:szCs w:val="22"/>
        </w:rPr>
        <w:t>National Bureau of Statistics (NBS).</w:t>
      </w:r>
      <w:proofErr w:type="gramEnd"/>
      <w:r w:rsidRPr="001F625B">
        <w:rPr>
          <w:sz w:val="22"/>
          <w:szCs w:val="22"/>
        </w:rPr>
        <w:t xml:space="preserve"> </w:t>
      </w:r>
      <w:proofErr w:type="gramStart"/>
      <w:r w:rsidRPr="001F625B">
        <w:rPr>
          <w:sz w:val="22"/>
          <w:szCs w:val="22"/>
        </w:rPr>
        <w:t>(2011</w:t>
      </w:r>
      <w:r w:rsidR="004F3007" w:rsidRPr="001F625B">
        <w:rPr>
          <w:sz w:val="22"/>
          <w:szCs w:val="22"/>
        </w:rPr>
        <w:t>a</w:t>
      </w:r>
      <w:r w:rsidRPr="001F625B">
        <w:rPr>
          <w:sz w:val="22"/>
          <w:szCs w:val="22"/>
        </w:rPr>
        <w:t>). China Real Estate Statistics Yearbook 2011 (</w:t>
      </w:r>
      <w:proofErr w:type="spellStart"/>
      <w:r w:rsidRPr="001F625B">
        <w:rPr>
          <w:i/>
          <w:sz w:val="22"/>
          <w:szCs w:val="22"/>
        </w:rPr>
        <w:t>Zhongguo</w:t>
      </w:r>
      <w:proofErr w:type="spellEnd"/>
      <w:r w:rsidRPr="001F625B">
        <w:rPr>
          <w:i/>
          <w:sz w:val="22"/>
          <w:szCs w:val="22"/>
        </w:rPr>
        <w:t xml:space="preserve"> </w:t>
      </w:r>
      <w:proofErr w:type="spellStart"/>
      <w:r w:rsidRPr="001F625B">
        <w:rPr>
          <w:i/>
          <w:sz w:val="22"/>
          <w:szCs w:val="22"/>
        </w:rPr>
        <w:t>Fangdichan</w:t>
      </w:r>
      <w:proofErr w:type="spellEnd"/>
      <w:r w:rsidRPr="001F625B">
        <w:rPr>
          <w:i/>
          <w:sz w:val="22"/>
          <w:szCs w:val="22"/>
        </w:rPr>
        <w:t xml:space="preserve"> </w:t>
      </w:r>
      <w:proofErr w:type="spellStart"/>
      <w:r w:rsidRPr="001F625B">
        <w:rPr>
          <w:i/>
          <w:sz w:val="22"/>
          <w:szCs w:val="22"/>
        </w:rPr>
        <w:t>Tongji</w:t>
      </w:r>
      <w:proofErr w:type="spellEnd"/>
      <w:r w:rsidRPr="001F625B">
        <w:rPr>
          <w:i/>
          <w:sz w:val="22"/>
          <w:szCs w:val="22"/>
        </w:rPr>
        <w:t xml:space="preserve"> </w:t>
      </w:r>
      <w:proofErr w:type="spellStart"/>
      <w:r w:rsidRPr="001F625B">
        <w:rPr>
          <w:i/>
          <w:sz w:val="22"/>
          <w:szCs w:val="22"/>
        </w:rPr>
        <w:t>Nianjian</w:t>
      </w:r>
      <w:proofErr w:type="spellEnd"/>
      <w:r w:rsidRPr="001F625B">
        <w:rPr>
          <w:sz w:val="22"/>
          <w:szCs w:val="22"/>
        </w:rPr>
        <w:t>).</w:t>
      </w:r>
      <w:proofErr w:type="gramEnd"/>
      <w:r w:rsidRPr="001F625B">
        <w:rPr>
          <w:sz w:val="22"/>
          <w:szCs w:val="22"/>
        </w:rPr>
        <w:t xml:space="preserve"> Beijing: China Statistics Press.</w:t>
      </w:r>
    </w:p>
    <w:p w:rsidR="00AB5E23" w:rsidRPr="001F625B" w:rsidRDefault="00AB5E23" w:rsidP="00DF0191">
      <w:pPr>
        <w:tabs>
          <w:tab w:val="left" w:pos="426"/>
        </w:tabs>
        <w:autoSpaceDE w:val="0"/>
        <w:autoSpaceDN w:val="0"/>
        <w:adjustRightInd w:val="0"/>
        <w:ind w:left="426" w:hanging="426"/>
        <w:jc w:val="both"/>
        <w:rPr>
          <w:sz w:val="22"/>
          <w:szCs w:val="22"/>
        </w:rPr>
      </w:pPr>
      <w:proofErr w:type="gramStart"/>
      <w:r w:rsidRPr="001F625B">
        <w:rPr>
          <w:sz w:val="22"/>
          <w:szCs w:val="22"/>
        </w:rPr>
        <w:t>National Bureau of Statistics (NBS).</w:t>
      </w:r>
      <w:proofErr w:type="gramEnd"/>
      <w:r w:rsidRPr="001F625B">
        <w:rPr>
          <w:sz w:val="22"/>
          <w:szCs w:val="22"/>
        </w:rPr>
        <w:t xml:space="preserve"> </w:t>
      </w:r>
      <w:proofErr w:type="gramStart"/>
      <w:r w:rsidRPr="001F625B">
        <w:rPr>
          <w:sz w:val="22"/>
          <w:szCs w:val="22"/>
        </w:rPr>
        <w:t>(2011b). China City Statistical Yearbook 2011 (</w:t>
      </w:r>
      <w:proofErr w:type="spellStart"/>
      <w:r w:rsidRPr="001F625B">
        <w:rPr>
          <w:i/>
          <w:sz w:val="22"/>
          <w:szCs w:val="22"/>
        </w:rPr>
        <w:t>Zhongguo</w:t>
      </w:r>
      <w:proofErr w:type="spellEnd"/>
      <w:r w:rsidRPr="001F625B">
        <w:rPr>
          <w:i/>
          <w:sz w:val="22"/>
          <w:szCs w:val="22"/>
        </w:rPr>
        <w:t xml:space="preserve"> </w:t>
      </w:r>
      <w:proofErr w:type="spellStart"/>
      <w:r w:rsidRPr="001F625B">
        <w:rPr>
          <w:i/>
          <w:sz w:val="22"/>
          <w:szCs w:val="22"/>
        </w:rPr>
        <w:t>Chengshi</w:t>
      </w:r>
      <w:proofErr w:type="spellEnd"/>
      <w:r w:rsidRPr="001F625B">
        <w:rPr>
          <w:i/>
          <w:sz w:val="22"/>
          <w:szCs w:val="22"/>
        </w:rPr>
        <w:t xml:space="preserve"> </w:t>
      </w:r>
      <w:proofErr w:type="spellStart"/>
      <w:r w:rsidRPr="001F625B">
        <w:rPr>
          <w:i/>
          <w:sz w:val="22"/>
          <w:szCs w:val="22"/>
        </w:rPr>
        <w:t>Tongji</w:t>
      </w:r>
      <w:proofErr w:type="spellEnd"/>
      <w:r w:rsidRPr="001F625B">
        <w:rPr>
          <w:i/>
          <w:sz w:val="22"/>
          <w:szCs w:val="22"/>
        </w:rPr>
        <w:t xml:space="preserve"> </w:t>
      </w:r>
      <w:proofErr w:type="spellStart"/>
      <w:r w:rsidRPr="001F625B">
        <w:rPr>
          <w:i/>
          <w:sz w:val="22"/>
          <w:szCs w:val="22"/>
        </w:rPr>
        <w:t>Nianjian</w:t>
      </w:r>
      <w:proofErr w:type="spellEnd"/>
      <w:r w:rsidRPr="001F625B">
        <w:rPr>
          <w:sz w:val="22"/>
          <w:szCs w:val="22"/>
        </w:rPr>
        <w:t>).</w:t>
      </w:r>
      <w:proofErr w:type="gramEnd"/>
      <w:r w:rsidRPr="001F625B">
        <w:rPr>
          <w:sz w:val="22"/>
          <w:szCs w:val="22"/>
        </w:rPr>
        <w:t xml:space="preserve"> Beijing: China Statistics Press.</w:t>
      </w:r>
    </w:p>
    <w:p w:rsidR="00AB5E23" w:rsidRPr="001F625B" w:rsidRDefault="00AB5E23" w:rsidP="00DF0191">
      <w:pPr>
        <w:tabs>
          <w:tab w:val="left" w:pos="426"/>
        </w:tabs>
        <w:autoSpaceDE w:val="0"/>
        <w:autoSpaceDN w:val="0"/>
        <w:adjustRightInd w:val="0"/>
        <w:ind w:left="426" w:hanging="426"/>
        <w:jc w:val="both"/>
        <w:rPr>
          <w:sz w:val="22"/>
          <w:szCs w:val="22"/>
        </w:rPr>
      </w:pPr>
      <w:proofErr w:type="gramStart"/>
      <w:r w:rsidRPr="001F625B">
        <w:rPr>
          <w:sz w:val="22"/>
          <w:szCs w:val="22"/>
        </w:rPr>
        <w:t>National Bureau of Statistics (NBS).</w:t>
      </w:r>
      <w:proofErr w:type="gramEnd"/>
      <w:r w:rsidRPr="001F625B">
        <w:rPr>
          <w:sz w:val="22"/>
          <w:szCs w:val="22"/>
        </w:rPr>
        <w:t xml:space="preserve"> </w:t>
      </w:r>
      <w:proofErr w:type="gramStart"/>
      <w:r w:rsidRPr="001F625B">
        <w:rPr>
          <w:sz w:val="22"/>
          <w:szCs w:val="22"/>
        </w:rPr>
        <w:t>(2011c). China Statistical Yearbook for Regional Economy 2011 (</w:t>
      </w:r>
      <w:proofErr w:type="spellStart"/>
      <w:r w:rsidRPr="001F625B">
        <w:rPr>
          <w:i/>
          <w:sz w:val="22"/>
          <w:szCs w:val="22"/>
        </w:rPr>
        <w:t>Zhongguo</w:t>
      </w:r>
      <w:proofErr w:type="spellEnd"/>
      <w:r w:rsidRPr="001F625B">
        <w:rPr>
          <w:i/>
          <w:sz w:val="22"/>
          <w:szCs w:val="22"/>
        </w:rPr>
        <w:t xml:space="preserve"> </w:t>
      </w:r>
      <w:proofErr w:type="spellStart"/>
      <w:r w:rsidRPr="001F625B">
        <w:rPr>
          <w:i/>
          <w:sz w:val="22"/>
          <w:szCs w:val="22"/>
        </w:rPr>
        <w:t>Quyu</w:t>
      </w:r>
      <w:proofErr w:type="spellEnd"/>
      <w:r w:rsidRPr="001F625B">
        <w:rPr>
          <w:i/>
          <w:sz w:val="22"/>
          <w:szCs w:val="22"/>
        </w:rPr>
        <w:t xml:space="preserve"> </w:t>
      </w:r>
      <w:proofErr w:type="spellStart"/>
      <w:r w:rsidRPr="001F625B">
        <w:rPr>
          <w:i/>
          <w:sz w:val="22"/>
          <w:szCs w:val="22"/>
        </w:rPr>
        <w:t>Jingji</w:t>
      </w:r>
      <w:proofErr w:type="spellEnd"/>
      <w:r w:rsidRPr="001F625B">
        <w:rPr>
          <w:i/>
          <w:sz w:val="22"/>
          <w:szCs w:val="22"/>
        </w:rPr>
        <w:t xml:space="preserve"> </w:t>
      </w:r>
      <w:proofErr w:type="spellStart"/>
      <w:r w:rsidRPr="001F625B">
        <w:rPr>
          <w:i/>
          <w:sz w:val="22"/>
          <w:szCs w:val="22"/>
        </w:rPr>
        <w:t>Tongji</w:t>
      </w:r>
      <w:proofErr w:type="spellEnd"/>
      <w:r w:rsidRPr="001F625B">
        <w:rPr>
          <w:i/>
          <w:sz w:val="22"/>
          <w:szCs w:val="22"/>
        </w:rPr>
        <w:t xml:space="preserve"> </w:t>
      </w:r>
      <w:proofErr w:type="spellStart"/>
      <w:r w:rsidRPr="001F625B">
        <w:rPr>
          <w:i/>
          <w:sz w:val="22"/>
          <w:szCs w:val="22"/>
        </w:rPr>
        <w:t>Nianjian</w:t>
      </w:r>
      <w:proofErr w:type="spellEnd"/>
      <w:r w:rsidRPr="001F625B">
        <w:rPr>
          <w:sz w:val="22"/>
          <w:szCs w:val="22"/>
        </w:rPr>
        <w:t>).</w:t>
      </w:r>
      <w:proofErr w:type="gramEnd"/>
      <w:r w:rsidRPr="001F625B">
        <w:rPr>
          <w:sz w:val="22"/>
          <w:szCs w:val="22"/>
        </w:rPr>
        <w:t xml:space="preserve"> Beijing: China Statistics Press.</w:t>
      </w:r>
    </w:p>
    <w:p w:rsidR="00A85C96" w:rsidRPr="001F625B" w:rsidRDefault="00A85C96" w:rsidP="00DF0191">
      <w:pPr>
        <w:tabs>
          <w:tab w:val="left" w:pos="426"/>
        </w:tabs>
        <w:autoSpaceDE w:val="0"/>
        <w:autoSpaceDN w:val="0"/>
        <w:adjustRightInd w:val="0"/>
        <w:ind w:left="426" w:hanging="426"/>
        <w:jc w:val="both"/>
        <w:rPr>
          <w:sz w:val="22"/>
          <w:szCs w:val="22"/>
        </w:rPr>
      </w:pPr>
      <w:proofErr w:type="gramStart"/>
      <w:r w:rsidRPr="001F625B">
        <w:rPr>
          <w:sz w:val="22"/>
          <w:szCs w:val="22"/>
        </w:rPr>
        <w:t>National Bureau of Statistics (NBS).</w:t>
      </w:r>
      <w:proofErr w:type="gramEnd"/>
      <w:r w:rsidRPr="001F625B">
        <w:rPr>
          <w:sz w:val="22"/>
          <w:szCs w:val="22"/>
        </w:rPr>
        <w:t xml:space="preserve"> </w:t>
      </w:r>
      <w:proofErr w:type="gramStart"/>
      <w:r w:rsidRPr="001F625B">
        <w:rPr>
          <w:sz w:val="22"/>
          <w:szCs w:val="22"/>
        </w:rPr>
        <w:t>(2011d). China Rural Statistical Yearbook 2011 (</w:t>
      </w:r>
      <w:proofErr w:type="spellStart"/>
      <w:r w:rsidRPr="001F625B">
        <w:rPr>
          <w:i/>
          <w:sz w:val="22"/>
          <w:szCs w:val="22"/>
        </w:rPr>
        <w:t>Zhongguo</w:t>
      </w:r>
      <w:proofErr w:type="spellEnd"/>
      <w:r w:rsidRPr="001F625B">
        <w:rPr>
          <w:i/>
          <w:sz w:val="22"/>
          <w:szCs w:val="22"/>
        </w:rPr>
        <w:t xml:space="preserve"> </w:t>
      </w:r>
      <w:proofErr w:type="spellStart"/>
      <w:r w:rsidRPr="001F625B">
        <w:rPr>
          <w:i/>
          <w:sz w:val="22"/>
          <w:szCs w:val="22"/>
        </w:rPr>
        <w:t>Nongcun</w:t>
      </w:r>
      <w:proofErr w:type="spellEnd"/>
      <w:r w:rsidRPr="001F625B">
        <w:rPr>
          <w:i/>
          <w:sz w:val="22"/>
          <w:szCs w:val="22"/>
        </w:rPr>
        <w:t xml:space="preserve"> </w:t>
      </w:r>
      <w:proofErr w:type="spellStart"/>
      <w:r w:rsidRPr="001F625B">
        <w:rPr>
          <w:i/>
          <w:sz w:val="22"/>
          <w:szCs w:val="22"/>
        </w:rPr>
        <w:t>Tongji</w:t>
      </w:r>
      <w:proofErr w:type="spellEnd"/>
      <w:r w:rsidRPr="001F625B">
        <w:rPr>
          <w:i/>
          <w:sz w:val="22"/>
          <w:szCs w:val="22"/>
        </w:rPr>
        <w:t xml:space="preserve"> </w:t>
      </w:r>
      <w:proofErr w:type="spellStart"/>
      <w:r w:rsidRPr="001F625B">
        <w:rPr>
          <w:i/>
          <w:sz w:val="22"/>
          <w:szCs w:val="22"/>
        </w:rPr>
        <w:t>Nianjian</w:t>
      </w:r>
      <w:proofErr w:type="spellEnd"/>
      <w:r w:rsidRPr="001F625B">
        <w:rPr>
          <w:sz w:val="22"/>
          <w:szCs w:val="22"/>
        </w:rPr>
        <w:t>).</w:t>
      </w:r>
      <w:proofErr w:type="gramEnd"/>
      <w:r w:rsidRPr="001F625B">
        <w:rPr>
          <w:sz w:val="22"/>
          <w:szCs w:val="22"/>
        </w:rPr>
        <w:t xml:space="preserve"> Beijing: China Statistics Press.</w:t>
      </w:r>
    </w:p>
    <w:p w:rsidR="00AB5E23" w:rsidRPr="001F625B" w:rsidRDefault="00AB5E23" w:rsidP="00DF0191">
      <w:pPr>
        <w:tabs>
          <w:tab w:val="left" w:pos="426"/>
        </w:tabs>
        <w:autoSpaceDE w:val="0"/>
        <w:autoSpaceDN w:val="0"/>
        <w:adjustRightInd w:val="0"/>
        <w:ind w:left="426" w:hanging="426"/>
        <w:jc w:val="both"/>
        <w:rPr>
          <w:sz w:val="22"/>
          <w:szCs w:val="22"/>
        </w:rPr>
      </w:pPr>
      <w:proofErr w:type="gramStart"/>
      <w:r w:rsidRPr="001F625B">
        <w:rPr>
          <w:sz w:val="22"/>
          <w:szCs w:val="22"/>
        </w:rPr>
        <w:t>National Bureau of Statistics (NBS).</w:t>
      </w:r>
      <w:proofErr w:type="gramEnd"/>
      <w:r w:rsidRPr="001F625B">
        <w:rPr>
          <w:sz w:val="22"/>
          <w:szCs w:val="22"/>
        </w:rPr>
        <w:t xml:space="preserve"> </w:t>
      </w:r>
      <w:proofErr w:type="gramStart"/>
      <w:r w:rsidRPr="001F625B">
        <w:rPr>
          <w:sz w:val="22"/>
          <w:szCs w:val="22"/>
        </w:rPr>
        <w:t>(2012). Tabulation on the 2010 Population Census of the People’s Republic of China by County (</w:t>
      </w:r>
      <w:proofErr w:type="spellStart"/>
      <w:r w:rsidRPr="001F625B">
        <w:rPr>
          <w:i/>
          <w:sz w:val="22"/>
          <w:szCs w:val="22"/>
        </w:rPr>
        <w:t>Zhongguo</w:t>
      </w:r>
      <w:proofErr w:type="spellEnd"/>
      <w:r w:rsidRPr="001F625B">
        <w:rPr>
          <w:i/>
          <w:sz w:val="22"/>
          <w:szCs w:val="22"/>
        </w:rPr>
        <w:t xml:space="preserve"> 2010nian </w:t>
      </w:r>
      <w:proofErr w:type="spellStart"/>
      <w:r w:rsidRPr="001F625B">
        <w:rPr>
          <w:i/>
          <w:sz w:val="22"/>
          <w:szCs w:val="22"/>
        </w:rPr>
        <w:t>Renkou</w:t>
      </w:r>
      <w:proofErr w:type="spellEnd"/>
      <w:r w:rsidRPr="001F625B">
        <w:rPr>
          <w:i/>
          <w:sz w:val="22"/>
          <w:szCs w:val="22"/>
        </w:rPr>
        <w:t xml:space="preserve"> </w:t>
      </w:r>
      <w:proofErr w:type="spellStart"/>
      <w:r w:rsidRPr="001F625B">
        <w:rPr>
          <w:i/>
          <w:sz w:val="22"/>
          <w:szCs w:val="22"/>
        </w:rPr>
        <w:t>Pucha</w:t>
      </w:r>
      <w:proofErr w:type="spellEnd"/>
      <w:r w:rsidRPr="001F625B">
        <w:rPr>
          <w:i/>
          <w:sz w:val="22"/>
          <w:szCs w:val="22"/>
        </w:rPr>
        <w:t xml:space="preserve"> </w:t>
      </w:r>
      <w:proofErr w:type="spellStart"/>
      <w:r w:rsidRPr="001F625B">
        <w:rPr>
          <w:i/>
          <w:sz w:val="22"/>
          <w:szCs w:val="22"/>
        </w:rPr>
        <w:t>Fenxian</w:t>
      </w:r>
      <w:proofErr w:type="spellEnd"/>
      <w:r w:rsidRPr="001F625B">
        <w:rPr>
          <w:i/>
          <w:sz w:val="22"/>
          <w:szCs w:val="22"/>
        </w:rPr>
        <w:t xml:space="preserve"> </w:t>
      </w:r>
      <w:proofErr w:type="spellStart"/>
      <w:r w:rsidRPr="001F625B">
        <w:rPr>
          <w:i/>
          <w:sz w:val="22"/>
          <w:szCs w:val="22"/>
        </w:rPr>
        <w:t>Ziliao</w:t>
      </w:r>
      <w:proofErr w:type="spellEnd"/>
      <w:r w:rsidRPr="001F625B">
        <w:rPr>
          <w:sz w:val="22"/>
          <w:szCs w:val="22"/>
        </w:rPr>
        <w:t>).</w:t>
      </w:r>
      <w:proofErr w:type="gramEnd"/>
      <w:r w:rsidRPr="001F625B">
        <w:rPr>
          <w:sz w:val="22"/>
          <w:szCs w:val="22"/>
        </w:rPr>
        <w:t xml:space="preserve"> Beijing: China Statistics Press.</w:t>
      </w:r>
    </w:p>
    <w:p w:rsidR="001233E8" w:rsidRPr="001F625B" w:rsidRDefault="001233E8" w:rsidP="00DF0191">
      <w:pPr>
        <w:tabs>
          <w:tab w:val="left" w:pos="426"/>
        </w:tabs>
        <w:ind w:left="426" w:hanging="426"/>
        <w:jc w:val="both"/>
        <w:rPr>
          <w:sz w:val="22"/>
          <w:szCs w:val="22"/>
        </w:rPr>
      </w:pPr>
      <w:r w:rsidRPr="001F625B">
        <w:rPr>
          <w:sz w:val="22"/>
          <w:szCs w:val="22"/>
        </w:rPr>
        <w:t xml:space="preserve">Nicholson, J. (1976). </w:t>
      </w:r>
      <w:proofErr w:type="gramStart"/>
      <w:r w:rsidRPr="001F625B">
        <w:rPr>
          <w:sz w:val="22"/>
          <w:szCs w:val="22"/>
        </w:rPr>
        <w:t>Appraisal of different methods of estimating equivalence scales and their results.</w:t>
      </w:r>
      <w:proofErr w:type="gramEnd"/>
      <w:r w:rsidRPr="001F625B">
        <w:rPr>
          <w:sz w:val="22"/>
          <w:szCs w:val="22"/>
        </w:rPr>
        <w:t xml:space="preserve"> </w:t>
      </w:r>
      <w:r w:rsidRPr="001F625B">
        <w:rPr>
          <w:i/>
          <w:sz w:val="22"/>
          <w:szCs w:val="22"/>
        </w:rPr>
        <w:t>Review of Income and Wealth</w:t>
      </w:r>
      <w:r w:rsidRPr="001F625B">
        <w:rPr>
          <w:sz w:val="22"/>
          <w:szCs w:val="22"/>
        </w:rPr>
        <w:t xml:space="preserve"> 22(1): 1-11.</w:t>
      </w:r>
    </w:p>
    <w:p w:rsidR="0021043A" w:rsidRPr="001F625B" w:rsidRDefault="0021043A" w:rsidP="00DF0191">
      <w:pPr>
        <w:tabs>
          <w:tab w:val="left" w:pos="426"/>
        </w:tabs>
        <w:ind w:left="426" w:hanging="426"/>
        <w:jc w:val="both"/>
        <w:rPr>
          <w:sz w:val="22"/>
          <w:szCs w:val="22"/>
        </w:rPr>
      </w:pPr>
      <w:r w:rsidRPr="001F625B">
        <w:rPr>
          <w:sz w:val="22"/>
          <w:szCs w:val="22"/>
        </w:rPr>
        <w:t xml:space="preserve">Pan, Z. (2004). Commercial housing ownership predictors in urban China: An analysis of a national survey. </w:t>
      </w:r>
      <w:r w:rsidRPr="001F625B">
        <w:rPr>
          <w:i/>
          <w:sz w:val="22"/>
          <w:szCs w:val="22"/>
        </w:rPr>
        <w:t>Construction Management and Economics</w:t>
      </w:r>
      <w:r w:rsidRPr="001F625B">
        <w:rPr>
          <w:sz w:val="22"/>
          <w:szCs w:val="22"/>
        </w:rPr>
        <w:t xml:space="preserve"> 22(1): 85-91.</w:t>
      </w:r>
    </w:p>
    <w:p w:rsidR="005E0B20" w:rsidRPr="001F625B" w:rsidRDefault="005E0B20" w:rsidP="00DF0191">
      <w:pPr>
        <w:tabs>
          <w:tab w:val="left" w:pos="426"/>
        </w:tabs>
        <w:ind w:left="426" w:hanging="426"/>
        <w:jc w:val="both"/>
        <w:rPr>
          <w:sz w:val="22"/>
          <w:szCs w:val="22"/>
        </w:rPr>
      </w:pPr>
      <w:r w:rsidRPr="001F625B">
        <w:rPr>
          <w:sz w:val="22"/>
          <w:szCs w:val="22"/>
        </w:rPr>
        <w:t xml:space="preserve">Parsley, D., and Wei, S. (1996). </w:t>
      </w:r>
      <w:proofErr w:type="gramStart"/>
      <w:r w:rsidRPr="001F625B">
        <w:rPr>
          <w:sz w:val="22"/>
          <w:szCs w:val="22"/>
        </w:rPr>
        <w:t>Convergence to the Law of One Price Without Trade Barriers or Currency Fluctuations.</w:t>
      </w:r>
      <w:proofErr w:type="gramEnd"/>
      <w:r w:rsidRPr="001F625B">
        <w:rPr>
          <w:sz w:val="22"/>
          <w:szCs w:val="22"/>
        </w:rPr>
        <w:t xml:space="preserve"> </w:t>
      </w:r>
      <w:r w:rsidRPr="001F625B">
        <w:rPr>
          <w:i/>
          <w:sz w:val="22"/>
          <w:szCs w:val="22"/>
        </w:rPr>
        <w:t>Quarterly Journal of Economics</w:t>
      </w:r>
      <w:r w:rsidRPr="001F625B">
        <w:rPr>
          <w:sz w:val="22"/>
          <w:szCs w:val="22"/>
        </w:rPr>
        <w:t xml:space="preserve"> 111(4): 1211-1236.</w:t>
      </w:r>
    </w:p>
    <w:p w:rsidR="008C1471" w:rsidRPr="001F625B" w:rsidRDefault="008C1471" w:rsidP="00DF0191">
      <w:pPr>
        <w:tabs>
          <w:tab w:val="left" w:pos="426"/>
        </w:tabs>
        <w:autoSpaceDE w:val="0"/>
        <w:autoSpaceDN w:val="0"/>
        <w:adjustRightInd w:val="0"/>
        <w:ind w:left="426" w:hanging="426"/>
        <w:jc w:val="both"/>
        <w:rPr>
          <w:sz w:val="22"/>
          <w:szCs w:val="22"/>
          <w:lang w:val="en-NZ" w:eastAsia="en-NZ"/>
        </w:rPr>
      </w:pPr>
      <w:proofErr w:type="spellStart"/>
      <w:proofErr w:type="gramStart"/>
      <w:r w:rsidRPr="001F625B">
        <w:rPr>
          <w:sz w:val="22"/>
          <w:szCs w:val="22"/>
        </w:rPr>
        <w:t>Poncet</w:t>
      </w:r>
      <w:proofErr w:type="spellEnd"/>
      <w:r w:rsidRPr="001F625B">
        <w:rPr>
          <w:sz w:val="22"/>
          <w:szCs w:val="22"/>
        </w:rPr>
        <w:t>, S. (2005).</w:t>
      </w:r>
      <w:proofErr w:type="gramEnd"/>
      <w:r w:rsidRPr="001F625B">
        <w:rPr>
          <w:sz w:val="22"/>
          <w:szCs w:val="22"/>
        </w:rPr>
        <w:t xml:space="preserve"> </w:t>
      </w:r>
      <w:r w:rsidRPr="001F625B">
        <w:rPr>
          <w:sz w:val="22"/>
          <w:szCs w:val="22"/>
          <w:lang w:val="en-NZ" w:eastAsia="en-NZ"/>
        </w:rPr>
        <w:t xml:space="preserve">A Fragmented </w:t>
      </w:r>
      <w:proofErr w:type="gramStart"/>
      <w:r w:rsidRPr="001F625B">
        <w:rPr>
          <w:sz w:val="22"/>
          <w:szCs w:val="22"/>
          <w:lang w:val="en-NZ" w:eastAsia="en-NZ"/>
        </w:rPr>
        <w:t>China :</w:t>
      </w:r>
      <w:proofErr w:type="gramEnd"/>
      <w:r w:rsidRPr="001F625B">
        <w:rPr>
          <w:sz w:val="22"/>
          <w:szCs w:val="22"/>
          <w:lang w:val="en-NZ" w:eastAsia="en-NZ"/>
        </w:rPr>
        <w:t xml:space="preserve"> Measure and Determinants of China's Domestic Market</w:t>
      </w:r>
      <w:r w:rsidRPr="001F625B">
        <w:rPr>
          <w:sz w:val="22"/>
          <w:szCs w:val="22"/>
        </w:rPr>
        <w:t xml:space="preserve"> </w:t>
      </w:r>
      <w:r w:rsidRPr="001F625B">
        <w:rPr>
          <w:sz w:val="22"/>
          <w:szCs w:val="22"/>
          <w:lang w:val="en-NZ" w:eastAsia="en-NZ"/>
        </w:rPr>
        <w:t xml:space="preserve">Disintegration. </w:t>
      </w:r>
      <w:r w:rsidRPr="001F625B">
        <w:rPr>
          <w:i/>
          <w:sz w:val="22"/>
          <w:szCs w:val="22"/>
          <w:lang w:val="en-NZ" w:eastAsia="en-NZ"/>
        </w:rPr>
        <w:t>Review of International Economics</w:t>
      </w:r>
      <w:r w:rsidRPr="001F625B">
        <w:rPr>
          <w:sz w:val="22"/>
          <w:szCs w:val="22"/>
          <w:lang w:val="en-NZ" w:eastAsia="en-NZ"/>
        </w:rPr>
        <w:t xml:space="preserve"> 13(3): 409-430.</w:t>
      </w:r>
    </w:p>
    <w:p w:rsidR="00765704" w:rsidRPr="001F625B" w:rsidRDefault="00765704" w:rsidP="00DF0191">
      <w:pPr>
        <w:tabs>
          <w:tab w:val="left" w:pos="426"/>
        </w:tabs>
        <w:autoSpaceDE w:val="0"/>
        <w:autoSpaceDN w:val="0"/>
        <w:adjustRightInd w:val="0"/>
        <w:ind w:left="426" w:hanging="426"/>
        <w:jc w:val="both"/>
        <w:rPr>
          <w:sz w:val="22"/>
          <w:szCs w:val="22"/>
        </w:rPr>
      </w:pPr>
      <w:proofErr w:type="gramStart"/>
      <w:r w:rsidRPr="001F625B">
        <w:rPr>
          <w:sz w:val="22"/>
          <w:szCs w:val="22"/>
        </w:rPr>
        <w:t xml:space="preserve">Reardon, T., </w:t>
      </w:r>
      <w:proofErr w:type="spellStart"/>
      <w:r w:rsidRPr="001F625B">
        <w:rPr>
          <w:sz w:val="22"/>
          <w:szCs w:val="22"/>
        </w:rPr>
        <w:t>Timmer</w:t>
      </w:r>
      <w:proofErr w:type="spellEnd"/>
      <w:r w:rsidRPr="001F625B">
        <w:rPr>
          <w:sz w:val="22"/>
          <w:szCs w:val="22"/>
        </w:rPr>
        <w:t xml:space="preserve">, P., Barrett, C., and </w:t>
      </w:r>
      <w:proofErr w:type="spellStart"/>
      <w:r w:rsidRPr="001F625B">
        <w:rPr>
          <w:sz w:val="22"/>
          <w:szCs w:val="22"/>
        </w:rPr>
        <w:t>Berdegue</w:t>
      </w:r>
      <w:proofErr w:type="spellEnd"/>
      <w:r w:rsidRPr="001F625B">
        <w:rPr>
          <w:sz w:val="22"/>
          <w:szCs w:val="22"/>
        </w:rPr>
        <w:t xml:space="preserve">, J. </w:t>
      </w:r>
      <w:r w:rsidRPr="001F625B">
        <w:rPr>
          <w:sz w:val="22"/>
          <w:szCs w:val="22"/>
          <w:lang w:val="en-NZ" w:eastAsia="en-NZ"/>
        </w:rPr>
        <w:t>(2003).</w:t>
      </w:r>
      <w:proofErr w:type="gramEnd"/>
      <w:r w:rsidRPr="001F625B">
        <w:rPr>
          <w:sz w:val="22"/>
          <w:szCs w:val="22"/>
          <w:lang w:val="en-NZ" w:eastAsia="en-NZ"/>
        </w:rPr>
        <w:t xml:space="preserve"> </w:t>
      </w:r>
      <w:proofErr w:type="gramStart"/>
      <w:r w:rsidRPr="001F625B">
        <w:rPr>
          <w:sz w:val="22"/>
          <w:szCs w:val="22"/>
          <w:lang w:val="en-NZ" w:eastAsia="en-NZ"/>
        </w:rPr>
        <w:t>The rise of supermarkets in Africa, Asia, and Latin America.</w:t>
      </w:r>
      <w:proofErr w:type="gramEnd"/>
      <w:r w:rsidRPr="001F625B">
        <w:rPr>
          <w:sz w:val="22"/>
          <w:szCs w:val="22"/>
          <w:lang w:val="en-NZ" w:eastAsia="en-NZ"/>
        </w:rPr>
        <w:t xml:space="preserve"> </w:t>
      </w:r>
      <w:r w:rsidRPr="001F625B">
        <w:rPr>
          <w:i/>
          <w:iCs/>
          <w:sz w:val="22"/>
          <w:szCs w:val="22"/>
          <w:lang w:val="en-NZ" w:eastAsia="en-NZ"/>
        </w:rPr>
        <w:t>American Journal of Agricultural Economics</w:t>
      </w:r>
      <w:r w:rsidRPr="001F625B">
        <w:rPr>
          <w:sz w:val="22"/>
          <w:szCs w:val="22"/>
          <w:lang w:val="en-NZ" w:eastAsia="en-NZ"/>
        </w:rPr>
        <w:t xml:space="preserve"> </w:t>
      </w:r>
      <w:r w:rsidRPr="001F625B">
        <w:rPr>
          <w:iCs/>
          <w:sz w:val="22"/>
          <w:szCs w:val="22"/>
          <w:lang w:val="en-NZ" w:eastAsia="en-NZ"/>
        </w:rPr>
        <w:t>85</w:t>
      </w:r>
      <w:r w:rsidRPr="001F625B">
        <w:rPr>
          <w:sz w:val="22"/>
          <w:szCs w:val="22"/>
          <w:lang w:val="en-NZ" w:eastAsia="en-NZ"/>
        </w:rPr>
        <w:t>(5): 1140-1146.</w:t>
      </w:r>
    </w:p>
    <w:p w:rsidR="009C7442" w:rsidRPr="001F625B" w:rsidRDefault="009C7442" w:rsidP="00DF0191">
      <w:pPr>
        <w:tabs>
          <w:tab w:val="left" w:pos="426"/>
        </w:tabs>
        <w:autoSpaceDE w:val="0"/>
        <w:autoSpaceDN w:val="0"/>
        <w:adjustRightInd w:val="0"/>
        <w:ind w:left="426" w:hanging="426"/>
        <w:jc w:val="both"/>
        <w:rPr>
          <w:sz w:val="22"/>
          <w:szCs w:val="22"/>
        </w:rPr>
      </w:pPr>
      <w:r w:rsidRPr="001F625B">
        <w:rPr>
          <w:rStyle w:val="nlmyear"/>
          <w:sz w:val="22"/>
          <w:szCs w:val="22"/>
        </w:rPr>
        <w:t>Samuelson, P. (1964)</w:t>
      </w:r>
      <w:r w:rsidRPr="001F625B">
        <w:rPr>
          <w:sz w:val="22"/>
          <w:szCs w:val="22"/>
        </w:rPr>
        <w:t xml:space="preserve">. Theoretical notes on trade problems. </w:t>
      </w:r>
      <w:r w:rsidRPr="001F625B">
        <w:rPr>
          <w:i/>
          <w:iCs/>
          <w:sz w:val="22"/>
          <w:szCs w:val="22"/>
        </w:rPr>
        <w:t>Review of Economics and Statistics</w:t>
      </w:r>
      <w:r w:rsidRPr="001F625B">
        <w:rPr>
          <w:sz w:val="22"/>
          <w:szCs w:val="22"/>
        </w:rPr>
        <w:t xml:space="preserve"> 46(2): 145-154.</w:t>
      </w:r>
    </w:p>
    <w:p w:rsidR="00037C0C" w:rsidRPr="001F625B" w:rsidRDefault="00037C0C" w:rsidP="00DF0191">
      <w:pPr>
        <w:tabs>
          <w:tab w:val="left" w:pos="426"/>
        </w:tabs>
        <w:autoSpaceDE w:val="0"/>
        <w:autoSpaceDN w:val="0"/>
        <w:adjustRightInd w:val="0"/>
        <w:ind w:left="426" w:hanging="426"/>
        <w:jc w:val="both"/>
        <w:rPr>
          <w:sz w:val="22"/>
          <w:szCs w:val="22"/>
        </w:rPr>
      </w:pPr>
      <w:proofErr w:type="spellStart"/>
      <w:proofErr w:type="gramStart"/>
      <w:r w:rsidRPr="001F625B">
        <w:rPr>
          <w:sz w:val="22"/>
          <w:szCs w:val="22"/>
        </w:rPr>
        <w:t>Sicular</w:t>
      </w:r>
      <w:proofErr w:type="spellEnd"/>
      <w:r w:rsidRPr="001F625B">
        <w:rPr>
          <w:sz w:val="22"/>
          <w:szCs w:val="22"/>
        </w:rPr>
        <w:t xml:space="preserve">, T., </w:t>
      </w:r>
      <w:proofErr w:type="spellStart"/>
      <w:r w:rsidRPr="001F625B">
        <w:rPr>
          <w:sz w:val="22"/>
          <w:szCs w:val="22"/>
        </w:rPr>
        <w:t>Ximing</w:t>
      </w:r>
      <w:proofErr w:type="spellEnd"/>
      <w:r w:rsidRPr="001F625B">
        <w:rPr>
          <w:sz w:val="22"/>
          <w:szCs w:val="22"/>
        </w:rPr>
        <w:t xml:space="preserve">, Y., </w:t>
      </w:r>
      <w:proofErr w:type="spellStart"/>
      <w:r w:rsidRPr="001F625B">
        <w:rPr>
          <w:sz w:val="22"/>
          <w:szCs w:val="22"/>
        </w:rPr>
        <w:t>Gustafsson</w:t>
      </w:r>
      <w:proofErr w:type="spellEnd"/>
      <w:r w:rsidRPr="001F625B">
        <w:rPr>
          <w:sz w:val="22"/>
          <w:szCs w:val="22"/>
        </w:rPr>
        <w:t>, B., and Shi, L. (2007).</w:t>
      </w:r>
      <w:proofErr w:type="gramEnd"/>
      <w:r w:rsidRPr="001F625B">
        <w:rPr>
          <w:sz w:val="22"/>
          <w:szCs w:val="22"/>
        </w:rPr>
        <w:t xml:space="preserve"> </w:t>
      </w:r>
      <w:proofErr w:type="gramStart"/>
      <w:r w:rsidRPr="001F625B">
        <w:rPr>
          <w:sz w:val="22"/>
          <w:szCs w:val="22"/>
        </w:rPr>
        <w:t>The Urban-Rural Income Gap and Inequality in China.</w:t>
      </w:r>
      <w:proofErr w:type="gramEnd"/>
      <w:r w:rsidRPr="001F625B">
        <w:rPr>
          <w:sz w:val="22"/>
          <w:szCs w:val="22"/>
        </w:rPr>
        <w:t xml:space="preserve"> </w:t>
      </w:r>
      <w:r w:rsidRPr="001F625B">
        <w:rPr>
          <w:i/>
          <w:sz w:val="22"/>
          <w:szCs w:val="22"/>
        </w:rPr>
        <w:t>Review of Income and Wealth</w:t>
      </w:r>
      <w:r w:rsidRPr="001F625B">
        <w:rPr>
          <w:sz w:val="22"/>
          <w:szCs w:val="22"/>
        </w:rPr>
        <w:t xml:space="preserve"> 53(1): 93-126.</w:t>
      </w:r>
    </w:p>
    <w:p w:rsidR="00EC128A" w:rsidRPr="001F625B" w:rsidRDefault="00EC128A" w:rsidP="00DF0191">
      <w:pPr>
        <w:tabs>
          <w:tab w:val="left" w:pos="426"/>
        </w:tabs>
        <w:autoSpaceDE w:val="0"/>
        <w:autoSpaceDN w:val="0"/>
        <w:adjustRightInd w:val="0"/>
        <w:ind w:left="426" w:hanging="426"/>
        <w:jc w:val="both"/>
        <w:rPr>
          <w:sz w:val="22"/>
          <w:szCs w:val="22"/>
        </w:rPr>
      </w:pPr>
      <w:proofErr w:type="gramStart"/>
      <w:r w:rsidRPr="001F625B">
        <w:rPr>
          <w:sz w:val="22"/>
          <w:szCs w:val="22"/>
        </w:rPr>
        <w:t>State Council (1988).</w:t>
      </w:r>
      <w:proofErr w:type="gramEnd"/>
      <w:r w:rsidRPr="001F625B">
        <w:rPr>
          <w:sz w:val="22"/>
          <w:szCs w:val="22"/>
        </w:rPr>
        <w:t xml:space="preserve"> </w:t>
      </w:r>
      <w:proofErr w:type="gramStart"/>
      <w:r w:rsidRPr="001F625B">
        <w:rPr>
          <w:sz w:val="22"/>
          <w:szCs w:val="22"/>
        </w:rPr>
        <w:t>A Decision from the State Council on Deepening the Urban Housing Reform (</w:t>
      </w:r>
      <w:proofErr w:type="spellStart"/>
      <w:r w:rsidRPr="001F625B">
        <w:rPr>
          <w:i/>
          <w:sz w:val="22"/>
          <w:szCs w:val="22"/>
        </w:rPr>
        <w:t>Guowuyuan</w:t>
      </w:r>
      <w:proofErr w:type="spellEnd"/>
      <w:r w:rsidRPr="001F625B">
        <w:rPr>
          <w:i/>
          <w:sz w:val="22"/>
          <w:szCs w:val="22"/>
        </w:rPr>
        <w:t xml:space="preserve"> </w:t>
      </w:r>
      <w:proofErr w:type="spellStart"/>
      <w:r w:rsidRPr="001F625B">
        <w:rPr>
          <w:i/>
          <w:sz w:val="22"/>
          <w:szCs w:val="22"/>
        </w:rPr>
        <w:t>Guanyu</w:t>
      </w:r>
      <w:proofErr w:type="spellEnd"/>
      <w:r w:rsidRPr="001F625B">
        <w:rPr>
          <w:i/>
          <w:sz w:val="22"/>
          <w:szCs w:val="22"/>
        </w:rPr>
        <w:t xml:space="preserve"> </w:t>
      </w:r>
      <w:proofErr w:type="spellStart"/>
      <w:r w:rsidRPr="001F625B">
        <w:rPr>
          <w:i/>
          <w:sz w:val="22"/>
          <w:szCs w:val="22"/>
        </w:rPr>
        <w:t>Shenhua</w:t>
      </w:r>
      <w:proofErr w:type="spellEnd"/>
      <w:r w:rsidRPr="001F625B">
        <w:rPr>
          <w:i/>
          <w:sz w:val="22"/>
          <w:szCs w:val="22"/>
        </w:rPr>
        <w:t xml:space="preserve"> </w:t>
      </w:r>
      <w:proofErr w:type="spellStart"/>
      <w:r w:rsidRPr="001F625B">
        <w:rPr>
          <w:i/>
          <w:sz w:val="22"/>
          <w:szCs w:val="22"/>
        </w:rPr>
        <w:t>Chengzhen</w:t>
      </w:r>
      <w:proofErr w:type="spellEnd"/>
      <w:r w:rsidRPr="001F625B">
        <w:rPr>
          <w:i/>
          <w:sz w:val="22"/>
          <w:szCs w:val="22"/>
        </w:rPr>
        <w:t xml:space="preserve"> </w:t>
      </w:r>
      <w:proofErr w:type="spellStart"/>
      <w:r w:rsidRPr="001F625B">
        <w:rPr>
          <w:i/>
          <w:sz w:val="22"/>
          <w:szCs w:val="22"/>
        </w:rPr>
        <w:t>Zhufang</w:t>
      </w:r>
      <w:proofErr w:type="spellEnd"/>
      <w:r w:rsidRPr="001F625B">
        <w:rPr>
          <w:i/>
          <w:sz w:val="22"/>
          <w:szCs w:val="22"/>
        </w:rPr>
        <w:t xml:space="preserve"> </w:t>
      </w:r>
      <w:proofErr w:type="spellStart"/>
      <w:r w:rsidRPr="001F625B">
        <w:rPr>
          <w:i/>
          <w:sz w:val="22"/>
          <w:szCs w:val="22"/>
        </w:rPr>
        <w:t>Zhidu</w:t>
      </w:r>
      <w:proofErr w:type="spellEnd"/>
      <w:r w:rsidRPr="001F625B">
        <w:rPr>
          <w:i/>
          <w:sz w:val="22"/>
          <w:szCs w:val="22"/>
        </w:rPr>
        <w:t xml:space="preserve"> </w:t>
      </w:r>
      <w:proofErr w:type="spellStart"/>
      <w:r w:rsidRPr="001F625B">
        <w:rPr>
          <w:i/>
          <w:sz w:val="22"/>
          <w:szCs w:val="22"/>
        </w:rPr>
        <w:t>Gaige</w:t>
      </w:r>
      <w:proofErr w:type="spellEnd"/>
      <w:r w:rsidRPr="001F625B">
        <w:rPr>
          <w:i/>
          <w:sz w:val="22"/>
          <w:szCs w:val="22"/>
        </w:rPr>
        <w:t xml:space="preserve"> de</w:t>
      </w:r>
      <w:r w:rsidRPr="001F625B">
        <w:rPr>
          <w:sz w:val="22"/>
          <w:szCs w:val="22"/>
        </w:rPr>
        <w:t xml:space="preserve"> </w:t>
      </w:r>
      <w:proofErr w:type="spellStart"/>
      <w:r w:rsidRPr="001F625B">
        <w:rPr>
          <w:i/>
          <w:sz w:val="22"/>
          <w:szCs w:val="22"/>
        </w:rPr>
        <w:t>Jueding</w:t>
      </w:r>
      <w:proofErr w:type="spellEnd"/>
      <w:r w:rsidRPr="001F625B">
        <w:rPr>
          <w:sz w:val="22"/>
          <w:szCs w:val="22"/>
        </w:rPr>
        <w:t>).</w:t>
      </w:r>
      <w:proofErr w:type="gramEnd"/>
      <w:r w:rsidRPr="001F625B">
        <w:rPr>
          <w:sz w:val="22"/>
          <w:szCs w:val="22"/>
        </w:rPr>
        <w:t xml:space="preserve"> </w:t>
      </w:r>
      <w:proofErr w:type="gramStart"/>
      <w:r w:rsidRPr="001F625B">
        <w:rPr>
          <w:sz w:val="22"/>
          <w:szCs w:val="22"/>
        </w:rPr>
        <w:t>State Council Documentation number 43.</w:t>
      </w:r>
      <w:proofErr w:type="gramEnd"/>
    </w:p>
    <w:p w:rsidR="00EC128A" w:rsidRPr="001F625B" w:rsidRDefault="00EC128A" w:rsidP="00DF0191">
      <w:pPr>
        <w:tabs>
          <w:tab w:val="left" w:pos="426"/>
        </w:tabs>
        <w:autoSpaceDE w:val="0"/>
        <w:autoSpaceDN w:val="0"/>
        <w:adjustRightInd w:val="0"/>
        <w:ind w:left="426" w:hanging="426"/>
        <w:jc w:val="both"/>
        <w:rPr>
          <w:sz w:val="22"/>
          <w:szCs w:val="22"/>
        </w:rPr>
      </w:pPr>
      <w:proofErr w:type="gramStart"/>
      <w:r w:rsidRPr="001F625B">
        <w:rPr>
          <w:sz w:val="22"/>
          <w:szCs w:val="22"/>
        </w:rPr>
        <w:t>State Council (1998).</w:t>
      </w:r>
      <w:proofErr w:type="gramEnd"/>
      <w:r w:rsidRPr="001F625B">
        <w:rPr>
          <w:sz w:val="22"/>
          <w:szCs w:val="22"/>
        </w:rPr>
        <w:t xml:space="preserve"> A Notification from the State Council on Further Deepening the Reform of Urban Housing System and Accelerating Housing Construction (</w:t>
      </w:r>
      <w:proofErr w:type="spellStart"/>
      <w:r w:rsidRPr="001F625B">
        <w:rPr>
          <w:i/>
          <w:sz w:val="22"/>
          <w:szCs w:val="22"/>
        </w:rPr>
        <w:t>Guowuyuan</w:t>
      </w:r>
      <w:proofErr w:type="spellEnd"/>
      <w:r w:rsidRPr="001F625B">
        <w:rPr>
          <w:i/>
          <w:sz w:val="22"/>
          <w:szCs w:val="22"/>
        </w:rPr>
        <w:t xml:space="preserve"> </w:t>
      </w:r>
      <w:proofErr w:type="spellStart"/>
      <w:r w:rsidRPr="001F625B">
        <w:rPr>
          <w:i/>
          <w:sz w:val="22"/>
          <w:szCs w:val="22"/>
        </w:rPr>
        <w:t>Guanyu</w:t>
      </w:r>
      <w:proofErr w:type="spellEnd"/>
      <w:r w:rsidRPr="001F625B">
        <w:rPr>
          <w:i/>
          <w:sz w:val="22"/>
          <w:szCs w:val="22"/>
        </w:rPr>
        <w:t xml:space="preserve"> </w:t>
      </w:r>
      <w:proofErr w:type="spellStart"/>
      <w:r w:rsidRPr="001F625B">
        <w:rPr>
          <w:i/>
          <w:sz w:val="22"/>
          <w:szCs w:val="22"/>
        </w:rPr>
        <w:t>Jingyibu</w:t>
      </w:r>
      <w:proofErr w:type="spellEnd"/>
      <w:r w:rsidRPr="001F625B">
        <w:rPr>
          <w:i/>
          <w:sz w:val="22"/>
          <w:szCs w:val="22"/>
        </w:rPr>
        <w:t xml:space="preserve"> </w:t>
      </w:r>
      <w:proofErr w:type="spellStart"/>
      <w:r w:rsidRPr="001F625B">
        <w:rPr>
          <w:i/>
          <w:sz w:val="22"/>
          <w:szCs w:val="22"/>
        </w:rPr>
        <w:t>Shenhua</w:t>
      </w:r>
      <w:proofErr w:type="spellEnd"/>
      <w:r w:rsidRPr="001F625B">
        <w:rPr>
          <w:i/>
          <w:sz w:val="22"/>
          <w:szCs w:val="22"/>
        </w:rPr>
        <w:t xml:space="preserve"> </w:t>
      </w:r>
      <w:proofErr w:type="spellStart"/>
      <w:r w:rsidRPr="001F625B">
        <w:rPr>
          <w:i/>
          <w:sz w:val="22"/>
          <w:szCs w:val="22"/>
        </w:rPr>
        <w:t>Chengzhen</w:t>
      </w:r>
      <w:proofErr w:type="spellEnd"/>
      <w:r w:rsidRPr="001F625B">
        <w:rPr>
          <w:i/>
          <w:sz w:val="22"/>
          <w:szCs w:val="22"/>
        </w:rPr>
        <w:t xml:space="preserve"> </w:t>
      </w:r>
      <w:proofErr w:type="spellStart"/>
      <w:r w:rsidRPr="001F625B">
        <w:rPr>
          <w:i/>
          <w:sz w:val="22"/>
          <w:szCs w:val="22"/>
        </w:rPr>
        <w:t>Zhufang</w:t>
      </w:r>
      <w:proofErr w:type="spellEnd"/>
      <w:r w:rsidRPr="001F625B">
        <w:rPr>
          <w:i/>
          <w:sz w:val="22"/>
          <w:szCs w:val="22"/>
        </w:rPr>
        <w:t xml:space="preserve"> </w:t>
      </w:r>
      <w:proofErr w:type="spellStart"/>
      <w:r w:rsidRPr="001F625B">
        <w:rPr>
          <w:i/>
          <w:sz w:val="22"/>
          <w:szCs w:val="22"/>
        </w:rPr>
        <w:t>Zhidu</w:t>
      </w:r>
      <w:proofErr w:type="spellEnd"/>
      <w:r w:rsidRPr="001F625B">
        <w:rPr>
          <w:i/>
          <w:sz w:val="22"/>
          <w:szCs w:val="22"/>
        </w:rPr>
        <w:t xml:space="preserve"> </w:t>
      </w:r>
      <w:proofErr w:type="spellStart"/>
      <w:r w:rsidRPr="001F625B">
        <w:rPr>
          <w:i/>
          <w:sz w:val="22"/>
          <w:szCs w:val="22"/>
        </w:rPr>
        <w:t>Gaige</w:t>
      </w:r>
      <w:proofErr w:type="spellEnd"/>
      <w:r w:rsidRPr="001F625B">
        <w:rPr>
          <w:i/>
          <w:sz w:val="22"/>
          <w:szCs w:val="22"/>
        </w:rPr>
        <w:t xml:space="preserve"> </w:t>
      </w:r>
      <w:proofErr w:type="spellStart"/>
      <w:r w:rsidRPr="001F625B">
        <w:rPr>
          <w:i/>
          <w:sz w:val="22"/>
          <w:szCs w:val="22"/>
        </w:rPr>
        <w:t>Jiakuai</w:t>
      </w:r>
      <w:proofErr w:type="spellEnd"/>
      <w:r w:rsidRPr="001F625B">
        <w:rPr>
          <w:i/>
          <w:sz w:val="22"/>
          <w:szCs w:val="22"/>
        </w:rPr>
        <w:t xml:space="preserve"> </w:t>
      </w:r>
      <w:proofErr w:type="spellStart"/>
      <w:r w:rsidRPr="001F625B">
        <w:rPr>
          <w:i/>
          <w:sz w:val="22"/>
          <w:szCs w:val="22"/>
        </w:rPr>
        <w:t>Zhufang</w:t>
      </w:r>
      <w:proofErr w:type="spellEnd"/>
      <w:r w:rsidRPr="001F625B">
        <w:rPr>
          <w:i/>
          <w:sz w:val="22"/>
          <w:szCs w:val="22"/>
        </w:rPr>
        <w:t xml:space="preserve"> </w:t>
      </w:r>
      <w:proofErr w:type="spellStart"/>
      <w:r w:rsidRPr="001F625B">
        <w:rPr>
          <w:i/>
          <w:sz w:val="22"/>
          <w:szCs w:val="22"/>
        </w:rPr>
        <w:t>Jianshe</w:t>
      </w:r>
      <w:proofErr w:type="spellEnd"/>
      <w:r w:rsidRPr="001F625B">
        <w:rPr>
          <w:i/>
          <w:sz w:val="22"/>
          <w:szCs w:val="22"/>
        </w:rPr>
        <w:t xml:space="preserve"> de </w:t>
      </w:r>
      <w:proofErr w:type="spellStart"/>
      <w:r w:rsidRPr="001F625B">
        <w:rPr>
          <w:i/>
          <w:sz w:val="22"/>
          <w:szCs w:val="22"/>
        </w:rPr>
        <w:t>Tongzhi</w:t>
      </w:r>
      <w:proofErr w:type="spellEnd"/>
      <w:r w:rsidRPr="001F625B">
        <w:rPr>
          <w:sz w:val="22"/>
          <w:szCs w:val="22"/>
        </w:rPr>
        <w:t xml:space="preserve">). </w:t>
      </w:r>
      <w:proofErr w:type="gramStart"/>
      <w:r w:rsidRPr="001F625B">
        <w:rPr>
          <w:sz w:val="22"/>
          <w:szCs w:val="22"/>
        </w:rPr>
        <w:t>State Council Documentation number 23.</w:t>
      </w:r>
      <w:proofErr w:type="gramEnd"/>
    </w:p>
    <w:p w:rsidR="005E0B20" w:rsidRPr="001F625B" w:rsidRDefault="005E0B20" w:rsidP="00DF0191">
      <w:pPr>
        <w:tabs>
          <w:tab w:val="left" w:pos="-720"/>
          <w:tab w:val="left" w:pos="0"/>
          <w:tab w:val="left" w:pos="426"/>
        </w:tabs>
        <w:suppressAutoHyphens/>
        <w:ind w:left="426" w:hanging="426"/>
        <w:jc w:val="both"/>
        <w:rPr>
          <w:spacing w:val="-3"/>
          <w:sz w:val="22"/>
          <w:szCs w:val="22"/>
        </w:rPr>
      </w:pPr>
      <w:r w:rsidRPr="001F625B">
        <w:rPr>
          <w:spacing w:val="-3"/>
          <w:sz w:val="22"/>
          <w:szCs w:val="22"/>
        </w:rPr>
        <w:t>Timmins, C. (2006)</w:t>
      </w:r>
      <w:r w:rsidR="008603EB" w:rsidRPr="001F625B">
        <w:rPr>
          <w:spacing w:val="-3"/>
          <w:sz w:val="22"/>
          <w:szCs w:val="22"/>
        </w:rPr>
        <w:t>.</w:t>
      </w:r>
      <w:r w:rsidRPr="001F625B">
        <w:rPr>
          <w:spacing w:val="-3"/>
          <w:sz w:val="22"/>
          <w:szCs w:val="22"/>
        </w:rPr>
        <w:t xml:space="preserve"> </w:t>
      </w:r>
      <w:proofErr w:type="gramStart"/>
      <w:r w:rsidRPr="001F625B">
        <w:rPr>
          <w:spacing w:val="-3"/>
          <w:sz w:val="22"/>
          <w:szCs w:val="22"/>
        </w:rPr>
        <w:t xml:space="preserve">Estimating spatial differences in the Brazilian </w:t>
      </w:r>
      <w:r w:rsidR="00187B28" w:rsidRPr="001F625B">
        <w:rPr>
          <w:spacing w:val="-3"/>
          <w:sz w:val="22"/>
          <w:szCs w:val="22"/>
        </w:rPr>
        <w:t>cost-of-living</w:t>
      </w:r>
      <w:r w:rsidRPr="001F625B">
        <w:rPr>
          <w:spacing w:val="-3"/>
          <w:sz w:val="22"/>
          <w:szCs w:val="22"/>
        </w:rPr>
        <w:t xml:space="preserve"> with household location choices</w:t>
      </w:r>
      <w:r w:rsidR="008603EB" w:rsidRPr="001F625B">
        <w:rPr>
          <w:spacing w:val="-3"/>
          <w:sz w:val="22"/>
          <w:szCs w:val="22"/>
        </w:rPr>
        <w:t>.</w:t>
      </w:r>
      <w:proofErr w:type="gramEnd"/>
      <w:r w:rsidRPr="001F625B">
        <w:rPr>
          <w:spacing w:val="-3"/>
          <w:sz w:val="22"/>
          <w:szCs w:val="22"/>
        </w:rPr>
        <w:t xml:space="preserve"> </w:t>
      </w:r>
      <w:r w:rsidRPr="001F625B">
        <w:rPr>
          <w:i/>
          <w:spacing w:val="-3"/>
          <w:sz w:val="22"/>
          <w:szCs w:val="22"/>
        </w:rPr>
        <w:t>Journal of Development Economics</w:t>
      </w:r>
      <w:r w:rsidR="008603EB" w:rsidRPr="001F625B">
        <w:rPr>
          <w:spacing w:val="-3"/>
          <w:sz w:val="22"/>
          <w:szCs w:val="22"/>
        </w:rPr>
        <w:t xml:space="preserve"> 80(1): 59-83.</w:t>
      </w:r>
    </w:p>
    <w:p w:rsidR="00DF518F" w:rsidRPr="001F625B" w:rsidRDefault="00DF518F" w:rsidP="00DF0191">
      <w:pPr>
        <w:tabs>
          <w:tab w:val="left" w:pos="-720"/>
          <w:tab w:val="left" w:pos="0"/>
          <w:tab w:val="left" w:pos="426"/>
        </w:tabs>
        <w:suppressAutoHyphens/>
        <w:ind w:left="426" w:hanging="426"/>
        <w:jc w:val="both"/>
        <w:rPr>
          <w:sz w:val="22"/>
          <w:szCs w:val="22"/>
        </w:rPr>
      </w:pPr>
      <w:proofErr w:type="gramStart"/>
      <w:r w:rsidRPr="001F625B">
        <w:rPr>
          <w:sz w:val="22"/>
          <w:szCs w:val="22"/>
        </w:rPr>
        <w:t>Wu, J., Deng, Y., and Liu, H. (2012).</w:t>
      </w:r>
      <w:proofErr w:type="gramEnd"/>
      <w:r w:rsidRPr="001F625B">
        <w:rPr>
          <w:sz w:val="22"/>
          <w:szCs w:val="22"/>
        </w:rPr>
        <w:t xml:space="preserve"> House Price Index Construction in the Nascent Housing Market: The Case of China. IRES Working Paper No. 2011-017.</w:t>
      </w:r>
    </w:p>
    <w:p w:rsidR="0021043A" w:rsidRPr="001F625B" w:rsidRDefault="0021043A" w:rsidP="00DF0191">
      <w:pPr>
        <w:tabs>
          <w:tab w:val="left" w:pos="-720"/>
          <w:tab w:val="left" w:pos="0"/>
          <w:tab w:val="left" w:pos="426"/>
        </w:tabs>
        <w:suppressAutoHyphens/>
        <w:ind w:left="426" w:hanging="426"/>
        <w:jc w:val="both"/>
        <w:rPr>
          <w:spacing w:val="-3"/>
          <w:sz w:val="22"/>
          <w:szCs w:val="22"/>
        </w:rPr>
      </w:pPr>
      <w:r w:rsidRPr="001F625B">
        <w:rPr>
          <w:sz w:val="22"/>
          <w:szCs w:val="22"/>
        </w:rPr>
        <w:t xml:space="preserve">Xiang, S., and Long, F. (2007). </w:t>
      </w:r>
      <w:proofErr w:type="gramStart"/>
      <w:r w:rsidRPr="001F625B">
        <w:rPr>
          <w:sz w:val="22"/>
          <w:szCs w:val="22"/>
        </w:rPr>
        <w:t>Research on housing affordability of major cities in China (</w:t>
      </w:r>
      <w:proofErr w:type="spellStart"/>
      <w:r w:rsidRPr="001F625B">
        <w:rPr>
          <w:i/>
          <w:sz w:val="22"/>
          <w:szCs w:val="22"/>
        </w:rPr>
        <w:t>Zhongguo</w:t>
      </w:r>
      <w:proofErr w:type="spellEnd"/>
      <w:r w:rsidRPr="001F625B">
        <w:rPr>
          <w:i/>
          <w:sz w:val="22"/>
          <w:szCs w:val="22"/>
        </w:rPr>
        <w:t xml:space="preserve"> </w:t>
      </w:r>
      <w:proofErr w:type="spellStart"/>
      <w:r w:rsidRPr="001F625B">
        <w:rPr>
          <w:i/>
          <w:sz w:val="22"/>
          <w:szCs w:val="22"/>
        </w:rPr>
        <w:t>Chengshi</w:t>
      </w:r>
      <w:proofErr w:type="spellEnd"/>
      <w:r w:rsidRPr="001F625B">
        <w:rPr>
          <w:i/>
          <w:sz w:val="22"/>
          <w:szCs w:val="22"/>
        </w:rPr>
        <w:t xml:space="preserve"> </w:t>
      </w:r>
      <w:proofErr w:type="spellStart"/>
      <w:r w:rsidRPr="001F625B">
        <w:rPr>
          <w:i/>
          <w:sz w:val="22"/>
          <w:szCs w:val="22"/>
        </w:rPr>
        <w:t>Jumin</w:t>
      </w:r>
      <w:proofErr w:type="spellEnd"/>
      <w:r w:rsidRPr="001F625B">
        <w:rPr>
          <w:i/>
          <w:sz w:val="22"/>
          <w:szCs w:val="22"/>
        </w:rPr>
        <w:t xml:space="preserve"> </w:t>
      </w:r>
      <w:proofErr w:type="spellStart"/>
      <w:r w:rsidRPr="001F625B">
        <w:rPr>
          <w:i/>
          <w:sz w:val="22"/>
          <w:szCs w:val="22"/>
        </w:rPr>
        <w:t>Zhufang</w:t>
      </w:r>
      <w:proofErr w:type="spellEnd"/>
      <w:r w:rsidRPr="001F625B">
        <w:rPr>
          <w:i/>
          <w:sz w:val="22"/>
          <w:szCs w:val="22"/>
        </w:rPr>
        <w:t xml:space="preserve"> </w:t>
      </w:r>
      <w:proofErr w:type="spellStart"/>
      <w:r w:rsidRPr="001F625B">
        <w:rPr>
          <w:i/>
          <w:sz w:val="22"/>
          <w:szCs w:val="22"/>
        </w:rPr>
        <w:t>Zhifu</w:t>
      </w:r>
      <w:proofErr w:type="spellEnd"/>
      <w:r w:rsidRPr="001F625B">
        <w:rPr>
          <w:i/>
          <w:sz w:val="22"/>
          <w:szCs w:val="22"/>
        </w:rPr>
        <w:t xml:space="preserve"> </w:t>
      </w:r>
      <w:proofErr w:type="spellStart"/>
      <w:r w:rsidRPr="001F625B">
        <w:rPr>
          <w:i/>
          <w:sz w:val="22"/>
          <w:szCs w:val="22"/>
        </w:rPr>
        <w:t>Nengli</w:t>
      </w:r>
      <w:proofErr w:type="spellEnd"/>
      <w:r w:rsidRPr="001F625B">
        <w:rPr>
          <w:i/>
          <w:sz w:val="22"/>
          <w:szCs w:val="22"/>
        </w:rPr>
        <w:t xml:space="preserve"> </w:t>
      </w:r>
      <w:proofErr w:type="spellStart"/>
      <w:r w:rsidRPr="001F625B">
        <w:rPr>
          <w:i/>
          <w:sz w:val="22"/>
          <w:szCs w:val="22"/>
        </w:rPr>
        <w:t>Yanjiu</w:t>
      </w:r>
      <w:proofErr w:type="spellEnd"/>
      <w:r w:rsidRPr="001F625B">
        <w:rPr>
          <w:sz w:val="22"/>
          <w:szCs w:val="22"/>
        </w:rPr>
        <w:t>).</w:t>
      </w:r>
      <w:proofErr w:type="gramEnd"/>
      <w:r w:rsidRPr="001F625B">
        <w:rPr>
          <w:sz w:val="22"/>
          <w:szCs w:val="22"/>
        </w:rPr>
        <w:t xml:space="preserve"> </w:t>
      </w:r>
      <w:r w:rsidRPr="001F625B">
        <w:rPr>
          <w:i/>
          <w:sz w:val="22"/>
          <w:szCs w:val="22"/>
        </w:rPr>
        <w:t>Urban Studies</w:t>
      </w:r>
      <w:r w:rsidRPr="001F625B">
        <w:rPr>
          <w:sz w:val="22"/>
          <w:szCs w:val="22"/>
        </w:rPr>
        <w:t xml:space="preserve"> 14(2): 29-33.</w:t>
      </w:r>
    </w:p>
    <w:p w:rsidR="00FA2E90" w:rsidRPr="001F625B" w:rsidRDefault="00FA2E90" w:rsidP="00DF0191">
      <w:pPr>
        <w:tabs>
          <w:tab w:val="left" w:pos="-720"/>
          <w:tab w:val="left" w:pos="0"/>
          <w:tab w:val="left" w:pos="426"/>
        </w:tabs>
        <w:suppressAutoHyphens/>
        <w:ind w:left="426" w:hanging="426"/>
        <w:jc w:val="both"/>
        <w:rPr>
          <w:sz w:val="22"/>
          <w:szCs w:val="22"/>
        </w:rPr>
      </w:pPr>
      <w:proofErr w:type="spellStart"/>
      <w:proofErr w:type="gramStart"/>
      <w:r w:rsidRPr="001F625B">
        <w:rPr>
          <w:spacing w:val="-3"/>
          <w:sz w:val="22"/>
          <w:szCs w:val="22"/>
        </w:rPr>
        <w:t>Xu</w:t>
      </w:r>
      <w:proofErr w:type="spellEnd"/>
      <w:r w:rsidRPr="001F625B">
        <w:rPr>
          <w:spacing w:val="-3"/>
          <w:sz w:val="22"/>
          <w:szCs w:val="22"/>
        </w:rPr>
        <w:t>, X. (2002).</w:t>
      </w:r>
      <w:proofErr w:type="gramEnd"/>
      <w:r w:rsidRPr="001F625B">
        <w:rPr>
          <w:spacing w:val="-3"/>
          <w:sz w:val="22"/>
          <w:szCs w:val="22"/>
        </w:rPr>
        <w:t xml:space="preserve"> </w:t>
      </w:r>
      <w:r w:rsidRPr="001F625B">
        <w:rPr>
          <w:sz w:val="22"/>
          <w:szCs w:val="22"/>
        </w:rPr>
        <w:t xml:space="preserve">Have the Chinese provinces become integrated under reform? </w:t>
      </w:r>
      <w:r w:rsidRPr="001F625B">
        <w:rPr>
          <w:i/>
          <w:sz w:val="22"/>
          <w:szCs w:val="22"/>
        </w:rPr>
        <w:t>China Economic Review</w:t>
      </w:r>
      <w:r w:rsidRPr="001F625B">
        <w:rPr>
          <w:sz w:val="22"/>
          <w:szCs w:val="22"/>
        </w:rPr>
        <w:t xml:space="preserve"> 13(1): 116-133.</w:t>
      </w:r>
    </w:p>
    <w:p w:rsidR="00CF1973" w:rsidRPr="001F625B" w:rsidRDefault="00CF1973" w:rsidP="00DF0191">
      <w:pPr>
        <w:tabs>
          <w:tab w:val="left" w:pos="-720"/>
          <w:tab w:val="left" w:pos="0"/>
          <w:tab w:val="left" w:pos="426"/>
        </w:tabs>
        <w:suppressAutoHyphens/>
        <w:ind w:left="426" w:hanging="426"/>
        <w:jc w:val="both"/>
        <w:rPr>
          <w:sz w:val="22"/>
          <w:szCs w:val="22"/>
        </w:rPr>
      </w:pPr>
      <w:proofErr w:type="spellStart"/>
      <w:r w:rsidRPr="001F625B">
        <w:rPr>
          <w:sz w:val="22"/>
          <w:szCs w:val="22"/>
        </w:rPr>
        <w:t>Yao</w:t>
      </w:r>
      <w:proofErr w:type="gramStart"/>
      <w:r w:rsidRPr="001F625B">
        <w:rPr>
          <w:sz w:val="22"/>
          <w:szCs w:val="22"/>
        </w:rPr>
        <w:t>,Y</w:t>
      </w:r>
      <w:proofErr w:type="spellEnd"/>
      <w:proofErr w:type="gramEnd"/>
      <w:r w:rsidRPr="001F625B">
        <w:rPr>
          <w:sz w:val="22"/>
          <w:szCs w:val="22"/>
        </w:rPr>
        <w:t xml:space="preserve">. (2009). </w:t>
      </w:r>
      <w:proofErr w:type="gramStart"/>
      <w:r w:rsidRPr="001F625B">
        <w:rPr>
          <w:sz w:val="22"/>
          <w:szCs w:val="22"/>
        </w:rPr>
        <w:t>The Political Economy of Government Policies Toward Regional Inequality In China.</w:t>
      </w:r>
      <w:proofErr w:type="gramEnd"/>
      <w:r w:rsidRPr="001F625B">
        <w:rPr>
          <w:sz w:val="22"/>
          <w:szCs w:val="22"/>
        </w:rPr>
        <w:t xml:space="preserve"> In: Y. Huang, A. </w:t>
      </w:r>
      <w:proofErr w:type="spellStart"/>
      <w:r w:rsidRPr="001F625B">
        <w:rPr>
          <w:sz w:val="22"/>
          <w:szCs w:val="22"/>
        </w:rPr>
        <w:t>Bocchi</w:t>
      </w:r>
      <w:proofErr w:type="spellEnd"/>
      <w:r w:rsidRPr="001F625B">
        <w:rPr>
          <w:sz w:val="22"/>
          <w:szCs w:val="22"/>
        </w:rPr>
        <w:t xml:space="preserve"> (Eds.), </w:t>
      </w:r>
      <w:r w:rsidRPr="001F625B">
        <w:rPr>
          <w:i/>
          <w:sz w:val="22"/>
          <w:szCs w:val="22"/>
        </w:rPr>
        <w:t xml:space="preserve">Reshaping Economic Geography in East </w:t>
      </w:r>
      <w:proofErr w:type="spellStart"/>
      <w:r w:rsidRPr="001F625B">
        <w:rPr>
          <w:i/>
          <w:sz w:val="22"/>
          <w:szCs w:val="22"/>
        </w:rPr>
        <w:t>Asia</w:t>
      </w:r>
      <w:r w:rsidRPr="001F625B">
        <w:rPr>
          <w:sz w:val="22"/>
          <w:szCs w:val="22"/>
        </w:rPr>
        <w:t>.World</w:t>
      </w:r>
      <w:proofErr w:type="spellEnd"/>
      <w:r w:rsidRPr="001F625B">
        <w:rPr>
          <w:sz w:val="22"/>
          <w:szCs w:val="22"/>
        </w:rPr>
        <w:t xml:space="preserve"> </w:t>
      </w:r>
      <w:proofErr w:type="spellStart"/>
      <w:r w:rsidRPr="001F625B">
        <w:rPr>
          <w:sz w:val="22"/>
          <w:szCs w:val="22"/>
        </w:rPr>
        <w:t>Bank,Washington</w:t>
      </w:r>
      <w:proofErr w:type="spellEnd"/>
      <w:r w:rsidRPr="001F625B">
        <w:rPr>
          <w:sz w:val="22"/>
          <w:szCs w:val="22"/>
        </w:rPr>
        <w:t>, DC, pp. 218–240.</w:t>
      </w:r>
    </w:p>
    <w:p w:rsidR="005E0B20" w:rsidRPr="001F625B" w:rsidRDefault="005E0B20" w:rsidP="00DF0191">
      <w:pPr>
        <w:tabs>
          <w:tab w:val="left" w:pos="426"/>
        </w:tabs>
        <w:ind w:left="426" w:hanging="426"/>
        <w:jc w:val="both"/>
        <w:rPr>
          <w:sz w:val="22"/>
          <w:szCs w:val="22"/>
        </w:rPr>
      </w:pPr>
      <w:r w:rsidRPr="001F625B">
        <w:rPr>
          <w:sz w:val="22"/>
          <w:szCs w:val="22"/>
        </w:rPr>
        <w:lastRenderedPageBreak/>
        <w:t xml:space="preserve">Young, A. (2000). The Razor’s Edge: Distortions and Incremental Reform in the People’s Republic of China. </w:t>
      </w:r>
      <w:r w:rsidRPr="001F625B">
        <w:rPr>
          <w:i/>
          <w:sz w:val="22"/>
          <w:szCs w:val="22"/>
        </w:rPr>
        <w:t>Quarterly Journal of Economics</w:t>
      </w:r>
      <w:r w:rsidRPr="001F625B">
        <w:rPr>
          <w:sz w:val="22"/>
          <w:szCs w:val="22"/>
        </w:rPr>
        <w:t xml:space="preserve"> 115(4): 1091-1135.</w:t>
      </w:r>
    </w:p>
    <w:p w:rsidR="00CF1973" w:rsidRPr="001F625B" w:rsidRDefault="00CF1973" w:rsidP="00DF0191">
      <w:pPr>
        <w:tabs>
          <w:tab w:val="left" w:pos="426"/>
        </w:tabs>
        <w:ind w:left="426" w:hanging="426"/>
        <w:jc w:val="both"/>
        <w:rPr>
          <w:sz w:val="22"/>
          <w:szCs w:val="22"/>
        </w:rPr>
      </w:pPr>
      <w:r w:rsidRPr="001F625B">
        <w:rPr>
          <w:sz w:val="22"/>
          <w:szCs w:val="22"/>
        </w:rPr>
        <w:t xml:space="preserve">Zhang, P. (2008). </w:t>
      </w:r>
      <w:proofErr w:type="gramStart"/>
      <w:r w:rsidRPr="001F625B">
        <w:rPr>
          <w:sz w:val="22"/>
          <w:szCs w:val="22"/>
        </w:rPr>
        <w:t>Revitalizing Old Industrial Base of Northeast China: Process, Policy and Challenge.</w:t>
      </w:r>
      <w:proofErr w:type="gramEnd"/>
      <w:r w:rsidRPr="001F625B">
        <w:rPr>
          <w:sz w:val="22"/>
          <w:szCs w:val="22"/>
        </w:rPr>
        <w:t xml:space="preserve"> </w:t>
      </w:r>
      <w:r w:rsidRPr="001F625B">
        <w:rPr>
          <w:i/>
          <w:iCs/>
          <w:sz w:val="22"/>
          <w:szCs w:val="22"/>
        </w:rPr>
        <w:t>Chinese Geographical Science</w:t>
      </w:r>
      <w:r w:rsidRPr="001F625B">
        <w:rPr>
          <w:sz w:val="22"/>
          <w:szCs w:val="22"/>
        </w:rPr>
        <w:t xml:space="preserve"> 18(2):109-118.</w:t>
      </w:r>
    </w:p>
    <w:p w:rsidR="00AE7CEC" w:rsidRPr="001F625B" w:rsidRDefault="00AE7CEC" w:rsidP="00DF0191">
      <w:pPr>
        <w:tabs>
          <w:tab w:val="left" w:pos="426"/>
        </w:tabs>
        <w:autoSpaceDE w:val="0"/>
        <w:autoSpaceDN w:val="0"/>
        <w:adjustRightInd w:val="0"/>
        <w:ind w:left="426" w:hanging="426"/>
        <w:jc w:val="both"/>
        <w:rPr>
          <w:sz w:val="22"/>
          <w:szCs w:val="22"/>
        </w:rPr>
      </w:pPr>
      <w:proofErr w:type="gramStart"/>
      <w:r w:rsidRPr="001F625B">
        <w:rPr>
          <w:sz w:val="22"/>
          <w:szCs w:val="22"/>
        </w:rPr>
        <w:t xml:space="preserve">Zhang, L., and </w:t>
      </w:r>
      <w:proofErr w:type="spellStart"/>
      <w:r w:rsidRPr="001F625B">
        <w:rPr>
          <w:sz w:val="22"/>
          <w:szCs w:val="22"/>
        </w:rPr>
        <w:t>Tian</w:t>
      </w:r>
      <w:proofErr w:type="spellEnd"/>
      <w:r w:rsidRPr="001F625B">
        <w:rPr>
          <w:sz w:val="22"/>
          <w:szCs w:val="22"/>
        </w:rPr>
        <w:t>, C. (2010).</w:t>
      </w:r>
      <w:proofErr w:type="gramEnd"/>
      <w:r w:rsidRPr="001F625B">
        <w:rPr>
          <w:sz w:val="22"/>
          <w:szCs w:val="22"/>
        </w:rPr>
        <w:t xml:space="preserve"> Difference among housing markets and ripple effect of house price: empirical study of 35 metropolitan areas (</w:t>
      </w:r>
      <w:proofErr w:type="spellStart"/>
      <w:r w:rsidRPr="001F625B">
        <w:rPr>
          <w:i/>
          <w:sz w:val="22"/>
          <w:szCs w:val="22"/>
        </w:rPr>
        <w:t>Chengshi</w:t>
      </w:r>
      <w:proofErr w:type="spellEnd"/>
      <w:r w:rsidRPr="001F625B">
        <w:rPr>
          <w:i/>
          <w:sz w:val="22"/>
          <w:szCs w:val="22"/>
        </w:rPr>
        <w:t xml:space="preserve"> </w:t>
      </w:r>
      <w:proofErr w:type="spellStart"/>
      <w:r w:rsidRPr="001F625B">
        <w:rPr>
          <w:i/>
          <w:sz w:val="22"/>
          <w:szCs w:val="22"/>
        </w:rPr>
        <w:t>Zhufang</w:t>
      </w:r>
      <w:proofErr w:type="spellEnd"/>
      <w:r w:rsidRPr="001F625B">
        <w:rPr>
          <w:i/>
          <w:sz w:val="22"/>
          <w:szCs w:val="22"/>
        </w:rPr>
        <w:t xml:space="preserve"> </w:t>
      </w:r>
      <w:proofErr w:type="spellStart"/>
      <w:r w:rsidRPr="001F625B">
        <w:rPr>
          <w:i/>
          <w:sz w:val="22"/>
          <w:szCs w:val="22"/>
        </w:rPr>
        <w:t>Shichang</w:t>
      </w:r>
      <w:proofErr w:type="spellEnd"/>
      <w:r w:rsidRPr="001F625B">
        <w:rPr>
          <w:i/>
          <w:sz w:val="22"/>
          <w:szCs w:val="22"/>
        </w:rPr>
        <w:t xml:space="preserve"> </w:t>
      </w:r>
      <w:proofErr w:type="spellStart"/>
      <w:r w:rsidRPr="001F625B">
        <w:rPr>
          <w:i/>
          <w:sz w:val="22"/>
          <w:szCs w:val="22"/>
        </w:rPr>
        <w:t>Chayi</w:t>
      </w:r>
      <w:proofErr w:type="spellEnd"/>
      <w:r w:rsidRPr="001F625B">
        <w:rPr>
          <w:i/>
          <w:sz w:val="22"/>
          <w:szCs w:val="22"/>
        </w:rPr>
        <w:t xml:space="preserve"> </w:t>
      </w:r>
      <w:proofErr w:type="spellStart"/>
      <w:r w:rsidRPr="001F625B">
        <w:rPr>
          <w:i/>
          <w:sz w:val="22"/>
          <w:szCs w:val="22"/>
        </w:rPr>
        <w:t>yu</w:t>
      </w:r>
      <w:proofErr w:type="spellEnd"/>
      <w:r w:rsidRPr="001F625B">
        <w:rPr>
          <w:i/>
          <w:sz w:val="22"/>
          <w:szCs w:val="22"/>
        </w:rPr>
        <w:t xml:space="preserve"> </w:t>
      </w:r>
      <w:proofErr w:type="spellStart"/>
      <w:r w:rsidRPr="001F625B">
        <w:rPr>
          <w:i/>
          <w:sz w:val="22"/>
          <w:szCs w:val="22"/>
        </w:rPr>
        <w:t>Fangjia</w:t>
      </w:r>
      <w:proofErr w:type="spellEnd"/>
      <w:r w:rsidRPr="001F625B">
        <w:rPr>
          <w:i/>
          <w:sz w:val="22"/>
          <w:szCs w:val="22"/>
        </w:rPr>
        <w:t xml:space="preserve"> </w:t>
      </w:r>
      <w:proofErr w:type="spellStart"/>
      <w:r w:rsidRPr="001F625B">
        <w:rPr>
          <w:i/>
          <w:sz w:val="22"/>
          <w:szCs w:val="22"/>
        </w:rPr>
        <w:t>Liansuo</w:t>
      </w:r>
      <w:proofErr w:type="spellEnd"/>
      <w:r w:rsidRPr="001F625B">
        <w:rPr>
          <w:i/>
          <w:sz w:val="22"/>
          <w:szCs w:val="22"/>
        </w:rPr>
        <w:t xml:space="preserve"> </w:t>
      </w:r>
      <w:proofErr w:type="spellStart"/>
      <w:r w:rsidRPr="001F625B">
        <w:rPr>
          <w:i/>
          <w:sz w:val="22"/>
          <w:szCs w:val="22"/>
        </w:rPr>
        <w:t>Fanying</w:t>
      </w:r>
      <w:proofErr w:type="spellEnd"/>
      <w:r w:rsidRPr="001F625B">
        <w:rPr>
          <w:i/>
          <w:sz w:val="22"/>
          <w:szCs w:val="22"/>
        </w:rPr>
        <w:t xml:space="preserve"> – </w:t>
      </w:r>
      <w:proofErr w:type="spellStart"/>
      <w:r w:rsidRPr="001F625B">
        <w:rPr>
          <w:i/>
          <w:sz w:val="22"/>
          <w:szCs w:val="22"/>
        </w:rPr>
        <w:t>yi</w:t>
      </w:r>
      <w:proofErr w:type="spellEnd"/>
      <w:r w:rsidRPr="001F625B">
        <w:rPr>
          <w:i/>
          <w:sz w:val="22"/>
          <w:szCs w:val="22"/>
        </w:rPr>
        <w:t xml:space="preserve"> 35 </w:t>
      </w:r>
      <w:proofErr w:type="spellStart"/>
      <w:r w:rsidRPr="001F625B">
        <w:rPr>
          <w:i/>
          <w:sz w:val="22"/>
          <w:szCs w:val="22"/>
        </w:rPr>
        <w:t>ge</w:t>
      </w:r>
      <w:proofErr w:type="spellEnd"/>
      <w:r w:rsidRPr="001F625B">
        <w:rPr>
          <w:i/>
          <w:sz w:val="22"/>
          <w:szCs w:val="22"/>
        </w:rPr>
        <w:t xml:space="preserve"> </w:t>
      </w:r>
      <w:proofErr w:type="spellStart"/>
      <w:r w:rsidRPr="001F625B">
        <w:rPr>
          <w:i/>
          <w:sz w:val="22"/>
          <w:szCs w:val="22"/>
        </w:rPr>
        <w:t>Dachengshi</w:t>
      </w:r>
      <w:proofErr w:type="spellEnd"/>
      <w:r w:rsidRPr="001F625B">
        <w:rPr>
          <w:i/>
          <w:sz w:val="22"/>
          <w:szCs w:val="22"/>
        </w:rPr>
        <w:t xml:space="preserve"> </w:t>
      </w:r>
      <w:proofErr w:type="spellStart"/>
      <w:r w:rsidRPr="001F625B">
        <w:rPr>
          <w:i/>
          <w:sz w:val="22"/>
          <w:szCs w:val="22"/>
        </w:rPr>
        <w:t>wei</w:t>
      </w:r>
      <w:proofErr w:type="spellEnd"/>
      <w:r w:rsidRPr="001F625B">
        <w:rPr>
          <w:i/>
          <w:sz w:val="22"/>
          <w:szCs w:val="22"/>
        </w:rPr>
        <w:t xml:space="preserve"> Li</w:t>
      </w:r>
      <w:r w:rsidRPr="001F625B">
        <w:rPr>
          <w:sz w:val="22"/>
          <w:szCs w:val="22"/>
        </w:rPr>
        <w:t xml:space="preserve">). </w:t>
      </w:r>
      <w:r w:rsidRPr="001F625B">
        <w:rPr>
          <w:i/>
          <w:sz w:val="22"/>
          <w:szCs w:val="22"/>
        </w:rPr>
        <w:t>Journal of Zhejiang University (Engineering Science)</w:t>
      </w:r>
      <w:r w:rsidRPr="001F625B">
        <w:rPr>
          <w:sz w:val="22"/>
          <w:szCs w:val="22"/>
        </w:rPr>
        <w:t xml:space="preserve"> 44(1): 198-202.</w:t>
      </w:r>
    </w:p>
    <w:p w:rsidR="00AE7CEC" w:rsidRPr="001F625B" w:rsidRDefault="00AE7CEC" w:rsidP="00DF0191">
      <w:pPr>
        <w:tabs>
          <w:tab w:val="left" w:pos="426"/>
        </w:tabs>
        <w:ind w:left="426" w:hanging="426"/>
        <w:jc w:val="both"/>
        <w:rPr>
          <w:sz w:val="22"/>
          <w:szCs w:val="22"/>
        </w:rPr>
      </w:pPr>
      <w:proofErr w:type="spellStart"/>
      <w:proofErr w:type="gramStart"/>
      <w:r w:rsidRPr="001F625B">
        <w:rPr>
          <w:sz w:val="22"/>
          <w:szCs w:val="22"/>
        </w:rPr>
        <w:t>Zheng</w:t>
      </w:r>
      <w:proofErr w:type="spellEnd"/>
      <w:r w:rsidRPr="001F625B">
        <w:rPr>
          <w:sz w:val="22"/>
          <w:szCs w:val="22"/>
        </w:rPr>
        <w:t>, S., Kahn, M., and Liu, H. (2009).</w:t>
      </w:r>
      <w:proofErr w:type="gramEnd"/>
      <w:r w:rsidRPr="001F625B">
        <w:rPr>
          <w:sz w:val="22"/>
          <w:szCs w:val="22"/>
        </w:rPr>
        <w:t xml:space="preserve"> Towards a system of open cities in China: Home prices, FDI flows and air quality in 35 major cities. </w:t>
      </w:r>
      <w:r w:rsidRPr="001F625B">
        <w:rPr>
          <w:i/>
          <w:sz w:val="22"/>
          <w:szCs w:val="22"/>
        </w:rPr>
        <w:t>Regional Science and Urban Economics</w:t>
      </w:r>
      <w:r w:rsidRPr="001F625B">
        <w:rPr>
          <w:sz w:val="22"/>
          <w:szCs w:val="22"/>
        </w:rPr>
        <w:t xml:space="preserve"> 40(1): 1-10.</w:t>
      </w:r>
    </w:p>
    <w:p w:rsidR="00F27806" w:rsidRPr="001F625B" w:rsidRDefault="00F27806" w:rsidP="00DF0191">
      <w:pPr>
        <w:tabs>
          <w:tab w:val="left" w:pos="426"/>
        </w:tabs>
        <w:ind w:left="426" w:hanging="426"/>
        <w:jc w:val="both"/>
        <w:rPr>
          <w:sz w:val="22"/>
          <w:szCs w:val="22"/>
        </w:rPr>
      </w:pPr>
    </w:p>
    <w:p w:rsidR="002F1CCA" w:rsidRDefault="002F1CCA" w:rsidP="00DF0191">
      <w:pPr>
        <w:tabs>
          <w:tab w:val="left" w:pos="426"/>
        </w:tabs>
        <w:spacing w:line="300" w:lineRule="auto"/>
      </w:pPr>
    </w:p>
    <w:p w:rsidR="00134AD4" w:rsidRDefault="00134AD4" w:rsidP="00DF0191">
      <w:pPr>
        <w:tabs>
          <w:tab w:val="left" w:pos="426"/>
        </w:tabs>
        <w:spacing w:line="300" w:lineRule="auto"/>
        <w:rPr>
          <w:bCs/>
        </w:rPr>
      </w:pPr>
    </w:p>
    <w:tbl>
      <w:tblPr>
        <w:tblW w:w="5000" w:type="pct"/>
        <w:tblLook w:val="04A0"/>
      </w:tblPr>
      <w:tblGrid>
        <w:gridCol w:w="4148"/>
        <w:gridCol w:w="1697"/>
        <w:gridCol w:w="1699"/>
        <w:gridCol w:w="1699"/>
      </w:tblGrid>
      <w:tr w:rsidR="00A667C6" w:rsidRPr="00142780" w:rsidTr="00A667C6">
        <w:trPr>
          <w:trHeight w:val="300"/>
        </w:trPr>
        <w:tc>
          <w:tcPr>
            <w:tcW w:w="5000" w:type="pct"/>
            <w:gridSpan w:val="4"/>
            <w:tcBorders>
              <w:left w:val="nil"/>
              <w:bottom w:val="single" w:sz="4" w:space="0" w:color="auto"/>
            </w:tcBorders>
            <w:shd w:val="clear" w:color="auto" w:fill="auto"/>
            <w:noWrap/>
            <w:vAlign w:val="center"/>
          </w:tcPr>
          <w:p w:rsidR="00A667C6" w:rsidRDefault="00A667C6" w:rsidP="00DF0191">
            <w:pPr>
              <w:tabs>
                <w:tab w:val="left" w:pos="426"/>
              </w:tabs>
              <w:jc w:val="center"/>
              <w:rPr>
                <w:b/>
                <w:color w:val="000000"/>
                <w:sz w:val="22"/>
                <w:szCs w:val="22"/>
              </w:rPr>
            </w:pPr>
            <w:r w:rsidRPr="001009A7">
              <w:rPr>
                <w:b/>
                <w:color w:val="000000"/>
                <w:sz w:val="22"/>
                <w:szCs w:val="22"/>
              </w:rPr>
              <w:t xml:space="preserve">Appendix A. </w:t>
            </w:r>
            <w:r w:rsidR="001009A7">
              <w:rPr>
                <w:b/>
                <w:color w:val="000000"/>
                <w:sz w:val="22"/>
                <w:szCs w:val="22"/>
              </w:rPr>
              <w:t xml:space="preserve"> </w:t>
            </w:r>
            <w:r w:rsidRPr="001009A7">
              <w:rPr>
                <w:b/>
                <w:color w:val="000000"/>
                <w:sz w:val="22"/>
                <w:szCs w:val="22"/>
              </w:rPr>
              <w:t>Comparison of House Prices and Attributes (Means)</w:t>
            </w:r>
          </w:p>
          <w:p w:rsidR="001009A7" w:rsidRPr="001009A7" w:rsidRDefault="001009A7" w:rsidP="00DF0191">
            <w:pPr>
              <w:tabs>
                <w:tab w:val="left" w:pos="426"/>
              </w:tabs>
              <w:jc w:val="center"/>
              <w:rPr>
                <w:b/>
                <w:color w:val="000000"/>
                <w:sz w:val="8"/>
                <w:szCs w:val="8"/>
              </w:rPr>
            </w:pPr>
          </w:p>
        </w:tc>
      </w:tr>
      <w:tr w:rsidR="00A667C6" w:rsidRPr="00142780" w:rsidTr="00A667C6">
        <w:trPr>
          <w:trHeight w:val="300"/>
        </w:trPr>
        <w:tc>
          <w:tcPr>
            <w:tcW w:w="2244" w:type="pct"/>
            <w:tcBorders>
              <w:top w:val="single" w:sz="4" w:space="0" w:color="auto"/>
              <w:left w:val="nil"/>
              <w:bottom w:val="single" w:sz="4" w:space="0" w:color="auto"/>
            </w:tcBorders>
            <w:shd w:val="clear" w:color="auto" w:fill="auto"/>
            <w:noWrap/>
            <w:vAlign w:val="center"/>
            <w:hideMark/>
          </w:tcPr>
          <w:p w:rsidR="00A667C6" w:rsidRPr="00142780" w:rsidRDefault="00A667C6" w:rsidP="00DF0191">
            <w:pPr>
              <w:tabs>
                <w:tab w:val="left" w:pos="426"/>
              </w:tabs>
              <w:rPr>
                <w:color w:val="000000"/>
                <w:sz w:val="22"/>
                <w:szCs w:val="22"/>
              </w:rPr>
            </w:pPr>
          </w:p>
        </w:tc>
        <w:tc>
          <w:tcPr>
            <w:tcW w:w="918" w:type="pct"/>
            <w:tcBorders>
              <w:top w:val="single" w:sz="4" w:space="0" w:color="auto"/>
              <w:left w:val="nil"/>
              <w:bottom w:val="single" w:sz="4" w:space="0" w:color="auto"/>
              <w:right w:val="nil"/>
            </w:tcBorders>
            <w:shd w:val="clear" w:color="auto" w:fill="auto"/>
            <w:noWrap/>
            <w:vAlign w:val="center"/>
            <w:hideMark/>
          </w:tcPr>
          <w:p w:rsidR="00A667C6" w:rsidRPr="00142780" w:rsidRDefault="00A667C6" w:rsidP="00DF0191">
            <w:pPr>
              <w:tabs>
                <w:tab w:val="left" w:pos="426"/>
              </w:tabs>
              <w:rPr>
                <w:color w:val="000000"/>
                <w:sz w:val="22"/>
                <w:szCs w:val="22"/>
              </w:rPr>
            </w:pPr>
            <w:r w:rsidRPr="00142780">
              <w:rPr>
                <w:color w:val="000000"/>
                <w:sz w:val="22"/>
                <w:szCs w:val="22"/>
              </w:rPr>
              <w:t>Beijing</w:t>
            </w:r>
          </w:p>
        </w:tc>
        <w:tc>
          <w:tcPr>
            <w:tcW w:w="919" w:type="pct"/>
            <w:tcBorders>
              <w:top w:val="single" w:sz="4" w:space="0" w:color="auto"/>
              <w:left w:val="nil"/>
              <w:bottom w:val="single" w:sz="4" w:space="0" w:color="auto"/>
              <w:right w:val="nil"/>
            </w:tcBorders>
            <w:shd w:val="clear" w:color="auto" w:fill="auto"/>
            <w:noWrap/>
            <w:vAlign w:val="center"/>
            <w:hideMark/>
          </w:tcPr>
          <w:p w:rsidR="00A667C6" w:rsidRPr="00142780" w:rsidRDefault="00A667C6" w:rsidP="00DF0191">
            <w:pPr>
              <w:tabs>
                <w:tab w:val="left" w:pos="426"/>
              </w:tabs>
              <w:rPr>
                <w:color w:val="000000"/>
                <w:sz w:val="22"/>
                <w:szCs w:val="22"/>
              </w:rPr>
            </w:pPr>
            <w:r w:rsidRPr="00142780">
              <w:rPr>
                <w:color w:val="000000"/>
                <w:sz w:val="22"/>
                <w:szCs w:val="22"/>
              </w:rPr>
              <w:t>Nanjing</w:t>
            </w:r>
          </w:p>
        </w:tc>
        <w:tc>
          <w:tcPr>
            <w:tcW w:w="919" w:type="pct"/>
            <w:tcBorders>
              <w:top w:val="single" w:sz="4" w:space="0" w:color="auto"/>
              <w:left w:val="nil"/>
              <w:bottom w:val="single" w:sz="4" w:space="0" w:color="auto"/>
              <w:right w:val="nil"/>
            </w:tcBorders>
            <w:shd w:val="clear" w:color="auto" w:fill="auto"/>
            <w:noWrap/>
            <w:vAlign w:val="center"/>
            <w:hideMark/>
          </w:tcPr>
          <w:p w:rsidR="00A667C6" w:rsidRPr="00142780" w:rsidRDefault="00A667C6" w:rsidP="00DF0191">
            <w:pPr>
              <w:tabs>
                <w:tab w:val="left" w:pos="426"/>
              </w:tabs>
              <w:rPr>
                <w:color w:val="000000"/>
                <w:sz w:val="22"/>
                <w:szCs w:val="22"/>
              </w:rPr>
            </w:pPr>
            <w:r w:rsidRPr="00142780">
              <w:rPr>
                <w:color w:val="000000"/>
                <w:sz w:val="22"/>
                <w:szCs w:val="22"/>
              </w:rPr>
              <w:t>Changsha</w:t>
            </w:r>
          </w:p>
        </w:tc>
      </w:tr>
      <w:tr w:rsidR="00A667C6" w:rsidRPr="00142780" w:rsidTr="00A667C6">
        <w:trPr>
          <w:trHeight w:val="300"/>
        </w:trPr>
        <w:tc>
          <w:tcPr>
            <w:tcW w:w="2244" w:type="pct"/>
            <w:tcBorders>
              <w:top w:val="single" w:sz="4" w:space="0" w:color="auto"/>
              <w:left w:val="nil"/>
              <w:bottom w:val="nil"/>
            </w:tcBorders>
            <w:shd w:val="clear" w:color="auto" w:fill="auto"/>
            <w:noWrap/>
            <w:vAlign w:val="center"/>
            <w:hideMark/>
          </w:tcPr>
          <w:p w:rsidR="00A667C6" w:rsidRPr="00142780" w:rsidRDefault="00A667C6" w:rsidP="0009784A">
            <w:pPr>
              <w:tabs>
                <w:tab w:val="left" w:pos="426"/>
              </w:tabs>
              <w:spacing w:before="100"/>
              <w:rPr>
                <w:color w:val="000000"/>
                <w:sz w:val="22"/>
                <w:szCs w:val="22"/>
              </w:rPr>
            </w:pPr>
            <w:r w:rsidRPr="00142780">
              <w:rPr>
                <w:color w:val="000000"/>
                <w:sz w:val="22"/>
                <w:szCs w:val="22"/>
              </w:rPr>
              <w:t xml:space="preserve">Unit price (1,000 </w:t>
            </w:r>
            <w:proofErr w:type="spellStart"/>
            <w:r w:rsidRPr="00142780">
              <w:rPr>
                <w:color w:val="000000"/>
                <w:sz w:val="22"/>
                <w:szCs w:val="22"/>
              </w:rPr>
              <w:t>yuan</w:t>
            </w:r>
            <w:proofErr w:type="spellEnd"/>
            <w:r w:rsidRPr="00142780">
              <w:rPr>
                <w:color w:val="000000"/>
                <w:sz w:val="22"/>
                <w:szCs w:val="22"/>
              </w:rPr>
              <w:t xml:space="preserve">/construction </w:t>
            </w:r>
            <w:proofErr w:type="spellStart"/>
            <w:r w:rsidRPr="00142780">
              <w:rPr>
                <w:color w:val="000000"/>
                <w:sz w:val="22"/>
                <w:szCs w:val="22"/>
              </w:rPr>
              <w:t>sq.m</w:t>
            </w:r>
            <w:proofErr w:type="spellEnd"/>
            <w:r w:rsidRPr="00142780">
              <w:rPr>
                <w:color w:val="000000"/>
                <w:sz w:val="22"/>
                <w:szCs w:val="22"/>
              </w:rPr>
              <w:t>)</w:t>
            </w:r>
          </w:p>
        </w:tc>
        <w:tc>
          <w:tcPr>
            <w:tcW w:w="918" w:type="pct"/>
            <w:tcBorders>
              <w:top w:val="single" w:sz="4" w:space="0" w:color="auto"/>
              <w:left w:val="nil"/>
              <w:bottom w:val="nil"/>
              <w:right w:val="nil"/>
            </w:tcBorders>
            <w:shd w:val="clear" w:color="auto" w:fill="auto"/>
            <w:noWrap/>
            <w:vAlign w:val="center"/>
            <w:hideMark/>
          </w:tcPr>
          <w:p w:rsidR="00A667C6" w:rsidRPr="00142780" w:rsidRDefault="00A667C6" w:rsidP="00462022">
            <w:pPr>
              <w:tabs>
                <w:tab w:val="decimal" w:pos="388"/>
              </w:tabs>
              <w:spacing w:before="100"/>
              <w:rPr>
                <w:color w:val="000000"/>
                <w:sz w:val="22"/>
                <w:szCs w:val="22"/>
              </w:rPr>
            </w:pPr>
            <w:r w:rsidRPr="00142780">
              <w:rPr>
                <w:color w:val="000000"/>
                <w:sz w:val="22"/>
                <w:szCs w:val="22"/>
              </w:rPr>
              <w:t>29.93</w:t>
            </w:r>
          </w:p>
        </w:tc>
        <w:tc>
          <w:tcPr>
            <w:tcW w:w="919" w:type="pct"/>
            <w:tcBorders>
              <w:top w:val="single" w:sz="4" w:space="0" w:color="auto"/>
              <w:left w:val="nil"/>
              <w:bottom w:val="nil"/>
              <w:right w:val="nil"/>
            </w:tcBorders>
            <w:shd w:val="clear" w:color="auto" w:fill="auto"/>
            <w:noWrap/>
            <w:vAlign w:val="center"/>
            <w:hideMark/>
          </w:tcPr>
          <w:p w:rsidR="00A667C6" w:rsidRPr="00142780" w:rsidRDefault="00A667C6" w:rsidP="00462022">
            <w:pPr>
              <w:tabs>
                <w:tab w:val="decimal" w:pos="251"/>
              </w:tabs>
              <w:spacing w:before="100"/>
              <w:rPr>
                <w:color w:val="000000"/>
                <w:sz w:val="22"/>
                <w:szCs w:val="22"/>
              </w:rPr>
            </w:pPr>
            <w:r w:rsidRPr="00142780">
              <w:rPr>
                <w:color w:val="000000"/>
                <w:sz w:val="22"/>
                <w:szCs w:val="22"/>
              </w:rPr>
              <w:t>13.93***</w:t>
            </w:r>
          </w:p>
        </w:tc>
        <w:tc>
          <w:tcPr>
            <w:tcW w:w="919" w:type="pct"/>
            <w:tcBorders>
              <w:top w:val="single" w:sz="4" w:space="0" w:color="auto"/>
              <w:left w:val="nil"/>
              <w:bottom w:val="nil"/>
              <w:right w:val="nil"/>
            </w:tcBorders>
            <w:shd w:val="clear" w:color="auto" w:fill="auto"/>
            <w:noWrap/>
            <w:vAlign w:val="center"/>
            <w:hideMark/>
          </w:tcPr>
          <w:p w:rsidR="00A667C6" w:rsidRPr="00142780" w:rsidRDefault="00A667C6" w:rsidP="00462022">
            <w:pPr>
              <w:tabs>
                <w:tab w:val="decimal" w:pos="394"/>
              </w:tabs>
              <w:spacing w:before="100"/>
              <w:rPr>
                <w:color w:val="000000"/>
                <w:sz w:val="22"/>
                <w:szCs w:val="22"/>
              </w:rPr>
            </w:pPr>
            <w:r w:rsidRPr="00142780">
              <w:rPr>
                <w:color w:val="000000"/>
                <w:sz w:val="22"/>
                <w:szCs w:val="22"/>
              </w:rPr>
              <w:t>7.13***</w:t>
            </w:r>
          </w:p>
        </w:tc>
      </w:tr>
      <w:tr w:rsidR="00A667C6" w:rsidRPr="00142780" w:rsidTr="00A667C6">
        <w:trPr>
          <w:trHeight w:val="300"/>
        </w:trPr>
        <w:tc>
          <w:tcPr>
            <w:tcW w:w="2244" w:type="pct"/>
            <w:tcBorders>
              <w:top w:val="nil"/>
              <w:left w:val="nil"/>
              <w:bottom w:val="nil"/>
            </w:tcBorders>
            <w:shd w:val="clear" w:color="auto" w:fill="auto"/>
            <w:noWrap/>
            <w:vAlign w:val="center"/>
          </w:tcPr>
          <w:p w:rsidR="006E2415" w:rsidRPr="00462022" w:rsidRDefault="006E2415" w:rsidP="00DF0191">
            <w:pPr>
              <w:tabs>
                <w:tab w:val="left" w:pos="426"/>
              </w:tabs>
              <w:rPr>
                <w:i/>
                <w:sz w:val="10"/>
                <w:szCs w:val="10"/>
              </w:rPr>
            </w:pPr>
          </w:p>
          <w:p w:rsidR="00A667C6" w:rsidRPr="006E2415" w:rsidRDefault="00A667C6" w:rsidP="00DF0191">
            <w:pPr>
              <w:tabs>
                <w:tab w:val="left" w:pos="426"/>
              </w:tabs>
              <w:rPr>
                <w:i/>
                <w:color w:val="000000"/>
                <w:sz w:val="22"/>
                <w:szCs w:val="22"/>
              </w:rPr>
            </w:pPr>
            <w:r w:rsidRPr="006E2415">
              <w:rPr>
                <w:i/>
                <w:sz w:val="22"/>
                <w:szCs w:val="22"/>
              </w:rPr>
              <w:t>Unit characteristics</w:t>
            </w:r>
          </w:p>
        </w:tc>
        <w:tc>
          <w:tcPr>
            <w:tcW w:w="918" w:type="pct"/>
            <w:tcBorders>
              <w:top w:val="nil"/>
              <w:left w:val="nil"/>
              <w:bottom w:val="nil"/>
              <w:right w:val="nil"/>
            </w:tcBorders>
            <w:shd w:val="clear" w:color="auto" w:fill="auto"/>
            <w:noWrap/>
            <w:vAlign w:val="center"/>
          </w:tcPr>
          <w:p w:rsidR="00A667C6" w:rsidRPr="00142780" w:rsidRDefault="00A667C6" w:rsidP="00462022">
            <w:pPr>
              <w:tabs>
                <w:tab w:val="decimal" w:pos="388"/>
              </w:tabs>
              <w:rPr>
                <w:color w:val="000000"/>
                <w:sz w:val="22"/>
                <w:szCs w:val="22"/>
              </w:rPr>
            </w:pPr>
          </w:p>
        </w:tc>
        <w:tc>
          <w:tcPr>
            <w:tcW w:w="919" w:type="pct"/>
            <w:tcBorders>
              <w:top w:val="nil"/>
              <w:left w:val="nil"/>
              <w:bottom w:val="nil"/>
              <w:right w:val="nil"/>
            </w:tcBorders>
            <w:shd w:val="clear" w:color="auto" w:fill="auto"/>
            <w:noWrap/>
            <w:vAlign w:val="center"/>
          </w:tcPr>
          <w:p w:rsidR="00A667C6" w:rsidRPr="00142780" w:rsidRDefault="00A667C6" w:rsidP="00462022">
            <w:pPr>
              <w:tabs>
                <w:tab w:val="decimal" w:pos="251"/>
              </w:tabs>
              <w:rPr>
                <w:color w:val="000000"/>
                <w:sz w:val="22"/>
                <w:szCs w:val="22"/>
              </w:rPr>
            </w:pPr>
          </w:p>
        </w:tc>
        <w:tc>
          <w:tcPr>
            <w:tcW w:w="919" w:type="pct"/>
            <w:tcBorders>
              <w:top w:val="nil"/>
              <w:left w:val="nil"/>
              <w:bottom w:val="nil"/>
              <w:right w:val="nil"/>
            </w:tcBorders>
            <w:shd w:val="clear" w:color="auto" w:fill="auto"/>
            <w:noWrap/>
            <w:vAlign w:val="center"/>
          </w:tcPr>
          <w:p w:rsidR="00A667C6" w:rsidRPr="00142780" w:rsidRDefault="00A667C6" w:rsidP="00462022">
            <w:pPr>
              <w:tabs>
                <w:tab w:val="decimal" w:pos="394"/>
              </w:tabs>
              <w:rPr>
                <w:color w:val="000000"/>
                <w:sz w:val="22"/>
                <w:szCs w:val="22"/>
              </w:rPr>
            </w:pPr>
          </w:p>
        </w:tc>
      </w:tr>
      <w:tr w:rsidR="00A667C6" w:rsidRPr="00142780" w:rsidTr="00A667C6">
        <w:trPr>
          <w:trHeight w:val="300"/>
        </w:trPr>
        <w:tc>
          <w:tcPr>
            <w:tcW w:w="2244" w:type="pct"/>
            <w:tcBorders>
              <w:top w:val="nil"/>
              <w:left w:val="nil"/>
              <w:bottom w:val="nil"/>
            </w:tcBorders>
            <w:shd w:val="clear" w:color="auto" w:fill="auto"/>
            <w:noWrap/>
            <w:vAlign w:val="center"/>
            <w:hideMark/>
          </w:tcPr>
          <w:p w:rsidR="00A667C6" w:rsidRPr="00142780" w:rsidRDefault="00A667C6" w:rsidP="00DF0191">
            <w:pPr>
              <w:tabs>
                <w:tab w:val="left" w:pos="426"/>
              </w:tabs>
              <w:rPr>
                <w:color w:val="000000"/>
                <w:sz w:val="22"/>
                <w:szCs w:val="22"/>
              </w:rPr>
            </w:pPr>
            <w:r w:rsidRPr="00142780">
              <w:rPr>
                <w:color w:val="000000"/>
                <w:sz w:val="22"/>
                <w:szCs w:val="22"/>
              </w:rPr>
              <w:t>Area (</w:t>
            </w:r>
            <w:proofErr w:type="spellStart"/>
            <w:r w:rsidRPr="00142780">
              <w:rPr>
                <w:color w:val="000000"/>
                <w:sz w:val="22"/>
                <w:szCs w:val="22"/>
              </w:rPr>
              <w:t>sq.m</w:t>
            </w:r>
            <w:proofErr w:type="spellEnd"/>
            <w:r w:rsidRPr="00142780">
              <w:rPr>
                <w:color w:val="000000"/>
                <w:sz w:val="22"/>
                <w:szCs w:val="22"/>
              </w:rPr>
              <w:t>)</w:t>
            </w:r>
          </w:p>
        </w:tc>
        <w:tc>
          <w:tcPr>
            <w:tcW w:w="918" w:type="pct"/>
            <w:tcBorders>
              <w:top w:val="nil"/>
              <w:left w:val="nil"/>
              <w:bottom w:val="nil"/>
              <w:right w:val="nil"/>
            </w:tcBorders>
            <w:shd w:val="clear" w:color="auto" w:fill="auto"/>
            <w:noWrap/>
            <w:vAlign w:val="center"/>
            <w:hideMark/>
          </w:tcPr>
          <w:p w:rsidR="00A667C6" w:rsidRPr="00142780" w:rsidRDefault="00A667C6" w:rsidP="00462022">
            <w:pPr>
              <w:tabs>
                <w:tab w:val="decimal" w:pos="388"/>
              </w:tabs>
              <w:rPr>
                <w:color w:val="000000"/>
                <w:sz w:val="22"/>
                <w:szCs w:val="22"/>
              </w:rPr>
            </w:pPr>
            <w:r w:rsidRPr="00142780">
              <w:rPr>
                <w:color w:val="000000"/>
                <w:sz w:val="22"/>
                <w:szCs w:val="22"/>
              </w:rPr>
              <w:t>152.69</w:t>
            </w:r>
          </w:p>
        </w:tc>
        <w:tc>
          <w:tcPr>
            <w:tcW w:w="919" w:type="pct"/>
            <w:tcBorders>
              <w:top w:val="nil"/>
              <w:left w:val="nil"/>
              <w:bottom w:val="nil"/>
              <w:right w:val="nil"/>
            </w:tcBorders>
            <w:shd w:val="clear" w:color="auto" w:fill="auto"/>
            <w:noWrap/>
            <w:vAlign w:val="center"/>
            <w:hideMark/>
          </w:tcPr>
          <w:p w:rsidR="00A667C6" w:rsidRPr="00142780" w:rsidRDefault="00A667C6" w:rsidP="00462022">
            <w:pPr>
              <w:tabs>
                <w:tab w:val="decimal" w:pos="251"/>
              </w:tabs>
              <w:rPr>
                <w:color w:val="000000"/>
                <w:sz w:val="22"/>
                <w:szCs w:val="22"/>
              </w:rPr>
            </w:pPr>
            <w:r w:rsidRPr="00142780">
              <w:rPr>
                <w:color w:val="000000"/>
                <w:sz w:val="22"/>
                <w:szCs w:val="22"/>
              </w:rPr>
              <w:t>131.60</w:t>
            </w:r>
          </w:p>
        </w:tc>
        <w:tc>
          <w:tcPr>
            <w:tcW w:w="919" w:type="pct"/>
            <w:tcBorders>
              <w:top w:val="nil"/>
              <w:left w:val="nil"/>
              <w:bottom w:val="nil"/>
              <w:right w:val="nil"/>
            </w:tcBorders>
            <w:shd w:val="clear" w:color="auto" w:fill="auto"/>
            <w:noWrap/>
            <w:vAlign w:val="center"/>
            <w:hideMark/>
          </w:tcPr>
          <w:p w:rsidR="00A667C6" w:rsidRPr="00142780" w:rsidRDefault="00A667C6" w:rsidP="00462022">
            <w:pPr>
              <w:tabs>
                <w:tab w:val="decimal" w:pos="394"/>
              </w:tabs>
              <w:rPr>
                <w:color w:val="000000"/>
                <w:sz w:val="22"/>
                <w:szCs w:val="22"/>
              </w:rPr>
            </w:pPr>
            <w:r w:rsidRPr="00142780">
              <w:rPr>
                <w:color w:val="000000"/>
                <w:sz w:val="22"/>
                <w:szCs w:val="22"/>
              </w:rPr>
              <w:t>115.69***</w:t>
            </w:r>
          </w:p>
        </w:tc>
      </w:tr>
      <w:tr w:rsidR="00A667C6" w:rsidRPr="00142780" w:rsidTr="00A667C6">
        <w:trPr>
          <w:trHeight w:val="300"/>
        </w:trPr>
        <w:tc>
          <w:tcPr>
            <w:tcW w:w="2244" w:type="pct"/>
            <w:tcBorders>
              <w:top w:val="nil"/>
              <w:left w:val="nil"/>
              <w:bottom w:val="nil"/>
            </w:tcBorders>
            <w:shd w:val="clear" w:color="auto" w:fill="auto"/>
            <w:noWrap/>
            <w:vAlign w:val="center"/>
            <w:hideMark/>
          </w:tcPr>
          <w:p w:rsidR="00A667C6" w:rsidRPr="00142780" w:rsidRDefault="00A667C6" w:rsidP="00DF0191">
            <w:pPr>
              <w:tabs>
                <w:tab w:val="left" w:pos="426"/>
              </w:tabs>
              <w:rPr>
                <w:color w:val="000000"/>
                <w:sz w:val="22"/>
                <w:szCs w:val="22"/>
              </w:rPr>
            </w:pPr>
            <w:r w:rsidRPr="00142780">
              <w:rPr>
                <w:sz w:val="22"/>
                <w:szCs w:val="22"/>
              </w:rPr>
              <w:t>Number of bedroom</w:t>
            </w:r>
            <w:r w:rsidR="00A85E4C">
              <w:rPr>
                <w:sz w:val="22"/>
                <w:szCs w:val="22"/>
              </w:rPr>
              <w:t>s</w:t>
            </w:r>
          </w:p>
        </w:tc>
        <w:tc>
          <w:tcPr>
            <w:tcW w:w="918" w:type="pct"/>
            <w:tcBorders>
              <w:top w:val="nil"/>
              <w:left w:val="nil"/>
              <w:bottom w:val="nil"/>
              <w:right w:val="nil"/>
            </w:tcBorders>
            <w:shd w:val="clear" w:color="auto" w:fill="auto"/>
            <w:noWrap/>
            <w:vAlign w:val="center"/>
            <w:hideMark/>
          </w:tcPr>
          <w:p w:rsidR="00A667C6" w:rsidRPr="00142780" w:rsidRDefault="00A667C6" w:rsidP="00462022">
            <w:pPr>
              <w:tabs>
                <w:tab w:val="decimal" w:pos="388"/>
              </w:tabs>
              <w:rPr>
                <w:color w:val="000000"/>
                <w:sz w:val="22"/>
                <w:szCs w:val="22"/>
              </w:rPr>
            </w:pPr>
            <w:r w:rsidRPr="00142780">
              <w:rPr>
                <w:color w:val="000000"/>
                <w:sz w:val="22"/>
                <w:szCs w:val="22"/>
              </w:rPr>
              <w:t>2.64</w:t>
            </w:r>
          </w:p>
        </w:tc>
        <w:tc>
          <w:tcPr>
            <w:tcW w:w="919" w:type="pct"/>
            <w:tcBorders>
              <w:top w:val="nil"/>
              <w:left w:val="nil"/>
              <w:bottom w:val="nil"/>
              <w:right w:val="nil"/>
            </w:tcBorders>
            <w:shd w:val="clear" w:color="auto" w:fill="auto"/>
            <w:noWrap/>
            <w:vAlign w:val="center"/>
            <w:hideMark/>
          </w:tcPr>
          <w:p w:rsidR="00A667C6" w:rsidRPr="00142780" w:rsidRDefault="00A667C6" w:rsidP="00462022">
            <w:pPr>
              <w:tabs>
                <w:tab w:val="decimal" w:pos="251"/>
              </w:tabs>
              <w:rPr>
                <w:color w:val="000000"/>
                <w:sz w:val="22"/>
                <w:szCs w:val="22"/>
              </w:rPr>
            </w:pPr>
            <w:r w:rsidRPr="00142780">
              <w:rPr>
                <w:color w:val="000000"/>
                <w:sz w:val="22"/>
                <w:szCs w:val="22"/>
              </w:rPr>
              <w:t>2.78</w:t>
            </w:r>
          </w:p>
        </w:tc>
        <w:tc>
          <w:tcPr>
            <w:tcW w:w="919" w:type="pct"/>
            <w:tcBorders>
              <w:top w:val="nil"/>
              <w:left w:val="nil"/>
              <w:bottom w:val="nil"/>
              <w:right w:val="nil"/>
            </w:tcBorders>
            <w:shd w:val="clear" w:color="auto" w:fill="auto"/>
            <w:noWrap/>
            <w:vAlign w:val="center"/>
            <w:hideMark/>
          </w:tcPr>
          <w:p w:rsidR="00A667C6" w:rsidRPr="00142780" w:rsidRDefault="00A667C6" w:rsidP="00462022">
            <w:pPr>
              <w:tabs>
                <w:tab w:val="decimal" w:pos="394"/>
              </w:tabs>
              <w:rPr>
                <w:color w:val="000000"/>
                <w:sz w:val="22"/>
                <w:szCs w:val="22"/>
              </w:rPr>
            </w:pPr>
            <w:r w:rsidRPr="00142780">
              <w:rPr>
                <w:color w:val="000000"/>
                <w:sz w:val="22"/>
                <w:szCs w:val="22"/>
              </w:rPr>
              <w:t>2.74</w:t>
            </w:r>
          </w:p>
        </w:tc>
      </w:tr>
      <w:tr w:rsidR="00A667C6" w:rsidRPr="00142780" w:rsidTr="00A667C6">
        <w:trPr>
          <w:trHeight w:val="300"/>
        </w:trPr>
        <w:tc>
          <w:tcPr>
            <w:tcW w:w="2244" w:type="pct"/>
            <w:tcBorders>
              <w:top w:val="nil"/>
              <w:left w:val="nil"/>
              <w:bottom w:val="nil"/>
            </w:tcBorders>
            <w:shd w:val="clear" w:color="auto" w:fill="auto"/>
            <w:noWrap/>
            <w:vAlign w:val="center"/>
            <w:hideMark/>
          </w:tcPr>
          <w:p w:rsidR="00A667C6" w:rsidRPr="00142780" w:rsidRDefault="00A667C6" w:rsidP="00DF0191">
            <w:pPr>
              <w:tabs>
                <w:tab w:val="left" w:pos="426"/>
              </w:tabs>
              <w:rPr>
                <w:color w:val="000000"/>
                <w:sz w:val="22"/>
                <w:szCs w:val="22"/>
              </w:rPr>
            </w:pPr>
            <w:r w:rsidRPr="00142780">
              <w:rPr>
                <w:sz w:val="22"/>
                <w:szCs w:val="22"/>
              </w:rPr>
              <w:t>Number of bathroom</w:t>
            </w:r>
            <w:r w:rsidR="00A85E4C">
              <w:rPr>
                <w:sz w:val="22"/>
                <w:szCs w:val="22"/>
              </w:rPr>
              <w:t>s</w:t>
            </w:r>
          </w:p>
        </w:tc>
        <w:tc>
          <w:tcPr>
            <w:tcW w:w="918" w:type="pct"/>
            <w:tcBorders>
              <w:top w:val="nil"/>
              <w:left w:val="nil"/>
              <w:bottom w:val="nil"/>
              <w:right w:val="nil"/>
            </w:tcBorders>
            <w:shd w:val="clear" w:color="auto" w:fill="auto"/>
            <w:noWrap/>
            <w:vAlign w:val="center"/>
            <w:hideMark/>
          </w:tcPr>
          <w:p w:rsidR="00A667C6" w:rsidRPr="00142780" w:rsidRDefault="00A667C6" w:rsidP="00462022">
            <w:pPr>
              <w:tabs>
                <w:tab w:val="decimal" w:pos="388"/>
              </w:tabs>
              <w:rPr>
                <w:color w:val="000000"/>
                <w:sz w:val="22"/>
                <w:szCs w:val="22"/>
              </w:rPr>
            </w:pPr>
            <w:r w:rsidRPr="00142780">
              <w:rPr>
                <w:color w:val="000000"/>
                <w:sz w:val="22"/>
                <w:szCs w:val="22"/>
              </w:rPr>
              <w:t>1.76</w:t>
            </w:r>
          </w:p>
        </w:tc>
        <w:tc>
          <w:tcPr>
            <w:tcW w:w="919" w:type="pct"/>
            <w:tcBorders>
              <w:top w:val="nil"/>
              <w:left w:val="nil"/>
              <w:bottom w:val="nil"/>
              <w:right w:val="nil"/>
            </w:tcBorders>
            <w:shd w:val="clear" w:color="auto" w:fill="auto"/>
            <w:noWrap/>
            <w:vAlign w:val="center"/>
            <w:hideMark/>
          </w:tcPr>
          <w:p w:rsidR="00A667C6" w:rsidRPr="00142780" w:rsidRDefault="00A667C6" w:rsidP="00462022">
            <w:pPr>
              <w:tabs>
                <w:tab w:val="decimal" w:pos="251"/>
              </w:tabs>
              <w:rPr>
                <w:color w:val="000000"/>
                <w:sz w:val="22"/>
                <w:szCs w:val="22"/>
              </w:rPr>
            </w:pPr>
            <w:r w:rsidRPr="00142780">
              <w:rPr>
                <w:color w:val="000000"/>
                <w:sz w:val="22"/>
                <w:szCs w:val="22"/>
              </w:rPr>
              <w:t>1.40**</w:t>
            </w:r>
          </w:p>
        </w:tc>
        <w:tc>
          <w:tcPr>
            <w:tcW w:w="919" w:type="pct"/>
            <w:tcBorders>
              <w:top w:val="nil"/>
              <w:left w:val="nil"/>
              <w:bottom w:val="nil"/>
              <w:right w:val="nil"/>
            </w:tcBorders>
            <w:shd w:val="clear" w:color="auto" w:fill="auto"/>
            <w:noWrap/>
            <w:vAlign w:val="center"/>
            <w:hideMark/>
          </w:tcPr>
          <w:p w:rsidR="00A667C6" w:rsidRPr="00142780" w:rsidRDefault="00A667C6" w:rsidP="00462022">
            <w:pPr>
              <w:tabs>
                <w:tab w:val="decimal" w:pos="394"/>
              </w:tabs>
              <w:rPr>
                <w:color w:val="000000"/>
                <w:sz w:val="22"/>
                <w:szCs w:val="22"/>
              </w:rPr>
            </w:pPr>
            <w:r w:rsidRPr="00142780">
              <w:rPr>
                <w:color w:val="000000"/>
                <w:sz w:val="22"/>
                <w:szCs w:val="22"/>
              </w:rPr>
              <w:t>1.54</w:t>
            </w:r>
          </w:p>
        </w:tc>
      </w:tr>
      <w:tr w:rsidR="00A667C6" w:rsidRPr="00142780" w:rsidTr="00A667C6">
        <w:trPr>
          <w:trHeight w:val="300"/>
        </w:trPr>
        <w:tc>
          <w:tcPr>
            <w:tcW w:w="2244" w:type="pct"/>
            <w:tcBorders>
              <w:top w:val="nil"/>
              <w:left w:val="nil"/>
              <w:bottom w:val="nil"/>
            </w:tcBorders>
            <w:shd w:val="clear" w:color="auto" w:fill="auto"/>
            <w:noWrap/>
            <w:vAlign w:val="center"/>
            <w:hideMark/>
          </w:tcPr>
          <w:p w:rsidR="00A667C6" w:rsidRPr="00142780" w:rsidRDefault="00A667C6" w:rsidP="00DF0191">
            <w:pPr>
              <w:tabs>
                <w:tab w:val="left" w:pos="426"/>
              </w:tabs>
              <w:rPr>
                <w:color w:val="000000"/>
                <w:sz w:val="22"/>
                <w:szCs w:val="22"/>
              </w:rPr>
            </w:pPr>
            <w:r w:rsidRPr="00142780">
              <w:rPr>
                <w:sz w:val="22"/>
                <w:szCs w:val="22"/>
              </w:rPr>
              <w:t>Number of living room</w:t>
            </w:r>
            <w:r w:rsidR="00A85E4C">
              <w:rPr>
                <w:sz w:val="22"/>
                <w:szCs w:val="22"/>
              </w:rPr>
              <w:t>s</w:t>
            </w:r>
          </w:p>
        </w:tc>
        <w:tc>
          <w:tcPr>
            <w:tcW w:w="918" w:type="pct"/>
            <w:tcBorders>
              <w:top w:val="nil"/>
              <w:left w:val="nil"/>
              <w:bottom w:val="nil"/>
              <w:right w:val="nil"/>
            </w:tcBorders>
            <w:shd w:val="clear" w:color="auto" w:fill="auto"/>
            <w:noWrap/>
            <w:vAlign w:val="center"/>
            <w:hideMark/>
          </w:tcPr>
          <w:p w:rsidR="00A667C6" w:rsidRPr="00142780" w:rsidRDefault="00A667C6" w:rsidP="00462022">
            <w:pPr>
              <w:tabs>
                <w:tab w:val="decimal" w:pos="388"/>
              </w:tabs>
              <w:rPr>
                <w:color w:val="000000"/>
                <w:sz w:val="22"/>
                <w:szCs w:val="22"/>
              </w:rPr>
            </w:pPr>
            <w:r w:rsidRPr="00142780">
              <w:rPr>
                <w:color w:val="000000"/>
                <w:sz w:val="22"/>
                <w:szCs w:val="22"/>
              </w:rPr>
              <w:t>1.88</w:t>
            </w:r>
          </w:p>
        </w:tc>
        <w:tc>
          <w:tcPr>
            <w:tcW w:w="919" w:type="pct"/>
            <w:tcBorders>
              <w:top w:val="nil"/>
              <w:left w:val="nil"/>
              <w:bottom w:val="nil"/>
              <w:right w:val="nil"/>
            </w:tcBorders>
            <w:shd w:val="clear" w:color="auto" w:fill="auto"/>
            <w:noWrap/>
            <w:vAlign w:val="center"/>
            <w:hideMark/>
          </w:tcPr>
          <w:p w:rsidR="00A667C6" w:rsidRPr="00142780" w:rsidRDefault="00A667C6" w:rsidP="00462022">
            <w:pPr>
              <w:tabs>
                <w:tab w:val="decimal" w:pos="251"/>
              </w:tabs>
              <w:rPr>
                <w:color w:val="000000"/>
                <w:sz w:val="22"/>
                <w:szCs w:val="22"/>
              </w:rPr>
            </w:pPr>
            <w:r w:rsidRPr="00142780">
              <w:rPr>
                <w:color w:val="000000"/>
                <w:sz w:val="22"/>
                <w:szCs w:val="22"/>
              </w:rPr>
              <w:t>1.94</w:t>
            </w:r>
          </w:p>
        </w:tc>
        <w:tc>
          <w:tcPr>
            <w:tcW w:w="919" w:type="pct"/>
            <w:tcBorders>
              <w:top w:val="nil"/>
              <w:left w:val="nil"/>
              <w:bottom w:val="nil"/>
              <w:right w:val="nil"/>
            </w:tcBorders>
            <w:shd w:val="clear" w:color="auto" w:fill="auto"/>
            <w:noWrap/>
            <w:vAlign w:val="center"/>
            <w:hideMark/>
          </w:tcPr>
          <w:p w:rsidR="00A667C6" w:rsidRPr="00142780" w:rsidRDefault="00A667C6" w:rsidP="00462022">
            <w:pPr>
              <w:tabs>
                <w:tab w:val="decimal" w:pos="394"/>
              </w:tabs>
              <w:rPr>
                <w:color w:val="000000"/>
                <w:sz w:val="22"/>
                <w:szCs w:val="22"/>
              </w:rPr>
            </w:pPr>
            <w:r w:rsidRPr="00142780">
              <w:rPr>
                <w:color w:val="000000"/>
                <w:sz w:val="22"/>
                <w:szCs w:val="22"/>
              </w:rPr>
              <w:t>1.94</w:t>
            </w:r>
          </w:p>
        </w:tc>
      </w:tr>
      <w:tr w:rsidR="00A667C6" w:rsidRPr="00142780" w:rsidTr="00A667C6">
        <w:trPr>
          <w:trHeight w:val="300"/>
        </w:trPr>
        <w:tc>
          <w:tcPr>
            <w:tcW w:w="2244" w:type="pct"/>
            <w:tcBorders>
              <w:top w:val="nil"/>
              <w:left w:val="nil"/>
              <w:bottom w:val="nil"/>
            </w:tcBorders>
            <w:shd w:val="clear" w:color="auto" w:fill="auto"/>
            <w:noWrap/>
            <w:vAlign w:val="center"/>
            <w:hideMark/>
          </w:tcPr>
          <w:p w:rsidR="00A667C6" w:rsidRPr="00142780" w:rsidRDefault="00A667C6" w:rsidP="00DF0191">
            <w:pPr>
              <w:tabs>
                <w:tab w:val="left" w:pos="426"/>
              </w:tabs>
              <w:rPr>
                <w:color w:val="000000"/>
                <w:sz w:val="22"/>
                <w:szCs w:val="22"/>
              </w:rPr>
            </w:pPr>
            <w:r w:rsidRPr="00142780">
              <w:rPr>
                <w:sz w:val="22"/>
                <w:szCs w:val="22"/>
              </w:rPr>
              <w:t>Decorated=1, otherwise=0</w:t>
            </w:r>
          </w:p>
        </w:tc>
        <w:tc>
          <w:tcPr>
            <w:tcW w:w="918" w:type="pct"/>
            <w:tcBorders>
              <w:top w:val="nil"/>
              <w:left w:val="nil"/>
              <w:bottom w:val="nil"/>
              <w:right w:val="nil"/>
            </w:tcBorders>
            <w:shd w:val="clear" w:color="auto" w:fill="auto"/>
            <w:noWrap/>
            <w:vAlign w:val="center"/>
            <w:hideMark/>
          </w:tcPr>
          <w:p w:rsidR="00A667C6" w:rsidRPr="00142780" w:rsidRDefault="00A667C6" w:rsidP="00462022">
            <w:pPr>
              <w:tabs>
                <w:tab w:val="decimal" w:pos="388"/>
              </w:tabs>
              <w:rPr>
                <w:color w:val="000000"/>
                <w:sz w:val="22"/>
                <w:szCs w:val="22"/>
              </w:rPr>
            </w:pPr>
            <w:r w:rsidRPr="00142780">
              <w:rPr>
                <w:color w:val="000000"/>
                <w:sz w:val="22"/>
                <w:szCs w:val="22"/>
              </w:rPr>
              <w:t>0.36</w:t>
            </w:r>
          </w:p>
        </w:tc>
        <w:tc>
          <w:tcPr>
            <w:tcW w:w="919" w:type="pct"/>
            <w:tcBorders>
              <w:top w:val="nil"/>
              <w:left w:val="nil"/>
              <w:bottom w:val="nil"/>
              <w:right w:val="nil"/>
            </w:tcBorders>
            <w:shd w:val="clear" w:color="auto" w:fill="auto"/>
            <w:noWrap/>
            <w:vAlign w:val="center"/>
            <w:hideMark/>
          </w:tcPr>
          <w:p w:rsidR="00A667C6" w:rsidRPr="00142780" w:rsidRDefault="00A667C6" w:rsidP="00462022">
            <w:pPr>
              <w:tabs>
                <w:tab w:val="decimal" w:pos="251"/>
              </w:tabs>
              <w:rPr>
                <w:color w:val="000000"/>
                <w:sz w:val="22"/>
                <w:szCs w:val="22"/>
              </w:rPr>
            </w:pPr>
            <w:r w:rsidRPr="00142780">
              <w:rPr>
                <w:color w:val="000000"/>
                <w:sz w:val="22"/>
                <w:szCs w:val="22"/>
              </w:rPr>
              <w:t>0.26</w:t>
            </w:r>
          </w:p>
        </w:tc>
        <w:tc>
          <w:tcPr>
            <w:tcW w:w="919" w:type="pct"/>
            <w:tcBorders>
              <w:top w:val="nil"/>
              <w:left w:val="nil"/>
              <w:bottom w:val="nil"/>
              <w:right w:val="nil"/>
            </w:tcBorders>
            <w:shd w:val="clear" w:color="auto" w:fill="auto"/>
            <w:noWrap/>
            <w:vAlign w:val="center"/>
            <w:hideMark/>
          </w:tcPr>
          <w:p w:rsidR="00A667C6" w:rsidRPr="00142780" w:rsidRDefault="00A667C6" w:rsidP="00462022">
            <w:pPr>
              <w:tabs>
                <w:tab w:val="decimal" w:pos="394"/>
              </w:tabs>
              <w:rPr>
                <w:color w:val="000000"/>
                <w:sz w:val="22"/>
                <w:szCs w:val="22"/>
              </w:rPr>
            </w:pPr>
            <w:r w:rsidRPr="00142780">
              <w:rPr>
                <w:color w:val="000000"/>
                <w:sz w:val="22"/>
                <w:szCs w:val="22"/>
              </w:rPr>
              <w:t>0.32</w:t>
            </w:r>
          </w:p>
        </w:tc>
      </w:tr>
      <w:tr w:rsidR="00A667C6" w:rsidRPr="00142780" w:rsidTr="00A667C6">
        <w:trPr>
          <w:trHeight w:val="300"/>
        </w:trPr>
        <w:tc>
          <w:tcPr>
            <w:tcW w:w="2244" w:type="pct"/>
            <w:tcBorders>
              <w:top w:val="nil"/>
              <w:left w:val="nil"/>
              <w:bottom w:val="nil"/>
            </w:tcBorders>
            <w:shd w:val="clear" w:color="auto" w:fill="auto"/>
            <w:noWrap/>
            <w:vAlign w:val="center"/>
            <w:hideMark/>
          </w:tcPr>
          <w:p w:rsidR="00A667C6" w:rsidRPr="00142780" w:rsidRDefault="00A667C6" w:rsidP="00DF0191">
            <w:pPr>
              <w:tabs>
                <w:tab w:val="left" w:pos="426"/>
              </w:tabs>
              <w:rPr>
                <w:color w:val="000000"/>
                <w:sz w:val="22"/>
                <w:szCs w:val="22"/>
              </w:rPr>
            </w:pPr>
            <w:r w:rsidRPr="00142780">
              <w:rPr>
                <w:sz w:val="22"/>
                <w:szCs w:val="22"/>
              </w:rPr>
              <w:t>Level (floor) in complex</w:t>
            </w:r>
          </w:p>
        </w:tc>
        <w:tc>
          <w:tcPr>
            <w:tcW w:w="918" w:type="pct"/>
            <w:tcBorders>
              <w:top w:val="nil"/>
              <w:left w:val="nil"/>
              <w:bottom w:val="nil"/>
              <w:right w:val="nil"/>
            </w:tcBorders>
            <w:shd w:val="clear" w:color="auto" w:fill="auto"/>
            <w:noWrap/>
            <w:vAlign w:val="center"/>
            <w:hideMark/>
          </w:tcPr>
          <w:p w:rsidR="00A667C6" w:rsidRPr="00142780" w:rsidRDefault="00A667C6" w:rsidP="00462022">
            <w:pPr>
              <w:tabs>
                <w:tab w:val="decimal" w:pos="388"/>
              </w:tabs>
              <w:rPr>
                <w:color w:val="000000"/>
                <w:sz w:val="22"/>
                <w:szCs w:val="22"/>
              </w:rPr>
            </w:pPr>
            <w:r w:rsidRPr="00142780">
              <w:rPr>
                <w:color w:val="000000"/>
                <w:sz w:val="22"/>
                <w:szCs w:val="22"/>
              </w:rPr>
              <w:t>3.86</w:t>
            </w:r>
          </w:p>
        </w:tc>
        <w:tc>
          <w:tcPr>
            <w:tcW w:w="919" w:type="pct"/>
            <w:tcBorders>
              <w:top w:val="nil"/>
              <w:left w:val="nil"/>
              <w:bottom w:val="nil"/>
              <w:right w:val="nil"/>
            </w:tcBorders>
            <w:shd w:val="clear" w:color="auto" w:fill="auto"/>
            <w:noWrap/>
            <w:vAlign w:val="center"/>
            <w:hideMark/>
          </w:tcPr>
          <w:p w:rsidR="00A667C6" w:rsidRPr="00142780" w:rsidRDefault="00A667C6" w:rsidP="00462022">
            <w:pPr>
              <w:tabs>
                <w:tab w:val="decimal" w:pos="251"/>
              </w:tabs>
              <w:rPr>
                <w:color w:val="000000"/>
                <w:sz w:val="22"/>
                <w:szCs w:val="22"/>
              </w:rPr>
            </w:pPr>
            <w:r w:rsidRPr="00142780">
              <w:rPr>
                <w:color w:val="000000"/>
                <w:sz w:val="22"/>
                <w:szCs w:val="22"/>
              </w:rPr>
              <w:t>7.56***</w:t>
            </w:r>
          </w:p>
        </w:tc>
        <w:tc>
          <w:tcPr>
            <w:tcW w:w="919" w:type="pct"/>
            <w:tcBorders>
              <w:top w:val="nil"/>
              <w:left w:val="nil"/>
              <w:bottom w:val="nil"/>
              <w:right w:val="nil"/>
            </w:tcBorders>
            <w:shd w:val="clear" w:color="auto" w:fill="auto"/>
            <w:noWrap/>
            <w:vAlign w:val="center"/>
            <w:hideMark/>
          </w:tcPr>
          <w:p w:rsidR="00A667C6" w:rsidRPr="00142780" w:rsidRDefault="00A667C6" w:rsidP="00462022">
            <w:pPr>
              <w:tabs>
                <w:tab w:val="decimal" w:pos="394"/>
              </w:tabs>
              <w:rPr>
                <w:color w:val="000000"/>
                <w:sz w:val="22"/>
                <w:szCs w:val="22"/>
              </w:rPr>
            </w:pPr>
            <w:r w:rsidRPr="00142780">
              <w:rPr>
                <w:color w:val="000000"/>
                <w:sz w:val="22"/>
                <w:szCs w:val="22"/>
              </w:rPr>
              <w:t>7.18***</w:t>
            </w:r>
          </w:p>
        </w:tc>
      </w:tr>
      <w:tr w:rsidR="00A667C6" w:rsidRPr="00142780" w:rsidTr="00A667C6">
        <w:trPr>
          <w:trHeight w:val="300"/>
        </w:trPr>
        <w:tc>
          <w:tcPr>
            <w:tcW w:w="2244" w:type="pct"/>
            <w:tcBorders>
              <w:top w:val="nil"/>
              <w:left w:val="nil"/>
              <w:bottom w:val="nil"/>
            </w:tcBorders>
            <w:shd w:val="clear" w:color="auto" w:fill="auto"/>
            <w:noWrap/>
            <w:vAlign w:val="center"/>
          </w:tcPr>
          <w:p w:rsidR="006E2415" w:rsidRPr="00462022" w:rsidRDefault="006E2415" w:rsidP="00DF0191">
            <w:pPr>
              <w:tabs>
                <w:tab w:val="left" w:pos="426"/>
              </w:tabs>
              <w:rPr>
                <w:b/>
                <w:i/>
                <w:sz w:val="10"/>
                <w:szCs w:val="10"/>
              </w:rPr>
            </w:pPr>
          </w:p>
          <w:p w:rsidR="00A667C6" w:rsidRPr="006E2415" w:rsidRDefault="00A667C6" w:rsidP="00DF0191">
            <w:pPr>
              <w:tabs>
                <w:tab w:val="left" w:pos="426"/>
              </w:tabs>
              <w:rPr>
                <w:i/>
                <w:color w:val="000000"/>
                <w:sz w:val="22"/>
                <w:szCs w:val="22"/>
              </w:rPr>
            </w:pPr>
            <w:r w:rsidRPr="006E2415">
              <w:rPr>
                <w:i/>
                <w:sz w:val="22"/>
                <w:szCs w:val="22"/>
              </w:rPr>
              <w:t>Complex characteristics</w:t>
            </w:r>
          </w:p>
        </w:tc>
        <w:tc>
          <w:tcPr>
            <w:tcW w:w="918" w:type="pct"/>
            <w:tcBorders>
              <w:top w:val="nil"/>
              <w:left w:val="nil"/>
              <w:bottom w:val="nil"/>
              <w:right w:val="nil"/>
            </w:tcBorders>
            <w:shd w:val="clear" w:color="auto" w:fill="auto"/>
            <w:noWrap/>
            <w:vAlign w:val="center"/>
          </w:tcPr>
          <w:p w:rsidR="00A667C6" w:rsidRPr="00142780" w:rsidRDefault="00A667C6" w:rsidP="00462022">
            <w:pPr>
              <w:tabs>
                <w:tab w:val="decimal" w:pos="388"/>
              </w:tabs>
              <w:rPr>
                <w:color w:val="000000"/>
                <w:sz w:val="22"/>
                <w:szCs w:val="22"/>
              </w:rPr>
            </w:pPr>
          </w:p>
        </w:tc>
        <w:tc>
          <w:tcPr>
            <w:tcW w:w="919" w:type="pct"/>
            <w:tcBorders>
              <w:top w:val="nil"/>
              <w:left w:val="nil"/>
              <w:bottom w:val="nil"/>
              <w:right w:val="nil"/>
            </w:tcBorders>
            <w:shd w:val="clear" w:color="auto" w:fill="auto"/>
            <w:noWrap/>
            <w:vAlign w:val="center"/>
          </w:tcPr>
          <w:p w:rsidR="00A667C6" w:rsidRPr="00142780" w:rsidRDefault="00A667C6" w:rsidP="00462022">
            <w:pPr>
              <w:tabs>
                <w:tab w:val="decimal" w:pos="251"/>
              </w:tabs>
              <w:rPr>
                <w:color w:val="000000"/>
                <w:sz w:val="22"/>
                <w:szCs w:val="22"/>
              </w:rPr>
            </w:pPr>
          </w:p>
        </w:tc>
        <w:tc>
          <w:tcPr>
            <w:tcW w:w="919" w:type="pct"/>
            <w:tcBorders>
              <w:top w:val="nil"/>
              <w:left w:val="nil"/>
              <w:bottom w:val="nil"/>
              <w:right w:val="nil"/>
            </w:tcBorders>
            <w:shd w:val="clear" w:color="auto" w:fill="auto"/>
            <w:noWrap/>
            <w:vAlign w:val="center"/>
          </w:tcPr>
          <w:p w:rsidR="00A667C6" w:rsidRPr="00142780" w:rsidRDefault="00A667C6" w:rsidP="00462022">
            <w:pPr>
              <w:tabs>
                <w:tab w:val="decimal" w:pos="394"/>
              </w:tabs>
              <w:rPr>
                <w:color w:val="000000"/>
                <w:sz w:val="22"/>
                <w:szCs w:val="22"/>
              </w:rPr>
            </w:pPr>
          </w:p>
        </w:tc>
      </w:tr>
      <w:tr w:rsidR="00A667C6" w:rsidRPr="00142780" w:rsidTr="00A667C6">
        <w:trPr>
          <w:trHeight w:val="300"/>
        </w:trPr>
        <w:tc>
          <w:tcPr>
            <w:tcW w:w="2244" w:type="pct"/>
            <w:tcBorders>
              <w:top w:val="nil"/>
              <w:left w:val="nil"/>
              <w:bottom w:val="nil"/>
            </w:tcBorders>
            <w:shd w:val="clear" w:color="auto" w:fill="auto"/>
            <w:noWrap/>
            <w:vAlign w:val="center"/>
            <w:hideMark/>
          </w:tcPr>
          <w:p w:rsidR="00A667C6" w:rsidRPr="00142780" w:rsidRDefault="00A667C6" w:rsidP="00DF0191">
            <w:pPr>
              <w:tabs>
                <w:tab w:val="left" w:pos="426"/>
              </w:tabs>
              <w:rPr>
                <w:color w:val="000000"/>
                <w:sz w:val="22"/>
                <w:szCs w:val="22"/>
              </w:rPr>
            </w:pPr>
            <w:r w:rsidRPr="00142780">
              <w:rPr>
                <w:color w:val="000000"/>
                <w:sz w:val="22"/>
                <w:szCs w:val="22"/>
              </w:rPr>
              <w:t xml:space="preserve">Land area (1,000 </w:t>
            </w:r>
            <w:proofErr w:type="spellStart"/>
            <w:r w:rsidRPr="00142780">
              <w:rPr>
                <w:color w:val="000000"/>
                <w:sz w:val="22"/>
                <w:szCs w:val="22"/>
              </w:rPr>
              <w:t>sq.m</w:t>
            </w:r>
            <w:proofErr w:type="spellEnd"/>
            <w:r w:rsidRPr="00142780">
              <w:rPr>
                <w:color w:val="000000"/>
                <w:sz w:val="22"/>
                <w:szCs w:val="22"/>
              </w:rPr>
              <w:t>)</w:t>
            </w:r>
          </w:p>
        </w:tc>
        <w:tc>
          <w:tcPr>
            <w:tcW w:w="918" w:type="pct"/>
            <w:tcBorders>
              <w:top w:val="nil"/>
              <w:left w:val="nil"/>
              <w:bottom w:val="nil"/>
              <w:right w:val="nil"/>
            </w:tcBorders>
            <w:shd w:val="clear" w:color="auto" w:fill="auto"/>
            <w:noWrap/>
            <w:vAlign w:val="center"/>
            <w:hideMark/>
          </w:tcPr>
          <w:p w:rsidR="00A667C6" w:rsidRPr="00142780" w:rsidRDefault="00A667C6" w:rsidP="00462022">
            <w:pPr>
              <w:tabs>
                <w:tab w:val="decimal" w:pos="388"/>
              </w:tabs>
              <w:rPr>
                <w:color w:val="000000"/>
                <w:sz w:val="22"/>
                <w:szCs w:val="22"/>
              </w:rPr>
            </w:pPr>
            <w:r w:rsidRPr="00142780">
              <w:rPr>
                <w:color w:val="000000"/>
                <w:sz w:val="22"/>
                <w:szCs w:val="22"/>
              </w:rPr>
              <w:t>149.10</w:t>
            </w:r>
          </w:p>
        </w:tc>
        <w:tc>
          <w:tcPr>
            <w:tcW w:w="919" w:type="pct"/>
            <w:tcBorders>
              <w:top w:val="nil"/>
              <w:left w:val="nil"/>
              <w:bottom w:val="nil"/>
              <w:right w:val="nil"/>
            </w:tcBorders>
            <w:shd w:val="clear" w:color="auto" w:fill="auto"/>
            <w:noWrap/>
            <w:vAlign w:val="center"/>
            <w:hideMark/>
          </w:tcPr>
          <w:p w:rsidR="00A667C6" w:rsidRPr="00142780" w:rsidRDefault="00A667C6" w:rsidP="00462022">
            <w:pPr>
              <w:tabs>
                <w:tab w:val="decimal" w:pos="251"/>
              </w:tabs>
              <w:rPr>
                <w:color w:val="000000"/>
                <w:sz w:val="22"/>
                <w:szCs w:val="22"/>
              </w:rPr>
            </w:pPr>
            <w:r w:rsidRPr="00142780">
              <w:rPr>
                <w:color w:val="000000"/>
                <w:sz w:val="22"/>
                <w:szCs w:val="22"/>
              </w:rPr>
              <w:t>198.65</w:t>
            </w:r>
          </w:p>
        </w:tc>
        <w:tc>
          <w:tcPr>
            <w:tcW w:w="919" w:type="pct"/>
            <w:tcBorders>
              <w:top w:val="nil"/>
              <w:left w:val="nil"/>
              <w:bottom w:val="nil"/>
              <w:right w:val="nil"/>
            </w:tcBorders>
            <w:shd w:val="clear" w:color="auto" w:fill="auto"/>
            <w:noWrap/>
            <w:vAlign w:val="center"/>
            <w:hideMark/>
          </w:tcPr>
          <w:p w:rsidR="00A667C6" w:rsidRPr="00142780" w:rsidRDefault="00A667C6" w:rsidP="00462022">
            <w:pPr>
              <w:tabs>
                <w:tab w:val="decimal" w:pos="394"/>
              </w:tabs>
              <w:rPr>
                <w:color w:val="000000"/>
                <w:sz w:val="22"/>
                <w:szCs w:val="22"/>
              </w:rPr>
            </w:pPr>
            <w:r w:rsidRPr="00142780">
              <w:rPr>
                <w:color w:val="000000"/>
                <w:sz w:val="22"/>
                <w:szCs w:val="22"/>
              </w:rPr>
              <w:t>198.76</w:t>
            </w:r>
          </w:p>
        </w:tc>
      </w:tr>
      <w:tr w:rsidR="00A667C6" w:rsidRPr="00142780" w:rsidTr="00A667C6">
        <w:trPr>
          <w:trHeight w:val="300"/>
        </w:trPr>
        <w:tc>
          <w:tcPr>
            <w:tcW w:w="2244" w:type="pct"/>
            <w:tcBorders>
              <w:top w:val="nil"/>
              <w:left w:val="nil"/>
              <w:bottom w:val="nil"/>
            </w:tcBorders>
            <w:shd w:val="clear" w:color="auto" w:fill="auto"/>
            <w:noWrap/>
            <w:vAlign w:val="center"/>
            <w:hideMark/>
          </w:tcPr>
          <w:p w:rsidR="00A667C6" w:rsidRPr="00142780" w:rsidRDefault="00A667C6" w:rsidP="00DF0191">
            <w:pPr>
              <w:tabs>
                <w:tab w:val="left" w:pos="426"/>
              </w:tabs>
              <w:rPr>
                <w:color w:val="000000"/>
                <w:sz w:val="22"/>
                <w:szCs w:val="22"/>
              </w:rPr>
            </w:pPr>
            <w:r w:rsidRPr="00142780">
              <w:rPr>
                <w:sz w:val="22"/>
                <w:szCs w:val="22"/>
              </w:rPr>
              <w:t>Total number of floor</w:t>
            </w:r>
          </w:p>
        </w:tc>
        <w:tc>
          <w:tcPr>
            <w:tcW w:w="918" w:type="pct"/>
            <w:tcBorders>
              <w:top w:val="nil"/>
              <w:left w:val="nil"/>
              <w:bottom w:val="nil"/>
              <w:right w:val="nil"/>
            </w:tcBorders>
            <w:shd w:val="clear" w:color="auto" w:fill="auto"/>
            <w:noWrap/>
            <w:vAlign w:val="center"/>
            <w:hideMark/>
          </w:tcPr>
          <w:p w:rsidR="00A667C6" w:rsidRPr="00142780" w:rsidRDefault="00A667C6" w:rsidP="00462022">
            <w:pPr>
              <w:tabs>
                <w:tab w:val="decimal" w:pos="388"/>
              </w:tabs>
              <w:rPr>
                <w:color w:val="000000"/>
                <w:sz w:val="22"/>
                <w:szCs w:val="22"/>
              </w:rPr>
            </w:pPr>
            <w:r w:rsidRPr="00142780">
              <w:rPr>
                <w:color w:val="000000"/>
                <w:sz w:val="22"/>
                <w:szCs w:val="22"/>
              </w:rPr>
              <w:t>13.74</w:t>
            </w:r>
          </w:p>
        </w:tc>
        <w:tc>
          <w:tcPr>
            <w:tcW w:w="919" w:type="pct"/>
            <w:tcBorders>
              <w:top w:val="nil"/>
              <w:left w:val="nil"/>
              <w:bottom w:val="nil"/>
              <w:right w:val="nil"/>
            </w:tcBorders>
            <w:shd w:val="clear" w:color="auto" w:fill="auto"/>
            <w:noWrap/>
            <w:vAlign w:val="center"/>
            <w:hideMark/>
          </w:tcPr>
          <w:p w:rsidR="00A667C6" w:rsidRPr="00142780" w:rsidRDefault="00A667C6" w:rsidP="00462022">
            <w:pPr>
              <w:tabs>
                <w:tab w:val="decimal" w:pos="251"/>
              </w:tabs>
              <w:rPr>
                <w:color w:val="000000"/>
                <w:sz w:val="22"/>
                <w:szCs w:val="22"/>
              </w:rPr>
            </w:pPr>
            <w:r w:rsidRPr="00142780">
              <w:rPr>
                <w:color w:val="000000"/>
                <w:sz w:val="22"/>
                <w:szCs w:val="22"/>
              </w:rPr>
              <w:t>20.24***</w:t>
            </w:r>
          </w:p>
        </w:tc>
        <w:tc>
          <w:tcPr>
            <w:tcW w:w="919" w:type="pct"/>
            <w:tcBorders>
              <w:top w:val="nil"/>
              <w:left w:val="nil"/>
              <w:bottom w:val="nil"/>
              <w:right w:val="nil"/>
            </w:tcBorders>
            <w:shd w:val="clear" w:color="auto" w:fill="auto"/>
            <w:noWrap/>
            <w:vAlign w:val="center"/>
            <w:hideMark/>
          </w:tcPr>
          <w:p w:rsidR="00A667C6" w:rsidRPr="00142780" w:rsidRDefault="00A667C6" w:rsidP="00462022">
            <w:pPr>
              <w:tabs>
                <w:tab w:val="decimal" w:pos="394"/>
              </w:tabs>
              <w:rPr>
                <w:color w:val="000000"/>
                <w:sz w:val="22"/>
                <w:szCs w:val="22"/>
              </w:rPr>
            </w:pPr>
            <w:r w:rsidRPr="00142780">
              <w:rPr>
                <w:color w:val="000000"/>
                <w:sz w:val="22"/>
                <w:szCs w:val="22"/>
              </w:rPr>
              <w:t>25.78***</w:t>
            </w:r>
          </w:p>
        </w:tc>
      </w:tr>
      <w:tr w:rsidR="00A667C6" w:rsidRPr="00142780" w:rsidTr="00A667C6">
        <w:trPr>
          <w:trHeight w:val="300"/>
        </w:trPr>
        <w:tc>
          <w:tcPr>
            <w:tcW w:w="2244" w:type="pct"/>
            <w:tcBorders>
              <w:top w:val="nil"/>
              <w:left w:val="nil"/>
              <w:bottom w:val="nil"/>
            </w:tcBorders>
            <w:shd w:val="clear" w:color="auto" w:fill="auto"/>
            <w:noWrap/>
            <w:vAlign w:val="center"/>
            <w:hideMark/>
          </w:tcPr>
          <w:p w:rsidR="00A667C6" w:rsidRPr="00142780" w:rsidRDefault="00A667C6" w:rsidP="00DF0191">
            <w:pPr>
              <w:tabs>
                <w:tab w:val="left" w:pos="426"/>
              </w:tabs>
              <w:rPr>
                <w:color w:val="000000"/>
                <w:sz w:val="22"/>
                <w:szCs w:val="22"/>
              </w:rPr>
            </w:pPr>
            <w:r w:rsidRPr="00142780">
              <w:rPr>
                <w:color w:val="000000"/>
                <w:sz w:val="22"/>
                <w:szCs w:val="22"/>
              </w:rPr>
              <w:t>Floor area ratio</w:t>
            </w:r>
          </w:p>
        </w:tc>
        <w:tc>
          <w:tcPr>
            <w:tcW w:w="918" w:type="pct"/>
            <w:tcBorders>
              <w:top w:val="nil"/>
              <w:left w:val="nil"/>
              <w:bottom w:val="nil"/>
              <w:right w:val="nil"/>
            </w:tcBorders>
            <w:shd w:val="clear" w:color="auto" w:fill="auto"/>
            <w:noWrap/>
            <w:vAlign w:val="center"/>
            <w:hideMark/>
          </w:tcPr>
          <w:p w:rsidR="00A667C6" w:rsidRPr="00142780" w:rsidRDefault="00A667C6" w:rsidP="00462022">
            <w:pPr>
              <w:tabs>
                <w:tab w:val="decimal" w:pos="388"/>
              </w:tabs>
              <w:rPr>
                <w:color w:val="000000"/>
                <w:sz w:val="22"/>
                <w:szCs w:val="22"/>
              </w:rPr>
            </w:pPr>
            <w:r w:rsidRPr="00142780">
              <w:rPr>
                <w:color w:val="000000"/>
                <w:sz w:val="22"/>
                <w:szCs w:val="22"/>
              </w:rPr>
              <w:t>2.42</w:t>
            </w:r>
          </w:p>
        </w:tc>
        <w:tc>
          <w:tcPr>
            <w:tcW w:w="919" w:type="pct"/>
            <w:tcBorders>
              <w:top w:val="nil"/>
              <w:left w:val="nil"/>
              <w:bottom w:val="nil"/>
              <w:right w:val="nil"/>
            </w:tcBorders>
            <w:shd w:val="clear" w:color="auto" w:fill="auto"/>
            <w:noWrap/>
            <w:vAlign w:val="center"/>
            <w:hideMark/>
          </w:tcPr>
          <w:p w:rsidR="00A667C6" w:rsidRPr="00142780" w:rsidRDefault="00A667C6" w:rsidP="00462022">
            <w:pPr>
              <w:tabs>
                <w:tab w:val="decimal" w:pos="251"/>
              </w:tabs>
              <w:rPr>
                <w:color w:val="000000"/>
                <w:sz w:val="22"/>
                <w:szCs w:val="22"/>
              </w:rPr>
            </w:pPr>
            <w:r w:rsidRPr="00142780">
              <w:rPr>
                <w:color w:val="000000"/>
                <w:sz w:val="22"/>
                <w:szCs w:val="22"/>
              </w:rPr>
              <w:t>2.28</w:t>
            </w:r>
          </w:p>
        </w:tc>
        <w:tc>
          <w:tcPr>
            <w:tcW w:w="919" w:type="pct"/>
            <w:tcBorders>
              <w:top w:val="nil"/>
              <w:left w:val="nil"/>
              <w:bottom w:val="nil"/>
              <w:right w:val="nil"/>
            </w:tcBorders>
            <w:shd w:val="clear" w:color="auto" w:fill="auto"/>
            <w:noWrap/>
            <w:vAlign w:val="center"/>
            <w:hideMark/>
          </w:tcPr>
          <w:p w:rsidR="00A667C6" w:rsidRPr="00142780" w:rsidRDefault="00A667C6" w:rsidP="00462022">
            <w:pPr>
              <w:tabs>
                <w:tab w:val="decimal" w:pos="394"/>
              </w:tabs>
              <w:rPr>
                <w:color w:val="000000"/>
                <w:sz w:val="22"/>
                <w:szCs w:val="22"/>
              </w:rPr>
            </w:pPr>
            <w:r w:rsidRPr="00142780">
              <w:rPr>
                <w:color w:val="000000"/>
                <w:sz w:val="22"/>
                <w:szCs w:val="22"/>
              </w:rPr>
              <w:t>3.51***</w:t>
            </w:r>
          </w:p>
        </w:tc>
      </w:tr>
      <w:tr w:rsidR="00A667C6" w:rsidRPr="00142780" w:rsidTr="00A667C6">
        <w:trPr>
          <w:trHeight w:val="300"/>
        </w:trPr>
        <w:tc>
          <w:tcPr>
            <w:tcW w:w="2244" w:type="pct"/>
            <w:tcBorders>
              <w:top w:val="nil"/>
              <w:left w:val="nil"/>
              <w:bottom w:val="nil"/>
            </w:tcBorders>
            <w:shd w:val="clear" w:color="auto" w:fill="auto"/>
            <w:noWrap/>
            <w:vAlign w:val="center"/>
            <w:hideMark/>
          </w:tcPr>
          <w:p w:rsidR="00A667C6" w:rsidRPr="00142780" w:rsidRDefault="00A667C6" w:rsidP="00DF0191">
            <w:pPr>
              <w:tabs>
                <w:tab w:val="left" w:pos="426"/>
              </w:tabs>
              <w:rPr>
                <w:color w:val="000000"/>
                <w:sz w:val="22"/>
                <w:szCs w:val="22"/>
              </w:rPr>
            </w:pPr>
            <w:r w:rsidRPr="00142780">
              <w:rPr>
                <w:color w:val="000000"/>
                <w:sz w:val="22"/>
                <w:szCs w:val="22"/>
              </w:rPr>
              <w:t xml:space="preserve">Green area (1,000 </w:t>
            </w:r>
            <w:proofErr w:type="spellStart"/>
            <w:r w:rsidRPr="00142780">
              <w:rPr>
                <w:color w:val="000000"/>
                <w:sz w:val="22"/>
                <w:szCs w:val="22"/>
              </w:rPr>
              <w:t>sq.m</w:t>
            </w:r>
            <w:proofErr w:type="spellEnd"/>
            <w:r w:rsidRPr="00142780">
              <w:rPr>
                <w:color w:val="000000"/>
                <w:sz w:val="22"/>
                <w:szCs w:val="22"/>
              </w:rPr>
              <w:t>)</w:t>
            </w:r>
          </w:p>
        </w:tc>
        <w:tc>
          <w:tcPr>
            <w:tcW w:w="918" w:type="pct"/>
            <w:tcBorders>
              <w:top w:val="nil"/>
              <w:left w:val="nil"/>
              <w:bottom w:val="nil"/>
              <w:right w:val="nil"/>
            </w:tcBorders>
            <w:shd w:val="clear" w:color="auto" w:fill="auto"/>
            <w:noWrap/>
            <w:vAlign w:val="center"/>
            <w:hideMark/>
          </w:tcPr>
          <w:p w:rsidR="00A667C6" w:rsidRPr="00142780" w:rsidRDefault="00A667C6" w:rsidP="00462022">
            <w:pPr>
              <w:tabs>
                <w:tab w:val="decimal" w:pos="388"/>
              </w:tabs>
              <w:rPr>
                <w:color w:val="000000"/>
                <w:sz w:val="22"/>
                <w:szCs w:val="22"/>
              </w:rPr>
            </w:pPr>
            <w:r w:rsidRPr="00142780">
              <w:rPr>
                <w:color w:val="000000"/>
                <w:sz w:val="22"/>
                <w:szCs w:val="22"/>
              </w:rPr>
              <w:t>47.73</w:t>
            </w:r>
          </w:p>
        </w:tc>
        <w:tc>
          <w:tcPr>
            <w:tcW w:w="919" w:type="pct"/>
            <w:tcBorders>
              <w:top w:val="nil"/>
              <w:left w:val="nil"/>
              <w:bottom w:val="nil"/>
              <w:right w:val="nil"/>
            </w:tcBorders>
            <w:shd w:val="clear" w:color="auto" w:fill="auto"/>
            <w:noWrap/>
            <w:vAlign w:val="center"/>
            <w:hideMark/>
          </w:tcPr>
          <w:p w:rsidR="00A667C6" w:rsidRPr="00142780" w:rsidRDefault="00A667C6" w:rsidP="00462022">
            <w:pPr>
              <w:tabs>
                <w:tab w:val="decimal" w:pos="251"/>
              </w:tabs>
              <w:rPr>
                <w:color w:val="000000"/>
                <w:sz w:val="22"/>
                <w:szCs w:val="22"/>
              </w:rPr>
            </w:pPr>
            <w:r w:rsidRPr="00142780">
              <w:rPr>
                <w:color w:val="000000"/>
                <w:sz w:val="22"/>
                <w:szCs w:val="22"/>
              </w:rPr>
              <w:t>84.55</w:t>
            </w:r>
          </w:p>
        </w:tc>
        <w:tc>
          <w:tcPr>
            <w:tcW w:w="919" w:type="pct"/>
            <w:tcBorders>
              <w:top w:val="nil"/>
              <w:left w:val="nil"/>
              <w:bottom w:val="nil"/>
              <w:right w:val="nil"/>
            </w:tcBorders>
            <w:shd w:val="clear" w:color="auto" w:fill="auto"/>
            <w:noWrap/>
            <w:vAlign w:val="center"/>
            <w:hideMark/>
          </w:tcPr>
          <w:p w:rsidR="00A667C6" w:rsidRPr="00142780" w:rsidRDefault="00A667C6" w:rsidP="00462022">
            <w:pPr>
              <w:tabs>
                <w:tab w:val="decimal" w:pos="394"/>
              </w:tabs>
              <w:rPr>
                <w:color w:val="000000"/>
                <w:sz w:val="22"/>
                <w:szCs w:val="22"/>
              </w:rPr>
            </w:pPr>
            <w:r w:rsidRPr="00142780">
              <w:rPr>
                <w:color w:val="000000"/>
                <w:sz w:val="22"/>
                <w:szCs w:val="22"/>
              </w:rPr>
              <w:t>87.15**</w:t>
            </w:r>
          </w:p>
        </w:tc>
      </w:tr>
      <w:tr w:rsidR="00A667C6" w:rsidRPr="00142780" w:rsidTr="00A667C6">
        <w:trPr>
          <w:trHeight w:val="300"/>
        </w:trPr>
        <w:tc>
          <w:tcPr>
            <w:tcW w:w="2244" w:type="pct"/>
            <w:tcBorders>
              <w:top w:val="nil"/>
              <w:left w:val="nil"/>
              <w:bottom w:val="nil"/>
            </w:tcBorders>
            <w:shd w:val="clear" w:color="auto" w:fill="auto"/>
            <w:noWrap/>
            <w:vAlign w:val="center"/>
            <w:hideMark/>
          </w:tcPr>
          <w:p w:rsidR="00A667C6" w:rsidRPr="00142780" w:rsidRDefault="00A667C6" w:rsidP="00DF0191">
            <w:pPr>
              <w:tabs>
                <w:tab w:val="left" w:pos="426"/>
              </w:tabs>
              <w:rPr>
                <w:color w:val="000000"/>
                <w:sz w:val="22"/>
                <w:szCs w:val="22"/>
              </w:rPr>
            </w:pPr>
            <w:r w:rsidRPr="00142780">
              <w:rPr>
                <w:color w:val="000000"/>
                <w:sz w:val="22"/>
                <w:szCs w:val="22"/>
              </w:rPr>
              <w:t>Green ratio</w:t>
            </w:r>
          </w:p>
        </w:tc>
        <w:tc>
          <w:tcPr>
            <w:tcW w:w="918" w:type="pct"/>
            <w:tcBorders>
              <w:top w:val="nil"/>
              <w:left w:val="nil"/>
              <w:bottom w:val="nil"/>
              <w:right w:val="nil"/>
            </w:tcBorders>
            <w:shd w:val="clear" w:color="auto" w:fill="auto"/>
            <w:noWrap/>
            <w:vAlign w:val="center"/>
            <w:hideMark/>
          </w:tcPr>
          <w:p w:rsidR="00A667C6" w:rsidRPr="00142780" w:rsidRDefault="00A667C6" w:rsidP="00462022">
            <w:pPr>
              <w:tabs>
                <w:tab w:val="decimal" w:pos="388"/>
              </w:tabs>
              <w:rPr>
                <w:color w:val="000000"/>
                <w:sz w:val="22"/>
                <w:szCs w:val="22"/>
              </w:rPr>
            </w:pPr>
            <w:r w:rsidRPr="00142780">
              <w:rPr>
                <w:color w:val="000000"/>
                <w:sz w:val="22"/>
                <w:szCs w:val="22"/>
              </w:rPr>
              <w:t>0.32</w:t>
            </w:r>
          </w:p>
        </w:tc>
        <w:tc>
          <w:tcPr>
            <w:tcW w:w="919" w:type="pct"/>
            <w:tcBorders>
              <w:top w:val="nil"/>
              <w:left w:val="nil"/>
              <w:bottom w:val="nil"/>
              <w:right w:val="nil"/>
            </w:tcBorders>
            <w:shd w:val="clear" w:color="auto" w:fill="auto"/>
            <w:noWrap/>
            <w:vAlign w:val="center"/>
            <w:hideMark/>
          </w:tcPr>
          <w:p w:rsidR="00A667C6" w:rsidRPr="00142780" w:rsidRDefault="00A667C6" w:rsidP="00462022">
            <w:pPr>
              <w:tabs>
                <w:tab w:val="decimal" w:pos="251"/>
              </w:tabs>
              <w:rPr>
                <w:color w:val="000000"/>
                <w:sz w:val="22"/>
                <w:szCs w:val="22"/>
              </w:rPr>
            </w:pPr>
            <w:r w:rsidRPr="00142780">
              <w:rPr>
                <w:color w:val="000000"/>
                <w:sz w:val="22"/>
                <w:szCs w:val="22"/>
              </w:rPr>
              <w:t>0.39***</w:t>
            </w:r>
          </w:p>
        </w:tc>
        <w:tc>
          <w:tcPr>
            <w:tcW w:w="919" w:type="pct"/>
            <w:tcBorders>
              <w:top w:val="nil"/>
              <w:left w:val="nil"/>
              <w:bottom w:val="nil"/>
              <w:right w:val="nil"/>
            </w:tcBorders>
            <w:shd w:val="clear" w:color="auto" w:fill="auto"/>
            <w:noWrap/>
            <w:vAlign w:val="center"/>
            <w:hideMark/>
          </w:tcPr>
          <w:p w:rsidR="00A667C6" w:rsidRPr="00142780" w:rsidRDefault="00A667C6" w:rsidP="00462022">
            <w:pPr>
              <w:tabs>
                <w:tab w:val="decimal" w:pos="394"/>
              </w:tabs>
              <w:rPr>
                <w:color w:val="000000"/>
                <w:sz w:val="22"/>
                <w:szCs w:val="22"/>
              </w:rPr>
            </w:pPr>
            <w:r w:rsidRPr="00142780">
              <w:rPr>
                <w:color w:val="000000"/>
                <w:sz w:val="22"/>
                <w:szCs w:val="22"/>
              </w:rPr>
              <w:t>0.42***</w:t>
            </w:r>
          </w:p>
        </w:tc>
      </w:tr>
      <w:tr w:rsidR="00A667C6" w:rsidRPr="00142780" w:rsidTr="00A667C6">
        <w:trPr>
          <w:trHeight w:val="300"/>
        </w:trPr>
        <w:tc>
          <w:tcPr>
            <w:tcW w:w="2244" w:type="pct"/>
            <w:tcBorders>
              <w:top w:val="nil"/>
              <w:left w:val="nil"/>
              <w:bottom w:val="nil"/>
            </w:tcBorders>
            <w:shd w:val="clear" w:color="auto" w:fill="auto"/>
            <w:noWrap/>
            <w:vAlign w:val="center"/>
            <w:hideMark/>
          </w:tcPr>
          <w:p w:rsidR="00A667C6" w:rsidRPr="00142780" w:rsidRDefault="00A667C6" w:rsidP="00DF0191">
            <w:pPr>
              <w:tabs>
                <w:tab w:val="left" w:pos="426"/>
              </w:tabs>
              <w:rPr>
                <w:color w:val="000000"/>
                <w:sz w:val="22"/>
                <w:szCs w:val="22"/>
              </w:rPr>
            </w:pPr>
            <w:r w:rsidRPr="00142780">
              <w:rPr>
                <w:color w:val="000000"/>
                <w:sz w:val="22"/>
                <w:szCs w:val="22"/>
              </w:rPr>
              <w:t>Car park ratio</w:t>
            </w:r>
          </w:p>
        </w:tc>
        <w:tc>
          <w:tcPr>
            <w:tcW w:w="918" w:type="pct"/>
            <w:tcBorders>
              <w:top w:val="nil"/>
              <w:left w:val="nil"/>
              <w:bottom w:val="nil"/>
              <w:right w:val="nil"/>
            </w:tcBorders>
            <w:shd w:val="clear" w:color="auto" w:fill="auto"/>
            <w:noWrap/>
            <w:vAlign w:val="center"/>
            <w:hideMark/>
          </w:tcPr>
          <w:p w:rsidR="00A667C6" w:rsidRPr="00142780" w:rsidRDefault="00A667C6" w:rsidP="00462022">
            <w:pPr>
              <w:tabs>
                <w:tab w:val="decimal" w:pos="388"/>
              </w:tabs>
              <w:rPr>
                <w:color w:val="000000"/>
                <w:sz w:val="22"/>
                <w:szCs w:val="22"/>
              </w:rPr>
            </w:pPr>
            <w:r w:rsidRPr="00142780">
              <w:rPr>
                <w:color w:val="000000"/>
                <w:sz w:val="22"/>
                <w:szCs w:val="22"/>
              </w:rPr>
              <w:t>1.08</w:t>
            </w:r>
          </w:p>
        </w:tc>
        <w:tc>
          <w:tcPr>
            <w:tcW w:w="919" w:type="pct"/>
            <w:tcBorders>
              <w:top w:val="nil"/>
              <w:left w:val="nil"/>
              <w:bottom w:val="nil"/>
              <w:right w:val="nil"/>
            </w:tcBorders>
            <w:shd w:val="clear" w:color="auto" w:fill="auto"/>
            <w:noWrap/>
            <w:vAlign w:val="center"/>
            <w:hideMark/>
          </w:tcPr>
          <w:p w:rsidR="00A667C6" w:rsidRPr="00142780" w:rsidRDefault="00A667C6" w:rsidP="00462022">
            <w:pPr>
              <w:tabs>
                <w:tab w:val="decimal" w:pos="251"/>
              </w:tabs>
              <w:rPr>
                <w:color w:val="000000"/>
                <w:sz w:val="22"/>
                <w:szCs w:val="22"/>
              </w:rPr>
            </w:pPr>
            <w:r w:rsidRPr="00142780">
              <w:rPr>
                <w:color w:val="000000"/>
                <w:sz w:val="22"/>
                <w:szCs w:val="22"/>
              </w:rPr>
              <w:t>0.88**</w:t>
            </w:r>
          </w:p>
        </w:tc>
        <w:tc>
          <w:tcPr>
            <w:tcW w:w="919" w:type="pct"/>
            <w:tcBorders>
              <w:top w:val="nil"/>
              <w:left w:val="nil"/>
              <w:bottom w:val="nil"/>
              <w:right w:val="nil"/>
            </w:tcBorders>
            <w:shd w:val="clear" w:color="auto" w:fill="auto"/>
            <w:noWrap/>
            <w:vAlign w:val="center"/>
            <w:hideMark/>
          </w:tcPr>
          <w:p w:rsidR="00A667C6" w:rsidRPr="00142780" w:rsidRDefault="00A667C6" w:rsidP="00462022">
            <w:pPr>
              <w:tabs>
                <w:tab w:val="decimal" w:pos="394"/>
              </w:tabs>
              <w:rPr>
                <w:color w:val="000000"/>
                <w:sz w:val="22"/>
                <w:szCs w:val="22"/>
              </w:rPr>
            </w:pPr>
            <w:r w:rsidRPr="00142780">
              <w:rPr>
                <w:color w:val="000000"/>
                <w:sz w:val="22"/>
                <w:szCs w:val="22"/>
              </w:rPr>
              <w:t>0.97</w:t>
            </w:r>
          </w:p>
        </w:tc>
      </w:tr>
      <w:tr w:rsidR="00A667C6" w:rsidRPr="00142780" w:rsidTr="00A667C6">
        <w:trPr>
          <w:trHeight w:val="300"/>
        </w:trPr>
        <w:tc>
          <w:tcPr>
            <w:tcW w:w="2244" w:type="pct"/>
            <w:tcBorders>
              <w:top w:val="nil"/>
              <w:left w:val="nil"/>
              <w:bottom w:val="nil"/>
            </w:tcBorders>
            <w:shd w:val="clear" w:color="auto" w:fill="auto"/>
            <w:noWrap/>
            <w:vAlign w:val="center"/>
            <w:hideMark/>
          </w:tcPr>
          <w:p w:rsidR="00A667C6" w:rsidRPr="00142780" w:rsidRDefault="00A667C6" w:rsidP="00DF0191">
            <w:pPr>
              <w:tabs>
                <w:tab w:val="left" w:pos="426"/>
              </w:tabs>
              <w:rPr>
                <w:color w:val="000000"/>
                <w:sz w:val="22"/>
                <w:szCs w:val="22"/>
              </w:rPr>
            </w:pPr>
            <w:r w:rsidRPr="00142780">
              <w:rPr>
                <w:color w:val="000000"/>
                <w:sz w:val="22"/>
                <w:szCs w:val="22"/>
              </w:rPr>
              <w:t>Months after opening</w:t>
            </w:r>
          </w:p>
        </w:tc>
        <w:tc>
          <w:tcPr>
            <w:tcW w:w="918" w:type="pct"/>
            <w:tcBorders>
              <w:top w:val="nil"/>
              <w:left w:val="nil"/>
              <w:bottom w:val="nil"/>
              <w:right w:val="nil"/>
            </w:tcBorders>
            <w:shd w:val="clear" w:color="auto" w:fill="auto"/>
            <w:noWrap/>
            <w:vAlign w:val="center"/>
            <w:hideMark/>
          </w:tcPr>
          <w:p w:rsidR="00A667C6" w:rsidRPr="00142780" w:rsidRDefault="00A667C6" w:rsidP="00462022">
            <w:pPr>
              <w:tabs>
                <w:tab w:val="decimal" w:pos="388"/>
              </w:tabs>
              <w:rPr>
                <w:color w:val="000000"/>
                <w:sz w:val="22"/>
                <w:szCs w:val="22"/>
              </w:rPr>
            </w:pPr>
            <w:r w:rsidRPr="00142780">
              <w:rPr>
                <w:color w:val="000000"/>
                <w:sz w:val="22"/>
                <w:szCs w:val="22"/>
              </w:rPr>
              <w:t>15.14</w:t>
            </w:r>
          </w:p>
        </w:tc>
        <w:tc>
          <w:tcPr>
            <w:tcW w:w="919" w:type="pct"/>
            <w:tcBorders>
              <w:top w:val="nil"/>
              <w:left w:val="nil"/>
              <w:bottom w:val="nil"/>
              <w:right w:val="nil"/>
            </w:tcBorders>
            <w:shd w:val="clear" w:color="auto" w:fill="auto"/>
            <w:noWrap/>
            <w:vAlign w:val="center"/>
            <w:hideMark/>
          </w:tcPr>
          <w:p w:rsidR="00A667C6" w:rsidRPr="00142780" w:rsidRDefault="00A667C6" w:rsidP="00462022">
            <w:pPr>
              <w:tabs>
                <w:tab w:val="decimal" w:pos="251"/>
              </w:tabs>
              <w:rPr>
                <w:color w:val="000000"/>
                <w:sz w:val="22"/>
                <w:szCs w:val="22"/>
              </w:rPr>
            </w:pPr>
            <w:r w:rsidRPr="00142780">
              <w:rPr>
                <w:color w:val="000000"/>
                <w:sz w:val="22"/>
                <w:szCs w:val="22"/>
              </w:rPr>
              <w:t>12.42</w:t>
            </w:r>
          </w:p>
        </w:tc>
        <w:tc>
          <w:tcPr>
            <w:tcW w:w="919" w:type="pct"/>
            <w:tcBorders>
              <w:top w:val="nil"/>
              <w:left w:val="nil"/>
              <w:bottom w:val="nil"/>
              <w:right w:val="nil"/>
            </w:tcBorders>
            <w:shd w:val="clear" w:color="auto" w:fill="auto"/>
            <w:noWrap/>
            <w:vAlign w:val="center"/>
            <w:hideMark/>
          </w:tcPr>
          <w:p w:rsidR="00A667C6" w:rsidRPr="00142780" w:rsidRDefault="00A667C6" w:rsidP="00462022">
            <w:pPr>
              <w:tabs>
                <w:tab w:val="decimal" w:pos="394"/>
              </w:tabs>
              <w:rPr>
                <w:color w:val="000000"/>
                <w:sz w:val="22"/>
                <w:szCs w:val="22"/>
              </w:rPr>
            </w:pPr>
            <w:r w:rsidRPr="00142780">
              <w:rPr>
                <w:color w:val="000000"/>
                <w:sz w:val="22"/>
                <w:szCs w:val="22"/>
              </w:rPr>
              <w:t>11.98**</w:t>
            </w:r>
          </w:p>
        </w:tc>
      </w:tr>
      <w:tr w:rsidR="00A667C6" w:rsidRPr="00142780" w:rsidTr="00A667C6">
        <w:trPr>
          <w:trHeight w:val="300"/>
        </w:trPr>
        <w:tc>
          <w:tcPr>
            <w:tcW w:w="2244" w:type="pct"/>
            <w:tcBorders>
              <w:top w:val="nil"/>
              <w:left w:val="nil"/>
              <w:bottom w:val="nil"/>
            </w:tcBorders>
            <w:shd w:val="clear" w:color="auto" w:fill="auto"/>
            <w:noWrap/>
            <w:vAlign w:val="center"/>
            <w:hideMark/>
          </w:tcPr>
          <w:p w:rsidR="00A667C6" w:rsidRPr="00142780" w:rsidRDefault="00A667C6" w:rsidP="00DF0191">
            <w:pPr>
              <w:tabs>
                <w:tab w:val="left" w:pos="426"/>
              </w:tabs>
              <w:rPr>
                <w:color w:val="000000"/>
                <w:sz w:val="22"/>
                <w:szCs w:val="22"/>
              </w:rPr>
            </w:pPr>
            <w:r w:rsidRPr="00142780">
              <w:rPr>
                <w:color w:val="000000"/>
                <w:sz w:val="22"/>
                <w:szCs w:val="22"/>
              </w:rPr>
              <w:t>Months to completion</w:t>
            </w:r>
          </w:p>
        </w:tc>
        <w:tc>
          <w:tcPr>
            <w:tcW w:w="918" w:type="pct"/>
            <w:tcBorders>
              <w:top w:val="nil"/>
              <w:left w:val="nil"/>
              <w:bottom w:val="nil"/>
              <w:right w:val="nil"/>
            </w:tcBorders>
            <w:shd w:val="clear" w:color="auto" w:fill="auto"/>
            <w:noWrap/>
            <w:vAlign w:val="center"/>
            <w:hideMark/>
          </w:tcPr>
          <w:p w:rsidR="00A667C6" w:rsidRPr="00142780" w:rsidRDefault="00A667C6" w:rsidP="00462022">
            <w:pPr>
              <w:tabs>
                <w:tab w:val="decimal" w:pos="388"/>
              </w:tabs>
              <w:rPr>
                <w:color w:val="000000"/>
                <w:sz w:val="22"/>
                <w:szCs w:val="22"/>
              </w:rPr>
            </w:pPr>
            <w:r w:rsidRPr="00142780">
              <w:rPr>
                <w:color w:val="000000"/>
                <w:sz w:val="22"/>
                <w:szCs w:val="22"/>
              </w:rPr>
              <w:t>1.94</w:t>
            </w:r>
          </w:p>
        </w:tc>
        <w:tc>
          <w:tcPr>
            <w:tcW w:w="919" w:type="pct"/>
            <w:tcBorders>
              <w:top w:val="nil"/>
              <w:left w:val="nil"/>
              <w:bottom w:val="nil"/>
              <w:right w:val="nil"/>
            </w:tcBorders>
            <w:shd w:val="clear" w:color="auto" w:fill="auto"/>
            <w:noWrap/>
            <w:vAlign w:val="center"/>
            <w:hideMark/>
          </w:tcPr>
          <w:p w:rsidR="00A667C6" w:rsidRPr="00142780" w:rsidRDefault="00A667C6" w:rsidP="00462022">
            <w:pPr>
              <w:tabs>
                <w:tab w:val="decimal" w:pos="251"/>
              </w:tabs>
              <w:rPr>
                <w:color w:val="000000"/>
                <w:sz w:val="22"/>
                <w:szCs w:val="22"/>
              </w:rPr>
            </w:pPr>
            <w:r w:rsidRPr="00142780">
              <w:rPr>
                <w:color w:val="000000"/>
                <w:sz w:val="22"/>
                <w:szCs w:val="22"/>
              </w:rPr>
              <w:t>4.72</w:t>
            </w:r>
          </w:p>
        </w:tc>
        <w:tc>
          <w:tcPr>
            <w:tcW w:w="919" w:type="pct"/>
            <w:tcBorders>
              <w:top w:val="nil"/>
              <w:left w:val="nil"/>
              <w:bottom w:val="nil"/>
              <w:right w:val="nil"/>
            </w:tcBorders>
            <w:shd w:val="clear" w:color="auto" w:fill="auto"/>
            <w:noWrap/>
            <w:vAlign w:val="center"/>
            <w:hideMark/>
          </w:tcPr>
          <w:p w:rsidR="00A667C6" w:rsidRPr="00142780" w:rsidRDefault="00A667C6" w:rsidP="00462022">
            <w:pPr>
              <w:tabs>
                <w:tab w:val="decimal" w:pos="394"/>
              </w:tabs>
              <w:rPr>
                <w:color w:val="000000"/>
                <w:sz w:val="22"/>
                <w:szCs w:val="22"/>
              </w:rPr>
            </w:pPr>
            <w:r w:rsidRPr="00142780">
              <w:rPr>
                <w:color w:val="000000"/>
                <w:sz w:val="22"/>
                <w:szCs w:val="22"/>
              </w:rPr>
              <w:t>5.50**</w:t>
            </w:r>
          </w:p>
        </w:tc>
      </w:tr>
      <w:tr w:rsidR="00A667C6" w:rsidRPr="00142780" w:rsidTr="00A667C6">
        <w:trPr>
          <w:trHeight w:val="300"/>
        </w:trPr>
        <w:tc>
          <w:tcPr>
            <w:tcW w:w="2244" w:type="pct"/>
            <w:tcBorders>
              <w:top w:val="nil"/>
              <w:left w:val="nil"/>
            </w:tcBorders>
            <w:shd w:val="clear" w:color="auto" w:fill="auto"/>
            <w:noWrap/>
            <w:vAlign w:val="center"/>
            <w:hideMark/>
          </w:tcPr>
          <w:p w:rsidR="00A667C6" w:rsidRPr="00142780" w:rsidRDefault="00A667C6" w:rsidP="00DF0191">
            <w:pPr>
              <w:tabs>
                <w:tab w:val="left" w:pos="426"/>
              </w:tabs>
              <w:rPr>
                <w:color w:val="000000"/>
                <w:sz w:val="22"/>
                <w:szCs w:val="22"/>
              </w:rPr>
            </w:pPr>
            <w:r w:rsidRPr="00142780">
              <w:rPr>
                <w:color w:val="000000"/>
                <w:sz w:val="22"/>
                <w:szCs w:val="22"/>
              </w:rPr>
              <w:t>Sale ratio</w:t>
            </w:r>
          </w:p>
        </w:tc>
        <w:tc>
          <w:tcPr>
            <w:tcW w:w="918" w:type="pct"/>
            <w:tcBorders>
              <w:top w:val="nil"/>
              <w:left w:val="nil"/>
              <w:right w:val="nil"/>
            </w:tcBorders>
            <w:shd w:val="clear" w:color="auto" w:fill="auto"/>
            <w:noWrap/>
            <w:vAlign w:val="center"/>
            <w:hideMark/>
          </w:tcPr>
          <w:p w:rsidR="00A667C6" w:rsidRPr="00142780" w:rsidRDefault="00A667C6" w:rsidP="00462022">
            <w:pPr>
              <w:tabs>
                <w:tab w:val="decimal" w:pos="388"/>
              </w:tabs>
              <w:rPr>
                <w:color w:val="000000"/>
                <w:sz w:val="22"/>
                <w:szCs w:val="22"/>
              </w:rPr>
            </w:pPr>
            <w:r w:rsidRPr="00142780">
              <w:rPr>
                <w:color w:val="000000"/>
                <w:sz w:val="22"/>
                <w:szCs w:val="22"/>
              </w:rPr>
              <w:t>0.23</w:t>
            </w:r>
          </w:p>
        </w:tc>
        <w:tc>
          <w:tcPr>
            <w:tcW w:w="919" w:type="pct"/>
            <w:tcBorders>
              <w:top w:val="nil"/>
              <w:left w:val="nil"/>
              <w:right w:val="nil"/>
            </w:tcBorders>
            <w:shd w:val="clear" w:color="auto" w:fill="auto"/>
            <w:noWrap/>
            <w:vAlign w:val="center"/>
            <w:hideMark/>
          </w:tcPr>
          <w:p w:rsidR="00A667C6" w:rsidRPr="00142780" w:rsidRDefault="00A667C6" w:rsidP="00462022">
            <w:pPr>
              <w:tabs>
                <w:tab w:val="decimal" w:pos="251"/>
              </w:tabs>
              <w:rPr>
                <w:color w:val="000000"/>
                <w:sz w:val="22"/>
                <w:szCs w:val="22"/>
              </w:rPr>
            </w:pPr>
            <w:r w:rsidRPr="00142780">
              <w:rPr>
                <w:color w:val="000000"/>
                <w:sz w:val="22"/>
                <w:szCs w:val="22"/>
              </w:rPr>
              <w:t>0.78***</w:t>
            </w:r>
          </w:p>
        </w:tc>
        <w:tc>
          <w:tcPr>
            <w:tcW w:w="919" w:type="pct"/>
            <w:tcBorders>
              <w:top w:val="nil"/>
              <w:left w:val="nil"/>
              <w:right w:val="nil"/>
            </w:tcBorders>
            <w:shd w:val="clear" w:color="auto" w:fill="auto"/>
            <w:noWrap/>
            <w:vAlign w:val="center"/>
            <w:hideMark/>
          </w:tcPr>
          <w:p w:rsidR="00A667C6" w:rsidRPr="00142780" w:rsidRDefault="00A667C6" w:rsidP="00462022">
            <w:pPr>
              <w:tabs>
                <w:tab w:val="decimal" w:pos="394"/>
              </w:tabs>
              <w:rPr>
                <w:color w:val="000000"/>
                <w:sz w:val="22"/>
                <w:szCs w:val="22"/>
              </w:rPr>
            </w:pPr>
            <w:r w:rsidRPr="00142780">
              <w:rPr>
                <w:color w:val="000000"/>
                <w:sz w:val="22"/>
                <w:szCs w:val="22"/>
              </w:rPr>
              <w:t>0.45***</w:t>
            </w:r>
          </w:p>
        </w:tc>
      </w:tr>
      <w:tr w:rsidR="00A667C6" w:rsidRPr="00142780" w:rsidTr="00A667C6">
        <w:trPr>
          <w:trHeight w:val="300"/>
        </w:trPr>
        <w:tc>
          <w:tcPr>
            <w:tcW w:w="2244" w:type="pct"/>
            <w:tcBorders>
              <w:top w:val="nil"/>
              <w:left w:val="nil"/>
              <w:bottom w:val="single" w:sz="4" w:space="0" w:color="auto"/>
            </w:tcBorders>
            <w:shd w:val="clear" w:color="auto" w:fill="auto"/>
            <w:noWrap/>
            <w:vAlign w:val="center"/>
            <w:hideMark/>
          </w:tcPr>
          <w:p w:rsidR="00A667C6" w:rsidRPr="00142780" w:rsidRDefault="00A667C6" w:rsidP="00DF0191">
            <w:pPr>
              <w:tabs>
                <w:tab w:val="left" w:pos="426"/>
              </w:tabs>
              <w:rPr>
                <w:color w:val="000000"/>
                <w:sz w:val="22"/>
                <w:szCs w:val="22"/>
              </w:rPr>
            </w:pPr>
            <w:r w:rsidRPr="00142780">
              <w:rPr>
                <w:color w:val="000000"/>
                <w:sz w:val="22"/>
                <w:szCs w:val="22"/>
              </w:rPr>
              <w:t>Observations</w:t>
            </w:r>
          </w:p>
        </w:tc>
        <w:tc>
          <w:tcPr>
            <w:tcW w:w="918" w:type="pct"/>
            <w:tcBorders>
              <w:top w:val="nil"/>
              <w:left w:val="nil"/>
              <w:bottom w:val="single" w:sz="4" w:space="0" w:color="auto"/>
              <w:right w:val="nil"/>
            </w:tcBorders>
            <w:shd w:val="clear" w:color="auto" w:fill="auto"/>
            <w:noWrap/>
            <w:vAlign w:val="center"/>
            <w:hideMark/>
          </w:tcPr>
          <w:p w:rsidR="00A667C6" w:rsidRPr="00142780" w:rsidRDefault="00A667C6" w:rsidP="00462022">
            <w:pPr>
              <w:tabs>
                <w:tab w:val="decimal" w:pos="388"/>
              </w:tabs>
              <w:ind w:right="661"/>
              <w:jc w:val="center"/>
              <w:rPr>
                <w:color w:val="000000"/>
                <w:sz w:val="22"/>
                <w:szCs w:val="22"/>
              </w:rPr>
            </w:pPr>
            <w:r w:rsidRPr="00142780">
              <w:rPr>
                <w:color w:val="000000"/>
                <w:sz w:val="22"/>
                <w:szCs w:val="22"/>
              </w:rPr>
              <w:t>50</w:t>
            </w:r>
          </w:p>
        </w:tc>
        <w:tc>
          <w:tcPr>
            <w:tcW w:w="919" w:type="pct"/>
            <w:tcBorders>
              <w:top w:val="nil"/>
              <w:left w:val="nil"/>
              <w:bottom w:val="single" w:sz="4" w:space="0" w:color="auto"/>
              <w:right w:val="nil"/>
            </w:tcBorders>
            <w:shd w:val="clear" w:color="auto" w:fill="auto"/>
            <w:noWrap/>
            <w:vAlign w:val="center"/>
            <w:hideMark/>
          </w:tcPr>
          <w:p w:rsidR="00A667C6" w:rsidRPr="00142780" w:rsidRDefault="00A667C6" w:rsidP="00462022">
            <w:pPr>
              <w:tabs>
                <w:tab w:val="decimal" w:pos="251"/>
              </w:tabs>
              <w:ind w:right="661"/>
              <w:jc w:val="center"/>
              <w:rPr>
                <w:color w:val="000000"/>
                <w:sz w:val="22"/>
                <w:szCs w:val="22"/>
              </w:rPr>
            </w:pPr>
            <w:r w:rsidRPr="00142780">
              <w:rPr>
                <w:color w:val="000000"/>
                <w:sz w:val="22"/>
                <w:szCs w:val="22"/>
              </w:rPr>
              <w:t>50</w:t>
            </w:r>
          </w:p>
        </w:tc>
        <w:tc>
          <w:tcPr>
            <w:tcW w:w="919" w:type="pct"/>
            <w:tcBorders>
              <w:top w:val="nil"/>
              <w:left w:val="nil"/>
              <w:bottom w:val="single" w:sz="4" w:space="0" w:color="auto"/>
              <w:right w:val="nil"/>
            </w:tcBorders>
            <w:shd w:val="clear" w:color="auto" w:fill="auto"/>
            <w:noWrap/>
            <w:vAlign w:val="center"/>
            <w:hideMark/>
          </w:tcPr>
          <w:p w:rsidR="00A667C6" w:rsidRPr="00142780" w:rsidRDefault="00A667C6" w:rsidP="00462022">
            <w:pPr>
              <w:tabs>
                <w:tab w:val="decimal" w:pos="394"/>
              </w:tabs>
              <w:ind w:right="661"/>
              <w:jc w:val="center"/>
              <w:rPr>
                <w:color w:val="000000"/>
                <w:sz w:val="22"/>
                <w:szCs w:val="22"/>
              </w:rPr>
            </w:pPr>
            <w:r w:rsidRPr="00142780">
              <w:rPr>
                <w:color w:val="000000"/>
                <w:sz w:val="22"/>
                <w:szCs w:val="22"/>
              </w:rPr>
              <w:t>50</w:t>
            </w:r>
          </w:p>
        </w:tc>
      </w:tr>
    </w:tbl>
    <w:p w:rsidR="00A667C6" w:rsidRPr="00142780" w:rsidRDefault="00A667C6" w:rsidP="00DF0191">
      <w:pPr>
        <w:pStyle w:val="PlainText"/>
        <w:tabs>
          <w:tab w:val="left" w:pos="426"/>
        </w:tabs>
        <w:rPr>
          <w:rFonts w:ascii="Times New Roman" w:hAnsi="Times New Roman" w:cs="Times New Roman"/>
          <w:sz w:val="20"/>
          <w:szCs w:val="20"/>
        </w:rPr>
      </w:pPr>
      <w:r w:rsidRPr="00142780">
        <w:rPr>
          <w:rFonts w:ascii="Times New Roman" w:hAnsi="Times New Roman" w:cs="Times New Roman"/>
          <w:sz w:val="20"/>
          <w:szCs w:val="20"/>
        </w:rPr>
        <w:t xml:space="preserve">* </w:t>
      </w:r>
      <w:proofErr w:type="gramStart"/>
      <w:r w:rsidRPr="00142780">
        <w:rPr>
          <w:rFonts w:ascii="Times New Roman" w:hAnsi="Times New Roman" w:cs="Times New Roman"/>
          <w:sz w:val="20"/>
          <w:szCs w:val="20"/>
        </w:rPr>
        <w:t>significant</w:t>
      </w:r>
      <w:proofErr w:type="gramEnd"/>
      <w:r w:rsidRPr="00142780">
        <w:rPr>
          <w:rFonts w:ascii="Times New Roman" w:hAnsi="Times New Roman" w:cs="Times New Roman"/>
          <w:sz w:val="20"/>
          <w:szCs w:val="20"/>
        </w:rPr>
        <w:t xml:space="preserve"> at 10%; ** significant at 5%; *** significant at 1% for testing difference in mean compared with Beijing.</w:t>
      </w:r>
    </w:p>
    <w:p w:rsidR="001E5AED" w:rsidRPr="00370890" w:rsidRDefault="001E5AED" w:rsidP="00DF0191">
      <w:pPr>
        <w:tabs>
          <w:tab w:val="left" w:pos="426"/>
        </w:tabs>
        <w:spacing w:line="300" w:lineRule="auto"/>
        <w:ind w:left="720" w:hanging="720"/>
        <w:rPr>
          <w:bCs/>
        </w:rPr>
      </w:pPr>
    </w:p>
    <w:sectPr w:rsidR="001E5AED" w:rsidRPr="00370890" w:rsidSect="00142780">
      <w:footerReference w:type="default" r:id="rId18"/>
      <w:pgSz w:w="11907" w:h="16840" w:code="9"/>
      <w:pgMar w:top="1440" w:right="1440" w:bottom="1440" w:left="144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1EFC" w:rsidRDefault="00C71EFC">
      <w:r>
        <w:separator/>
      </w:r>
    </w:p>
  </w:endnote>
  <w:endnote w:type="continuationSeparator" w:id="0">
    <w:p w:rsidR="00C71EFC" w:rsidRDefault="00C71E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GaramondThree">
    <w:panose1 w:val="00000000000000000000"/>
    <w:charset w:val="00"/>
    <w:family w:val="roman"/>
    <w:notTrueType/>
    <w:pitch w:val="default"/>
    <w:sig w:usb0="00000003" w:usb1="00000000" w:usb2="00000000" w:usb3="00000000" w:csb0="00000001" w:csb1="00000000"/>
  </w:font>
  <w:font w:name="Dotum">
    <w:altName w:val="돋움"/>
    <w:panose1 w:val="020B0600000101010101"/>
    <w:charset w:val="81"/>
    <w:family w:val="modern"/>
    <w:notTrueType/>
    <w:pitch w:val="fixed"/>
    <w:sig w:usb0="00000001" w:usb1="09060000" w:usb2="00000010" w:usb3="00000000" w:csb0="00080000" w:csb1="00000000"/>
  </w:font>
  <w:font w:name="AdvCENTO.55">
    <w:altName w:val="Gautami"/>
    <w:charset w:val="00"/>
    <w:family w:val="roman"/>
    <w:pitch w:val="default"/>
    <w:sig w:usb0="00000000"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687148"/>
      <w:docPartObj>
        <w:docPartGallery w:val="Page Numbers (Bottom of Page)"/>
        <w:docPartUnique/>
      </w:docPartObj>
    </w:sdtPr>
    <w:sdtContent>
      <w:p w:rsidR="00462022" w:rsidRDefault="005B55F8">
        <w:pPr>
          <w:pStyle w:val="Footer"/>
          <w:jc w:val="center"/>
        </w:pPr>
        <w:fldSimple w:instr=" PAGE   \* MERGEFORMAT ">
          <w:r w:rsidR="00C26DA3">
            <w:rPr>
              <w:noProof/>
            </w:rPr>
            <w:t>18</w:t>
          </w:r>
        </w:fldSimple>
      </w:p>
    </w:sdtContent>
  </w:sdt>
  <w:p w:rsidR="00462022" w:rsidRDefault="0046202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1EFC" w:rsidRDefault="00C71EFC">
      <w:r>
        <w:separator/>
      </w:r>
    </w:p>
  </w:footnote>
  <w:footnote w:type="continuationSeparator" w:id="0">
    <w:p w:rsidR="00C71EFC" w:rsidRDefault="00C71EFC">
      <w:r>
        <w:continuationSeparator/>
      </w:r>
    </w:p>
  </w:footnote>
  <w:footnote w:id="1">
    <w:p w:rsidR="00462022" w:rsidRPr="00DF0191" w:rsidRDefault="00462022" w:rsidP="006E2415">
      <w:pPr>
        <w:pStyle w:val="FootnoteText"/>
        <w:ind w:left="284" w:hanging="284"/>
        <w:jc w:val="both"/>
        <w:rPr>
          <w:sz w:val="22"/>
          <w:szCs w:val="22"/>
          <w:lang w:val="en-NZ"/>
        </w:rPr>
      </w:pPr>
      <w:r w:rsidRPr="00DF0191">
        <w:rPr>
          <w:rStyle w:val="FootnoteReference"/>
          <w:sz w:val="22"/>
          <w:szCs w:val="22"/>
        </w:rPr>
        <w:footnoteRef/>
      </w:r>
      <w:r w:rsidRPr="00DF0191">
        <w:rPr>
          <w:sz w:val="22"/>
          <w:szCs w:val="22"/>
        </w:rPr>
        <w:t xml:space="preserve"> </w:t>
      </w:r>
      <w:r>
        <w:rPr>
          <w:sz w:val="22"/>
          <w:szCs w:val="22"/>
        </w:rPr>
        <w:tab/>
      </w:r>
      <w:r w:rsidRPr="00DF0191">
        <w:rPr>
          <w:sz w:val="22"/>
          <w:szCs w:val="22"/>
          <w:lang w:val="en-NZ"/>
        </w:rPr>
        <w:t>Specifically, the FMR is based on housing prices for the poor, defined as the cost of gross rent (including utilities) at the 40</w:t>
      </w:r>
      <w:r w:rsidRPr="00DF0191">
        <w:rPr>
          <w:sz w:val="22"/>
          <w:szCs w:val="22"/>
          <w:vertAlign w:val="superscript"/>
          <w:lang w:val="en-NZ"/>
        </w:rPr>
        <w:t>th</w:t>
      </w:r>
      <w:r w:rsidRPr="00DF0191">
        <w:rPr>
          <w:sz w:val="22"/>
          <w:szCs w:val="22"/>
          <w:lang w:val="en-NZ"/>
        </w:rPr>
        <w:t xml:space="preserve"> percentile for standard quality housing. </w:t>
      </w:r>
    </w:p>
  </w:footnote>
  <w:footnote w:id="2">
    <w:p w:rsidR="00462022" w:rsidRDefault="00462022" w:rsidP="00DF0191">
      <w:pPr>
        <w:pStyle w:val="FootnoteText"/>
        <w:ind w:left="284" w:hanging="284"/>
        <w:jc w:val="both"/>
        <w:rPr>
          <w:sz w:val="22"/>
          <w:szCs w:val="22"/>
        </w:rPr>
      </w:pPr>
      <w:r w:rsidRPr="00DF0191">
        <w:rPr>
          <w:rStyle w:val="FootnoteReference"/>
          <w:sz w:val="22"/>
          <w:szCs w:val="22"/>
        </w:rPr>
        <w:footnoteRef/>
      </w:r>
      <w:r w:rsidRPr="00DF0191">
        <w:rPr>
          <w:sz w:val="22"/>
          <w:szCs w:val="22"/>
        </w:rPr>
        <w:t xml:space="preserve"> </w:t>
      </w:r>
      <w:r>
        <w:rPr>
          <w:sz w:val="22"/>
          <w:szCs w:val="22"/>
        </w:rPr>
        <w:tab/>
      </w:r>
      <w:r w:rsidRPr="00DF0191">
        <w:rPr>
          <w:sz w:val="22"/>
          <w:szCs w:val="22"/>
        </w:rPr>
        <w:t xml:space="preserve">These methods compare each country (or region) with an artificially constructed average country (or region). Typically they use the </w:t>
      </w:r>
      <w:proofErr w:type="spellStart"/>
      <w:r w:rsidRPr="00DF0191">
        <w:rPr>
          <w:sz w:val="22"/>
          <w:szCs w:val="22"/>
        </w:rPr>
        <w:t>Paasche</w:t>
      </w:r>
      <w:proofErr w:type="spellEnd"/>
      <w:r w:rsidRPr="00DF0191">
        <w:rPr>
          <w:sz w:val="22"/>
          <w:szCs w:val="22"/>
        </w:rPr>
        <w:t xml:space="preserve"> price index formula to make each of these bilateral comparisons, with the artificial country as the base, and tend to suffer from substitution bias because the price vector of the base artificial country (region) is not equally representative of the prices faced by all of the countries (regions) in the comparison. EKS methods impose transitivity in the following way: first, make bilateral comparisons between all possible pairs of countries and then take the </w:t>
      </w:r>
      <w:r w:rsidRPr="00DF0191">
        <w:rPr>
          <w:i/>
          <w:sz w:val="22"/>
          <w:szCs w:val="22"/>
        </w:rPr>
        <w:t>n</w:t>
      </w:r>
      <w:r w:rsidRPr="00DF0191">
        <w:rPr>
          <w:sz w:val="22"/>
          <w:szCs w:val="22"/>
        </w:rPr>
        <w:t xml:space="preserve">th root of the product of all possible Fisher indices between </w:t>
      </w:r>
      <w:r w:rsidRPr="00DF0191">
        <w:rPr>
          <w:i/>
          <w:sz w:val="22"/>
          <w:szCs w:val="22"/>
        </w:rPr>
        <w:t xml:space="preserve">n </w:t>
      </w:r>
      <w:r w:rsidRPr="00DF0191">
        <w:rPr>
          <w:sz w:val="22"/>
          <w:szCs w:val="22"/>
        </w:rPr>
        <w:t xml:space="preserve">countries. Deaton and </w:t>
      </w:r>
      <w:proofErr w:type="spellStart"/>
      <w:r w:rsidRPr="00DF0191">
        <w:rPr>
          <w:sz w:val="22"/>
          <w:szCs w:val="22"/>
        </w:rPr>
        <w:t>Dupriez</w:t>
      </w:r>
      <w:proofErr w:type="spellEnd"/>
      <w:r w:rsidRPr="00DF0191">
        <w:rPr>
          <w:sz w:val="22"/>
          <w:szCs w:val="22"/>
        </w:rPr>
        <w:t xml:space="preserve"> (2011, p.4) note that multilateral price indexes required for spatial work are typically not consistent with the inflation rates in local CPIs, and so need to be calculated regularly, not just once and updated by the local CPIs.</w:t>
      </w:r>
    </w:p>
    <w:p w:rsidR="00C66BE7" w:rsidRPr="00C66BE7" w:rsidRDefault="00C66BE7" w:rsidP="00DF0191">
      <w:pPr>
        <w:pStyle w:val="FootnoteText"/>
        <w:ind w:left="284" w:hanging="284"/>
        <w:jc w:val="both"/>
        <w:rPr>
          <w:sz w:val="10"/>
          <w:szCs w:val="10"/>
        </w:rPr>
      </w:pPr>
    </w:p>
  </w:footnote>
  <w:footnote w:id="3">
    <w:p w:rsidR="00462022" w:rsidRDefault="00462022" w:rsidP="00DF0191">
      <w:pPr>
        <w:pStyle w:val="FootnoteText"/>
        <w:ind w:left="284" w:hanging="284"/>
        <w:jc w:val="both"/>
        <w:rPr>
          <w:sz w:val="22"/>
          <w:szCs w:val="22"/>
          <w:lang w:val="en-NZ"/>
        </w:rPr>
      </w:pPr>
      <w:r w:rsidRPr="00DF0191">
        <w:rPr>
          <w:rStyle w:val="FootnoteReference"/>
          <w:sz w:val="22"/>
          <w:szCs w:val="22"/>
        </w:rPr>
        <w:footnoteRef/>
      </w:r>
      <w:r w:rsidRPr="00DF0191">
        <w:rPr>
          <w:sz w:val="22"/>
          <w:szCs w:val="22"/>
        </w:rPr>
        <w:t xml:space="preserve"> </w:t>
      </w:r>
      <w:r>
        <w:rPr>
          <w:sz w:val="22"/>
          <w:szCs w:val="22"/>
        </w:rPr>
        <w:tab/>
      </w:r>
      <w:proofErr w:type="spellStart"/>
      <w:r w:rsidRPr="00DF0191">
        <w:rPr>
          <w:sz w:val="22"/>
          <w:szCs w:val="22"/>
          <w:lang w:val="en-NZ"/>
        </w:rPr>
        <w:t>Relatedly</w:t>
      </w:r>
      <w:proofErr w:type="spellEnd"/>
      <w:r w:rsidRPr="00DF0191">
        <w:rPr>
          <w:sz w:val="22"/>
          <w:szCs w:val="22"/>
          <w:lang w:val="en-NZ"/>
        </w:rPr>
        <w:t xml:space="preserve">, supermarkets are more important in Brazil (and also China) than in India and the growth in the importance of supermarkets assists with spatial convergence in food prices (Reardon </w:t>
      </w:r>
      <w:r w:rsidRPr="00DF0191">
        <w:rPr>
          <w:i/>
          <w:sz w:val="22"/>
          <w:szCs w:val="22"/>
          <w:lang w:val="en-NZ"/>
        </w:rPr>
        <w:t>et al</w:t>
      </w:r>
      <w:r>
        <w:rPr>
          <w:sz w:val="22"/>
          <w:szCs w:val="22"/>
          <w:lang w:val="en-NZ"/>
        </w:rPr>
        <w:t xml:space="preserve">. </w:t>
      </w:r>
      <w:r w:rsidRPr="00DF0191">
        <w:rPr>
          <w:sz w:val="22"/>
          <w:szCs w:val="22"/>
          <w:lang w:val="en-NZ"/>
        </w:rPr>
        <w:t>2003).</w:t>
      </w:r>
    </w:p>
    <w:p w:rsidR="00C66BE7" w:rsidRPr="00C66BE7" w:rsidRDefault="00C66BE7" w:rsidP="00DF0191">
      <w:pPr>
        <w:pStyle w:val="FootnoteText"/>
        <w:ind w:left="284" w:hanging="284"/>
        <w:jc w:val="both"/>
        <w:rPr>
          <w:sz w:val="10"/>
          <w:szCs w:val="10"/>
          <w:lang w:val="en-NZ"/>
        </w:rPr>
      </w:pPr>
    </w:p>
  </w:footnote>
  <w:footnote w:id="4">
    <w:p w:rsidR="00462022" w:rsidRPr="00DF0191" w:rsidRDefault="00462022" w:rsidP="00DF0191">
      <w:pPr>
        <w:pStyle w:val="FootnoteText"/>
        <w:ind w:left="284" w:hanging="284"/>
        <w:jc w:val="both"/>
        <w:rPr>
          <w:sz w:val="22"/>
          <w:szCs w:val="22"/>
          <w:lang w:val="en-NZ"/>
        </w:rPr>
      </w:pPr>
      <w:r w:rsidRPr="00DF0191">
        <w:rPr>
          <w:rStyle w:val="FootnoteReference"/>
          <w:sz w:val="22"/>
          <w:szCs w:val="22"/>
        </w:rPr>
        <w:footnoteRef/>
      </w:r>
      <w:r w:rsidRPr="00DF0191">
        <w:rPr>
          <w:sz w:val="22"/>
          <w:szCs w:val="22"/>
        </w:rPr>
        <w:t xml:space="preserve"> </w:t>
      </w:r>
      <w:r>
        <w:rPr>
          <w:sz w:val="22"/>
          <w:szCs w:val="22"/>
        </w:rPr>
        <w:tab/>
      </w:r>
      <w:r w:rsidRPr="00DF0191">
        <w:rPr>
          <w:sz w:val="22"/>
          <w:szCs w:val="22"/>
          <w:lang w:val="en-NZ"/>
        </w:rPr>
        <w:t xml:space="preserve">In contrast to the later work of </w:t>
      </w:r>
      <w:proofErr w:type="spellStart"/>
      <w:r w:rsidRPr="00DF0191">
        <w:rPr>
          <w:sz w:val="22"/>
          <w:szCs w:val="22"/>
        </w:rPr>
        <w:t>Alm</w:t>
      </w:r>
      <w:proofErr w:type="spellEnd"/>
      <w:r w:rsidRPr="00DF0191">
        <w:rPr>
          <w:bCs/>
          <w:kern w:val="36"/>
          <w:sz w:val="22"/>
          <w:szCs w:val="22"/>
          <w:lang w:val="en-NZ" w:eastAsia="en-NZ"/>
        </w:rPr>
        <w:t>å</w:t>
      </w:r>
      <w:r w:rsidRPr="00DF0191">
        <w:rPr>
          <w:sz w:val="22"/>
          <w:szCs w:val="22"/>
        </w:rPr>
        <w:t xml:space="preserve">s and </w:t>
      </w:r>
      <w:proofErr w:type="spellStart"/>
      <w:r w:rsidRPr="00DF0191">
        <w:rPr>
          <w:sz w:val="22"/>
          <w:szCs w:val="22"/>
        </w:rPr>
        <w:t>Johnsen</w:t>
      </w:r>
      <w:proofErr w:type="spellEnd"/>
      <w:r w:rsidRPr="00DF0191">
        <w:rPr>
          <w:sz w:val="22"/>
          <w:szCs w:val="22"/>
        </w:rPr>
        <w:t xml:space="preserve"> (2012), Gong and </w:t>
      </w:r>
      <w:proofErr w:type="spellStart"/>
      <w:r w:rsidRPr="00DF0191">
        <w:rPr>
          <w:sz w:val="22"/>
          <w:szCs w:val="22"/>
        </w:rPr>
        <w:t>Meng</w:t>
      </w:r>
      <w:proofErr w:type="spellEnd"/>
      <w:r w:rsidRPr="00DF0191">
        <w:rPr>
          <w:sz w:val="22"/>
          <w:szCs w:val="22"/>
        </w:rPr>
        <w:t xml:space="preserve"> do not create a panel price index of time-space deflators, and instead the food Engel curves are estimated separately for each year.</w:t>
      </w:r>
    </w:p>
  </w:footnote>
  <w:footnote w:id="5">
    <w:p w:rsidR="00462022" w:rsidRPr="001009A7" w:rsidRDefault="00462022" w:rsidP="00DF0191">
      <w:pPr>
        <w:pStyle w:val="FootnoteText"/>
        <w:ind w:left="284" w:hanging="284"/>
        <w:jc w:val="both"/>
        <w:rPr>
          <w:sz w:val="22"/>
          <w:szCs w:val="22"/>
          <w:lang w:val="en-NZ"/>
        </w:rPr>
      </w:pPr>
      <w:r>
        <w:rPr>
          <w:rStyle w:val="FootnoteReference"/>
        </w:rPr>
        <w:footnoteRef/>
      </w:r>
      <w:r>
        <w:t xml:space="preserve"> </w:t>
      </w:r>
      <w:r>
        <w:tab/>
      </w:r>
      <w:r w:rsidRPr="001009A7">
        <w:rPr>
          <w:sz w:val="22"/>
          <w:szCs w:val="22"/>
          <w:lang w:val="en-NZ"/>
        </w:rPr>
        <w:t>Adding demographic variables to the Engel curve regression may not help, since there is no reason for these effects to operate just as intercept-shifters. The literature using food Engel curves to study bias in temporal deflators is more credible since it typically restricts attention to a particular household type (say, two adults with two children) and the change in household structure over a decade or so is much less than the differences over space, yet all of the regional differences are rolled into a catch-all term that is assumed to be due just to cost-of-living differences.</w:t>
      </w:r>
    </w:p>
  </w:footnote>
  <w:footnote w:id="6">
    <w:p w:rsidR="00462022" w:rsidRPr="00DF0191" w:rsidRDefault="00462022" w:rsidP="00DF0191">
      <w:pPr>
        <w:pStyle w:val="FootnoteText"/>
        <w:ind w:left="284" w:hanging="284"/>
        <w:jc w:val="both"/>
        <w:rPr>
          <w:sz w:val="22"/>
          <w:szCs w:val="22"/>
          <w:lang w:val="en-NZ"/>
        </w:rPr>
      </w:pPr>
      <w:r w:rsidRPr="00DF0191">
        <w:rPr>
          <w:rStyle w:val="FootnoteReference"/>
          <w:sz w:val="22"/>
          <w:szCs w:val="22"/>
        </w:rPr>
        <w:footnoteRef/>
      </w:r>
      <w:r w:rsidRPr="00DF0191">
        <w:rPr>
          <w:sz w:val="22"/>
          <w:szCs w:val="22"/>
        </w:rPr>
        <w:t xml:space="preserve"> </w:t>
      </w:r>
      <w:r w:rsidRPr="00DF0191">
        <w:rPr>
          <w:sz w:val="22"/>
          <w:szCs w:val="22"/>
        </w:rPr>
        <w:tab/>
        <w:t xml:space="preserve">Rising integration is also apparent in the labor market; since 1997, urban wages in China’s interior provinces have risen at a faster rate than in coastal regions – although the absolute wage gap continues to grow (Li </w:t>
      </w:r>
      <w:r w:rsidRPr="00DF0191">
        <w:rPr>
          <w:i/>
          <w:sz w:val="22"/>
          <w:szCs w:val="22"/>
        </w:rPr>
        <w:t>et al</w:t>
      </w:r>
      <w:r>
        <w:rPr>
          <w:sz w:val="22"/>
          <w:szCs w:val="22"/>
        </w:rPr>
        <w:t>.</w:t>
      </w:r>
      <w:r w:rsidRPr="00DF0191">
        <w:rPr>
          <w:sz w:val="22"/>
          <w:szCs w:val="22"/>
        </w:rPr>
        <w:t xml:space="preserve"> 2012).</w:t>
      </w:r>
    </w:p>
  </w:footnote>
  <w:footnote w:id="7">
    <w:p w:rsidR="00462022" w:rsidRPr="0082462D" w:rsidRDefault="00462022" w:rsidP="0082462D">
      <w:pPr>
        <w:pStyle w:val="FootnoteText"/>
        <w:ind w:left="284" w:hanging="284"/>
        <w:jc w:val="both"/>
        <w:rPr>
          <w:sz w:val="22"/>
          <w:szCs w:val="22"/>
        </w:rPr>
      </w:pPr>
      <w:r w:rsidRPr="0082462D">
        <w:rPr>
          <w:rStyle w:val="FootnoteReference"/>
          <w:sz w:val="22"/>
          <w:szCs w:val="22"/>
        </w:rPr>
        <w:footnoteRef/>
      </w:r>
      <w:r w:rsidRPr="0082462D">
        <w:rPr>
          <w:sz w:val="22"/>
          <w:szCs w:val="22"/>
        </w:rPr>
        <w:t xml:space="preserve"> </w:t>
      </w:r>
      <w:r>
        <w:rPr>
          <w:sz w:val="22"/>
          <w:szCs w:val="22"/>
        </w:rPr>
        <w:tab/>
      </w:r>
      <w:r w:rsidRPr="0082462D">
        <w:rPr>
          <w:sz w:val="22"/>
          <w:szCs w:val="22"/>
        </w:rPr>
        <w:t>Subsequent editions of the China Urban Life and Price Yearbook after 2010 do not report house price data for urban core districts, so we use the 2009 values, as reported in 2010.</w:t>
      </w:r>
    </w:p>
  </w:footnote>
  <w:footnote w:id="8">
    <w:p w:rsidR="00462022" w:rsidRPr="0082462D" w:rsidRDefault="00462022" w:rsidP="0082462D">
      <w:pPr>
        <w:pStyle w:val="FootnoteText"/>
        <w:ind w:left="284" w:hanging="284"/>
        <w:jc w:val="both"/>
        <w:rPr>
          <w:sz w:val="22"/>
          <w:szCs w:val="22"/>
          <w:lang w:val="en-NZ"/>
        </w:rPr>
      </w:pPr>
      <w:r w:rsidRPr="0082462D">
        <w:rPr>
          <w:rStyle w:val="FootnoteReference"/>
          <w:sz w:val="22"/>
          <w:szCs w:val="22"/>
        </w:rPr>
        <w:footnoteRef/>
      </w:r>
      <w:r w:rsidRPr="0082462D">
        <w:rPr>
          <w:sz w:val="22"/>
          <w:szCs w:val="22"/>
        </w:rPr>
        <w:t xml:space="preserve"> </w:t>
      </w:r>
      <w:r>
        <w:rPr>
          <w:sz w:val="22"/>
          <w:szCs w:val="22"/>
        </w:rPr>
        <w:tab/>
      </w:r>
      <w:r w:rsidRPr="0082462D">
        <w:rPr>
          <w:sz w:val="22"/>
          <w:szCs w:val="22"/>
          <w:lang w:val="en-NZ"/>
        </w:rPr>
        <w:t>The share of final consumption expenditure in GDP is not available for prefectures and urban districts, so we use the share for the province that the prefecture or district is part of, as an approximation.</w:t>
      </w:r>
    </w:p>
  </w:footnote>
  <w:footnote w:id="9">
    <w:p w:rsidR="00462022" w:rsidRPr="0082462D" w:rsidRDefault="00462022" w:rsidP="0082462D">
      <w:pPr>
        <w:pStyle w:val="FootnoteText"/>
        <w:ind w:left="284" w:hanging="284"/>
        <w:jc w:val="both"/>
        <w:rPr>
          <w:sz w:val="22"/>
          <w:szCs w:val="22"/>
          <w:lang w:val="en-NZ"/>
        </w:rPr>
      </w:pPr>
      <w:r w:rsidRPr="0082462D">
        <w:rPr>
          <w:rStyle w:val="FootnoteReference"/>
          <w:sz w:val="22"/>
          <w:szCs w:val="22"/>
        </w:rPr>
        <w:footnoteRef/>
      </w:r>
      <w:r w:rsidRPr="0082462D">
        <w:rPr>
          <w:sz w:val="22"/>
          <w:szCs w:val="22"/>
        </w:rPr>
        <w:t xml:space="preserve"> </w:t>
      </w:r>
      <w:r>
        <w:rPr>
          <w:sz w:val="22"/>
          <w:szCs w:val="22"/>
        </w:rPr>
        <w:tab/>
      </w:r>
      <w:r w:rsidRPr="0082462D">
        <w:rPr>
          <w:sz w:val="22"/>
          <w:szCs w:val="22"/>
          <w:lang w:val="en-NZ"/>
        </w:rPr>
        <w:t xml:space="preserve">The Theil index is: </w:t>
      </w:r>
      <w:r w:rsidRPr="0082462D">
        <w:rPr>
          <w:position w:val="-12"/>
          <w:sz w:val="22"/>
          <w:szCs w:val="22"/>
        </w:rPr>
        <w:object w:dxaOrig="3600" w:dyaOrig="480">
          <v:shape id="_x0000_i1028" type="#_x0000_t75" style="width:125.15pt;height:16.3pt" o:ole="" fillcolor="window">
            <v:imagedata r:id="rId1" o:title=""/>
          </v:shape>
          <o:OLEObject Type="Embed" ProgID="Equation.3" ShapeID="_x0000_i1028" DrawAspect="Content" ObjectID="_1424786452" r:id="rId2"/>
        </w:object>
      </w:r>
      <w:r w:rsidRPr="0082462D">
        <w:rPr>
          <w:sz w:val="22"/>
          <w:szCs w:val="22"/>
        </w:rPr>
        <w:t xml:space="preserve"> where </w:t>
      </w:r>
      <w:r w:rsidRPr="0082462D">
        <w:rPr>
          <w:i/>
          <w:sz w:val="22"/>
          <w:szCs w:val="22"/>
        </w:rPr>
        <w:t>m</w:t>
      </w:r>
      <w:r w:rsidRPr="0082462D">
        <w:rPr>
          <w:sz w:val="22"/>
          <w:szCs w:val="22"/>
        </w:rPr>
        <w:t xml:space="preserve">=31 provinces (or 288 prefectures or urban core districts), </w:t>
      </w:r>
      <w:proofErr w:type="spellStart"/>
      <w:r w:rsidRPr="0082462D">
        <w:rPr>
          <w:i/>
          <w:sz w:val="22"/>
          <w:szCs w:val="22"/>
        </w:rPr>
        <w:t>p</w:t>
      </w:r>
      <w:r w:rsidRPr="0082462D">
        <w:rPr>
          <w:i/>
          <w:sz w:val="22"/>
          <w:szCs w:val="22"/>
          <w:vertAlign w:val="subscript"/>
        </w:rPr>
        <w:t>j</w:t>
      </w:r>
      <w:proofErr w:type="spellEnd"/>
      <w:r w:rsidRPr="0082462D">
        <w:rPr>
          <w:sz w:val="22"/>
          <w:szCs w:val="22"/>
        </w:rPr>
        <w:t xml:space="preserve"> is the population of the </w:t>
      </w:r>
      <w:proofErr w:type="spellStart"/>
      <w:r w:rsidRPr="0082462D">
        <w:rPr>
          <w:i/>
          <w:sz w:val="22"/>
          <w:szCs w:val="22"/>
        </w:rPr>
        <w:t>j</w:t>
      </w:r>
      <w:r w:rsidRPr="0082462D">
        <w:rPr>
          <w:sz w:val="22"/>
          <w:szCs w:val="22"/>
          <w:vertAlign w:val="superscript"/>
        </w:rPr>
        <w:t>th</w:t>
      </w:r>
      <w:proofErr w:type="spellEnd"/>
      <w:r w:rsidRPr="0082462D">
        <w:rPr>
          <w:sz w:val="22"/>
          <w:szCs w:val="22"/>
        </w:rPr>
        <w:t xml:space="preserve"> province (or prefecture or district), </w:t>
      </w:r>
      <w:r w:rsidRPr="0082462D">
        <w:rPr>
          <w:i/>
          <w:sz w:val="22"/>
          <w:szCs w:val="22"/>
        </w:rPr>
        <w:t>P</w:t>
      </w:r>
      <w:r w:rsidRPr="0082462D">
        <w:rPr>
          <w:sz w:val="22"/>
          <w:szCs w:val="22"/>
        </w:rPr>
        <w:t xml:space="preserve"> is overall population</w:t>
      </w:r>
      <w:proofErr w:type="gramStart"/>
      <w:r w:rsidRPr="0082462D">
        <w:rPr>
          <w:sz w:val="22"/>
          <w:szCs w:val="22"/>
        </w:rPr>
        <w:t xml:space="preserve">,  </w:t>
      </w:r>
      <w:proofErr w:type="spellStart"/>
      <w:r w:rsidRPr="0082462D">
        <w:rPr>
          <w:i/>
          <w:sz w:val="22"/>
          <w:szCs w:val="22"/>
        </w:rPr>
        <w:t>y</w:t>
      </w:r>
      <w:r w:rsidRPr="0082462D">
        <w:rPr>
          <w:i/>
          <w:sz w:val="22"/>
          <w:szCs w:val="22"/>
          <w:vertAlign w:val="subscript"/>
        </w:rPr>
        <w:t>wj</w:t>
      </w:r>
      <w:proofErr w:type="spellEnd"/>
      <w:proofErr w:type="gramEnd"/>
      <w:r w:rsidRPr="0082462D">
        <w:rPr>
          <w:sz w:val="22"/>
          <w:szCs w:val="22"/>
        </w:rPr>
        <w:t xml:space="preserve"> is the GDP </w:t>
      </w:r>
      <w:r w:rsidRPr="0082462D">
        <w:rPr>
          <w:i/>
          <w:sz w:val="22"/>
          <w:szCs w:val="22"/>
        </w:rPr>
        <w:t>per capita</w:t>
      </w:r>
      <w:r w:rsidRPr="0082462D">
        <w:rPr>
          <w:sz w:val="22"/>
          <w:szCs w:val="22"/>
        </w:rPr>
        <w:t xml:space="preserve"> of the </w:t>
      </w:r>
      <w:proofErr w:type="spellStart"/>
      <w:r w:rsidRPr="0082462D">
        <w:rPr>
          <w:i/>
          <w:sz w:val="22"/>
          <w:szCs w:val="22"/>
        </w:rPr>
        <w:t>j</w:t>
      </w:r>
      <w:r w:rsidRPr="0082462D">
        <w:rPr>
          <w:sz w:val="22"/>
          <w:szCs w:val="22"/>
          <w:vertAlign w:val="superscript"/>
        </w:rPr>
        <w:t>th</w:t>
      </w:r>
      <w:proofErr w:type="spellEnd"/>
      <w:r w:rsidRPr="0082462D">
        <w:rPr>
          <w:sz w:val="22"/>
          <w:szCs w:val="22"/>
        </w:rPr>
        <w:t xml:space="preserve"> province (or prefecture or district), and </w:t>
      </w:r>
      <w:r w:rsidRPr="0082462D">
        <w:rPr>
          <w:i/>
          <w:sz w:val="22"/>
          <w:szCs w:val="22"/>
        </w:rPr>
        <w:sym w:font="Symbol" w:char="F06D"/>
      </w:r>
      <w:r w:rsidRPr="0082462D">
        <w:rPr>
          <w:sz w:val="22"/>
          <w:szCs w:val="22"/>
        </w:rPr>
        <w:t xml:space="preserve"> is the overall population-weighted mean of GDP </w:t>
      </w:r>
      <w:r w:rsidRPr="0082462D">
        <w:rPr>
          <w:i/>
          <w:sz w:val="22"/>
          <w:szCs w:val="22"/>
        </w:rPr>
        <w:t>per capita</w:t>
      </w:r>
      <w:r w:rsidRPr="0082462D">
        <w:rPr>
          <w:sz w:val="22"/>
          <w:szCs w:val="22"/>
        </w:rPr>
        <w:t xml:space="preserve"> for all provinces. The (weighted) coefficient of variation is: </w:t>
      </w:r>
      <w:r w:rsidRPr="0082462D">
        <w:rPr>
          <w:position w:val="-14"/>
          <w:sz w:val="22"/>
          <w:szCs w:val="22"/>
        </w:rPr>
        <w:object w:dxaOrig="3580" w:dyaOrig="560">
          <v:shape id="_x0000_i1029" type="#_x0000_t75" style="width:117.45pt;height:18.85pt" o:ole="">
            <v:imagedata r:id="rId3" o:title=""/>
          </v:shape>
          <o:OLEObject Type="Embed" ProgID="Equation.3" ShapeID="_x0000_i1029" DrawAspect="Content" ObjectID="_1424786453" r:id="rId4"/>
        </w:object>
      </w:r>
      <w:r w:rsidRPr="0082462D">
        <w:rPr>
          <w:sz w:val="22"/>
          <w:szCs w:val="22"/>
        </w:rPr>
        <w:t xml:space="preserve"> The </w:t>
      </w:r>
      <w:proofErr w:type="spellStart"/>
      <w:r w:rsidRPr="0082462D">
        <w:rPr>
          <w:sz w:val="22"/>
          <w:szCs w:val="22"/>
        </w:rPr>
        <w:t>Gini</w:t>
      </w:r>
      <w:proofErr w:type="spellEnd"/>
      <w:r w:rsidRPr="0082462D">
        <w:rPr>
          <w:sz w:val="22"/>
          <w:szCs w:val="22"/>
        </w:rPr>
        <w:t xml:space="preserve"> coefficient is: </w:t>
      </w:r>
      <w:r w:rsidRPr="0082462D">
        <w:rPr>
          <w:position w:val="-14"/>
          <w:sz w:val="22"/>
          <w:szCs w:val="22"/>
        </w:rPr>
        <w:object w:dxaOrig="4040" w:dyaOrig="480">
          <v:shape id="_x0000_i1030" type="#_x0000_t75" style="width:142.3pt;height:17.15pt" o:ole="">
            <v:imagedata r:id="rId5" o:title=""/>
          </v:shape>
          <o:OLEObject Type="Embed" ProgID="Equation.3" ShapeID="_x0000_i1030" DrawAspect="Content" ObjectID="_1424786454" r:id="rId6"/>
        </w:objec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25647"/>
    <w:multiLevelType w:val="hybridMultilevel"/>
    <w:tmpl w:val="64C4139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nsid w:val="02AA52DC"/>
    <w:multiLevelType w:val="hybridMultilevel"/>
    <w:tmpl w:val="F242764C"/>
    <w:lvl w:ilvl="0" w:tplc="B3DA61C4">
      <w:start w:val="1"/>
      <w:numFmt w:val="bullet"/>
      <w:lvlText w:val=""/>
      <w:lvlJc w:val="left"/>
      <w:pPr>
        <w:tabs>
          <w:tab w:val="num" w:pos="720"/>
        </w:tabs>
        <w:ind w:left="720" w:hanging="360"/>
      </w:pPr>
      <w:rPr>
        <w:rFonts w:ascii="Wingdings" w:hAnsi="Wingdings" w:hint="default"/>
      </w:rPr>
    </w:lvl>
    <w:lvl w:ilvl="1" w:tplc="059472F2">
      <w:start w:val="165"/>
      <w:numFmt w:val="bullet"/>
      <w:lvlText w:val=""/>
      <w:lvlJc w:val="left"/>
      <w:pPr>
        <w:tabs>
          <w:tab w:val="num" w:pos="1440"/>
        </w:tabs>
        <w:ind w:left="1440" w:hanging="360"/>
      </w:pPr>
      <w:rPr>
        <w:rFonts w:ascii="Wingdings" w:hAnsi="Wingdings" w:hint="default"/>
      </w:rPr>
    </w:lvl>
    <w:lvl w:ilvl="2" w:tplc="1E40D37E" w:tentative="1">
      <w:start w:val="1"/>
      <w:numFmt w:val="bullet"/>
      <w:lvlText w:val=""/>
      <w:lvlJc w:val="left"/>
      <w:pPr>
        <w:tabs>
          <w:tab w:val="num" w:pos="2160"/>
        </w:tabs>
        <w:ind w:left="2160" w:hanging="360"/>
      </w:pPr>
      <w:rPr>
        <w:rFonts w:ascii="Wingdings" w:hAnsi="Wingdings" w:hint="default"/>
      </w:rPr>
    </w:lvl>
    <w:lvl w:ilvl="3" w:tplc="2B16558E" w:tentative="1">
      <w:start w:val="1"/>
      <w:numFmt w:val="bullet"/>
      <w:lvlText w:val=""/>
      <w:lvlJc w:val="left"/>
      <w:pPr>
        <w:tabs>
          <w:tab w:val="num" w:pos="2880"/>
        </w:tabs>
        <w:ind w:left="2880" w:hanging="360"/>
      </w:pPr>
      <w:rPr>
        <w:rFonts w:ascii="Wingdings" w:hAnsi="Wingdings" w:hint="default"/>
      </w:rPr>
    </w:lvl>
    <w:lvl w:ilvl="4" w:tplc="889E7A60" w:tentative="1">
      <w:start w:val="1"/>
      <w:numFmt w:val="bullet"/>
      <w:lvlText w:val=""/>
      <w:lvlJc w:val="left"/>
      <w:pPr>
        <w:tabs>
          <w:tab w:val="num" w:pos="3600"/>
        </w:tabs>
        <w:ind w:left="3600" w:hanging="360"/>
      </w:pPr>
      <w:rPr>
        <w:rFonts w:ascii="Wingdings" w:hAnsi="Wingdings" w:hint="default"/>
      </w:rPr>
    </w:lvl>
    <w:lvl w:ilvl="5" w:tplc="25C6A4FA" w:tentative="1">
      <w:start w:val="1"/>
      <w:numFmt w:val="bullet"/>
      <w:lvlText w:val=""/>
      <w:lvlJc w:val="left"/>
      <w:pPr>
        <w:tabs>
          <w:tab w:val="num" w:pos="4320"/>
        </w:tabs>
        <w:ind w:left="4320" w:hanging="360"/>
      </w:pPr>
      <w:rPr>
        <w:rFonts w:ascii="Wingdings" w:hAnsi="Wingdings" w:hint="default"/>
      </w:rPr>
    </w:lvl>
    <w:lvl w:ilvl="6" w:tplc="A4EEB976" w:tentative="1">
      <w:start w:val="1"/>
      <w:numFmt w:val="bullet"/>
      <w:lvlText w:val=""/>
      <w:lvlJc w:val="left"/>
      <w:pPr>
        <w:tabs>
          <w:tab w:val="num" w:pos="5040"/>
        </w:tabs>
        <w:ind w:left="5040" w:hanging="360"/>
      </w:pPr>
      <w:rPr>
        <w:rFonts w:ascii="Wingdings" w:hAnsi="Wingdings" w:hint="default"/>
      </w:rPr>
    </w:lvl>
    <w:lvl w:ilvl="7" w:tplc="9E0E1BE4" w:tentative="1">
      <w:start w:val="1"/>
      <w:numFmt w:val="bullet"/>
      <w:lvlText w:val=""/>
      <w:lvlJc w:val="left"/>
      <w:pPr>
        <w:tabs>
          <w:tab w:val="num" w:pos="5760"/>
        </w:tabs>
        <w:ind w:left="5760" w:hanging="360"/>
      </w:pPr>
      <w:rPr>
        <w:rFonts w:ascii="Wingdings" w:hAnsi="Wingdings" w:hint="default"/>
      </w:rPr>
    </w:lvl>
    <w:lvl w:ilvl="8" w:tplc="6B5AF8B8" w:tentative="1">
      <w:start w:val="1"/>
      <w:numFmt w:val="bullet"/>
      <w:lvlText w:val=""/>
      <w:lvlJc w:val="left"/>
      <w:pPr>
        <w:tabs>
          <w:tab w:val="num" w:pos="6480"/>
        </w:tabs>
        <w:ind w:left="6480" w:hanging="360"/>
      </w:pPr>
      <w:rPr>
        <w:rFonts w:ascii="Wingdings" w:hAnsi="Wingdings" w:hint="default"/>
      </w:rPr>
    </w:lvl>
  </w:abstractNum>
  <w:abstractNum w:abstractNumId="2">
    <w:nsid w:val="0E003981"/>
    <w:multiLevelType w:val="hybridMultilevel"/>
    <w:tmpl w:val="85020BA8"/>
    <w:lvl w:ilvl="0" w:tplc="674E8D92">
      <w:start w:val="1"/>
      <w:numFmt w:val="bullet"/>
      <w:lvlText w:val=""/>
      <w:lvlJc w:val="left"/>
      <w:pPr>
        <w:tabs>
          <w:tab w:val="num" w:pos="720"/>
        </w:tabs>
        <w:ind w:left="720" w:hanging="360"/>
      </w:pPr>
      <w:rPr>
        <w:rFonts w:ascii="Wingdings" w:hAnsi="Wingdings" w:hint="default"/>
      </w:rPr>
    </w:lvl>
    <w:lvl w:ilvl="1" w:tplc="C53877A2">
      <w:start w:val="172"/>
      <w:numFmt w:val="bullet"/>
      <w:lvlText w:val=""/>
      <w:lvlJc w:val="left"/>
      <w:pPr>
        <w:tabs>
          <w:tab w:val="num" w:pos="1440"/>
        </w:tabs>
        <w:ind w:left="1440" w:hanging="360"/>
      </w:pPr>
      <w:rPr>
        <w:rFonts w:ascii="Wingdings" w:hAnsi="Wingdings" w:hint="default"/>
      </w:rPr>
    </w:lvl>
    <w:lvl w:ilvl="2" w:tplc="F21CAA5C">
      <w:start w:val="1"/>
      <w:numFmt w:val="bullet"/>
      <w:lvlText w:val=""/>
      <w:lvlJc w:val="left"/>
      <w:pPr>
        <w:tabs>
          <w:tab w:val="num" w:pos="2160"/>
        </w:tabs>
        <w:ind w:left="2160" w:hanging="360"/>
      </w:pPr>
      <w:rPr>
        <w:rFonts w:ascii="Wingdings" w:hAnsi="Wingdings" w:hint="default"/>
      </w:rPr>
    </w:lvl>
    <w:lvl w:ilvl="3" w:tplc="F70055D2" w:tentative="1">
      <w:start w:val="1"/>
      <w:numFmt w:val="bullet"/>
      <w:lvlText w:val=""/>
      <w:lvlJc w:val="left"/>
      <w:pPr>
        <w:tabs>
          <w:tab w:val="num" w:pos="2880"/>
        </w:tabs>
        <w:ind w:left="2880" w:hanging="360"/>
      </w:pPr>
      <w:rPr>
        <w:rFonts w:ascii="Wingdings" w:hAnsi="Wingdings" w:hint="default"/>
      </w:rPr>
    </w:lvl>
    <w:lvl w:ilvl="4" w:tplc="D52206C0" w:tentative="1">
      <w:start w:val="1"/>
      <w:numFmt w:val="bullet"/>
      <w:lvlText w:val=""/>
      <w:lvlJc w:val="left"/>
      <w:pPr>
        <w:tabs>
          <w:tab w:val="num" w:pos="3600"/>
        </w:tabs>
        <w:ind w:left="3600" w:hanging="360"/>
      </w:pPr>
      <w:rPr>
        <w:rFonts w:ascii="Wingdings" w:hAnsi="Wingdings" w:hint="default"/>
      </w:rPr>
    </w:lvl>
    <w:lvl w:ilvl="5" w:tplc="3856C8D2" w:tentative="1">
      <w:start w:val="1"/>
      <w:numFmt w:val="bullet"/>
      <w:lvlText w:val=""/>
      <w:lvlJc w:val="left"/>
      <w:pPr>
        <w:tabs>
          <w:tab w:val="num" w:pos="4320"/>
        </w:tabs>
        <w:ind w:left="4320" w:hanging="360"/>
      </w:pPr>
      <w:rPr>
        <w:rFonts w:ascii="Wingdings" w:hAnsi="Wingdings" w:hint="default"/>
      </w:rPr>
    </w:lvl>
    <w:lvl w:ilvl="6" w:tplc="9B6864F8" w:tentative="1">
      <w:start w:val="1"/>
      <w:numFmt w:val="bullet"/>
      <w:lvlText w:val=""/>
      <w:lvlJc w:val="left"/>
      <w:pPr>
        <w:tabs>
          <w:tab w:val="num" w:pos="5040"/>
        </w:tabs>
        <w:ind w:left="5040" w:hanging="360"/>
      </w:pPr>
      <w:rPr>
        <w:rFonts w:ascii="Wingdings" w:hAnsi="Wingdings" w:hint="default"/>
      </w:rPr>
    </w:lvl>
    <w:lvl w:ilvl="7" w:tplc="DAD2670C" w:tentative="1">
      <w:start w:val="1"/>
      <w:numFmt w:val="bullet"/>
      <w:lvlText w:val=""/>
      <w:lvlJc w:val="left"/>
      <w:pPr>
        <w:tabs>
          <w:tab w:val="num" w:pos="5760"/>
        </w:tabs>
        <w:ind w:left="5760" w:hanging="360"/>
      </w:pPr>
      <w:rPr>
        <w:rFonts w:ascii="Wingdings" w:hAnsi="Wingdings" w:hint="default"/>
      </w:rPr>
    </w:lvl>
    <w:lvl w:ilvl="8" w:tplc="BB286F2C" w:tentative="1">
      <w:start w:val="1"/>
      <w:numFmt w:val="bullet"/>
      <w:lvlText w:val=""/>
      <w:lvlJc w:val="left"/>
      <w:pPr>
        <w:tabs>
          <w:tab w:val="num" w:pos="6480"/>
        </w:tabs>
        <w:ind w:left="6480" w:hanging="360"/>
      </w:pPr>
      <w:rPr>
        <w:rFonts w:ascii="Wingdings" w:hAnsi="Wingdings" w:hint="default"/>
      </w:rPr>
    </w:lvl>
  </w:abstractNum>
  <w:abstractNum w:abstractNumId="3">
    <w:nsid w:val="19DC3CBB"/>
    <w:multiLevelType w:val="hybridMultilevel"/>
    <w:tmpl w:val="D8AE28FE"/>
    <w:lvl w:ilvl="0" w:tplc="282EF1C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E9F62D6"/>
    <w:multiLevelType w:val="hybridMultilevel"/>
    <w:tmpl w:val="5F4E9DC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06E4380"/>
    <w:multiLevelType w:val="hybridMultilevel"/>
    <w:tmpl w:val="0436EE9E"/>
    <w:lvl w:ilvl="0" w:tplc="B95A59C2">
      <w:start w:val="616"/>
      <w:numFmt w:val="bullet"/>
      <w:lvlText w:val=""/>
      <w:lvlJc w:val="left"/>
      <w:pPr>
        <w:ind w:left="720" w:hanging="360"/>
      </w:pPr>
      <w:rPr>
        <w:rFonts w:ascii="Wingdings" w:eastAsia="Times New Roman" w:hAnsi="Wingdings"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2F1F69A8"/>
    <w:multiLevelType w:val="hybridMultilevel"/>
    <w:tmpl w:val="2FFEAEF8"/>
    <w:lvl w:ilvl="0" w:tplc="46B4BB7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5B063D6"/>
    <w:multiLevelType w:val="hybridMultilevel"/>
    <w:tmpl w:val="6846BC7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2A03A1B"/>
    <w:multiLevelType w:val="hybridMultilevel"/>
    <w:tmpl w:val="B27855E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440A7963"/>
    <w:multiLevelType w:val="hybridMultilevel"/>
    <w:tmpl w:val="0C6CE59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4EB40963"/>
    <w:multiLevelType w:val="hybridMultilevel"/>
    <w:tmpl w:val="987C353C"/>
    <w:lvl w:ilvl="0" w:tplc="C73027F8">
      <w:start w:val="1"/>
      <w:numFmt w:val="bullet"/>
      <w:lvlText w:val=""/>
      <w:lvlJc w:val="left"/>
      <w:pPr>
        <w:tabs>
          <w:tab w:val="num" w:pos="720"/>
        </w:tabs>
        <w:ind w:left="720" w:hanging="360"/>
      </w:pPr>
      <w:rPr>
        <w:rFonts w:ascii="Wingdings" w:hAnsi="Wingdings" w:hint="default"/>
      </w:rPr>
    </w:lvl>
    <w:lvl w:ilvl="1" w:tplc="A32A2C6E">
      <w:start w:val="172"/>
      <w:numFmt w:val="bullet"/>
      <w:lvlText w:val=""/>
      <w:lvlJc w:val="left"/>
      <w:pPr>
        <w:tabs>
          <w:tab w:val="num" w:pos="1440"/>
        </w:tabs>
        <w:ind w:left="1440" w:hanging="360"/>
      </w:pPr>
      <w:rPr>
        <w:rFonts w:ascii="Wingdings" w:hAnsi="Wingdings" w:hint="default"/>
      </w:rPr>
    </w:lvl>
    <w:lvl w:ilvl="2" w:tplc="DFC87F00">
      <w:start w:val="172"/>
      <w:numFmt w:val="bullet"/>
      <w:lvlText w:val=""/>
      <w:lvlJc w:val="left"/>
      <w:pPr>
        <w:tabs>
          <w:tab w:val="num" w:pos="2160"/>
        </w:tabs>
        <w:ind w:left="2160" w:hanging="360"/>
      </w:pPr>
      <w:rPr>
        <w:rFonts w:ascii="Wingdings" w:hAnsi="Wingdings" w:hint="default"/>
      </w:rPr>
    </w:lvl>
    <w:lvl w:ilvl="3" w:tplc="C3CE6C30" w:tentative="1">
      <w:start w:val="1"/>
      <w:numFmt w:val="bullet"/>
      <w:lvlText w:val=""/>
      <w:lvlJc w:val="left"/>
      <w:pPr>
        <w:tabs>
          <w:tab w:val="num" w:pos="2880"/>
        </w:tabs>
        <w:ind w:left="2880" w:hanging="360"/>
      </w:pPr>
      <w:rPr>
        <w:rFonts w:ascii="Wingdings" w:hAnsi="Wingdings" w:hint="default"/>
      </w:rPr>
    </w:lvl>
    <w:lvl w:ilvl="4" w:tplc="D0504C98" w:tentative="1">
      <w:start w:val="1"/>
      <w:numFmt w:val="bullet"/>
      <w:lvlText w:val=""/>
      <w:lvlJc w:val="left"/>
      <w:pPr>
        <w:tabs>
          <w:tab w:val="num" w:pos="3600"/>
        </w:tabs>
        <w:ind w:left="3600" w:hanging="360"/>
      </w:pPr>
      <w:rPr>
        <w:rFonts w:ascii="Wingdings" w:hAnsi="Wingdings" w:hint="default"/>
      </w:rPr>
    </w:lvl>
    <w:lvl w:ilvl="5" w:tplc="ED186412" w:tentative="1">
      <w:start w:val="1"/>
      <w:numFmt w:val="bullet"/>
      <w:lvlText w:val=""/>
      <w:lvlJc w:val="left"/>
      <w:pPr>
        <w:tabs>
          <w:tab w:val="num" w:pos="4320"/>
        </w:tabs>
        <w:ind w:left="4320" w:hanging="360"/>
      </w:pPr>
      <w:rPr>
        <w:rFonts w:ascii="Wingdings" w:hAnsi="Wingdings" w:hint="default"/>
      </w:rPr>
    </w:lvl>
    <w:lvl w:ilvl="6" w:tplc="870C73E0" w:tentative="1">
      <w:start w:val="1"/>
      <w:numFmt w:val="bullet"/>
      <w:lvlText w:val=""/>
      <w:lvlJc w:val="left"/>
      <w:pPr>
        <w:tabs>
          <w:tab w:val="num" w:pos="5040"/>
        </w:tabs>
        <w:ind w:left="5040" w:hanging="360"/>
      </w:pPr>
      <w:rPr>
        <w:rFonts w:ascii="Wingdings" w:hAnsi="Wingdings" w:hint="default"/>
      </w:rPr>
    </w:lvl>
    <w:lvl w:ilvl="7" w:tplc="FC24831A" w:tentative="1">
      <w:start w:val="1"/>
      <w:numFmt w:val="bullet"/>
      <w:lvlText w:val=""/>
      <w:lvlJc w:val="left"/>
      <w:pPr>
        <w:tabs>
          <w:tab w:val="num" w:pos="5760"/>
        </w:tabs>
        <w:ind w:left="5760" w:hanging="360"/>
      </w:pPr>
      <w:rPr>
        <w:rFonts w:ascii="Wingdings" w:hAnsi="Wingdings" w:hint="default"/>
      </w:rPr>
    </w:lvl>
    <w:lvl w:ilvl="8" w:tplc="FF285A52" w:tentative="1">
      <w:start w:val="1"/>
      <w:numFmt w:val="bullet"/>
      <w:lvlText w:val=""/>
      <w:lvlJc w:val="left"/>
      <w:pPr>
        <w:tabs>
          <w:tab w:val="num" w:pos="6480"/>
        </w:tabs>
        <w:ind w:left="6480" w:hanging="360"/>
      </w:pPr>
      <w:rPr>
        <w:rFonts w:ascii="Wingdings" w:hAnsi="Wingdings" w:hint="default"/>
      </w:rPr>
    </w:lvl>
  </w:abstractNum>
  <w:abstractNum w:abstractNumId="11">
    <w:nsid w:val="57A52B59"/>
    <w:multiLevelType w:val="hybridMultilevel"/>
    <w:tmpl w:val="205A6F0C"/>
    <w:lvl w:ilvl="0" w:tplc="5F105E8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47D58BB"/>
    <w:multiLevelType w:val="hybridMultilevel"/>
    <w:tmpl w:val="9244DCB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6EA91E43"/>
    <w:multiLevelType w:val="hybridMultilevel"/>
    <w:tmpl w:val="302C7E28"/>
    <w:lvl w:ilvl="0" w:tplc="68DAD8EA">
      <w:start w:val="1"/>
      <w:numFmt w:val="bullet"/>
      <w:lvlText w:val=""/>
      <w:lvlJc w:val="left"/>
      <w:pPr>
        <w:tabs>
          <w:tab w:val="num" w:pos="720"/>
        </w:tabs>
        <w:ind w:left="720" w:hanging="360"/>
      </w:pPr>
      <w:rPr>
        <w:rFonts w:ascii="Wingdings" w:hAnsi="Wingdings" w:hint="default"/>
      </w:rPr>
    </w:lvl>
    <w:lvl w:ilvl="1" w:tplc="418043D2">
      <w:start w:val="172"/>
      <w:numFmt w:val="bullet"/>
      <w:lvlText w:val=""/>
      <w:lvlJc w:val="left"/>
      <w:pPr>
        <w:tabs>
          <w:tab w:val="num" w:pos="1440"/>
        </w:tabs>
        <w:ind w:left="1440" w:hanging="360"/>
      </w:pPr>
      <w:rPr>
        <w:rFonts w:ascii="Wingdings" w:hAnsi="Wingdings" w:hint="default"/>
      </w:rPr>
    </w:lvl>
    <w:lvl w:ilvl="2" w:tplc="2CA40E10" w:tentative="1">
      <w:start w:val="1"/>
      <w:numFmt w:val="bullet"/>
      <w:lvlText w:val=""/>
      <w:lvlJc w:val="left"/>
      <w:pPr>
        <w:tabs>
          <w:tab w:val="num" w:pos="2160"/>
        </w:tabs>
        <w:ind w:left="2160" w:hanging="360"/>
      </w:pPr>
      <w:rPr>
        <w:rFonts w:ascii="Wingdings" w:hAnsi="Wingdings" w:hint="default"/>
      </w:rPr>
    </w:lvl>
    <w:lvl w:ilvl="3" w:tplc="FB7C4F64" w:tentative="1">
      <w:start w:val="1"/>
      <w:numFmt w:val="bullet"/>
      <w:lvlText w:val=""/>
      <w:lvlJc w:val="left"/>
      <w:pPr>
        <w:tabs>
          <w:tab w:val="num" w:pos="2880"/>
        </w:tabs>
        <w:ind w:left="2880" w:hanging="360"/>
      </w:pPr>
      <w:rPr>
        <w:rFonts w:ascii="Wingdings" w:hAnsi="Wingdings" w:hint="default"/>
      </w:rPr>
    </w:lvl>
    <w:lvl w:ilvl="4" w:tplc="3B8833DE" w:tentative="1">
      <w:start w:val="1"/>
      <w:numFmt w:val="bullet"/>
      <w:lvlText w:val=""/>
      <w:lvlJc w:val="left"/>
      <w:pPr>
        <w:tabs>
          <w:tab w:val="num" w:pos="3600"/>
        </w:tabs>
        <w:ind w:left="3600" w:hanging="360"/>
      </w:pPr>
      <w:rPr>
        <w:rFonts w:ascii="Wingdings" w:hAnsi="Wingdings" w:hint="default"/>
      </w:rPr>
    </w:lvl>
    <w:lvl w:ilvl="5" w:tplc="59D246BC" w:tentative="1">
      <w:start w:val="1"/>
      <w:numFmt w:val="bullet"/>
      <w:lvlText w:val=""/>
      <w:lvlJc w:val="left"/>
      <w:pPr>
        <w:tabs>
          <w:tab w:val="num" w:pos="4320"/>
        </w:tabs>
        <w:ind w:left="4320" w:hanging="360"/>
      </w:pPr>
      <w:rPr>
        <w:rFonts w:ascii="Wingdings" w:hAnsi="Wingdings" w:hint="default"/>
      </w:rPr>
    </w:lvl>
    <w:lvl w:ilvl="6" w:tplc="F31E8C00" w:tentative="1">
      <w:start w:val="1"/>
      <w:numFmt w:val="bullet"/>
      <w:lvlText w:val=""/>
      <w:lvlJc w:val="left"/>
      <w:pPr>
        <w:tabs>
          <w:tab w:val="num" w:pos="5040"/>
        </w:tabs>
        <w:ind w:left="5040" w:hanging="360"/>
      </w:pPr>
      <w:rPr>
        <w:rFonts w:ascii="Wingdings" w:hAnsi="Wingdings" w:hint="default"/>
      </w:rPr>
    </w:lvl>
    <w:lvl w:ilvl="7" w:tplc="75DA97DC" w:tentative="1">
      <w:start w:val="1"/>
      <w:numFmt w:val="bullet"/>
      <w:lvlText w:val=""/>
      <w:lvlJc w:val="left"/>
      <w:pPr>
        <w:tabs>
          <w:tab w:val="num" w:pos="5760"/>
        </w:tabs>
        <w:ind w:left="5760" w:hanging="360"/>
      </w:pPr>
      <w:rPr>
        <w:rFonts w:ascii="Wingdings" w:hAnsi="Wingdings" w:hint="default"/>
      </w:rPr>
    </w:lvl>
    <w:lvl w:ilvl="8" w:tplc="4E0A6C80"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6"/>
  </w:num>
  <w:num w:numId="3">
    <w:abstractNumId w:val="4"/>
  </w:num>
  <w:num w:numId="4">
    <w:abstractNumId w:val="11"/>
  </w:num>
  <w:num w:numId="5">
    <w:abstractNumId w:val="3"/>
  </w:num>
  <w:num w:numId="6">
    <w:abstractNumId w:val="1"/>
  </w:num>
  <w:num w:numId="7">
    <w:abstractNumId w:val="9"/>
  </w:num>
  <w:num w:numId="8">
    <w:abstractNumId w:val="2"/>
  </w:num>
  <w:num w:numId="9">
    <w:abstractNumId w:val="13"/>
  </w:num>
  <w:num w:numId="10">
    <w:abstractNumId w:val="10"/>
  </w:num>
  <w:num w:numId="11">
    <w:abstractNumId w:val="12"/>
  </w:num>
  <w:num w:numId="12">
    <w:abstractNumId w:val="8"/>
  </w:num>
  <w:num w:numId="13">
    <w:abstractNumId w:val="5"/>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41514B"/>
    <w:rsid w:val="000013FE"/>
    <w:rsid w:val="00003180"/>
    <w:rsid w:val="00004080"/>
    <w:rsid w:val="00005916"/>
    <w:rsid w:val="00006B53"/>
    <w:rsid w:val="000108E2"/>
    <w:rsid w:val="00012EA1"/>
    <w:rsid w:val="00012EFD"/>
    <w:rsid w:val="00013363"/>
    <w:rsid w:val="00015365"/>
    <w:rsid w:val="000170AF"/>
    <w:rsid w:val="00017408"/>
    <w:rsid w:val="00017C4D"/>
    <w:rsid w:val="00020EA5"/>
    <w:rsid w:val="0002152B"/>
    <w:rsid w:val="00022DAF"/>
    <w:rsid w:val="00023E11"/>
    <w:rsid w:val="000243C6"/>
    <w:rsid w:val="000258D8"/>
    <w:rsid w:val="00031231"/>
    <w:rsid w:val="00032D19"/>
    <w:rsid w:val="000360F3"/>
    <w:rsid w:val="00037121"/>
    <w:rsid w:val="00037C0C"/>
    <w:rsid w:val="00040E86"/>
    <w:rsid w:val="000411D4"/>
    <w:rsid w:val="00042099"/>
    <w:rsid w:val="00043D61"/>
    <w:rsid w:val="00043DE9"/>
    <w:rsid w:val="00044406"/>
    <w:rsid w:val="00045968"/>
    <w:rsid w:val="000459BE"/>
    <w:rsid w:val="00046FF1"/>
    <w:rsid w:val="00050E8F"/>
    <w:rsid w:val="00055BBF"/>
    <w:rsid w:val="00057C18"/>
    <w:rsid w:val="00060384"/>
    <w:rsid w:val="00061489"/>
    <w:rsid w:val="00062A98"/>
    <w:rsid w:val="000631EF"/>
    <w:rsid w:val="00063689"/>
    <w:rsid w:val="000636DE"/>
    <w:rsid w:val="0006652B"/>
    <w:rsid w:val="000678B5"/>
    <w:rsid w:val="00077D19"/>
    <w:rsid w:val="00077D2E"/>
    <w:rsid w:val="00082D9A"/>
    <w:rsid w:val="000831C0"/>
    <w:rsid w:val="00091C28"/>
    <w:rsid w:val="000928EF"/>
    <w:rsid w:val="0009784A"/>
    <w:rsid w:val="000A3ADE"/>
    <w:rsid w:val="000A3BF2"/>
    <w:rsid w:val="000A429F"/>
    <w:rsid w:val="000A587F"/>
    <w:rsid w:val="000A7E57"/>
    <w:rsid w:val="000B22CC"/>
    <w:rsid w:val="000B2966"/>
    <w:rsid w:val="000B3BE7"/>
    <w:rsid w:val="000C0D4D"/>
    <w:rsid w:val="000C11AC"/>
    <w:rsid w:val="000C34E0"/>
    <w:rsid w:val="000C4022"/>
    <w:rsid w:val="000C4859"/>
    <w:rsid w:val="000C4E57"/>
    <w:rsid w:val="000C5E54"/>
    <w:rsid w:val="000C6531"/>
    <w:rsid w:val="000C6616"/>
    <w:rsid w:val="000D1EC6"/>
    <w:rsid w:val="000D4397"/>
    <w:rsid w:val="000D44A5"/>
    <w:rsid w:val="000D49E7"/>
    <w:rsid w:val="000D7A5B"/>
    <w:rsid w:val="000E274D"/>
    <w:rsid w:val="000E4992"/>
    <w:rsid w:val="000F4D57"/>
    <w:rsid w:val="001009A7"/>
    <w:rsid w:val="001060A4"/>
    <w:rsid w:val="001060C0"/>
    <w:rsid w:val="00106C63"/>
    <w:rsid w:val="0011075E"/>
    <w:rsid w:val="00110BC9"/>
    <w:rsid w:val="00110DE3"/>
    <w:rsid w:val="00114F94"/>
    <w:rsid w:val="00115DC5"/>
    <w:rsid w:val="0011706A"/>
    <w:rsid w:val="001172F7"/>
    <w:rsid w:val="00120482"/>
    <w:rsid w:val="00121F51"/>
    <w:rsid w:val="001233E8"/>
    <w:rsid w:val="00125C53"/>
    <w:rsid w:val="001315C2"/>
    <w:rsid w:val="00134470"/>
    <w:rsid w:val="001344CD"/>
    <w:rsid w:val="00134AD4"/>
    <w:rsid w:val="001356D1"/>
    <w:rsid w:val="001370AB"/>
    <w:rsid w:val="00140640"/>
    <w:rsid w:val="00142513"/>
    <w:rsid w:val="00142780"/>
    <w:rsid w:val="00143423"/>
    <w:rsid w:val="0014463E"/>
    <w:rsid w:val="00145F42"/>
    <w:rsid w:val="00151DF6"/>
    <w:rsid w:val="001528EE"/>
    <w:rsid w:val="001548BE"/>
    <w:rsid w:val="00154966"/>
    <w:rsid w:val="001549C0"/>
    <w:rsid w:val="00155DB3"/>
    <w:rsid w:val="00161BB5"/>
    <w:rsid w:val="00170EB9"/>
    <w:rsid w:val="0017148B"/>
    <w:rsid w:val="001729B5"/>
    <w:rsid w:val="00173D01"/>
    <w:rsid w:val="00174254"/>
    <w:rsid w:val="00174E91"/>
    <w:rsid w:val="00180F13"/>
    <w:rsid w:val="001818C8"/>
    <w:rsid w:val="00181958"/>
    <w:rsid w:val="00182ADD"/>
    <w:rsid w:val="00184A08"/>
    <w:rsid w:val="0018667E"/>
    <w:rsid w:val="00187B28"/>
    <w:rsid w:val="00190D38"/>
    <w:rsid w:val="00192536"/>
    <w:rsid w:val="00193FB8"/>
    <w:rsid w:val="001A02BB"/>
    <w:rsid w:val="001A1577"/>
    <w:rsid w:val="001A60EB"/>
    <w:rsid w:val="001B080B"/>
    <w:rsid w:val="001B15C3"/>
    <w:rsid w:val="001B1B6D"/>
    <w:rsid w:val="001B28A2"/>
    <w:rsid w:val="001B2927"/>
    <w:rsid w:val="001B353F"/>
    <w:rsid w:val="001B4077"/>
    <w:rsid w:val="001B4A0F"/>
    <w:rsid w:val="001B6E60"/>
    <w:rsid w:val="001B738E"/>
    <w:rsid w:val="001B7C16"/>
    <w:rsid w:val="001C2F3E"/>
    <w:rsid w:val="001C68CF"/>
    <w:rsid w:val="001D02E1"/>
    <w:rsid w:val="001D1F21"/>
    <w:rsid w:val="001E19A7"/>
    <w:rsid w:val="001E30D6"/>
    <w:rsid w:val="001E3CA6"/>
    <w:rsid w:val="001E4D68"/>
    <w:rsid w:val="001E5AED"/>
    <w:rsid w:val="001E68D9"/>
    <w:rsid w:val="001E6BF1"/>
    <w:rsid w:val="001F227D"/>
    <w:rsid w:val="001F3E1F"/>
    <w:rsid w:val="001F56E9"/>
    <w:rsid w:val="001F5CBB"/>
    <w:rsid w:val="001F625B"/>
    <w:rsid w:val="001F7776"/>
    <w:rsid w:val="00206523"/>
    <w:rsid w:val="0020740F"/>
    <w:rsid w:val="00210014"/>
    <w:rsid w:val="0021043A"/>
    <w:rsid w:val="00210825"/>
    <w:rsid w:val="00210C8E"/>
    <w:rsid w:val="00213B34"/>
    <w:rsid w:val="00216218"/>
    <w:rsid w:val="002165D9"/>
    <w:rsid w:val="0021710B"/>
    <w:rsid w:val="002215F5"/>
    <w:rsid w:val="00224CA3"/>
    <w:rsid w:val="00226D8D"/>
    <w:rsid w:val="00227791"/>
    <w:rsid w:val="00227B36"/>
    <w:rsid w:val="002369D8"/>
    <w:rsid w:val="002374B0"/>
    <w:rsid w:val="00242765"/>
    <w:rsid w:val="00242C76"/>
    <w:rsid w:val="00243259"/>
    <w:rsid w:val="0024511E"/>
    <w:rsid w:val="00245A73"/>
    <w:rsid w:val="0024622F"/>
    <w:rsid w:val="002506D7"/>
    <w:rsid w:val="00252C10"/>
    <w:rsid w:val="00254CEE"/>
    <w:rsid w:val="0025578D"/>
    <w:rsid w:val="00256A92"/>
    <w:rsid w:val="002603C8"/>
    <w:rsid w:val="00262AEA"/>
    <w:rsid w:val="00264FD7"/>
    <w:rsid w:val="002670B7"/>
    <w:rsid w:val="002672CF"/>
    <w:rsid w:val="00274C60"/>
    <w:rsid w:val="00276146"/>
    <w:rsid w:val="00276EFF"/>
    <w:rsid w:val="002813E6"/>
    <w:rsid w:val="002814F8"/>
    <w:rsid w:val="002834F5"/>
    <w:rsid w:val="002856AC"/>
    <w:rsid w:val="00286A06"/>
    <w:rsid w:val="00286EFD"/>
    <w:rsid w:val="00287BBF"/>
    <w:rsid w:val="0029033E"/>
    <w:rsid w:val="002933A9"/>
    <w:rsid w:val="002950D5"/>
    <w:rsid w:val="002969AE"/>
    <w:rsid w:val="002A1666"/>
    <w:rsid w:val="002A1751"/>
    <w:rsid w:val="002A49C4"/>
    <w:rsid w:val="002A65EB"/>
    <w:rsid w:val="002A6BC1"/>
    <w:rsid w:val="002A70D9"/>
    <w:rsid w:val="002A7C68"/>
    <w:rsid w:val="002B25E3"/>
    <w:rsid w:val="002B39E3"/>
    <w:rsid w:val="002B4D53"/>
    <w:rsid w:val="002B575D"/>
    <w:rsid w:val="002C593B"/>
    <w:rsid w:val="002C7FEC"/>
    <w:rsid w:val="002D0156"/>
    <w:rsid w:val="002D55DB"/>
    <w:rsid w:val="002D7478"/>
    <w:rsid w:val="002E79FE"/>
    <w:rsid w:val="002E7FE9"/>
    <w:rsid w:val="002F02C0"/>
    <w:rsid w:val="002F07E9"/>
    <w:rsid w:val="002F1CCA"/>
    <w:rsid w:val="002F31FB"/>
    <w:rsid w:val="002F6629"/>
    <w:rsid w:val="002F6B34"/>
    <w:rsid w:val="002F7633"/>
    <w:rsid w:val="0030010E"/>
    <w:rsid w:val="003055CA"/>
    <w:rsid w:val="00306151"/>
    <w:rsid w:val="00307C32"/>
    <w:rsid w:val="00311545"/>
    <w:rsid w:val="00316D61"/>
    <w:rsid w:val="00321B5F"/>
    <w:rsid w:val="00322CFD"/>
    <w:rsid w:val="003244D0"/>
    <w:rsid w:val="00325021"/>
    <w:rsid w:val="00334D4F"/>
    <w:rsid w:val="003354FC"/>
    <w:rsid w:val="00337FB0"/>
    <w:rsid w:val="003403AC"/>
    <w:rsid w:val="00343F14"/>
    <w:rsid w:val="0034627F"/>
    <w:rsid w:val="003467B2"/>
    <w:rsid w:val="00346C5A"/>
    <w:rsid w:val="0035341B"/>
    <w:rsid w:val="00362437"/>
    <w:rsid w:val="00367E61"/>
    <w:rsid w:val="00370890"/>
    <w:rsid w:val="00373E2B"/>
    <w:rsid w:val="003740CC"/>
    <w:rsid w:val="00374946"/>
    <w:rsid w:val="00374A47"/>
    <w:rsid w:val="00380679"/>
    <w:rsid w:val="00382FA6"/>
    <w:rsid w:val="00385F38"/>
    <w:rsid w:val="0038799A"/>
    <w:rsid w:val="00390493"/>
    <w:rsid w:val="00391243"/>
    <w:rsid w:val="00391E0C"/>
    <w:rsid w:val="003946F7"/>
    <w:rsid w:val="00395ECA"/>
    <w:rsid w:val="00397606"/>
    <w:rsid w:val="003A354B"/>
    <w:rsid w:val="003A39A2"/>
    <w:rsid w:val="003A41E5"/>
    <w:rsid w:val="003A4873"/>
    <w:rsid w:val="003A5B3A"/>
    <w:rsid w:val="003A6734"/>
    <w:rsid w:val="003A6AFF"/>
    <w:rsid w:val="003B05BC"/>
    <w:rsid w:val="003B2075"/>
    <w:rsid w:val="003B5E4D"/>
    <w:rsid w:val="003B68C9"/>
    <w:rsid w:val="003C01FB"/>
    <w:rsid w:val="003C02B0"/>
    <w:rsid w:val="003C0405"/>
    <w:rsid w:val="003C0CE6"/>
    <w:rsid w:val="003C3CF4"/>
    <w:rsid w:val="003C5D76"/>
    <w:rsid w:val="003C7963"/>
    <w:rsid w:val="003D0BEC"/>
    <w:rsid w:val="003D4560"/>
    <w:rsid w:val="003D59B6"/>
    <w:rsid w:val="003D672C"/>
    <w:rsid w:val="003D7015"/>
    <w:rsid w:val="003E140C"/>
    <w:rsid w:val="003E16E9"/>
    <w:rsid w:val="003E4A3E"/>
    <w:rsid w:val="003F0BFB"/>
    <w:rsid w:val="003F30F6"/>
    <w:rsid w:val="003F4BD1"/>
    <w:rsid w:val="003F572F"/>
    <w:rsid w:val="003F7622"/>
    <w:rsid w:val="004019C1"/>
    <w:rsid w:val="00403C44"/>
    <w:rsid w:val="0040509A"/>
    <w:rsid w:val="00405BAB"/>
    <w:rsid w:val="00411A15"/>
    <w:rsid w:val="0041514B"/>
    <w:rsid w:val="00420041"/>
    <w:rsid w:val="00420649"/>
    <w:rsid w:val="004219C6"/>
    <w:rsid w:val="00423B4B"/>
    <w:rsid w:val="00427498"/>
    <w:rsid w:val="0043077E"/>
    <w:rsid w:val="004321EE"/>
    <w:rsid w:val="0043232D"/>
    <w:rsid w:val="0043259C"/>
    <w:rsid w:val="00440D82"/>
    <w:rsid w:val="0044310A"/>
    <w:rsid w:val="004434F3"/>
    <w:rsid w:val="00444AB0"/>
    <w:rsid w:val="00446D6E"/>
    <w:rsid w:val="00461571"/>
    <w:rsid w:val="00462022"/>
    <w:rsid w:val="00465408"/>
    <w:rsid w:val="00470041"/>
    <w:rsid w:val="004730F3"/>
    <w:rsid w:val="004770E0"/>
    <w:rsid w:val="0047794B"/>
    <w:rsid w:val="004779DE"/>
    <w:rsid w:val="00477A33"/>
    <w:rsid w:val="0048398D"/>
    <w:rsid w:val="00483DD6"/>
    <w:rsid w:val="0048403A"/>
    <w:rsid w:val="00486E40"/>
    <w:rsid w:val="00487B6D"/>
    <w:rsid w:val="00492211"/>
    <w:rsid w:val="00494064"/>
    <w:rsid w:val="004A0793"/>
    <w:rsid w:val="004A10F8"/>
    <w:rsid w:val="004A2271"/>
    <w:rsid w:val="004A47B7"/>
    <w:rsid w:val="004B075E"/>
    <w:rsid w:val="004B1050"/>
    <w:rsid w:val="004B529D"/>
    <w:rsid w:val="004B5AE3"/>
    <w:rsid w:val="004B7A95"/>
    <w:rsid w:val="004C1B79"/>
    <w:rsid w:val="004C2CEB"/>
    <w:rsid w:val="004C4279"/>
    <w:rsid w:val="004C685E"/>
    <w:rsid w:val="004C6C65"/>
    <w:rsid w:val="004D02EB"/>
    <w:rsid w:val="004D0920"/>
    <w:rsid w:val="004D45D3"/>
    <w:rsid w:val="004D5F1E"/>
    <w:rsid w:val="004E08E7"/>
    <w:rsid w:val="004E34FC"/>
    <w:rsid w:val="004E5BD8"/>
    <w:rsid w:val="004F07DA"/>
    <w:rsid w:val="004F1AB6"/>
    <w:rsid w:val="004F3007"/>
    <w:rsid w:val="004F759B"/>
    <w:rsid w:val="00501824"/>
    <w:rsid w:val="00501832"/>
    <w:rsid w:val="005037FB"/>
    <w:rsid w:val="00503972"/>
    <w:rsid w:val="00507451"/>
    <w:rsid w:val="005155CE"/>
    <w:rsid w:val="00515FF9"/>
    <w:rsid w:val="00516AC2"/>
    <w:rsid w:val="00520B55"/>
    <w:rsid w:val="00521300"/>
    <w:rsid w:val="00523C87"/>
    <w:rsid w:val="00524934"/>
    <w:rsid w:val="00524C63"/>
    <w:rsid w:val="00525D5B"/>
    <w:rsid w:val="0053097A"/>
    <w:rsid w:val="005325AA"/>
    <w:rsid w:val="005332F7"/>
    <w:rsid w:val="0053677E"/>
    <w:rsid w:val="00537B37"/>
    <w:rsid w:val="0054018A"/>
    <w:rsid w:val="00543595"/>
    <w:rsid w:val="00544B8E"/>
    <w:rsid w:val="00544E08"/>
    <w:rsid w:val="00545060"/>
    <w:rsid w:val="0054685A"/>
    <w:rsid w:val="00547852"/>
    <w:rsid w:val="005510B7"/>
    <w:rsid w:val="00560DD2"/>
    <w:rsid w:val="005646F5"/>
    <w:rsid w:val="0056755C"/>
    <w:rsid w:val="005675F2"/>
    <w:rsid w:val="00570A3C"/>
    <w:rsid w:val="00571835"/>
    <w:rsid w:val="0057275E"/>
    <w:rsid w:val="00572904"/>
    <w:rsid w:val="005763D4"/>
    <w:rsid w:val="0057708B"/>
    <w:rsid w:val="00580D30"/>
    <w:rsid w:val="00584428"/>
    <w:rsid w:val="005851E3"/>
    <w:rsid w:val="00585457"/>
    <w:rsid w:val="005876C8"/>
    <w:rsid w:val="00590777"/>
    <w:rsid w:val="00590812"/>
    <w:rsid w:val="00590A76"/>
    <w:rsid w:val="00590AE3"/>
    <w:rsid w:val="005930A1"/>
    <w:rsid w:val="00593296"/>
    <w:rsid w:val="005963A3"/>
    <w:rsid w:val="00597F91"/>
    <w:rsid w:val="005A0339"/>
    <w:rsid w:val="005A16DD"/>
    <w:rsid w:val="005A1F4A"/>
    <w:rsid w:val="005A262F"/>
    <w:rsid w:val="005A425A"/>
    <w:rsid w:val="005A4EEE"/>
    <w:rsid w:val="005A6174"/>
    <w:rsid w:val="005A6893"/>
    <w:rsid w:val="005A77C9"/>
    <w:rsid w:val="005B0FA0"/>
    <w:rsid w:val="005B1491"/>
    <w:rsid w:val="005B43C8"/>
    <w:rsid w:val="005B55F8"/>
    <w:rsid w:val="005B6965"/>
    <w:rsid w:val="005B72B3"/>
    <w:rsid w:val="005C0F94"/>
    <w:rsid w:val="005C1D16"/>
    <w:rsid w:val="005C20BA"/>
    <w:rsid w:val="005C4BCD"/>
    <w:rsid w:val="005C7329"/>
    <w:rsid w:val="005D071F"/>
    <w:rsid w:val="005D17DA"/>
    <w:rsid w:val="005D2EF7"/>
    <w:rsid w:val="005E0B20"/>
    <w:rsid w:val="005E3255"/>
    <w:rsid w:val="005E57D9"/>
    <w:rsid w:val="005E587F"/>
    <w:rsid w:val="005E64B5"/>
    <w:rsid w:val="005E6B3B"/>
    <w:rsid w:val="005F11D5"/>
    <w:rsid w:val="005F3F3E"/>
    <w:rsid w:val="005F75BA"/>
    <w:rsid w:val="00600821"/>
    <w:rsid w:val="00600907"/>
    <w:rsid w:val="00603A12"/>
    <w:rsid w:val="00604965"/>
    <w:rsid w:val="00604E72"/>
    <w:rsid w:val="00606AE0"/>
    <w:rsid w:val="006124B3"/>
    <w:rsid w:val="00613888"/>
    <w:rsid w:val="00613CD2"/>
    <w:rsid w:val="00620EF1"/>
    <w:rsid w:val="0062276A"/>
    <w:rsid w:val="00623A61"/>
    <w:rsid w:val="00624DCC"/>
    <w:rsid w:val="00627E43"/>
    <w:rsid w:val="006300B3"/>
    <w:rsid w:val="0063374C"/>
    <w:rsid w:val="00634A64"/>
    <w:rsid w:val="00636925"/>
    <w:rsid w:val="006412E2"/>
    <w:rsid w:val="00641630"/>
    <w:rsid w:val="00642158"/>
    <w:rsid w:val="00644B2A"/>
    <w:rsid w:val="00644B8E"/>
    <w:rsid w:val="006459DD"/>
    <w:rsid w:val="00645F16"/>
    <w:rsid w:val="00647145"/>
    <w:rsid w:val="006474DB"/>
    <w:rsid w:val="006501CC"/>
    <w:rsid w:val="00650A66"/>
    <w:rsid w:val="00650C51"/>
    <w:rsid w:val="00650FF6"/>
    <w:rsid w:val="00652345"/>
    <w:rsid w:val="00652D69"/>
    <w:rsid w:val="00653013"/>
    <w:rsid w:val="00656D42"/>
    <w:rsid w:val="00656EF2"/>
    <w:rsid w:val="0066267A"/>
    <w:rsid w:val="00662EAE"/>
    <w:rsid w:val="00664C9D"/>
    <w:rsid w:val="0066797E"/>
    <w:rsid w:val="00670714"/>
    <w:rsid w:val="006723E0"/>
    <w:rsid w:val="0067442A"/>
    <w:rsid w:val="006761F2"/>
    <w:rsid w:val="00676A44"/>
    <w:rsid w:val="00681EA4"/>
    <w:rsid w:val="00682841"/>
    <w:rsid w:val="00684D0C"/>
    <w:rsid w:val="00685CB0"/>
    <w:rsid w:val="00686C85"/>
    <w:rsid w:val="00686F17"/>
    <w:rsid w:val="00692577"/>
    <w:rsid w:val="00692BC4"/>
    <w:rsid w:val="00693978"/>
    <w:rsid w:val="00693F79"/>
    <w:rsid w:val="006A027A"/>
    <w:rsid w:val="006A0415"/>
    <w:rsid w:val="006A191B"/>
    <w:rsid w:val="006A2727"/>
    <w:rsid w:val="006A37FE"/>
    <w:rsid w:val="006A3F01"/>
    <w:rsid w:val="006A4744"/>
    <w:rsid w:val="006A4E0D"/>
    <w:rsid w:val="006A5098"/>
    <w:rsid w:val="006A5B97"/>
    <w:rsid w:val="006A6A83"/>
    <w:rsid w:val="006B1106"/>
    <w:rsid w:val="006B16F8"/>
    <w:rsid w:val="006C1100"/>
    <w:rsid w:val="006C1DDD"/>
    <w:rsid w:val="006C23E9"/>
    <w:rsid w:val="006C657E"/>
    <w:rsid w:val="006D3DB4"/>
    <w:rsid w:val="006E1B46"/>
    <w:rsid w:val="006E1EBA"/>
    <w:rsid w:val="006E2415"/>
    <w:rsid w:val="006E2F7B"/>
    <w:rsid w:val="006E6B11"/>
    <w:rsid w:val="006E6D86"/>
    <w:rsid w:val="006F3453"/>
    <w:rsid w:val="006F445B"/>
    <w:rsid w:val="006F5446"/>
    <w:rsid w:val="006F66C1"/>
    <w:rsid w:val="00703CD5"/>
    <w:rsid w:val="0070459B"/>
    <w:rsid w:val="00705D10"/>
    <w:rsid w:val="00707208"/>
    <w:rsid w:val="00710FAF"/>
    <w:rsid w:val="0071526C"/>
    <w:rsid w:val="00715650"/>
    <w:rsid w:val="0072062D"/>
    <w:rsid w:val="007211DB"/>
    <w:rsid w:val="0072199E"/>
    <w:rsid w:val="0072338A"/>
    <w:rsid w:val="007242F9"/>
    <w:rsid w:val="007266A9"/>
    <w:rsid w:val="00735F86"/>
    <w:rsid w:val="007375FC"/>
    <w:rsid w:val="007404E8"/>
    <w:rsid w:val="00740C8E"/>
    <w:rsid w:val="00741EBB"/>
    <w:rsid w:val="00742812"/>
    <w:rsid w:val="00744B4A"/>
    <w:rsid w:val="00751219"/>
    <w:rsid w:val="007526E4"/>
    <w:rsid w:val="00753C09"/>
    <w:rsid w:val="00754253"/>
    <w:rsid w:val="00754D17"/>
    <w:rsid w:val="00756486"/>
    <w:rsid w:val="00760940"/>
    <w:rsid w:val="00760DF2"/>
    <w:rsid w:val="00762889"/>
    <w:rsid w:val="00763886"/>
    <w:rsid w:val="00765704"/>
    <w:rsid w:val="00765CDC"/>
    <w:rsid w:val="0076753F"/>
    <w:rsid w:val="00774437"/>
    <w:rsid w:val="0077508B"/>
    <w:rsid w:val="00777380"/>
    <w:rsid w:val="007817DC"/>
    <w:rsid w:val="00782B50"/>
    <w:rsid w:val="00783515"/>
    <w:rsid w:val="007848D4"/>
    <w:rsid w:val="00785DB4"/>
    <w:rsid w:val="007872A5"/>
    <w:rsid w:val="00790AF5"/>
    <w:rsid w:val="007910D2"/>
    <w:rsid w:val="00792C47"/>
    <w:rsid w:val="00793DDB"/>
    <w:rsid w:val="00793F0D"/>
    <w:rsid w:val="007952C0"/>
    <w:rsid w:val="00795D29"/>
    <w:rsid w:val="007960ED"/>
    <w:rsid w:val="00797C2F"/>
    <w:rsid w:val="007A09CA"/>
    <w:rsid w:val="007A4AA6"/>
    <w:rsid w:val="007A66CF"/>
    <w:rsid w:val="007B1A2C"/>
    <w:rsid w:val="007B2C93"/>
    <w:rsid w:val="007B2CF7"/>
    <w:rsid w:val="007B3A6D"/>
    <w:rsid w:val="007B47DA"/>
    <w:rsid w:val="007B6954"/>
    <w:rsid w:val="007B7FD1"/>
    <w:rsid w:val="007C175A"/>
    <w:rsid w:val="007C525B"/>
    <w:rsid w:val="007C5D97"/>
    <w:rsid w:val="007D382D"/>
    <w:rsid w:val="007D45BE"/>
    <w:rsid w:val="007D6FC6"/>
    <w:rsid w:val="007D7C91"/>
    <w:rsid w:val="007E20C7"/>
    <w:rsid w:val="007E3A1F"/>
    <w:rsid w:val="007E43D3"/>
    <w:rsid w:val="007E560F"/>
    <w:rsid w:val="007E5B70"/>
    <w:rsid w:val="007F0336"/>
    <w:rsid w:val="007F11C7"/>
    <w:rsid w:val="007F3636"/>
    <w:rsid w:val="007F3A41"/>
    <w:rsid w:val="00803B0B"/>
    <w:rsid w:val="008054F8"/>
    <w:rsid w:val="008100FB"/>
    <w:rsid w:val="00810278"/>
    <w:rsid w:val="00816DD2"/>
    <w:rsid w:val="008174A7"/>
    <w:rsid w:val="008212ED"/>
    <w:rsid w:val="00821CBD"/>
    <w:rsid w:val="00821EED"/>
    <w:rsid w:val="008221EB"/>
    <w:rsid w:val="0082462D"/>
    <w:rsid w:val="008259E3"/>
    <w:rsid w:val="00827993"/>
    <w:rsid w:val="00831DA0"/>
    <w:rsid w:val="00832E7C"/>
    <w:rsid w:val="008350CF"/>
    <w:rsid w:val="00836A68"/>
    <w:rsid w:val="00836BD7"/>
    <w:rsid w:val="00840708"/>
    <w:rsid w:val="00840C80"/>
    <w:rsid w:val="00842701"/>
    <w:rsid w:val="0084282E"/>
    <w:rsid w:val="00846948"/>
    <w:rsid w:val="00847ADB"/>
    <w:rsid w:val="00852234"/>
    <w:rsid w:val="00854667"/>
    <w:rsid w:val="008556A3"/>
    <w:rsid w:val="008577EA"/>
    <w:rsid w:val="00857DB7"/>
    <w:rsid w:val="008603EB"/>
    <w:rsid w:val="00863735"/>
    <w:rsid w:val="00865E1E"/>
    <w:rsid w:val="008672B9"/>
    <w:rsid w:val="008723B3"/>
    <w:rsid w:val="00876A43"/>
    <w:rsid w:val="00881A80"/>
    <w:rsid w:val="00881BB1"/>
    <w:rsid w:val="00881FAD"/>
    <w:rsid w:val="00882392"/>
    <w:rsid w:val="00882B52"/>
    <w:rsid w:val="00887C79"/>
    <w:rsid w:val="008909EA"/>
    <w:rsid w:val="00890BCA"/>
    <w:rsid w:val="00892BD5"/>
    <w:rsid w:val="008A0509"/>
    <w:rsid w:val="008A0AA7"/>
    <w:rsid w:val="008A13E5"/>
    <w:rsid w:val="008A4F72"/>
    <w:rsid w:val="008A55DD"/>
    <w:rsid w:val="008A7A5E"/>
    <w:rsid w:val="008B123B"/>
    <w:rsid w:val="008B1F55"/>
    <w:rsid w:val="008B2140"/>
    <w:rsid w:val="008B2C6E"/>
    <w:rsid w:val="008B44C7"/>
    <w:rsid w:val="008B56E9"/>
    <w:rsid w:val="008C1471"/>
    <w:rsid w:val="008C1FA7"/>
    <w:rsid w:val="008C2BC5"/>
    <w:rsid w:val="008C342F"/>
    <w:rsid w:val="008C5146"/>
    <w:rsid w:val="008C7CB3"/>
    <w:rsid w:val="008C7DAA"/>
    <w:rsid w:val="008D0AD0"/>
    <w:rsid w:val="008D1498"/>
    <w:rsid w:val="008D1FE7"/>
    <w:rsid w:val="008D3363"/>
    <w:rsid w:val="008D4353"/>
    <w:rsid w:val="008D4915"/>
    <w:rsid w:val="008D5BF6"/>
    <w:rsid w:val="008D6CFA"/>
    <w:rsid w:val="008E0879"/>
    <w:rsid w:val="008E121A"/>
    <w:rsid w:val="008E26E1"/>
    <w:rsid w:val="008E3288"/>
    <w:rsid w:val="008E4782"/>
    <w:rsid w:val="008E6332"/>
    <w:rsid w:val="008F22C5"/>
    <w:rsid w:val="008F3E53"/>
    <w:rsid w:val="008F3ECB"/>
    <w:rsid w:val="008F6721"/>
    <w:rsid w:val="008F6D60"/>
    <w:rsid w:val="009025A7"/>
    <w:rsid w:val="00903E75"/>
    <w:rsid w:val="00904724"/>
    <w:rsid w:val="00906C77"/>
    <w:rsid w:val="00906C82"/>
    <w:rsid w:val="009124EF"/>
    <w:rsid w:val="00916D58"/>
    <w:rsid w:val="00921360"/>
    <w:rsid w:val="009227F2"/>
    <w:rsid w:val="0092308A"/>
    <w:rsid w:val="009232CE"/>
    <w:rsid w:val="00923C95"/>
    <w:rsid w:val="0093119A"/>
    <w:rsid w:val="00936B86"/>
    <w:rsid w:val="0094207A"/>
    <w:rsid w:val="00942C4E"/>
    <w:rsid w:val="00944DA8"/>
    <w:rsid w:val="00945B72"/>
    <w:rsid w:val="009463C9"/>
    <w:rsid w:val="00951784"/>
    <w:rsid w:val="00952819"/>
    <w:rsid w:val="00952D7B"/>
    <w:rsid w:val="0095343A"/>
    <w:rsid w:val="00953690"/>
    <w:rsid w:val="0095516D"/>
    <w:rsid w:val="009551A3"/>
    <w:rsid w:val="00955391"/>
    <w:rsid w:val="00955F64"/>
    <w:rsid w:val="00961F49"/>
    <w:rsid w:val="00965D1C"/>
    <w:rsid w:val="0096609A"/>
    <w:rsid w:val="0096778F"/>
    <w:rsid w:val="00976943"/>
    <w:rsid w:val="00977BA5"/>
    <w:rsid w:val="00977FCA"/>
    <w:rsid w:val="009802FA"/>
    <w:rsid w:val="009837AB"/>
    <w:rsid w:val="00986A5F"/>
    <w:rsid w:val="0098731C"/>
    <w:rsid w:val="00990EF1"/>
    <w:rsid w:val="00991594"/>
    <w:rsid w:val="00995FD2"/>
    <w:rsid w:val="0099687A"/>
    <w:rsid w:val="00996CE2"/>
    <w:rsid w:val="00997FCF"/>
    <w:rsid w:val="009A060E"/>
    <w:rsid w:val="009A207E"/>
    <w:rsid w:val="009A3619"/>
    <w:rsid w:val="009A53FE"/>
    <w:rsid w:val="009B01D4"/>
    <w:rsid w:val="009B03E7"/>
    <w:rsid w:val="009B0ED3"/>
    <w:rsid w:val="009B1815"/>
    <w:rsid w:val="009B26C8"/>
    <w:rsid w:val="009B3EE4"/>
    <w:rsid w:val="009B71FF"/>
    <w:rsid w:val="009C0B9A"/>
    <w:rsid w:val="009C0EA7"/>
    <w:rsid w:val="009C2268"/>
    <w:rsid w:val="009C546E"/>
    <w:rsid w:val="009C5C35"/>
    <w:rsid w:val="009C7442"/>
    <w:rsid w:val="009D1889"/>
    <w:rsid w:val="009D6208"/>
    <w:rsid w:val="009D722D"/>
    <w:rsid w:val="009D7CF7"/>
    <w:rsid w:val="009E13F3"/>
    <w:rsid w:val="009E14CD"/>
    <w:rsid w:val="009F054D"/>
    <w:rsid w:val="009F09E8"/>
    <w:rsid w:val="009F17BB"/>
    <w:rsid w:val="009F5D71"/>
    <w:rsid w:val="00A006C5"/>
    <w:rsid w:val="00A0189F"/>
    <w:rsid w:val="00A018EA"/>
    <w:rsid w:val="00A0218F"/>
    <w:rsid w:val="00A0269D"/>
    <w:rsid w:val="00A123AA"/>
    <w:rsid w:val="00A13416"/>
    <w:rsid w:val="00A135AE"/>
    <w:rsid w:val="00A16E27"/>
    <w:rsid w:val="00A2015B"/>
    <w:rsid w:val="00A2243D"/>
    <w:rsid w:val="00A22B52"/>
    <w:rsid w:val="00A26F36"/>
    <w:rsid w:val="00A32496"/>
    <w:rsid w:val="00A32EE6"/>
    <w:rsid w:val="00A3324B"/>
    <w:rsid w:val="00A34FB0"/>
    <w:rsid w:val="00A425DB"/>
    <w:rsid w:val="00A432C5"/>
    <w:rsid w:val="00A467D6"/>
    <w:rsid w:val="00A5019C"/>
    <w:rsid w:val="00A517C1"/>
    <w:rsid w:val="00A5282C"/>
    <w:rsid w:val="00A53662"/>
    <w:rsid w:val="00A549AE"/>
    <w:rsid w:val="00A549B6"/>
    <w:rsid w:val="00A5641F"/>
    <w:rsid w:val="00A56942"/>
    <w:rsid w:val="00A56A37"/>
    <w:rsid w:val="00A5707D"/>
    <w:rsid w:val="00A572CE"/>
    <w:rsid w:val="00A60C06"/>
    <w:rsid w:val="00A63AE1"/>
    <w:rsid w:val="00A64621"/>
    <w:rsid w:val="00A667C6"/>
    <w:rsid w:val="00A669FE"/>
    <w:rsid w:val="00A72333"/>
    <w:rsid w:val="00A72573"/>
    <w:rsid w:val="00A730D8"/>
    <w:rsid w:val="00A80464"/>
    <w:rsid w:val="00A81740"/>
    <w:rsid w:val="00A81F80"/>
    <w:rsid w:val="00A83A59"/>
    <w:rsid w:val="00A85C96"/>
    <w:rsid w:val="00A85E4C"/>
    <w:rsid w:val="00A8750C"/>
    <w:rsid w:val="00A90BC8"/>
    <w:rsid w:val="00A95A48"/>
    <w:rsid w:val="00A95F59"/>
    <w:rsid w:val="00A9651C"/>
    <w:rsid w:val="00AA3DFC"/>
    <w:rsid w:val="00AA4263"/>
    <w:rsid w:val="00AA643D"/>
    <w:rsid w:val="00AA66C9"/>
    <w:rsid w:val="00AA6853"/>
    <w:rsid w:val="00AB3318"/>
    <w:rsid w:val="00AB3D13"/>
    <w:rsid w:val="00AB5E23"/>
    <w:rsid w:val="00AB64DD"/>
    <w:rsid w:val="00AC0293"/>
    <w:rsid w:val="00AC29B0"/>
    <w:rsid w:val="00AC2D7C"/>
    <w:rsid w:val="00AC535F"/>
    <w:rsid w:val="00AD3CB9"/>
    <w:rsid w:val="00AE021A"/>
    <w:rsid w:val="00AE315C"/>
    <w:rsid w:val="00AE3B57"/>
    <w:rsid w:val="00AE444C"/>
    <w:rsid w:val="00AE7CEC"/>
    <w:rsid w:val="00AF1BC0"/>
    <w:rsid w:val="00AF4B74"/>
    <w:rsid w:val="00AF5CAC"/>
    <w:rsid w:val="00B015BB"/>
    <w:rsid w:val="00B024D7"/>
    <w:rsid w:val="00B03B56"/>
    <w:rsid w:val="00B132E3"/>
    <w:rsid w:val="00B160ED"/>
    <w:rsid w:val="00B20CE3"/>
    <w:rsid w:val="00B210EE"/>
    <w:rsid w:val="00B31CCF"/>
    <w:rsid w:val="00B31FB6"/>
    <w:rsid w:val="00B35B1E"/>
    <w:rsid w:val="00B40928"/>
    <w:rsid w:val="00B43470"/>
    <w:rsid w:val="00B437F4"/>
    <w:rsid w:val="00B45BCC"/>
    <w:rsid w:val="00B45C06"/>
    <w:rsid w:val="00B4635F"/>
    <w:rsid w:val="00B46D53"/>
    <w:rsid w:val="00B50147"/>
    <w:rsid w:val="00B5092E"/>
    <w:rsid w:val="00B534E4"/>
    <w:rsid w:val="00B55F2B"/>
    <w:rsid w:val="00B600F2"/>
    <w:rsid w:val="00B60AA7"/>
    <w:rsid w:val="00B66F88"/>
    <w:rsid w:val="00B725BE"/>
    <w:rsid w:val="00B72ED4"/>
    <w:rsid w:val="00B77114"/>
    <w:rsid w:val="00B80D0F"/>
    <w:rsid w:val="00B82AEF"/>
    <w:rsid w:val="00B835A5"/>
    <w:rsid w:val="00B85D7F"/>
    <w:rsid w:val="00B90E8F"/>
    <w:rsid w:val="00B918CB"/>
    <w:rsid w:val="00B92D7C"/>
    <w:rsid w:val="00B92E68"/>
    <w:rsid w:val="00B93846"/>
    <w:rsid w:val="00B939DD"/>
    <w:rsid w:val="00B94A24"/>
    <w:rsid w:val="00B96361"/>
    <w:rsid w:val="00BA149B"/>
    <w:rsid w:val="00BA3C80"/>
    <w:rsid w:val="00BA45EA"/>
    <w:rsid w:val="00BA5B1A"/>
    <w:rsid w:val="00BA77BE"/>
    <w:rsid w:val="00BB2827"/>
    <w:rsid w:val="00BB3D5D"/>
    <w:rsid w:val="00BB5E5C"/>
    <w:rsid w:val="00BB5F31"/>
    <w:rsid w:val="00BC0408"/>
    <w:rsid w:val="00BC2D8A"/>
    <w:rsid w:val="00BC4E0F"/>
    <w:rsid w:val="00BC4E46"/>
    <w:rsid w:val="00BC7323"/>
    <w:rsid w:val="00BD024F"/>
    <w:rsid w:val="00BD08CB"/>
    <w:rsid w:val="00BD2084"/>
    <w:rsid w:val="00BD74AF"/>
    <w:rsid w:val="00BD78D4"/>
    <w:rsid w:val="00BD7FCB"/>
    <w:rsid w:val="00BE00D0"/>
    <w:rsid w:val="00BE5313"/>
    <w:rsid w:val="00BE7712"/>
    <w:rsid w:val="00BF180C"/>
    <w:rsid w:val="00BF1818"/>
    <w:rsid w:val="00BF3991"/>
    <w:rsid w:val="00BF3BE9"/>
    <w:rsid w:val="00C030FE"/>
    <w:rsid w:val="00C047CE"/>
    <w:rsid w:val="00C04979"/>
    <w:rsid w:val="00C050B5"/>
    <w:rsid w:val="00C05BAB"/>
    <w:rsid w:val="00C06901"/>
    <w:rsid w:val="00C10762"/>
    <w:rsid w:val="00C1215B"/>
    <w:rsid w:val="00C14286"/>
    <w:rsid w:val="00C152E7"/>
    <w:rsid w:val="00C20C63"/>
    <w:rsid w:val="00C20FB3"/>
    <w:rsid w:val="00C2106A"/>
    <w:rsid w:val="00C21757"/>
    <w:rsid w:val="00C23206"/>
    <w:rsid w:val="00C238E2"/>
    <w:rsid w:val="00C239AE"/>
    <w:rsid w:val="00C26DA3"/>
    <w:rsid w:val="00C273E3"/>
    <w:rsid w:val="00C27F3C"/>
    <w:rsid w:val="00C318B0"/>
    <w:rsid w:val="00C3286C"/>
    <w:rsid w:val="00C33174"/>
    <w:rsid w:val="00C360BF"/>
    <w:rsid w:val="00C36A71"/>
    <w:rsid w:val="00C42918"/>
    <w:rsid w:val="00C4402F"/>
    <w:rsid w:val="00C448E4"/>
    <w:rsid w:val="00C45137"/>
    <w:rsid w:val="00C456EE"/>
    <w:rsid w:val="00C47842"/>
    <w:rsid w:val="00C478DE"/>
    <w:rsid w:val="00C51414"/>
    <w:rsid w:val="00C666CB"/>
    <w:rsid w:val="00C66BE7"/>
    <w:rsid w:val="00C67B31"/>
    <w:rsid w:val="00C705A9"/>
    <w:rsid w:val="00C71EFC"/>
    <w:rsid w:val="00C7304A"/>
    <w:rsid w:val="00C74FA3"/>
    <w:rsid w:val="00C76260"/>
    <w:rsid w:val="00C801C2"/>
    <w:rsid w:val="00C82531"/>
    <w:rsid w:val="00C8417F"/>
    <w:rsid w:val="00C8461D"/>
    <w:rsid w:val="00C86290"/>
    <w:rsid w:val="00C92CD7"/>
    <w:rsid w:val="00C92EFE"/>
    <w:rsid w:val="00C93CE6"/>
    <w:rsid w:val="00CA1E74"/>
    <w:rsid w:val="00CB1675"/>
    <w:rsid w:val="00CB5FC8"/>
    <w:rsid w:val="00CB7887"/>
    <w:rsid w:val="00CC10CD"/>
    <w:rsid w:val="00CC15E5"/>
    <w:rsid w:val="00CC3CC0"/>
    <w:rsid w:val="00CC5857"/>
    <w:rsid w:val="00CC6280"/>
    <w:rsid w:val="00CC6687"/>
    <w:rsid w:val="00CD02A3"/>
    <w:rsid w:val="00CD10B0"/>
    <w:rsid w:val="00CD1794"/>
    <w:rsid w:val="00CD31C6"/>
    <w:rsid w:val="00CD3625"/>
    <w:rsid w:val="00CD4F1C"/>
    <w:rsid w:val="00CD5AEF"/>
    <w:rsid w:val="00CD7DEF"/>
    <w:rsid w:val="00CE3B71"/>
    <w:rsid w:val="00CE4745"/>
    <w:rsid w:val="00CE5763"/>
    <w:rsid w:val="00CF1458"/>
    <w:rsid w:val="00CF156B"/>
    <w:rsid w:val="00CF1880"/>
    <w:rsid w:val="00CF1973"/>
    <w:rsid w:val="00CF2858"/>
    <w:rsid w:val="00CF3DDA"/>
    <w:rsid w:val="00CF583E"/>
    <w:rsid w:val="00CF6271"/>
    <w:rsid w:val="00D00B00"/>
    <w:rsid w:val="00D021D5"/>
    <w:rsid w:val="00D038B1"/>
    <w:rsid w:val="00D0442B"/>
    <w:rsid w:val="00D05DC2"/>
    <w:rsid w:val="00D06230"/>
    <w:rsid w:val="00D068D7"/>
    <w:rsid w:val="00D07DA3"/>
    <w:rsid w:val="00D109AE"/>
    <w:rsid w:val="00D11579"/>
    <w:rsid w:val="00D1299A"/>
    <w:rsid w:val="00D14E11"/>
    <w:rsid w:val="00D21D52"/>
    <w:rsid w:val="00D23852"/>
    <w:rsid w:val="00D27572"/>
    <w:rsid w:val="00D305DA"/>
    <w:rsid w:val="00D31E28"/>
    <w:rsid w:val="00D353A2"/>
    <w:rsid w:val="00D36F23"/>
    <w:rsid w:val="00D466DA"/>
    <w:rsid w:val="00D55CE1"/>
    <w:rsid w:val="00D55E66"/>
    <w:rsid w:val="00D561E0"/>
    <w:rsid w:val="00D62B10"/>
    <w:rsid w:val="00D646F6"/>
    <w:rsid w:val="00D65185"/>
    <w:rsid w:val="00D70216"/>
    <w:rsid w:val="00D73F4D"/>
    <w:rsid w:val="00D743B5"/>
    <w:rsid w:val="00D77CB2"/>
    <w:rsid w:val="00D80A80"/>
    <w:rsid w:val="00D80CAC"/>
    <w:rsid w:val="00D81447"/>
    <w:rsid w:val="00D83C7D"/>
    <w:rsid w:val="00D87405"/>
    <w:rsid w:val="00D903D6"/>
    <w:rsid w:val="00D92E38"/>
    <w:rsid w:val="00D9486F"/>
    <w:rsid w:val="00D95167"/>
    <w:rsid w:val="00DA1BD6"/>
    <w:rsid w:val="00DA41E8"/>
    <w:rsid w:val="00DA5C79"/>
    <w:rsid w:val="00DB36FB"/>
    <w:rsid w:val="00DB5F5D"/>
    <w:rsid w:val="00DB6182"/>
    <w:rsid w:val="00DB7E5C"/>
    <w:rsid w:val="00DC0F86"/>
    <w:rsid w:val="00DC19D2"/>
    <w:rsid w:val="00DC388B"/>
    <w:rsid w:val="00DC449A"/>
    <w:rsid w:val="00DC5012"/>
    <w:rsid w:val="00DC654F"/>
    <w:rsid w:val="00DD1161"/>
    <w:rsid w:val="00DD11B0"/>
    <w:rsid w:val="00DD475A"/>
    <w:rsid w:val="00DD60E1"/>
    <w:rsid w:val="00DE197A"/>
    <w:rsid w:val="00DE1C46"/>
    <w:rsid w:val="00DE2930"/>
    <w:rsid w:val="00DE49A5"/>
    <w:rsid w:val="00DE5CA2"/>
    <w:rsid w:val="00DF0191"/>
    <w:rsid w:val="00DF32E0"/>
    <w:rsid w:val="00DF518F"/>
    <w:rsid w:val="00DF55C4"/>
    <w:rsid w:val="00E02369"/>
    <w:rsid w:val="00E04283"/>
    <w:rsid w:val="00E04A78"/>
    <w:rsid w:val="00E21076"/>
    <w:rsid w:val="00E22696"/>
    <w:rsid w:val="00E23A77"/>
    <w:rsid w:val="00E26F91"/>
    <w:rsid w:val="00E27835"/>
    <w:rsid w:val="00E3588B"/>
    <w:rsid w:val="00E35C46"/>
    <w:rsid w:val="00E37C44"/>
    <w:rsid w:val="00E40623"/>
    <w:rsid w:val="00E43DAE"/>
    <w:rsid w:val="00E465E3"/>
    <w:rsid w:val="00E53DFF"/>
    <w:rsid w:val="00E605A9"/>
    <w:rsid w:val="00E61606"/>
    <w:rsid w:val="00E661B3"/>
    <w:rsid w:val="00E677E1"/>
    <w:rsid w:val="00E70655"/>
    <w:rsid w:val="00E70EB7"/>
    <w:rsid w:val="00E71D51"/>
    <w:rsid w:val="00E7302E"/>
    <w:rsid w:val="00E75999"/>
    <w:rsid w:val="00E77BA9"/>
    <w:rsid w:val="00E8177E"/>
    <w:rsid w:val="00E8486D"/>
    <w:rsid w:val="00E849BB"/>
    <w:rsid w:val="00E85649"/>
    <w:rsid w:val="00E858A8"/>
    <w:rsid w:val="00E862E6"/>
    <w:rsid w:val="00E90F7E"/>
    <w:rsid w:val="00E9114E"/>
    <w:rsid w:val="00E91669"/>
    <w:rsid w:val="00E93B23"/>
    <w:rsid w:val="00E94D04"/>
    <w:rsid w:val="00E96BD9"/>
    <w:rsid w:val="00EA0C90"/>
    <w:rsid w:val="00EA2982"/>
    <w:rsid w:val="00EA31D3"/>
    <w:rsid w:val="00EA37C4"/>
    <w:rsid w:val="00EA3A27"/>
    <w:rsid w:val="00EB22C4"/>
    <w:rsid w:val="00EB3B07"/>
    <w:rsid w:val="00EC1125"/>
    <w:rsid w:val="00EC128A"/>
    <w:rsid w:val="00EC3F57"/>
    <w:rsid w:val="00EC4381"/>
    <w:rsid w:val="00EC780D"/>
    <w:rsid w:val="00ED183B"/>
    <w:rsid w:val="00ED479D"/>
    <w:rsid w:val="00ED65F3"/>
    <w:rsid w:val="00ED7483"/>
    <w:rsid w:val="00ED7C1C"/>
    <w:rsid w:val="00EE0348"/>
    <w:rsid w:val="00EE0C95"/>
    <w:rsid w:val="00EE2DCB"/>
    <w:rsid w:val="00EE7E44"/>
    <w:rsid w:val="00EF46EB"/>
    <w:rsid w:val="00F064C7"/>
    <w:rsid w:val="00F109D5"/>
    <w:rsid w:val="00F11A1F"/>
    <w:rsid w:val="00F11C6D"/>
    <w:rsid w:val="00F126D1"/>
    <w:rsid w:val="00F141FA"/>
    <w:rsid w:val="00F16586"/>
    <w:rsid w:val="00F21A4D"/>
    <w:rsid w:val="00F22B72"/>
    <w:rsid w:val="00F2439E"/>
    <w:rsid w:val="00F2513E"/>
    <w:rsid w:val="00F253C5"/>
    <w:rsid w:val="00F25DBB"/>
    <w:rsid w:val="00F25E61"/>
    <w:rsid w:val="00F27226"/>
    <w:rsid w:val="00F27806"/>
    <w:rsid w:val="00F27E42"/>
    <w:rsid w:val="00F32406"/>
    <w:rsid w:val="00F3254B"/>
    <w:rsid w:val="00F32981"/>
    <w:rsid w:val="00F33C3E"/>
    <w:rsid w:val="00F36F33"/>
    <w:rsid w:val="00F438FB"/>
    <w:rsid w:val="00F43A3C"/>
    <w:rsid w:val="00F44978"/>
    <w:rsid w:val="00F45DDA"/>
    <w:rsid w:val="00F45F3B"/>
    <w:rsid w:val="00F46D41"/>
    <w:rsid w:val="00F521B7"/>
    <w:rsid w:val="00F52FDE"/>
    <w:rsid w:val="00F60775"/>
    <w:rsid w:val="00F621CE"/>
    <w:rsid w:val="00F668CD"/>
    <w:rsid w:val="00F66F3A"/>
    <w:rsid w:val="00F725AD"/>
    <w:rsid w:val="00F72BE6"/>
    <w:rsid w:val="00F73B34"/>
    <w:rsid w:val="00F75594"/>
    <w:rsid w:val="00F76E34"/>
    <w:rsid w:val="00F7758E"/>
    <w:rsid w:val="00F8017B"/>
    <w:rsid w:val="00F81424"/>
    <w:rsid w:val="00F83BF6"/>
    <w:rsid w:val="00F849AC"/>
    <w:rsid w:val="00F84E0C"/>
    <w:rsid w:val="00F866D4"/>
    <w:rsid w:val="00F8696A"/>
    <w:rsid w:val="00F86DD5"/>
    <w:rsid w:val="00F90B8B"/>
    <w:rsid w:val="00F9312E"/>
    <w:rsid w:val="00F94B1A"/>
    <w:rsid w:val="00F96BD9"/>
    <w:rsid w:val="00F96C5A"/>
    <w:rsid w:val="00FA15BD"/>
    <w:rsid w:val="00FA1FBF"/>
    <w:rsid w:val="00FA2B2F"/>
    <w:rsid w:val="00FA2E90"/>
    <w:rsid w:val="00FA45B5"/>
    <w:rsid w:val="00FA7F8B"/>
    <w:rsid w:val="00FB3D1A"/>
    <w:rsid w:val="00FB5765"/>
    <w:rsid w:val="00FB6B16"/>
    <w:rsid w:val="00FB70F6"/>
    <w:rsid w:val="00FC342F"/>
    <w:rsid w:val="00FC421D"/>
    <w:rsid w:val="00FC5962"/>
    <w:rsid w:val="00FD27A1"/>
    <w:rsid w:val="00FD2CCD"/>
    <w:rsid w:val="00FD3B97"/>
    <w:rsid w:val="00FE35D9"/>
    <w:rsid w:val="00FE6DE3"/>
    <w:rsid w:val="00FF0C58"/>
    <w:rsid w:val="00FF2720"/>
    <w:rsid w:val="00FF3A0B"/>
    <w:rsid w:val="00FF7581"/>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81A80"/>
    <w:rPr>
      <w:sz w:val="24"/>
      <w:szCs w:val="24"/>
      <w:lang w:val="en-US" w:eastAsia="en-US"/>
    </w:rPr>
  </w:style>
  <w:style w:type="paragraph" w:styleId="Heading1">
    <w:name w:val="heading 1"/>
    <w:basedOn w:val="Normal"/>
    <w:link w:val="Heading1Char"/>
    <w:uiPriority w:val="9"/>
    <w:qFormat/>
    <w:rsid w:val="005963A3"/>
    <w:pPr>
      <w:spacing w:before="100" w:beforeAutospacing="1" w:after="100" w:afterAutospacing="1"/>
      <w:outlineLvl w:val="0"/>
    </w:pPr>
    <w:rPr>
      <w:b/>
      <w:bCs/>
      <w:kern w:val="36"/>
      <w:sz w:val="48"/>
      <w:szCs w:val="48"/>
      <w:lang w:val="en-NZ"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F25DBB"/>
    <w:rPr>
      <w:sz w:val="20"/>
      <w:szCs w:val="20"/>
    </w:rPr>
  </w:style>
  <w:style w:type="character" w:styleId="FootnoteReference">
    <w:name w:val="footnote reference"/>
    <w:basedOn w:val="DefaultParagraphFont"/>
    <w:semiHidden/>
    <w:rsid w:val="00F25DBB"/>
    <w:rPr>
      <w:vertAlign w:val="superscript"/>
    </w:rPr>
  </w:style>
  <w:style w:type="paragraph" w:styleId="Header">
    <w:name w:val="header"/>
    <w:basedOn w:val="Normal"/>
    <w:rsid w:val="00B82AEF"/>
    <w:pPr>
      <w:tabs>
        <w:tab w:val="center" w:pos="4320"/>
        <w:tab w:val="right" w:pos="8640"/>
      </w:tabs>
    </w:pPr>
  </w:style>
  <w:style w:type="paragraph" w:styleId="Footer">
    <w:name w:val="footer"/>
    <w:basedOn w:val="Normal"/>
    <w:link w:val="FooterChar"/>
    <w:uiPriority w:val="99"/>
    <w:rsid w:val="00B82AEF"/>
    <w:pPr>
      <w:tabs>
        <w:tab w:val="center" w:pos="4320"/>
        <w:tab w:val="right" w:pos="8640"/>
      </w:tabs>
    </w:pPr>
  </w:style>
  <w:style w:type="paragraph" w:styleId="BalloonText">
    <w:name w:val="Balloon Text"/>
    <w:basedOn w:val="Normal"/>
    <w:semiHidden/>
    <w:rsid w:val="00B82AEF"/>
    <w:rPr>
      <w:rFonts w:ascii="Tahoma" w:hAnsi="Tahoma" w:cs="Tahoma"/>
      <w:sz w:val="16"/>
      <w:szCs w:val="16"/>
    </w:rPr>
  </w:style>
  <w:style w:type="character" w:styleId="Hyperlink">
    <w:name w:val="Hyperlink"/>
    <w:basedOn w:val="DefaultParagraphFont"/>
    <w:rsid w:val="00F44978"/>
    <w:rPr>
      <w:color w:val="0000FF"/>
      <w:u w:val="single"/>
    </w:rPr>
  </w:style>
  <w:style w:type="character" w:customStyle="1" w:styleId="FootnoteTextChar">
    <w:name w:val="Footnote Text Char"/>
    <w:basedOn w:val="DefaultParagraphFont"/>
    <w:link w:val="FootnoteText"/>
    <w:semiHidden/>
    <w:rsid w:val="00986A5F"/>
    <w:rPr>
      <w:lang w:val="en-US" w:eastAsia="en-US"/>
    </w:rPr>
  </w:style>
  <w:style w:type="character" w:styleId="Emphasis">
    <w:name w:val="Emphasis"/>
    <w:basedOn w:val="DefaultParagraphFont"/>
    <w:uiPriority w:val="20"/>
    <w:qFormat/>
    <w:rsid w:val="00A549AE"/>
    <w:rPr>
      <w:i/>
      <w:iCs/>
    </w:rPr>
  </w:style>
  <w:style w:type="table" w:styleId="TableGrid">
    <w:name w:val="Table Grid"/>
    <w:basedOn w:val="TableNormal"/>
    <w:uiPriority w:val="59"/>
    <w:rsid w:val="00CD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140640"/>
  </w:style>
  <w:style w:type="character" w:customStyle="1" w:styleId="spelle">
    <w:name w:val="spelle"/>
    <w:basedOn w:val="DefaultParagraphFont"/>
    <w:rsid w:val="00140640"/>
  </w:style>
  <w:style w:type="character" w:customStyle="1" w:styleId="grame">
    <w:name w:val="grame"/>
    <w:basedOn w:val="DefaultParagraphFont"/>
    <w:rsid w:val="001B2927"/>
  </w:style>
  <w:style w:type="paragraph" w:customStyle="1" w:styleId="Default">
    <w:name w:val="Default"/>
    <w:rsid w:val="005963A3"/>
    <w:pPr>
      <w:autoSpaceDE w:val="0"/>
      <w:autoSpaceDN w:val="0"/>
      <w:adjustRightInd w:val="0"/>
    </w:pPr>
    <w:rPr>
      <w:color w:val="000000"/>
      <w:sz w:val="24"/>
      <w:szCs w:val="24"/>
    </w:rPr>
  </w:style>
  <w:style w:type="character" w:customStyle="1" w:styleId="Heading1Char">
    <w:name w:val="Heading 1 Char"/>
    <w:basedOn w:val="DefaultParagraphFont"/>
    <w:link w:val="Heading1"/>
    <w:uiPriority w:val="9"/>
    <w:rsid w:val="005963A3"/>
    <w:rPr>
      <w:b/>
      <w:bCs/>
      <w:kern w:val="36"/>
      <w:sz w:val="48"/>
      <w:szCs w:val="48"/>
    </w:rPr>
  </w:style>
  <w:style w:type="character" w:customStyle="1" w:styleId="hit">
    <w:name w:val="hit"/>
    <w:basedOn w:val="DefaultParagraphFont"/>
    <w:rsid w:val="005963A3"/>
  </w:style>
  <w:style w:type="paragraph" w:styleId="ListParagraph">
    <w:name w:val="List Paragraph"/>
    <w:basedOn w:val="Normal"/>
    <w:uiPriority w:val="34"/>
    <w:qFormat/>
    <w:rsid w:val="001B353F"/>
    <w:pPr>
      <w:ind w:left="720"/>
      <w:contextualSpacing/>
    </w:pPr>
  </w:style>
  <w:style w:type="character" w:customStyle="1" w:styleId="FooterChar">
    <w:name w:val="Footer Char"/>
    <w:basedOn w:val="DefaultParagraphFont"/>
    <w:link w:val="Footer"/>
    <w:uiPriority w:val="99"/>
    <w:rsid w:val="00380679"/>
    <w:rPr>
      <w:sz w:val="24"/>
      <w:szCs w:val="24"/>
      <w:lang w:val="en-US" w:eastAsia="en-US"/>
    </w:rPr>
  </w:style>
  <w:style w:type="character" w:customStyle="1" w:styleId="apple-style-span">
    <w:name w:val="apple-style-span"/>
    <w:basedOn w:val="DefaultParagraphFont"/>
    <w:rsid w:val="005E0B20"/>
  </w:style>
  <w:style w:type="character" w:styleId="EndnoteReference">
    <w:name w:val="endnote reference"/>
    <w:basedOn w:val="DefaultParagraphFont"/>
    <w:rsid w:val="005F3F3E"/>
    <w:rPr>
      <w:vertAlign w:val="superscript"/>
    </w:rPr>
  </w:style>
  <w:style w:type="paragraph" w:styleId="EndnoteText">
    <w:name w:val="endnote text"/>
    <w:basedOn w:val="Normal"/>
    <w:link w:val="EndnoteTextChar"/>
    <w:rsid w:val="005A6174"/>
    <w:rPr>
      <w:sz w:val="20"/>
      <w:szCs w:val="20"/>
    </w:rPr>
  </w:style>
  <w:style w:type="character" w:customStyle="1" w:styleId="EndnoteTextChar">
    <w:name w:val="Endnote Text Char"/>
    <w:basedOn w:val="DefaultParagraphFont"/>
    <w:link w:val="EndnoteText"/>
    <w:rsid w:val="005A6174"/>
    <w:rPr>
      <w:lang w:val="en-US" w:eastAsia="en-US"/>
    </w:rPr>
  </w:style>
  <w:style w:type="character" w:customStyle="1" w:styleId="nlmyear">
    <w:name w:val="nlm_year"/>
    <w:basedOn w:val="DefaultParagraphFont"/>
    <w:rsid w:val="009C7442"/>
  </w:style>
  <w:style w:type="paragraph" w:styleId="PlainText">
    <w:name w:val="Plain Text"/>
    <w:basedOn w:val="Normal"/>
    <w:link w:val="PlainTextChar"/>
    <w:unhideWhenUsed/>
    <w:rsid w:val="00243259"/>
    <w:rPr>
      <w:rFonts w:ascii="Consolas" w:eastAsiaTheme="minorEastAsia" w:hAnsi="Consolas" w:cs="Consolas"/>
      <w:sz w:val="21"/>
      <w:szCs w:val="21"/>
      <w:lang w:val="en-NZ" w:eastAsia="zh-CN"/>
    </w:rPr>
  </w:style>
  <w:style w:type="character" w:customStyle="1" w:styleId="PlainTextChar">
    <w:name w:val="Plain Text Char"/>
    <w:basedOn w:val="DefaultParagraphFont"/>
    <w:link w:val="PlainText"/>
    <w:rsid w:val="00243259"/>
    <w:rPr>
      <w:rFonts w:ascii="Consolas" w:eastAsiaTheme="minorEastAsia" w:hAnsi="Consolas" w:cs="Consolas"/>
      <w:sz w:val="21"/>
      <w:szCs w:val="21"/>
      <w:lang w:eastAsia="zh-CN"/>
    </w:rPr>
  </w:style>
  <w:style w:type="paragraph" w:customStyle="1" w:styleId="CM3">
    <w:name w:val="CM3"/>
    <w:basedOn w:val="Default"/>
    <w:next w:val="Default"/>
    <w:rsid w:val="00462022"/>
    <w:pPr>
      <w:widowControl w:val="0"/>
    </w:pPr>
    <w:rPr>
      <w:color w:val="auto"/>
      <w:lang w:val="en-US" w:eastAsia="en-US"/>
    </w:rPr>
  </w:style>
  <w:style w:type="paragraph" w:customStyle="1" w:styleId="CM4">
    <w:name w:val="CM4"/>
    <w:basedOn w:val="Default"/>
    <w:next w:val="Default"/>
    <w:rsid w:val="00462022"/>
    <w:pPr>
      <w:widowControl w:val="0"/>
      <w:spacing w:line="253" w:lineRule="atLeast"/>
    </w:pPr>
    <w:rPr>
      <w:color w:val="auto"/>
      <w:lang w:val="en-US" w:eastAsia="en-US"/>
    </w:rPr>
  </w:style>
  <w:style w:type="paragraph" w:customStyle="1" w:styleId="CM23">
    <w:name w:val="CM23"/>
    <w:basedOn w:val="Default"/>
    <w:next w:val="Default"/>
    <w:rsid w:val="00462022"/>
    <w:pPr>
      <w:widowControl w:val="0"/>
      <w:spacing w:after="233"/>
    </w:pPr>
    <w:rPr>
      <w:color w:val="auto"/>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81A80"/>
    <w:rPr>
      <w:sz w:val="24"/>
      <w:szCs w:val="24"/>
      <w:lang w:val="en-US" w:eastAsia="en-US"/>
    </w:rPr>
  </w:style>
  <w:style w:type="paragraph" w:styleId="Heading1">
    <w:name w:val="heading 1"/>
    <w:basedOn w:val="Normal"/>
    <w:link w:val="Heading1Char"/>
    <w:uiPriority w:val="9"/>
    <w:qFormat/>
    <w:rsid w:val="005963A3"/>
    <w:pPr>
      <w:spacing w:before="100" w:beforeAutospacing="1" w:after="100" w:afterAutospacing="1"/>
      <w:outlineLvl w:val="0"/>
    </w:pPr>
    <w:rPr>
      <w:b/>
      <w:bCs/>
      <w:kern w:val="36"/>
      <w:sz w:val="48"/>
      <w:szCs w:val="48"/>
      <w:lang w:val="en-NZ"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F25DBB"/>
    <w:rPr>
      <w:sz w:val="20"/>
      <w:szCs w:val="20"/>
    </w:rPr>
  </w:style>
  <w:style w:type="character" w:styleId="FootnoteReference">
    <w:name w:val="footnote reference"/>
    <w:basedOn w:val="DefaultParagraphFont"/>
    <w:semiHidden/>
    <w:rsid w:val="00F25DBB"/>
    <w:rPr>
      <w:vertAlign w:val="superscript"/>
    </w:rPr>
  </w:style>
  <w:style w:type="paragraph" w:styleId="Header">
    <w:name w:val="header"/>
    <w:basedOn w:val="Normal"/>
    <w:rsid w:val="00B82AEF"/>
    <w:pPr>
      <w:tabs>
        <w:tab w:val="center" w:pos="4320"/>
        <w:tab w:val="right" w:pos="8640"/>
      </w:tabs>
    </w:pPr>
  </w:style>
  <w:style w:type="paragraph" w:styleId="Footer">
    <w:name w:val="footer"/>
    <w:basedOn w:val="Normal"/>
    <w:link w:val="FooterChar"/>
    <w:uiPriority w:val="99"/>
    <w:rsid w:val="00B82AEF"/>
    <w:pPr>
      <w:tabs>
        <w:tab w:val="center" w:pos="4320"/>
        <w:tab w:val="right" w:pos="8640"/>
      </w:tabs>
    </w:pPr>
  </w:style>
  <w:style w:type="paragraph" w:styleId="BalloonText">
    <w:name w:val="Balloon Text"/>
    <w:basedOn w:val="Normal"/>
    <w:semiHidden/>
    <w:rsid w:val="00B82AEF"/>
    <w:rPr>
      <w:rFonts w:ascii="Tahoma" w:hAnsi="Tahoma" w:cs="Tahoma"/>
      <w:sz w:val="16"/>
      <w:szCs w:val="16"/>
    </w:rPr>
  </w:style>
  <w:style w:type="character" w:styleId="Hyperlink">
    <w:name w:val="Hyperlink"/>
    <w:basedOn w:val="DefaultParagraphFont"/>
    <w:rsid w:val="00F44978"/>
    <w:rPr>
      <w:color w:val="0000FF"/>
      <w:u w:val="single"/>
    </w:rPr>
  </w:style>
  <w:style w:type="character" w:customStyle="1" w:styleId="FootnoteTextChar">
    <w:name w:val="Footnote Text Char"/>
    <w:basedOn w:val="DefaultParagraphFont"/>
    <w:link w:val="FootnoteText"/>
    <w:semiHidden/>
    <w:rsid w:val="00986A5F"/>
    <w:rPr>
      <w:lang w:val="en-US" w:eastAsia="en-US"/>
    </w:rPr>
  </w:style>
  <w:style w:type="character" w:styleId="Emphasis">
    <w:name w:val="Emphasis"/>
    <w:basedOn w:val="DefaultParagraphFont"/>
    <w:uiPriority w:val="20"/>
    <w:qFormat/>
    <w:rsid w:val="00A549AE"/>
    <w:rPr>
      <w:i/>
      <w:iCs/>
    </w:rPr>
  </w:style>
  <w:style w:type="table" w:styleId="TableGrid">
    <w:name w:val="Table Grid"/>
    <w:basedOn w:val="TableNormal"/>
    <w:uiPriority w:val="59"/>
    <w:rsid w:val="00CD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140640"/>
  </w:style>
  <w:style w:type="character" w:customStyle="1" w:styleId="spelle">
    <w:name w:val="spelle"/>
    <w:basedOn w:val="DefaultParagraphFont"/>
    <w:rsid w:val="00140640"/>
  </w:style>
  <w:style w:type="character" w:customStyle="1" w:styleId="grame">
    <w:name w:val="grame"/>
    <w:basedOn w:val="DefaultParagraphFont"/>
    <w:rsid w:val="001B2927"/>
  </w:style>
  <w:style w:type="paragraph" w:customStyle="1" w:styleId="Default">
    <w:name w:val="Default"/>
    <w:rsid w:val="005963A3"/>
    <w:pPr>
      <w:autoSpaceDE w:val="0"/>
      <w:autoSpaceDN w:val="0"/>
      <w:adjustRightInd w:val="0"/>
    </w:pPr>
    <w:rPr>
      <w:color w:val="000000"/>
      <w:sz w:val="24"/>
      <w:szCs w:val="24"/>
    </w:rPr>
  </w:style>
  <w:style w:type="character" w:customStyle="1" w:styleId="Heading1Char">
    <w:name w:val="Heading 1 Char"/>
    <w:basedOn w:val="DefaultParagraphFont"/>
    <w:link w:val="Heading1"/>
    <w:uiPriority w:val="9"/>
    <w:rsid w:val="005963A3"/>
    <w:rPr>
      <w:b/>
      <w:bCs/>
      <w:kern w:val="36"/>
      <w:sz w:val="48"/>
      <w:szCs w:val="48"/>
    </w:rPr>
  </w:style>
  <w:style w:type="character" w:customStyle="1" w:styleId="hit">
    <w:name w:val="hit"/>
    <w:basedOn w:val="DefaultParagraphFont"/>
    <w:rsid w:val="005963A3"/>
  </w:style>
  <w:style w:type="paragraph" w:styleId="ListParagraph">
    <w:name w:val="List Paragraph"/>
    <w:basedOn w:val="Normal"/>
    <w:uiPriority w:val="34"/>
    <w:qFormat/>
    <w:rsid w:val="001B353F"/>
    <w:pPr>
      <w:ind w:left="720"/>
      <w:contextualSpacing/>
    </w:pPr>
  </w:style>
  <w:style w:type="character" w:customStyle="1" w:styleId="FooterChar">
    <w:name w:val="Footer Char"/>
    <w:basedOn w:val="DefaultParagraphFont"/>
    <w:link w:val="Footer"/>
    <w:uiPriority w:val="99"/>
    <w:rsid w:val="00380679"/>
    <w:rPr>
      <w:sz w:val="24"/>
      <w:szCs w:val="24"/>
      <w:lang w:val="en-US" w:eastAsia="en-US"/>
    </w:rPr>
  </w:style>
  <w:style w:type="character" w:customStyle="1" w:styleId="apple-style-span">
    <w:name w:val="apple-style-span"/>
    <w:basedOn w:val="DefaultParagraphFont"/>
    <w:rsid w:val="005E0B20"/>
  </w:style>
  <w:style w:type="character" w:styleId="EndnoteReference">
    <w:name w:val="endnote reference"/>
    <w:basedOn w:val="DefaultParagraphFont"/>
    <w:rsid w:val="005F3F3E"/>
    <w:rPr>
      <w:vertAlign w:val="superscript"/>
    </w:rPr>
  </w:style>
  <w:style w:type="paragraph" w:styleId="EndnoteText">
    <w:name w:val="endnote text"/>
    <w:basedOn w:val="Normal"/>
    <w:link w:val="EndnoteTextChar"/>
    <w:rsid w:val="005A6174"/>
    <w:rPr>
      <w:sz w:val="20"/>
      <w:szCs w:val="20"/>
    </w:rPr>
  </w:style>
  <w:style w:type="character" w:customStyle="1" w:styleId="EndnoteTextChar">
    <w:name w:val="Endnote Text Char"/>
    <w:basedOn w:val="DefaultParagraphFont"/>
    <w:link w:val="EndnoteText"/>
    <w:rsid w:val="005A6174"/>
    <w:rPr>
      <w:lang w:val="en-US" w:eastAsia="en-US"/>
    </w:rPr>
  </w:style>
  <w:style w:type="character" w:customStyle="1" w:styleId="nlmyear">
    <w:name w:val="nlm_year"/>
    <w:basedOn w:val="DefaultParagraphFont"/>
    <w:rsid w:val="009C7442"/>
  </w:style>
  <w:style w:type="paragraph" w:styleId="PlainText">
    <w:name w:val="Plain Text"/>
    <w:basedOn w:val="Normal"/>
    <w:link w:val="PlainTextChar"/>
    <w:uiPriority w:val="99"/>
    <w:unhideWhenUsed/>
    <w:rsid w:val="00243259"/>
    <w:rPr>
      <w:rFonts w:ascii="Consolas" w:eastAsiaTheme="minorEastAsia" w:hAnsi="Consolas" w:cs="Consolas"/>
      <w:sz w:val="21"/>
      <w:szCs w:val="21"/>
      <w:lang w:val="en-NZ" w:eastAsia="zh-CN"/>
    </w:rPr>
  </w:style>
  <w:style w:type="character" w:customStyle="1" w:styleId="PlainTextChar">
    <w:name w:val="Plain Text Char"/>
    <w:basedOn w:val="DefaultParagraphFont"/>
    <w:link w:val="PlainText"/>
    <w:uiPriority w:val="99"/>
    <w:rsid w:val="00243259"/>
    <w:rPr>
      <w:rFonts w:ascii="Consolas" w:eastAsiaTheme="minorEastAsia" w:hAnsi="Consolas" w:cs="Consolas"/>
      <w:sz w:val="21"/>
      <w:szCs w:val="21"/>
      <w:lang w:eastAsia="zh-CN"/>
    </w:rPr>
  </w:style>
</w:styles>
</file>

<file path=word/webSettings.xml><?xml version="1.0" encoding="utf-8"?>
<w:webSettings xmlns:r="http://schemas.openxmlformats.org/officeDocument/2006/relationships" xmlns:w="http://schemas.openxmlformats.org/wordprocessingml/2006/main">
  <w:divs>
    <w:div w:id="494607549">
      <w:bodyDiv w:val="1"/>
      <w:marLeft w:val="0"/>
      <w:marRight w:val="0"/>
      <w:marTop w:val="0"/>
      <w:marBottom w:val="0"/>
      <w:divBdr>
        <w:top w:val="none" w:sz="0" w:space="0" w:color="auto"/>
        <w:left w:val="none" w:sz="0" w:space="0" w:color="auto"/>
        <w:bottom w:val="none" w:sz="0" w:space="0" w:color="auto"/>
        <w:right w:val="none" w:sz="0" w:space="0" w:color="auto"/>
      </w:divBdr>
      <w:divsChild>
        <w:div w:id="1203788767">
          <w:marLeft w:val="0"/>
          <w:marRight w:val="0"/>
          <w:marTop w:val="0"/>
          <w:marBottom w:val="0"/>
          <w:divBdr>
            <w:top w:val="none" w:sz="0" w:space="0" w:color="auto"/>
            <w:left w:val="none" w:sz="0" w:space="0" w:color="auto"/>
            <w:bottom w:val="none" w:sz="0" w:space="0" w:color="auto"/>
            <w:right w:val="none" w:sz="0" w:space="0" w:color="auto"/>
          </w:divBdr>
          <w:divsChild>
            <w:div w:id="105318159">
              <w:marLeft w:val="0"/>
              <w:marRight w:val="0"/>
              <w:marTop w:val="0"/>
              <w:marBottom w:val="0"/>
              <w:divBdr>
                <w:top w:val="none" w:sz="0" w:space="0" w:color="auto"/>
                <w:left w:val="none" w:sz="0" w:space="0" w:color="auto"/>
                <w:bottom w:val="none" w:sz="0" w:space="0" w:color="auto"/>
                <w:right w:val="none" w:sz="0" w:space="0" w:color="auto"/>
              </w:divBdr>
            </w:div>
            <w:div w:id="151914993">
              <w:marLeft w:val="0"/>
              <w:marRight w:val="0"/>
              <w:marTop w:val="0"/>
              <w:marBottom w:val="0"/>
              <w:divBdr>
                <w:top w:val="none" w:sz="0" w:space="0" w:color="auto"/>
                <w:left w:val="none" w:sz="0" w:space="0" w:color="auto"/>
                <w:bottom w:val="none" w:sz="0" w:space="0" w:color="auto"/>
                <w:right w:val="none" w:sz="0" w:space="0" w:color="auto"/>
              </w:divBdr>
            </w:div>
            <w:div w:id="1127309797">
              <w:marLeft w:val="0"/>
              <w:marRight w:val="0"/>
              <w:marTop w:val="0"/>
              <w:marBottom w:val="0"/>
              <w:divBdr>
                <w:top w:val="none" w:sz="0" w:space="0" w:color="auto"/>
                <w:left w:val="none" w:sz="0" w:space="0" w:color="auto"/>
                <w:bottom w:val="none" w:sz="0" w:space="0" w:color="auto"/>
                <w:right w:val="none" w:sz="0" w:space="0" w:color="auto"/>
              </w:divBdr>
            </w:div>
            <w:div w:id="1141076819">
              <w:marLeft w:val="0"/>
              <w:marRight w:val="0"/>
              <w:marTop w:val="0"/>
              <w:marBottom w:val="0"/>
              <w:divBdr>
                <w:top w:val="none" w:sz="0" w:space="0" w:color="auto"/>
                <w:left w:val="none" w:sz="0" w:space="0" w:color="auto"/>
                <w:bottom w:val="none" w:sz="0" w:space="0" w:color="auto"/>
                <w:right w:val="none" w:sz="0" w:space="0" w:color="auto"/>
              </w:divBdr>
            </w:div>
            <w:div w:id="1546334874">
              <w:marLeft w:val="0"/>
              <w:marRight w:val="0"/>
              <w:marTop w:val="0"/>
              <w:marBottom w:val="0"/>
              <w:divBdr>
                <w:top w:val="none" w:sz="0" w:space="0" w:color="auto"/>
                <w:left w:val="none" w:sz="0" w:space="0" w:color="auto"/>
                <w:bottom w:val="none" w:sz="0" w:space="0" w:color="auto"/>
                <w:right w:val="none" w:sz="0" w:space="0" w:color="auto"/>
              </w:divBdr>
            </w:div>
            <w:div w:id="1678120558">
              <w:marLeft w:val="0"/>
              <w:marRight w:val="0"/>
              <w:marTop w:val="0"/>
              <w:marBottom w:val="0"/>
              <w:divBdr>
                <w:top w:val="none" w:sz="0" w:space="0" w:color="auto"/>
                <w:left w:val="none" w:sz="0" w:space="0" w:color="auto"/>
                <w:bottom w:val="none" w:sz="0" w:space="0" w:color="auto"/>
                <w:right w:val="none" w:sz="0" w:space="0" w:color="auto"/>
              </w:divBdr>
            </w:div>
            <w:div w:id="1800031844">
              <w:marLeft w:val="0"/>
              <w:marRight w:val="0"/>
              <w:marTop w:val="0"/>
              <w:marBottom w:val="0"/>
              <w:divBdr>
                <w:top w:val="none" w:sz="0" w:space="0" w:color="auto"/>
                <w:left w:val="none" w:sz="0" w:space="0" w:color="auto"/>
                <w:bottom w:val="none" w:sz="0" w:space="0" w:color="auto"/>
                <w:right w:val="none" w:sz="0" w:space="0" w:color="auto"/>
              </w:divBdr>
            </w:div>
            <w:div w:id="182558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56783">
      <w:bodyDiv w:val="1"/>
      <w:marLeft w:val="0"/>
      <w:marRight w:val="0"/>
      <w:marTop w:val="0"/>
      <w:marBottom w:val="0"/>
      <w:divBdr>
        <w:top w:val="none" w:sz="0" w:space="0" w:color="auto"/>
        <w:left w:val="none" w:sz="0" w:space="0" w:color="auto"/>
        <w:bottom w:val="none" w:sz="0" w:space="0" w:color="auto"/>
        <w:right w:val="none" w:sz="0" w:space="0" w:color="auto"/>
      </w:divBdr>
    </w:div>
    <w:div w:id="645398619">
      <w:bodyDiv w:val="1"/>
      <w:marLeft w:val="0"/>
      <w:marRight w:val="0"/>
      <w:marTop w:val="0"/>
      <w:marBottom w:val="0"/>
      <w:divBdr>
        <w:top w:val="none" w:sz="0" w:space="0" w:color="auto"/>
        <w:left w:val="none" w:sz="0" w:space="0" w:color="auto"/>
        <w:bottom w:val="none" w:sz="0" w:space="0" w:color="auto"/>
        <w:right w:val="none" w:sz="0" w:space="0" w:color="auto"/>
      </w:divBdr>
      <w:divsChild>
        <w:div w:id="500244596">
          <w:marLeft w:val="0"/>
          <w:marRight w:val="0"/>
          <w:marTop w:val="0"/>
          <w:marBottom w:val="0"/>
          <w:divBdr>
            <w:top w:val="none" w:sz="0" w:space="0" w:color="auto"/>
            <w:left w:val="none" w:sz="0" w:space="0" w:color="auto"/>
            <w:bottom w:val="none" w:sz="0" w:space="0" w:color="auto"/>
            <w:right w:val="none" w:sz="0" w:space="0" w:color="auto"/>
          </w:divBdr>
          <w:divsChild>
            <w:div w:id="171578917">
              <w:marLeft w:val="0"/>
              <w:marRight w:val="0"/>
              <w:marTop w:val="0"/>
              <w:marBottom w:val="0"/>
              <w:divBdr>
                <w:top w:val="none" w:sz="0" w:space="0" w:color="auto"/>
                <w:left w:val="none" w:sz="0" w:space="0" w:color="auto"/>
                <w:bottom w:val="none" w:sz="0" w:space="0" w:color="auto"/>
                <w:right w:val="none" w:sz="0" w:space="0" w:color="auto"/>
              </w:divBdr>
            </w:div>
            <w:div w:id="384448587">
              <w:marLeft w:val="0"/>
              <w:marRight w:val="0"/>
              <w:marTop w:val="0"/>
              <w:marBottom w:val="0"/>
              <w:divBdr>
                <w:top w:val="none" w:sz="0" w:space="0" w:color="auto"/>
                <w:left w:val="none" w:sz="0" w:space="0" w:color="auto"/>
                <w:bottom w:val="none" w:sz="0" w:space="0" w:color="auto"/>
                <w:right w:val="none" w:sz="0" w:space="0" w:color="auto"/>
              </w:divBdr>
            </w:div>
            <w:div w:id="408306732">
              <w:marLeft w:val="0"/>
              <w:marRight w:val="0"/>
              <w:marTop w:val="0"/>
              <w:marBottom w:val="0"/>
              <w:divBdr>
                <w:top w:val="none" w:sz="0" w:space="0" w:color="auto"/>
                <w:left w:val="none" w:sz="0" w:space="0" w:color="auto"/>
                <w:bottom w:val="none" w:sz="0" w:space="0" w:color="auto"/>
                <w:right w:val="none" w:sz="0" w:space="0" w:color="auto"/>
              </w:divBdr>
            </w:div>
            <w:div w:id="699282728">
              <w:marLeft w:val="0"/>
              <w:marRight w:val="0"/>
              <w:marTop w:val="0"/>
              <w:marBottom w:val="0"/>
              <w:divBdr>
                <w:top w:val="none" w:sz="0" w:space="0" w:color="auto"/>
                <w:left w:val="none" w:sz="0" w:space="0" w:color="auto"/>
                <w:bottom w:val="none" w:sz="0" w:space="0" w:color="auto"/>
                <w:right w:val="none" w:sz="0" w:space="0" w:color="auto"/>
              </w:divBdr>
            </w:div>
            <w:div w:id="1510367917">
              <w:marLeft w:val="0"/>
              <w:marRight w:val="0"/>
              <w:marTop w:val="0"/>
              <w:marBottom w:val="0"/>
              <w:divBdr>
                <w:top w:val="none" w:sz="0" w:space="0" w:color="auto"/>
                <w:left w:val="none" w:sz="0" w:space="0" w:color="auto"/>
                <w:bottom w:val="none" w:sz="0" w:space="0" w:color="auto"/>
                <w:right w:val="none" w:sz="0" w:space="0" w:color="auto"/>
              </w:divBdr>
            </w:div>
            <w:div w:id="155118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770585">
      <w:bodyDiv w:val="1"/>
      <w:marLeft w:val="0"/>
      <w:marRight w:val="0"/>
      <w:marTop w:val="0"/>
      <w:marBottom w:val="0"/>
      <w:divBdr>
        <w:top w:val="none" w:sz="0" w:space="0" w:color="auto"/>
        <w:left w:val="none" w:sz="0" w:space="0" w:color="auto"/>
        <w:bottom w:val="none" w:sz="0" w:space="0" w:color="auto"/>
        <w:right w:val="none" w:sz="0" w:space="0" w:color="auto"/>
      </w:divBdr>
    </w:div>
    <w:div w:id="988556509">
      <w:bodyDiv w:val="1"/>
      <w:marLeft w:val="0"/>
      <w:marRight w:val="0"/>
      <w:marTop w:val="0"/>
      <w:marBottom w:val="0"/>
      <w:divBdr>
        <w:top w:val="none" w:sz="0" w:space="0" w:color="auto"/>
        <w:left w:val="none" w:sz="0" w:space="0" w:color="auto"/>
        <w:bottom w:val="none" w:sz="0" w:space="0" w:color="auto"/>
        <w:right w:val="none" w:sz="0" w:space="0" w:color="auto"/>
      </w:divBdr>
      <w:divsChild>
        <w:div w:id="904685200">
          <w:marLeft w:val="0"/>
          <w:marRight w:val="0"/>
          <w:marTop w:val="0"/>
          <w:marBottom w:val="0"/>
          <w:divBdr>
            <w:top w:val="none" w:sz="0" w:space="0" w:color="auto"/>
            <w:left w:val="none" w:sz="0" w:space="0" w:color="auto"/>
            <w:bottom w:val="none" w:sz="0" w:space="0" w:color="auto"/>
            <w:right w:val="none" w:sz="0" w:space="0" w:color="auto"/>
          </w:divBdr>
          <w:divsChild>
            <w:div w:id="82118554">
              <w:marLeft w:val="0"/>
              <w:marRight w:val="0"/>
              <w:marTop w:val="0"/>
              <w:marBottom w:val="0"/>
              <w:divBdr>
                <w:top w:val="none" w:sz="0" w:space="0" w:color="auto"/>
                <w:left w:val="none" w:sz="0" w:space="0" w:color="auto"/>
                <w:bottom w:val="none" w:sz="0" w:space="0" w:color="auto"/>
                <w:right w:val="none" w:sz="0" w:space="0" w:color="auto"/>
              </w:divBdr>
            </w:div>
            <w:div w:id="100953800">
              <w:marLeft w:val="0"/>
              <w:marRight w:val="0"/>
              <w:marTop w:val="0"/>
              <w:marBottom w:val="0"/>
              <w:divBdr>
                <w:top w:val="none" w:sz="0" w:space="0" w:color="auto"/>
                <w:left w:val="none" w:sz="0" w:space="0" w:color="auto"/>
                <w:bottom w:val="none" w:sz="0" w:space="0" w:color="auto"/>
                <w:right w:val="none" w:sz="0" w:space="0" w:color="auto"/>
              </w:divBdr>
            </w:div>
            <w:div w:id="340669645">
              <w:marLeft w:val="0"/>
              <w:marRight w:val="0"/>
              <w:marTop w:val="0"/>
              <w:marBottom w:val="0"/>
              <w:divBdr>
                <w:top w:val="none" w:sz="0" w:space="0" w:color="auto"/>
                <w:left w:val="none" w:sz="0" w:space="0" w:color="auto"/>
                <w:bottom w:val="none" w:sz="0" w:space="0" w:color="auto"/>
                <w:right w:val="none" w:sz="0" w:space="0" w:color="auto"/>
              </w:divBdr>
            </w:div>
            <w:div w:id="1172137168">
              <w:marLeft w:val="0"/>
              <w:marRight w:val="0"/>
              <w:marTop w:val="0"/>
              <w:marBottom w:val="0"/>
              <w:divBdr>
                <w:top w:val="none" w:sz="0" w:space="0" w:color="auto"/>
                <w:left w:val="none" w:sz="0" w:space="0" w:color="auto"/>
                <w:bottom w:val="none" w:sz="0" w:space="0" w:color="auto"/>
                <w:right w:val="none" w:sz="0" w:space="0" w:color="auto"/>
              </w:divBdr>
            </w:div>
            <w:div w:id="119665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133640">
      <w:bodyDiv w:val="1"/>
      <w:marLeft w:val="0"/>
      <w:marRight w:val="0"/>
      <w:marTop w:val="0"/>
      <w:marBottom w:val="0"/>
      <w:divBdr>
        <w:top w:val="none" w:sz="0" w:space="0" w:color="auto"/>
        <w:left w:val="none" w:sz="0" w:space="0" w:color="auto"/>
        <w:bottom w:val="none" w:sz="0" w:space="0" w:color="auto"/>
        <w:right w:val="none" w:sz="0" w:space="0" w:color="auto"/>
      </w:divBdr>
      <w:divsChild>
        <w:div w:id="1029719044">
          <w:marLeft w:val="0"/>
          <w:marRight w:val="0"/>
          <w:marTop w:val="0"/>
          <w:marBottom w:val="0"/>
          <w:divBdr>
            <w:top w:val="none" w:sz="0" w:space="0" w:color="auto"/>
            <w:left w:val="none" w:sz="0" w:space="0" w:color="auto"/>
            <w:bottom w:val="none" w:sz="0" w:space="0" w:color="auto"/>
            <w:right w:val="none" w:sz="0" w:space="0" w:color="auto"/>
          </w:divBdr>
          <w:divsChild>
            <w:div w:id="110366783">
              <w:marLeft w:val="0"/>
              <w:marRight w:val="0"/>
              <w:marTop w:val="0"/>
              <w:marBottom w:val="0"/>
              <w:divBdr>
                <w:top w:val="none" w:sz="0" w:space="0" w:color="auto"/>
                <w:left w:val="none" w:sz="0" w:space="0" w:color="auto"/>
                <w:bottom w:val="none" w:sz="0" w:space="0" w:color="auto"/>
                <w:right w:val="none" w:sz="0" w:space="0" w:color="auto"/>
              </w:divBdr>
            </w:div>
            <w:div w:id="547030669">
              <w:marLeft w:val="0"/>
              <w:marRight w:val="0"/>
              <w:marTop w:val="0"/>
              <w:marBottom w:val="0"/>
              <w:divBdr>
                <w:top w:val="none" w:sz="0" w:space="0" w:color="auto"/>
                <w:left w:val="none" w:sz="0" w:space="0" w:color="auto"/>
                <w:bottom w:val="none" w:sz="0" w:space="0" w:color="auto"/>
                <w:right w:val="none" w:sz="0" w:space="0" w:color="auto"/>
              </w:divBdr>
            </w:div>
            <w:div w:id="780761133">
              <w:marLeft w:val="0"/>
              <w:marRight w:val="0"/>
              <w:marTop w:val="0"/>
              <w:marBottom w:val="0"/>
              <w:divBdr>
                <w:top w:val="none" w:sz="0" w:space="0" w:color="auto"/>
                <w:left w:val="none" w:sz="0" w:space="0" w:color="auto"/>
                <w:bottom w:val="none" w:sz="0" w:space="0" w:color="auto"/>
                <w:right w:val="none" w:sz="0" w:space="0" w:color="auto"/>
              </w:divBdr>
            </w:div>
            <w:div w:id="1528712443">
              <w:marLeft w:val="0"/>
              <w:marRight w:val="0"/>
              <w:marTop w:val="0"/>
              <w:marBottom w:val="0"/>
              <w:divBdr>
                <w:top w:val="none" w:sz="0" w:space="0" w:color="auto"/>
                <w:left w:val="none" w:sz="0" w:space="0" w:color="auto"/>
                <w:bottom w:val="none" w:sz="0" w:space="0" w:color="auto"/>
                <w:right w:val="none" w:sz="0" w:space="0" w:color="auto"/>
              </w:divBdr>
            </w:div>
            <w:div w:id="1560285105">
              <w:marLeft w:val="0"/>
              <w:marRight w:val="0"/>
              <w:marTop w:val="0"/>
              <w:marBottom w:val="0"/>
              <w:divBdr>
                <w:top w:val="none" w:sz="0" w:space="0" w:color="auto"/>
                <w:left w:val="none" w:sz="0" w:space="0" w:color="auto"/>
                <w:bottom w:val="none" w:sz="0" w:space="0" w:color="auto"/>
                <w:right w:val="none" w:sz="0" w:space="0" w:color="auto"/>
              </w:divBdr>
            </w:div>
            <w:div w:id="198360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l95@waikato.ac.nz" TargetMode="External"/><Relationship Id="rId13" Type="http://schemas.openxmlformats.org/officeDocument/2006/relationships/oleObject" Target="embeddings/oleObject2.bin"/><Relationship Id="rId18" Type="http://schemas.openxmlformats.org/officeDocument/2006/relationships/footer" Target="footer1.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oleObject" Target="embeddings/oleObject3.bin"/><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oufun.com" TargetMode="Externa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oleObject" Target="embeddings/oleObject1.bin"/><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3.jpeg"/></Relationships>
</file>

<file path=word/_rels/footnotes.xml.rels><?xml version="1.0" encoding="UTF-8" standalone="yes"?>
<Relationships xmlns="http://schemas.openxmlformats.org/package/2006/relationships"><Relationship Id="rId3" Type="http://schemas.openxmlformats.org/officeDocument/2006/relationships/image" Target="media/image7.wmf"/><Relationship Id="rId2" Type="http://schemas.openxmlformats.org/officeDocument/2006/relationships/oleObject" Target="embeddings/oleObject4.bin"/><Relationship Id="rId1" Type="http://schemas.openxmlformats.org/officeDocument/2006/relationships/image" Target="media/image6.wmf"/><Relationship Id="rId6" Type="http://schemas.openxmlformats.org/officeDocument/2006/relationships/oleObject" Target="embeddings/oleObject6.bin"/><Relationship Id="rId5" Type="http://schemas.openxmlformats.org/officeDocument/2006/relationships/image" Target="media/image8.wmf"/><Relationship Id="rId4" Type="http://schemas.openxmlformats.org/officeDocument/2006/relationships/oleObject" Target="embeddings/oleObject5.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39FF08-5F4E-4F2C-A6A2-A6738F84D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25</Pages>
  <Words>9821</Words>
  <Characters>55985</Characters>
  <Application>Microsoft Office Word</Application>
  <DocSecurity>0</DocSecurity>
  <Lines>466</Lines>
  <Paragraphs>131</Paragraphs>
  <ScaleCrop>false</ScaleCrop>
  <HeadingPairs>
    <vt:vector size="2" baseType="variant">
      <vt:variant>
        <vt:lpstr>Title</vt:lpstr>
      </vt:variant>
      <vt:variant>
        <vt:i4>1</vt:i4>
      </vt:variant>
    </vt:vector>
  </HeadingPairs>
  <TitlesOfParts>
    <vt:vector size="1" baseType="lpstr">
      <vt:lpstr>The Microeconomic Determinants of Emigration and Return Migration</vt:lpstr>
    </vt:vector>
  </TitlesOfParts>
  <Company>The World Bank Group</Company>
  <LinksUpToDate>false</LinksUpToDate>
  <CharactersWithSpaces>65675</CharactersWithSpaces>
  <SharedDoc>false</SharedDoc>
  <HLinks>
    <vt:vector size="6" baseType="variant">
      <vt:variant>
        <vt:i4>1900636</vt:i4>
      </vt:variant>
      <vt:variant>
        <vt:i4>0</vt:i4>
      </vt:variant>
      <vt:variant>
        <vt:i4>0</vt:i4>
      </vt:variant>
      <vt:variant>
        <vt:i4>5</vt:i4>
      </vt:variant>
      <vt:variant>
        <vt:lpwstr>http://www.scoop.co.nz/stories/PA0412/S00222.htm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Microeconomic Determinants of Emigration and Return Migration</dc:title>
  <dc:creator>dmckenzie</dc:creator>
  <cp:lastModifiedBy>Brian Silverstone</cp:lastModifiedBy>
  <cp:revision>20</cp:revision>
  <cp:lastPrinted>2013-03-14T04:12:00Z</cp:lastPrinted>
  <dcterms:created xsi:type="dcterms:W3CDTF">2013-03-13T21:23:00Z</dcterms:created>
  <dcterms:modified xsi:type="dcterms:W3CDTF">2013-03-14T04:14:00Z</dcterms:modified>
</cp:coreProperties>
</file>