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23" w:rsidRDefault="00171723" w:rsidP="00171723">
      <w:pPr>
        <w:pStyle w:val="PlainText"/>
        <w:tabs>
          <w:tab w:val="left" w:pos="284"/>
        </w:tabs>
        <w:jc w:val="center"/>
        <w:rPr>
          <w:rFonts w:ascii="Times New Roman" w:hAnsi="Times New Roman" w:cs="Times New Roman"/>
          <w:b/>
          <w:sz w:val="28"/>
        </w:rPr>
      </w:pPr>
    </w:p>
    <w:p w:rsidR="002D77A9" w:rsidRDefault="002D77A9" w:rsidP="00171723">
      <w:pPr>
        <w:pStyle w:val="PlainText"/>
        <w:tabs>
          <w:tab w:val="left" w:pos="284"/>
        </w:tabs>
        <w:jc w:val="center"/>
        <w:rPr>
          <w:rFonts w:ascii="Times New Roman" w:hAnsi="Times New Roman" w:cs="Times New Roman"/>
          <w:b/>
          <w:sz w:val="28"/>
        </w:rPr>
      </w:pPr>
    </w:p>
    <w:p w:rsidR="00171723" w:rsidRPr="001D3902" w:rsidRDefault="00171723" w:rsidP="00171723">
      <w:pPr>
        <w:pStyle w:val="PlainText"/>
        <w:tabs>
          <w:tab w:val="left" w:pos="284"/>
        </w:tabs>
        <w:jc w:val="center"/>
        <w:rPr>
          <w:rFonts w:ascii="Times New Roman" w:hAnsi="Times New Roman" w:cs="Times New Roman"/>
          <w:b/>
          <w:sz w:val="28"/>
        </w:rPr>
      </w:pPr>
      <w:r w:rsidRPr="001D3902">
        <w:rPr>
          <w:rFonts w:ascii="Times New Roman" w:hAnsi="Times New Roman" w:cs="Times New Roman"/>
          <w:b/>
          <w:sz w:val="28"/>
        </w:rPr>
        <w:t>UNIVERSITY OF WAIKATO</w:t>
      </w:r>
    </w:p>
    <w:p w:rsidR="00171723" w:rsidRPr="001D3902" w:rsidRDefault="00171723" w:rsidP="00171723">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1D3902">
            <w:rPr>
              <w:rFonts w:ascii="Times New Roman" w:hAnsi="Times New Roman" w:cs="Times New Roman"/>
              <w:b/>
              <w:sz w:val="28"/>
            </w:rPr>
            <w:t>Hamilton</w:t>
          </w:r>
        </w:smartTag>
      </w:smartTag>
    </w:p>
    <w:p w:rsidR="00171723" w:rsidRPr="001D3902" w:rsidRDefault="00171723" w:rsidP="00171723">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1D3902">
            <w:rPr>
              <w:rFonts w:ascii="Times New Roman" w:hAnsi="Times New Roman" w:cs="Times New Roman"/>
              <w:b/>
              <w:sz w:val="28"/>
            </w:rPr>
            <w:t>New Zealand</w:t>
          </w:r>
        </w:smartTag>
      </w:smartTag>
    </w:p>
    <w:p w:rsidR="00171723" w:rsidRPr="001D3902" w:rsidRDefault="00171723" w:rsidP="00171723">
      <w:pPr>
        <w:pStyle w:val="PlainText"/>
        <w:tabs>
          <w:tab w:val="left" w:pos="284"/>
        </w:tabs>
        <w:jc w:val="center"/>
        <w:rPr>
          <w:rFonts w:ascii="Times New Roman" w:hAnsi="Times New Roman" w:cs="Times New Roman"/>
          <w:b/>
          <w:sz w:val="14"/>
          <w:szCs w:val="14"/>
        </w:rPr>
      </w:pPr>
    </w:p>
    <w:p w:rsidR="00171723" w:rsidRPr="001D3902" w:rsidRDefault="00171723" w:rsidP="00171723">
      <w:pPr>
        <w:pStyle w:val="PlainText"/>
        <w:tabs>
          <w:tab w:val="left" w:pos="284"/>
        </w:tabs>
        <w:jc w:val="center"/>
        <w:rPr>
          <w:rFonts w:ascii="Times New Roman" w:hAnsi="Times New Roman" w:cs="Times New Roman"/>
          <w:b/>
          <w:sz w:val="14"/>
          <w:szCs w:val="14"/>
        </w:rPr>
      </w:pPr>
    </w:p>
    <w:p w:rsidR="00171723" w:rsidRPr="001D3902" w:rsidRDefault="00171723" w:rsidP="00171723">
      <w:pPr>
        <w:pStyle w:val="PlainText"/>
        <w:tabs>
          <w:tab w:val="left" w:pos="284"/>
        </w:tabs>
        <w:jc w:val="center"/>
        <w:rPr>
          <w:rFonts w:ascii="Times New Roman" w:hAnsi="Times New Roman" w:cs="Times New Roman"/>
          <w:b/>
          <w:sz w:val="28"/>
        </w:rPr>
      </w:pPr>
    </w:p>
    <w:p w:rsidR="00171723" w:rsidRPr="001D3902" w:rsidRDefault="00171723" w:rsidP="0017172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rsidR="002E34EF" w:rsidRDefault="002E34EF" w:rsidP="0017172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 xml:space="preserve">Respiratory Health of Pacific Island Immigrants </w:t>
      </w:r>
    </w:p>
    <w:p w:rsidR="002E34EF" w:rsidRDefault="002E34EF" w:rsidP="0017172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and Preferences for Indoor Air Quality Determinants in New Zealand</w:t>
      </w:r>
    </w:p>
    <w:p w:rsidR="00171723" w:rsidRDefault="00171723" w:rsidP="0017172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p>
    <w:p w:rsidR="00171723" w:rsidRPr="001D3902" w:rsidRDefault="00171723" w:rsidP="0017172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ind w:firstLine="431"/>
        <w:jc w:val="center"/>
        <w:rPr>
          <w:rFonts w:ascii="Times New Roman" w:hAnsi="Times New Roman" w:cs="Times New Roman"/>
          <w:sz w:val="28"/>
        </w:rPr>
      </w:pPr>
      <w:r>
        <w:rPr>
          <w:rFonts w:ascii="Times New Roman" w:hAnsi="Times New Roman" w:cs="Times New Roman"/>
          <w:sz w:val="28"/>
        </w:rPr>
        <w:t>John Gibson,</w:t>
      </w:r>
      <w:r w:rsidR="00A21B06">
        <w:rPr>
          <w:rFonts w:ascii="Times New Roman" w:hAnsi="Times New Roman" w:cs="Times New Roman"/>
          <w:sz w:val="28"/>
        </w:rPr>
        <w:t xml:space="preserve"> </w:t>
      </w:r>
      <w:r w:rsidR="002E34EF">
        <w:rPr>
          <w:rFonts w:ascii="Times New Roman" w:hAnsi="Times New Roman" w:cs="Times New Roman"/>
          <w:sz w:val="28"/>
        </w:rPr>
        <w:t xml:space="preserve">Riccardo Scarpa and </w:t>
      </w:r>
      <w:proofErr w:type="spellStart"/>
      <w:r w:rsidR="002E34EF">
        <w:rPr>
          <w:rFonts w:ascii="Times New Roman" w:hAnsi="Times New Roman" w:cs="Times New Roman"/>
          <w:sz w:val="28"/>
        </w:rPr>
        <w:t>Halahingano</w:t>
      </w:r>
      <w:proofErr w:type="spellEnd"/>
      <w:r w:rsidR="002E34EF">
        <w:rPr>
          <w:rFonts w:ascii="Times New Roman" w:hAnsi="Times New Roman" w:cs="Times New Roman"/>
          <w:sz w:val="28"/>
        </w:rPr>
        <w:t xml:space="preserve"> </w:t>
      </w:r>
      <w:proofErr w:type="spellStart"/>
      <w:r w:rsidR="002E34EF">
        <w:rPr>
          <w:rFonts w:ascii="Times New Roman" w:hAnsi="Times New Roman" w:cs="Times New Roman"/>
          <w:sz w:val="28"/>
        </w:rPr>
        <w:t>Rohorua</w:t>
      </w:r>
      <w:proofErr w:type="spellEnd"/>
    </w:p>
    <w:p w:rsidR="00171723" w:rsidRPr="001D3902" w:rsidRDefault="00171723" w:rsidP="0017172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rsidR="00171723" w:rsidRDefault="00171723" w:rsidP="00171723">
      <w:pPr>
        <w:pStyle w:val="PlainText"/>
        <w:tabs>
          <w:tab w:val="left" w:pos="426"/>
        </w:tabs>
        <w:spacing w:before="100" w:line="360" w:lineRule="auto"/>
        <w:jc w:val="center"/>
        <w:rPr>
          <w:rFonts w:ascii="Times New Roman" w:hAnsi="Times New Roman" w:cs="Times New Roman"/>
          <w:b/>
          <w:bCs/>
          <w:sz w:val="28"/>
        </w:rPr>
      </w:pPr>
    </w:p>
    <w:p w:rsidR="00171723" w:rsidRPr="001D3902" w:rsidRDefault="00171723" w:rsidP="00171723">
      <w:pPr>
        <w:pStyle w:val="PlainText"/>
        <w:tabs>
          <w:tab w:val="left" w:pos="426"/>
        </w:tabs>
        <w:spacing w:before="100" w:line="360" w:lineRule="auto"/>
        <w:jc w:val="center"/>
        <w:rPr>
          <w:rFonts w:ascii="Times New Roman" w:hAnsi="Times New Roman" w:cs="Times New Roman"/>
          <w:b/>
          <w:bCs/>
          <w:sz w:val="28"/>
        </w:rPr>
      </w:pPr>
      <w:r w:rsidRPr="001D3902">
        <w:rPr>
          <w:rFonts w:ascii="Times New Roman" w:hAnsi="Times New Roman" w:cs="Times New Roman"/>
          <w:b/>
          <w:bCs/>
          <w:sz w:val="28"/>
        </w:rPr>
        <w:t>Department of Economics</w:t>
      </w:r>
    </w:p>
    <w:p w:rsidR="00171723" w:rsidRPr="001D3902" w:rsidRDefault="003542C8" w:rsidP="00171723">
      <w:pPr>
        <w:pStyle w:val="PlainText"/>
        <w:tabs>
          <w:tab w:val="left" w:pos="426"/>
        </w:tabs>
        <w:spacing w:before="100" w:line="360" w:lineRule="auto"/>
        <w:jc w:val="center"/>
        <w:rPr>
          <w:rFonts w:ascii="Times New Roman" w:hAnsi="Times New Roman" w:cs="Times New Roman"/>
          <w:b/>
          <w:bCs/>
          <w:sz w:val="28"/>
        </w:rPr>
      </w:pPr>
      <w:r>
        <w:rPr>
          <w:rFonts w:ascii="Times New Roman" w:hAnsi="Times New Roman" w:cs="Times New Roman"/>
          <w:b/>
          <w:bCs/>
          <w:sz w:val="28"/>
        </w:rPr>
        <w:t>Working Paper in Economics 9/13</w:t>
      </w:r>
    </w:p>
    <w:p w:rsidR="00171723" w:rsidRPr="001D3902" w:rsidRDefault="003542C8" w:rsidP="00171723">
      <w:pPr>
        <w:pStyle w:val="PlainText"/>
        <w:tabs>
          <w:tab w:val="left" w:pos="426"/>
        </w:tabs>
        <w:spacing w:before="100" w:line="360" w:lineRule="auto"/>
        <w:jc w:val="center"/>
        <w:rPr>
          <w:rFonts w:ascii="Times New Roman" w:hAnsi="Times New Roman" w:cs="Times New Roman"/>
          <w:sz w:val="28"/>
        </w:rPr>
      </w:pPr>
      <w:r>
        <w:rPr>
          <w:rFonts w:ascii="Times New Roman" w:hAnsi="Times New Roman" w:cs="Times New Roman"/>
          <w:sz w:val="28"/>
        </w:rPr>
        <w:t>June 2013</w:t>
      </w:r>
    </w:p>
    <w:p w:rsidR="00171723" w:rsidRPr="001D3902" w:rsidRDefault="00171723" w:rsidP="00171723">
      <w:pPr>
        <w:pStyle w:val="PlainText"/>
        <w:tabs>
          <w:tab w:val="left" w:pos="426"/>
        </w:tabs>
        <w:spacing w:before="100" w:line="360" w:lineRule="auto"/>
        <w:jc w:val="cente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171723" w:rsidRPr="00A11E10" w:rsidTr="00047DD4">
        <w:tc>
          <w:tcPr>
            <w:tcW w:w="4621" w:type="dxa"/>
            <w:tcBorders>
              <w:top w:val="nil"/>
              <w:left w:val="nil"/>
              <w:bottom w:val="nil"/>
              <w:right w:val="nil"/>
            </w:tcBorders>
          </w:tcPr>
          <w:p w:rsidR="00171723" w:rsidRPr="000A39D9" w:rsidRDefault="00171723" w:rsidP="00047DD4">
            <w:pPr>
              <w:pStyle w:val="CM4"/>
              <w:spacing w:line="240" w:lineRule="auto"/>
              <w:jc w:val="center"/>
              <w:rPr>
                <w:bCs/>
                <w:sz w:val="22"/>
                <w:szCs w:val="22"/>
              </w:rPr>
            </w:pPr>
            <w:r w:rsidRPr="000A39D9">
              <w:rPr>
                <w:bCs/>
                <w:sz w:val="22"/>
                <w:szCs w:val="22"/>
              </w:rPr>
              <w:t>Corresponding Author</w:t>
            </w:r>
          </w:p>
          <w:p w:rsidR="00171723" w:rsidRPr="000A39D9" w:rsidRDefault="00171723" w:rsidP="00047DD4">
            <w:pPr>
              <w:pStyle w:val="CM4"/>
              <w:spacing w:line="240" w:lineRule="auto"/>
              <w:jc w:val="center"/>
              <w:rPr>
                <w:b/>
                <w:bCs/>
                <w:sz w:val="8"/>
                <w:szCs w:val="8"/>
              </w:rPr>
            </w:pPr>
          </w:p>
          <w:p w:rsidR="00171723" w:rsidRPr="000A39D9" w:rsidRDefault="00171723" w:rsidP="00047DD4">
            <w:pPr>
              <w:pStyle w:val="CM4"/>
              <w:spacing w:line="240" w:lineRule="auto"/>
              <w:jc w:val="center"/>
            </w:pPr>
            <w:r w:rsidRPr="000A39D9">
              <w:rPr>
                <w:b/>
                <w:bCs/>
              </w:rPr>
              <w:t>John Gibson</w:t>
            </w:r>
          </w:p>
          <w:p w:rsidR="00171723" w:rsidRPr="000A39D9" w:rsidRDefault="00171723" w:rsidP="00047DD4">
            <w:pPr>
              <w:pStyle w:val="CM23"/>
              <w:spacing w:after="0"/>
              <w:jc w:val="center"/>
              <w:rPr>
                <w:sz w:val="12"/>
                <w:szCs w:val="12"/>
              </w:rPr>
            </w:pPr>
          </w:p>
          <w:p w:rsidR="00171723" w:rsidRPr="000A39D9" w:rsidRDefault="00171723" w:rsidP="00047DD4">
            <w:pPr>
              <w:pStyle w:val="CM23"/>
              <w:spacing w:after="0"/>
              <w:jc w:val="center"/>
            </w:pPr>
            <w:r w:rsidRPr="000A39D9">
              <w:t>Economics Department</w:t>
            </w:r>
          </w:p>
          <w:p w:rsidR="00171723" w:rsidRPr="000A39D9" w:rsidRDefault="00171723" w:rsidP="00047DD4">
            <w:pPr>
              <w:pStyle w:val="CM23"/>
              <w:spacing w:after="0"/>
              <w:jc w:val="center"/>
            </w:pPr>
            <w:r w:rsidRPr="000A39D9">
              <w:t>University of Waikato</w:t>
            </w:r>
          </w:p>
          <w:p w:rsidR="00171723" w:rsidRPr="000A39D9" w:rsidRDefault="00171723" w:rsidP="00047DD4">
            <w:pPr>
              <w:pStyle w:val="CM23"/>
              <w:spacing w:after="0"/>
              <w:jc w:val="center"/>
            </w:pPr>
            <w:r w:rsidRPr="000A39D9">
              <w:t>Private Bag 3105</w:t>
            </w:r>
          </w:p>
          <w:p w:rsidR="00171723" w:rsidRPr="000A39D9" w:rsidRDefault="00171723" w:rsidP="00047DD4">
            <w:pPr>
              <w:pStyle w:val="CM23"/>
              <w:spacing w:after="0"/>
              <w:jc w:val="center"/>
            </w:pPr>
            <w:r w:rsidRPr="000A39D9">
              <w:t>Hamilton</w:t>
            </w:r>
          </w:p>
          <w:p w:rsidR="00171723" w:rsidRPr="000A39D9" w:rsidRDefault="00171723" w:rsidP="00047DD4">
            <w:pPr>
              <w:pStyle w:val="CM23"/>
              <w:spacing w:after="0"/>
              <w:jc w:val="center"/>
            </w:pPr>
            <w:r w:rsidRPr="000A39D9">
              <w:t xml:space="preserve">NEW ZEALAND </w:t>
            </w:r>
          </w:p>
          <w:p w:rsidR="003542C8" w:rsidRPr="00E45C9E" w:rsidRDefault="003542C8" w:rsidP="003542C8">
            <w:pPr>
              <w:pStyle w:val="Default"/>
              <w:jc w:val="center"/>
              <w:rPr>
                <w:rFonts w:ascii="Times New Roman" w:hAnsi="Times New Roman" w:cs="Times New Roman"/>
                <w:i/>
                <w:lang w:val="en-US"/>
              </w:rPr>
            </w:pPr>
            <w:r w:rsidRPr="00E45C9E">
              <w:rPr>
                <w:rFonts w:ascii="Times New Roman" w:hAnsi="Times New Roman" w:cs="Times New Roman"/>
                <w:i/>
                <w:lang w:val="en-US"/>
              </w:rPr>
              <w:t>and</w:t>
            </w:r>
          </w:p>
          <w:p w:rsidR="003542C8" w:rsidRPr="000A39D9" w:rsidRDefault="003542C8" w:rsidP="003542C8">
            <w:pPr>
              <w:pStyle w:val="Default"/>
              <w:jc w:val="center"/>
              <w:rPr>
                <w:rFonts w:ascii="Times New Roman" w:hAnsi="Times New Roman" w:cs="Times New Roman"/>
                <w:lang w:val="en-US"/>
              </w:rPr>
            </w:pPr>
            <w:r w:rsidRPr="000A39D9">
              <w:rPr>
                <w:rFonts w:ascii="Times New Roman" w:hAnsi="Times New Roman" w:cs="Times New Roman"/>
                <w:lang w:val="en-US"/>
              </w:rPr>
              <w:t>Motu Economic and Public Policy Research</w:t>
            </w:r>
          </w:p>
          <w:p w:rsidR="00171723" w:rsidRPr="000A39D9" w:rsidRDefault="00171723" w:rsidP="00047DD4">
            <w:pPr>
              <w:pStyle w:val="Default"/>
              <w:rPr>
                <w:rFonts w:ascii="Times New Roman" w:hAnsi="Times New Roman" w:cs="Times New Roman"/>
                <w:sz w:val="12"/>
                <w:szCs w:val="12"/>
              </w:rPr>
            </w:pPr>
          </w:p>
          <w:p w:rsidR="00171723" w:rsidRPr="000A39D9" w:rsidRDefault="00171723" w:rsidP="00047DD4">
            <w:pPr>
              <w:pStyle w:val="CM3"/>
              <w:jc w:val="center"/>
              <w:rPr>
                <w:bCs/>
              </w:rPr>
            </w:pPr>
            <w:r w:rsidRPr="000A39D9">
              <w:rPr>
                <w:bCs/>
              </w:rPr>
              <w:t>Email: jkgibson@waikato.ac.nz</w:t>
            </w:r>
          </w:p>
          <w:p w:rsidR="00171723" w:rsidRPr="000A39D9" w:rsidRDefault="00171723" w:rsidP="00047DD4">
            <w:pPr>
              <w:pStyle w:val="NoSpacing"/>
              <w:jc w:val="center"/>
              <w:rPr>
                <w:sz w:val="28"/>
              </w:rPr>
            </w:pPr>
          </w:p>
        </w:tc>
        <w:tc>
          <w:tcPr>
            <w:tcW w:w="4622" w:type="dxa"/>
            <w:tcBorders>
              <w:top w:val="nil"/>
              <w:left w:val="nil"/>
              <w:bottom w:val="nil"/>
              <w:right w:val="nil"/>
            </w:tcBorders>
          </w:tcPr>
          <w:p w:rsidR="002E34EF" w:rsidRPr="000A39D9" w:rsidRDefault="002E34EF" w:rsidP="003542C8">
            <w:pPr>
              <w:pStyle w:val="BodyText"/>
              <w:spacing w:after="0"/>
              <w:ind w:hanging="40"/>
              <w:jc w:val="center"/>
              <w:rPr>
                <w:b/>
                <w:lang w:val="en-NZ"/>
              </w:rPr>
            </w:pPr>
          </w:p>
          <w:p w:rsidR="003542C8" w:rsidRPr="000A39D9" w:rsidRDefault="003542C8" w:rsidP="000A39D9">
            <w:pPr>
              <w:pStyle w:val="BodyText"/>
              <w:spacing w:before="40" w:after="0"/>
              <w:ind w:hanging="40"/>
              <w:jc w:val="center"/>
              <w:rPr>
                <w:b/>
                <w:lang w:val="en-NZ"/>
              </w:rPr>
            </w:pPr>
            <w:r w:rsidRPr="000A39D9">
              <w:rPr>
                <w:b/>
                <w:lang w:val="en-NZ"/>
              </w:rPr>
              <w:t>Riccardo Scarpa</w:t>
            </w:r>
          </w:p>
          <w:p w:rsidR="002E34EF" w:rsidRPr="000A39D9" w:rsidRDefault="002E34EF" w:rsidP="003542C8">
            <w:pPr>
              <w:pStyle w:val="BodyText"/>
              <w:spacing w:after="0"/>
              <w:ind w:hanging="40"/>
              <w:jc w:val="center"/>
              <w:rPr>
                <w:b/>
                <w:sz w:val="12"/>
                <w:szCs w:val="12"/>
                <w:lang w:val="en-NZ"/>
              </w:rPr>
            </w:pPr>
          </w:p>
          <w:p w:rsidR="003542C8" w:rsidRPr="000A39D9" w:rsidRDefault="003542C8" w:rsidP="003542C8">
            <w:pPr>
              <w:pStyle w:val="BodyText"/>
              <w:spacing w:after="0"/>
              <w:ind w:hanging="40"/>
              <w:jc w:val="center"/>
              <w:rPr>
                <w:lang w:val="en-NZ"/>
              </w:rPr>
            </w:pPr>
            <w:r w:rsidRPr="000A39D9">
              <w:rPr>
                <w:lang w:val="en-NZ"/>
              </w:rPr>
              <w:t>Economics Department</w:t>
            </w:r>
          </w:p>
          <w:p w:rsidR="003542C8" w:rsidRPr="000A39D9" w:rsidRDefault="003542C8" w:rsidP="003542C8">
            <w:pPr>
              <w:pStyle w:val="BodyText"/>
              <w:spacing w:after="0"/>
              <w:ind w:hanging="40"/>
              <w:jc w:val="center"/>
              <w:rPr>
                <w:lang w:val="en-NZ"/>
              </w:rPr>
            </w:pPr>
            <w:r w:rsidRPr="000A39D9">
              <w:rPr>
                <w:lang w:val="en-NZ"/>
              </w:rPr>
              <w:t>University of Waikato</w:t>
            </w:r>
          </w:p>
          <w:p w:rsidR="003542C8" w:rsidRPr="000A39D9" w:rsidRDefault="003542C8" w:rsidP="003542C8">
            <w:pPr>
              <w:pStyle w:val="BodyText"/>
              <w:spacing w:after="0"/>
              <w:ind w:hanging="40"/>
              <w:jc w:val="center"/>
              <w:rPr>
                <w:lang w:val="en-NZ"/>
              </w:rPr>
            </w:pPr>
            <w:r w:rsidRPr="000A39D9">
              <w:rPr>
                <w:lang w:val="en-NZ"/>
              </w:rPr>
              <w:t>Private Bag 3105</w:t>
            </w:r>
          </w:p>
          <w:p w:rsidR="003542C8" w:rsidRPr="000A39D9" w:rsidRDefault="003542C8" w:rsidP="003542C8">
            <w:pPr>
              <w:pStyle w:val="BodyText"/>
              <w:spacing w:after="0"/>
              <w:ind w:hanging="40"/>
              <w:jc w:val="center"/>
              <w:rPr>
                <w:lang w:val="en-NZ"/>
              </w:rPr>
            </w:pPr>
            <w:r w:rsidRPr="000A39D9">
              <w:rPr>
                <w:lang w:val="en-NZ"/>
              </w:rPr>
              <w:t>Hamilton</w:t>
            </w:r>
          </w:p>
          <w:p w:rsidR="003542C8" w:rsidRPr="000A39D9" w:rsidRDefault="003542C8" w:rsidP="003542C8">
            <w:pPr>
              <w:pStyle w:val="BodyText"/>
              <w:spacing w:after="0"/>
              <w:ind w:hanging="40"/>
              <w:jc w:val="center"/>
              <w:rPr>
                <w:lang w:val="en-NZ"/>
              </w:rPr>
            </w:pPr>
            <w:r w:rsidRPr="000A39D9">
              <w:rPr>
                <w:lang w:val="en-NZ"/>
              </w:rPr>
              <w:t>NEW ZEALAND</w:t>
            </w:r>
          </w:p>
          <w:p w:rsidR="003542C8" w:rsidRPr="00E45C9E" w:rsidRDefault="003542C8" w:rsidP="003542C8">
            <w:pPr>
              <w:pStyle w:val="Default"/>
              <w:jc w:val="center"/>
              <w:rPr>
                <w:rFonts w:ascii="Times New Roman" w:hAnsi="Times New Roman" w:cs="Times New Roman"/>
                <w:i/>
                <w:lang w:val="en-US"/>
              </w:rPr>
            </w:pPr>
            <w:r w:rsidRPr="00E45C9E">
              <w:rPr>
                <w:rFonts w:ascii="Times New Roman" w:hAnsi="Times New Roman" w:cs="Times New Roman"/>
                <w:i/>
                <w:lang w:val="en-US"/>
              </w:rPr>
              <w:t>and</w:t>
            </w:r>
          </w:p>
          <w:p w:rsidR="003542C8" w:rsidRPr="000A39D9" w:rsidRDefault="003542C8" w:rsidP="003542C8">
            <w:pPr>
              <w:pStyle w:val="Default"/>
              <w:jc w:val="center"/>
              <w:rPr>
                <w:rFonts w:ascii="Times New Roman" w:hAnsi="Times New Roman" w:cs="Times New Roman"/>
                <w:lang w:val="en-US"/>
              </w:rPr>
            </w:pPr>
            <w:r w:rsidRPr="000A39D9">
              <w:rPr>
                <w:rFonts w:ascii="Times New Roman" w:hAnsi="Times New Roman" w:cs="Times New Roman"/>
                <w:lang w:val="en-US"/>
              </w:rPr>
              <w:t>Queens University Belfast</w:t>
            </w:r>
          </w:p>
          <w:p w:rsidR="003542C8" w:rsidRPr="00E45C9E" w:rsidRDefault="003542C8" w:rsidP="003542C8">
            <w:pPr>
              <w:pStyle w:val="Default"/>
              <w:jc w:val="center"/>
              <w:rPr>
                <w:rFonts w:ascii="Times New Roman" w:hAnsi="Times New Roman" w:cs="Times New Roman"/>
                <w:i/>
                <w:lang w:val="en-US"/>
              </w:rPr>
            </w:pPr>
            <w:r w:rsidRPr="00E45C9E">
              <w:rPr>
                <w:rFonts w:ascii="Times New Roman" w:hAnsi="Times New Roman" w:cs="Times New Roman"/>
                <w:i/>
                <w:lang w:val="en-US"/>
              </w:rPr>
              <w:t>and</w:t>
            </w:r>
          </w:p>
          <w:p w:rsidR="003542C8" w:rsidRPr="000A39D9" w:rsidRDefault="003542C8" w:rsidP="003542C8">
            <w:pPr>
              <w:pStyle w:val="Default"/>
              <w:jc w:val="center"/>
              <w:rPr>
                <w:rFonts w:ascii="Times New Roman" w:hAnsi="Times New Roman" w:cs="Times New Roman"/>
                <w:lang w:val="en-US"/>
              </w:rPr>
            </w:pPr>
            <w:r w:rsidRPr="000A39D9">
              <w:rPr>
                <w:rFonts w:ascii="Times New Roman" w:hAnsi="Times New Roman" w:cs="Times New Roman"/>
                <w:lang w:val="en-US"/>
              </w:rPr>
              <w:t>Centre for the Study of Choice</w:t>
            </w:r>
          </w:p>
          <w:p w:rsidR="003542C8" w:rsidRPr="000A39D9" w:rsidRDefault="003542C8" w:rsidP="003542C8">
            <w:pPr>
              <w:pStyle w:val="Default"/>
              <w:jc w:val="center"/>
              <w:rPr>
                <w:rFonts w:ascii="Times New Roman" w:hAnsi="Times New Roman" w:cs="Times New Roman"/>
                <w:lang w:val="en-US"/>
              </w:rPr>
            </w:pPr>
            <w:r w:rsidRPr="000A39D9">
              <w:rPr>
                <w:rFonts w:ascii="Times New Roman" w:hAnsi="Times New Roman" w:cs="Times New Roman"/>
                <w:lang w:val="en-US"/>
              </w:rPr>
              <w:t>University of Technology Sydney</w:t>
            </w:r>
          </w:p>
          <w:p w:rsidR="003542C8" w:rsidRPr="000A39D9" w:rsidRDefault="003542C8" w:rsidP="003542C8">
            <w:pPr>
              <w:pStyle w:val="BodyText"/>
              <w:spacing w:after="0"/>
              <w:ind w:hanging="40"/>
              <w:jc w:val="center"/>
              <w:rPr>
                <w:sz w:val="12"/>
                <w:szCs w:val="12"/>
                <w:lang w:val="en-NZ"/>
              </w:rPr>
            </w:pPr>
          </w:p>
          <w:p w:rsidR="003542C8" w:rsidRPr="000A39D9" w:rsidRDefault="003542C8" w:rsidP="003542C8">
            <w:pPr>
              <w:pStyle w:val="Heading4"/>
              <w:spacing w:before="0" w:after="0"/>
              <w:ind w:hanging="40"/>
              <w:jc w:val="center"/>
              <w:rPr>
                <w:b w:val="0"/>
                <w:bCs w:val="0"/>
                <w:sz w:val="24"/>
                <w:szCs w:val="24"/>
              </w:rPr>
            </w:pPr>
            <w:r w:rsidRPr="000A39D9">
              <w:rPr>
                <w:b w:val="0"/>
                <w:bCs w:val="0"/>
                <w:sz w:val="24"/>
                <w:szCs w:val="24"/>
              </w:rPr>
              <w:t xml:space="preserve">Email: </w:t>
            </w:r>
            <w:r w:rsidR="00A21B06" w:rsidRPr="000A39D9">
              <w:rPr>
                <w:b w:val="0"/>
                <w:bCs w:val="0"/>
                <w:sz w:val="24"/>
                <w:szCs w:val="24"/>
              </w:rPr>
              <w:t>rscarpa</w:t>
            </w:r>
            <w:r w:rsidRPr="000A39D9">
              <w:rPr>
                <w:b w:val="0"/>
                <w:sz w:val="24"/>
                <w:szCs w:val="24"/>
              </w:rPr>
              <w:t>@waikato.ac.nz</w:t>
            </w:r>
          </w:p>
          <w:p w:rsidR="00171723" w:rsidRPr="000A39D9" w:rsidRDefault="00171723" w:rsidP="00047DD4">
            <w:pPr>
              <w:pStyle w:val="NoSpacing"/>
              <w:jc w:val="center"/>
              <w:rPr>
                <w:sz w:val="28"/>
              </w:rPr>
            </w:pPr>
          </w:p>
        </w:tc>
      </w:tr>
      <w:tr w:rsidR="00171723" w:rsidRPr="00A11E10" w:rsidTr="00047DD4">
        <w:tc>
          <w:tcPr>
            <w:tcW w:w="9243" w:type="dxa"/>
            <w:gridSpan w:val="2"/>
            <w:tcBorders>
              <w:top w:val="nil"/>
              <w:left w:val="nil"/>
              <w:bottom w:val="nil"/>
              <w:right w:val="nil"/>
            </w:tcBorders>
          </w:tcPr>
          <w:p w:rsidR="002E34EF" w:rsidRPr="002E34EF" w:rsidRDefault="002E34EF" w:rsidP="00047DD4">
            <w:pPr>
              <w:pStyle w:val="BodyText"/>
              <w:spacing w:after="0"/>
              <w:ind w:hanging="40"/>
              <w:jc w:val="center"/>
              <w:rPr>
                <w:b/>
                <w:lang w:val="en-NZ"/>
              </w:rPr>
            </w:pPr>
            <w:proofErr w:type="spellStart"/>
            <w:r w:rsidRPr="002E34EF">
              <w:rPr>
                <w:b/>
                <w:iCs/>
              </w:rPr>
              <w:t>Halahingano</w:t>
            </w:r>
            <w:proofErr w:type="spellEnd"/>
            <w:r w:rsidRPr="002E34EF">
              <w:rPr>
                <w:b/>
                <w:iCs/>
              </w:rPr>
              <w:t xml:space="preserve"> </w:t>
            </w:r>
            <w:proofErr w:type="spellStart"/>
            <w:r w:rsidRPr="002E34EF">
              <w:rPr>
                <w:b/>
                <w:iCs/>
              </w:rPr>
              <w:t>Rohorua</w:t>
            </w:r>
            <w:proofErr w:type="spellEnd"/>
            <w:r w:rsidRPr="002E34EF">
              <w:rPr>
                <w:b/>
                <w:lang w:val="en-NZ"/>
              </w:rPr>
              <w:t xml:space="preserve"> </w:t>
            </w:r>
          </w:p>
          <w:p w:rsidR="00171723" w:rsidRPr="00A11E10" w:rsidRDefault="00171723" w:rsidP="00047DD4">
            <w:pPr>
              <w:pStyle w:val="BodyText"/>
              <w:spacing w:after="0"/>
              <w:ind w:hanging="40"/>
              <w:jc w:val="center"/>
              <w:rPr>
                <w:lang w:val="en-NZ"/>
              </w:rPr>
            </w:pPr>
            <w:r w:rsidRPr="00A11E10">
              <w:rPr>
                <w:lang w:val="en-NZ"/>
              </w:rPr>
              <w:t>Economics Department</w:t>
            </w:r>
          </w:p>
          <w:p w:rsidR="00171723" w:rsidRPr="00A11E10" w:rsidRDefault="00171723" w:rsidP="00047DD4">
            <w:pPr>
              <w:pStyle w:val="BodyText"/>
              <w:spacing w:after="0"/>
              <w:ind w:hanging="40"/>
              <w:jc w:val="center"/>
              <w:rPr>
                <w:lang w:val="en-NZ"/>
              </w:rPr>
            </w:pPr>
            <w:r w:rsidRPr="00A11E10">
              <w:rPr>
                <w:lang w:val="en-NZ"/>
              </w:rPr>
              <w:t>University of Waikato</w:t>
            </w:r>
          </w:p>
          <w:p w:rsidR="00171723" w:rsidRPr="00A11E10" w:rsidRDefault="00171723" w:rsidP="00047DD4">
            <w:pPr>
              <w:pStyle w:val="BodyText"/>
              <w:spacing w:after="0"/>
              <w:ind w:hanging="40"/>
              <w:jc w:val="center"/>
              <w:rPr>
                <w:lang w:val="en-NZ"/>
              </w:rPr>
            </w:pPr>
            <w:r w:rsidRPr="00A11E10">
              <w:rPr>
                <w:lang w:val="en-NZ"/>
              </w:rPr>
              <w:t>Private Bag 3105</w:t>
            </w:r>
          </w:p>
          <w:p w:rsidR="00171723" w:rsidRPr="00A11E10" w:rsidRDefault="00171723" w:rsidP="00047DD4">
            <w:pPr>
              <w:pStyle w:val="BodyText"/>
              <w:spacing w:after="0"/>
              <w:ind w:hanging="40"/>
              <w:jc w:val="center"/>
              <w:rPr>
                <w:lang w:val="en-NZ"/>
              </w:rPr>
            </w:pPr>
            <w:r w:rsidRPr="00A11E10">
              <w:rPr>
                <w:lang w:val="en-NZ"/>
              </w:rPr>
              <w:t>Hamilton</w:t>
            </w:r>
          </w:p>
          <w:p w:rsidR="00171723" w:rsidRPr="00A11E10" w:rsidRDefault="00171723" w:rsidP="00047DD4">
            <w:pPr>
              <w:pStyle w:val="BodyText"/>
              <w:spacing w:after="0"/>
              <w:ind w:hanging="40"/>
              <w:jc w:val="center"/>
              <w:rPr>
                <w:lang w:val="en-NZ"/>
              </w:rPr>
            </w:pPr>
            <w:r w:rsidRPr="00A11E10">
              <w:rPr>
                <w:lang w:val="en-NZ"/>
              </w:rPr>
              <w:t>NEW ZEALAND</w:t>
            </w:r>
          </w:p>
          <w:p w:rsidR="00171723" w:rsidRPr="00A11E10" w:rsidRDefault="00171723" w:rsidP="00047DD4">
            <w:pPr>
              <w:pStyle w:val="BodyText"/>
              <w:spacing w:after="0"/>
              <w:ind w:hanging="40"/>
              <w:jc w:val="center"/>
              <w:rPr>
                <w:sz w:val="12"/>
                <w:szCs w:val="12"/>
                <w:lang w:val="en-NZ"/>
              </w:rPr>
            </w:pPr>
          </w:p>
          <w:p w:rsidR="00171723" w:rsidRPr="00A11E10" w:rsidRDefault="00171723" w:rsidP="00047DD4">
            <w:pPr>
              <w:pStyle w:val="Heading4"/>
              <w:spacing w:before="0" w:after="0"/>
              <w:ind w:hanging="40"/>
              <w:jc w:val="center"/>
              <w:rPr>
                <w:b w:val="0"/>
                <w:bCs w:val="0"/>
                <w:sz w:val="24"/>
                <w:szCs w:val="24"/>
              </w:rPr>
            </w:pPr>
            <w:r w:rsidRPr="00A11E10">
              <w:rPr>
                <w:b w:val="0"/>
                <w:bCs w:val="0"/>
                <w:sz w:val="24"/>
                <w:szCs w:val="24"/>
              </w:rPr>
              <w:t xml:space="preserve">Email: </w:t>
            </w:r>
            <w:r w:rsidR="001A7C72">
              <w:rPr>
                <w:b w:val="0"/>
                <w:bCs w:val="0"/>
                <w:sz w:val="24"/>
                <w:szCs w:val="24"/>
              </w:rPr>
              <w:t>hala</w:t>
            </w:r>
            <w:r w:rsidRPr="00634A54">
              <w:rPr>
                <w:b w:val="0"/>
                <w:sz w:val="24"/>
                <w:szCs w:val="24"/>
              </w:rPr>
              <w:t>@waikato.ac.nz</w:t>
            </w:r>
          </w:p>
          <w:p w:rsidR="00171723" w:rsidRPr="00A11E10" w:rsidRDefault="00171723" w:rsidP="00047DD4">
            <w:pPr>
              <w:pStyle w:val="PlainText"/>
              <w:tabs>
                <w:tab w:val="left" w:pos="284"/>
              </w:tabs>
              <w:jc w:val="center"/>
              <w:rPr>
                <w:rFonts w:ascii="Times New Roman" w:hAnsi="Times New Roman" w:cs="Times New Roman"/>
                <w:b/>
              </w:rPr>
            </w:pPr>
          </w:p>
          <w:p w:rsidR="00171723" w:rsidRPr="00A11E10" w:rsidRDefault="00171723" w:rsidP="00047DD4">
            <w:pPr>
              <w:pStyle w:val="NoSpacing"/>
              <w:jc w:val="center"/>
              <w:rPr>
                <w:sz w:val="28"/>
              </w:rPr>
            </w:pPr>
          </w:p>
        </w:tc>
      </w:tr>
    </w:tbl>
    <w:p w:rsidR="00171723" w:rsidRPr="001D3902" w:rsidRDefault="00171723" w:rsidP="00171723">
      <w:pPr>
        <w:pStyle w:val="NoSpacing"/>
        <w:jc w:val="center"/>
        <w:rPr>
          <w:sz w:val="28"/>
        </w:rPr>
      </w:pPr>
    </w:p>
    <w:p w:rsidR="00171723" w:rsidRPr="001D3902" w:rsidRDefault="00171723" w:rsidP="00171723">
      <w:pPr>
        <w:pStyle w:val="NoSpacing"/>
        <w:jc w:val="center"/>
        <w:rPr>
          <w:sz w:val="28"/>
        </w:rPr>
      </w:pPr>
    </w:p>
    <w:p w:rsidR="00171723" w:rsidRPr="001D3902" w:rsidRDefault="00171723" w:rsidP="00171723"/>
    <w:p w:rsidR="002D77A9" w:rsidRDefault="002D77A9" w:rsidP="00171723">
      <w:pPr>
        <w:pStyle w:val="NoSpacing"/>
        <w:jc w:val="center"/>
        <w:rPr>
          <w:b/>
          <w:szCs w:val="24"/>
        </w:rPr>
      </w:pPr>
    </w:p>
    <w:p w:rsidR="00171723" w:rsidRPr="001D3902" w:rsidRDefault="00171723" w:rsidP="00171723">
      <w:pPr>
        <w:pStyle w:val="NoSpacing"/>
        <w:jc w:val="center"/>
        <w:rPr>
          <w:b/>
          <w:szCs w:val="24"/>
        </w:rPr>
      </w:pPr>
      <w:r w:rsidRPr="001D3902">
        <w:rPr>
          <w:b/>
          <w:szCs w:val="24"/>
        </w:rPr>
        <w:t>Abstract</w:t>
      </w:r>
    </w:p>
    <w:p w:rsidR="00171723" w:rsidRPr="001D3902" w:rsidRDefault="00171723" w:rsidP="00171723">
      <w:pPr>
        <w:pStyle w:val="NoSpacing"/>
        <w:rPr>
          <w:b/>
        </w:rPr>
      </w:pPr>
    </w:p>
    <w:p w:rsidR="002E34EF" w:rsidRDefault="002E34EF" w:rsidP="00933E0B">
      <w:pPr>
        <w:spacing w:line="360" w:lineRule="auto"/>
        <w:rPr>
          <w:color w:val="000000"/>
        </w:rPr>
      </w:pPr>
      <w:r>
        <w:rPr>
          <w:lang w:bidi="ar-SA"/>
        </w:rPr>
        <w:t xml:space="preserve">Indoor air quality affects respiratory diseases, such as asthma, and can be altered by devices that lower dwelling humidity and raise temperature. Several countries have initiated schemes that subsidize devices such as heat pumps based on putative health benefits but the valuations of these devices by the affected populations remains unknown. We investigate preferences for devices that affect indoor air quality, dampness, and warmth, using </w:t>
      </w:r>
      <w:r>
        <w:t xml:space="preserve">a choice experiment with a sample of Pacific Islander immigrants in New Zealand. This is a high risk group for respiratory disease, who typically rent crowded and inadequately heated dwellings. Using both conditional logit and panel mixed logit models we find </w:t>
      </w:r>
      <w:r>
        <w:rPr>
          <w:lang w:bidi="ar-SA"/>
        </w:rPr>
        <w:t>reasonably precise estimates of the willingness to pay for four improved heating and humidity control devices, which would cover the capital costs of two of the devices, and add up to about three-quarters of the cost of the other two devices.</w:t>
      </w:r>
    </w:p>
    <w:p w:rsidR="00171723" w:rsidRPr="001D3902" w:rsidRDefault="00171723" w:rsidP="00171723">
      <w:pPr>
        <w:pStyle w:val="NoSpacing"/>
        <w:rPr>
          <w:b/>
        </w:rPr>
      </w:pPr>
    </w:p>
    <w:p w:rsidR="00171723" w:rsidRPr="001D3902" w:rsidRDefault="00171723" w:rsidP="00171723">
      <w:pPr>
        <w:pStyle w:val="NoSpacing"/>
        <w:rPr>
          <w:b/>
        </w:rPr>
      </w:pPr>
    </w:p>
    <w:p w:rsidR="00171723" w:rsidRPr="00826BEA" w:rsidRDefault="00171723" w:rsidP="00171723">
      <w:pPr>
        <w:pStyle w:val="NoSpacing"/>
        <w:jc w:val="center"/>
        <w:rPr>
          <w:b/>
          <w:szCs w:val="24"/>
        </w:rPr>
      </w:pPr>
      <w:r w:rsidRPr="00826BEA">
        <w:rPr>
          <w:b/>
          <w:szCs w:val="24"/>
        </w:rPr>
        <w:t>Keywords</w:t>
      </w:r>
    </w:p>
    <w:p w:rsidR="00171723" w:rsidRPr="00826BEA" w:rsidRDefault="00171723" w:rsidP="00171723">
      <w:pPr>
        <w:pStyle w:val="NoSpacing"/>
        <w:jc w:val="center"/>
        <w:rPr>
          <w:b/>
          <w:szCs w:val="24"/>
        </w:rPr>
      </w:pPr>
    </w:p>
    <w:p w:rsidR="002E34EF" w:rsidRDefault="002E34EF" w:rsidP="002E34EF">
      <w:pPr>
        <w:spacing w:line="300" w:lineRule="auto"/>
        <w:jc w:val="center"/>
        <w:rPr>
          <w:bCs/>
          <w:lang w:val="en-AU"/>
        </w:rPr>
      </w:pPr>
      <w:proofErr w:type="gramStart"/>
      <w:r>
        <w:rPr>
          <w:bCs/>
          <w:lang w:val="en-AU"/>
        </w:rPr>
        <w:t>respiratory</w:t>
      </w:r>
      <w:proofErr w:type="gramEnd"/>
      <w:r>
        <w:rPr>
          <w:bCs/>
          <w:lang w:val="en-AU"/>
        </w:rPr>
        <w:t xml:space="preserve"> health</w:t>
      </w:r>
    </w:p>
    <w:p w:rsidR="002E34EF" w:rsidRDefault="002E34EF" w:rsidP="002E34EF">
      <w:pPr>
        <w:spacing w:line="300" w:lineRule="auto"/>
        <w:jc w:val="center"/>
        <w:rPr>
          <w:bCs/>
          <w:lang w:val="en-AU"/>
        </w:rPr>
      </w:pPr>
      <w:proofErr w:type="gramStart"/>
      <w:r>
        <w:rPr>
          <w:bCs/>
          <w:lang w:val="en-AU"/>
        </w:rPr>
        <w:t>indoor</w:t>
      </w:r>
      <w:proofErr w:type="gramEnd"/>
      <w:r>
        <w:rPr>
          <w:bCs/>
          <w:lang w:val="en-AU"/>
        </w:rPr>
        <w:t xml:space="preserve"> air-quality devices</w:t>
      </w:r>
    </w:p>
    <w:p w:rsidR="002E34EF" w:rsidRDefault="002E34EF" w:rsidP="002E34EF">
      <w:pPr>
        <w:spacing w:line="300" w:lineRule="auto"/>
        <w:jc w:val="center"/>
        <w:rPr>
          <w:bCs/>
        </w:rPr>
      </w:pPr>
      <w:proofErr w:type="gramStart"/>
      <w:r>
        <w:rPr>
          <w:bCs/>
          <w:lang w:val="en-AU"/>
        </w:rPr>
        <w:t>choice</w:t>
      </w:r>
      <w:proofErr w:type="gramEnd"/>
      <w:r>
        <w:rPr>
          <w:bCs/>
          <w:lang w:val="en-AU"/>
        </w:rPr>
        <w:t xml:space="preserve"> experiments</w:t>
      </w:r>
    </w:p>
    <w:p w:rsidR="00171723" w:rsidRDefault="00171723" w:rsidP="00171723">
      <w:pPr>
        <w:pStyle w:val="NoSpacing"/>
        <w:rPr>
          <w:b/>
        </w:rPr>
      </w:pPr>
    </w:p>
    <w:p w:rsidR="00171723" w:rsidRDefault="00171723" w:rsidP="00171723">
      <w:pPr>
        <w:pStyle w:val="NoSpacing"/>
        <w:rPr>
          <w:b/>
        </w:rPr>
      </w:pPr>
    </w:p>
    <w:p w:rsidR="00171723" w:rsidRPr="00FA37B0" w:rsidRDefault="00171723" w:rsidP="00171723">
      <w:pPr>
        <w:pStyle w:val="NoSpacing"/>
        <w:rPr>
          <w:b/>
        </w:rPr>
      </w:pPr>
    </w:p>
    <w:p w:rsidR="00171723" w:rsidRDefault="00171723" w:rsidP="00171723">
      <w:pPr>
        <w:pStyle w:val="NoSpacing"/>
        <w:jc w:val="center"/>
        <w:rPr>
          <w:b/>
          <w:szCs w:val="24"/>
        </w:rPr>
      </w:pPr>
      <w:r w:rsidRPr="009C501D">
        <w:rPr>
          <w:b/>
          <w:szCs w:val="24"/>
        </w:rPr>
        <w:t>JEL Codes</w:t>
      </w:r>
    </w:p>
    <w:p w:rsidR="002E34EF" w:rsidRPr="009C501D" w:rsidRDefault="002E34EF" w:rsidP="00171723">
      <w:pPr>
        <w:pStyle w:val="NoSpacing"/>
        <w:jc w:val="center"/>
        <w:rPr>
          <w:b/>
          <w:szCs w:val="24"/>
        </w:rPr>
      </w:pPr>
    </w:p>
    <w:p w:rsidR="002E34EF" w:rsidRDefault="002E34EF" w:rsidP="002E34EF">
      <w:pPr>
        <w:spacing w:line="300" w:lineRule="auto"/>
        <w:jc w:val="center"/>
        <w:rPr>
          <w:lang w:val="fr-FR"/>
        </w:rPr>
      </w:pPr>
      <w:r w:rsidRPr="00FC008F">
        <w:rPr>
          <w:bCs/>
          <w:lang w:val="fr-FR"/>
        </w:rPr>
        <w:t>C25</w:t>
      </w:r>
      <w:r w:rsidR="001A7C72">
        <w:rPr>
          <w:bCs/>
          <w:lang w:val="fr-FR"/>
        </w:rPr>
        <w:t>;  I12</w:t>
      </w:r>
      <w:r>
        <w:rPr>
          <w:bCs/>
          <w:lang w:val="fr-FR"/>
        </w:rPr>
        <w:t>;</w:t>
      </w:r>
      <w:r w:rsidRPr="00FC008F">
        <w:rPr>
          <w:bCs/>
          <w:lang w:val="fr-FR"/>
        </w:rPr>
        <w:t xml:space="preserve"> </w:t>
      </w:r>
      <w:r w:rsidR="001A7C72">
        <w:rPr>
          <w:bCs/>
          <w:lang w:val="fr-FR"/>
        </w:rPr>
        <w:t xml:space="preserve"> </w:t>
      </w:r>
      <w:r w:rsidRPr="00FC008F">
        <w:rPr>
          <w:lang w:val="fr-FR"/>
        </w:rPr>
        <w:t>Q53</w:t>
      </w:r>
    </w:p>
    <w:p w:rsidR="007603C6" w:rsidRDefault="007603C6" w:rsidP="00FF7EA4">
      <w:pPr>
        <w:spacing w:line="300" w:lineRule="auto"/>
        <w:jc w:val="center"/>
        <w:rPr>
          <w:b/>
          <w:bCs/>
        </w:rPr>
      </w:pPr>
    </w:p>
    <w:p w:rsidR="007603C6" w:rsidRDefault="007603C6" w:rsidP="00FF7EA4">
      <w:pPr>
        <w:spacing w:line="300" w:lineRule="auto"/>
        <w:jc w:val="center"/>
        <w:rPr>
          <w:b/>
          <w:bCs/>
        </w:rPr>
      </w:pPr>
    </w:p>
    <w:p w:rsidR="00C63E04" w:rsidRDefault="004D26F0" w:rsidP="00FF7EA4">
      <w:pPr>
        <w:spacing w:line="300" w:lineRule="auto"/>
        <w:jc w:val="center"/>
        <w:rPr>
          <w:b/>
          <w:bCs/>
        </w:rPr>
      </w:pPr>
      <w:r>
        <w:rPr>
          <w:b/>
          <w:bCs/>
        </w:rPr>
        <w:t>Acknowledgements</w:t>
      </w:r>
    </w:p>
    <w:p w:rsidR="004D26F0" w:rsidRPr="004D26F0" w:rsidRDefault="004D26F0" w:rsidP="00FF7EA4">
      <w:pPr>
        <w:spacing w:line="300" w:lineRule="auto"/>
        <w:jc w:val="center"/>
        <w:rPr>
          <w:b/>
          <w:bCs/>
          <w:sz w:val="12"/>
          <w:szCs w:val="12"/>
        </w:rPr>
      </w:pPr>
    </w:p>
    <w:p w:rsidR="004D26F0" w:rsidRPr="004D26F0" w:rsidRDefault="004D26F0" w:rsidP="004D26F0">
      <w:pPr>
        <w:pStyle w:val="FootnoteText"/>
        <w:rPr>
          <w:sz w:val="22"/>
          <w:szCs w:val="22"/>
        </w:rPr>
      </w:pPr>
      <w:r w:rsidRPr="004D26F0">
        <w:rPr>
          <w:sz w:val="22"/>
          <w:szCs w:val="22"/>
        </w:rPr>
        <w:t>Finan</w:t>
      </w:r>
      <w:r w:rsidR="000A39D9">
        <w:rPr>
          <w:sz w:val="22"/>
          <w:szCs w:val="22"/>
        </w:rPr>
        <w:t>cial support from Marsden Fund G</w:t>
      </w:r>
      <w:r w:rsidRPr="004D26F0">
        <w:rPr>
          <w:sz w:val="22"/>
          <w:szCs w:val="22"/>
        </w:rPr>
        <w:t>rant UOW1101</w:t>
      </w:r>
      <w:r w:rsidR="000A39D9">
        <w:rPr>
          <w:sz w:val="22"/>
          <w:szCs w:val="22"/>
        </w:rPr>
        <w:t xml:space="preserve"> and ethical approval from the Human Ethics C</w:t>
      </w:r>
      <w:r w:rsidRPr="004D26F0">
        <w:rPr>
          <w:sz w:val="22"/>
          <w:szCs w:val="22"/>
        </w:rPr>
        <w:t>ommittee of the Waikato Management School are acknowledged. The views expressed here are those of the authors alone.</w:t>
      </w:r>
    </w:p>
    <w:p w:rsidR="007603C6" w:rsidRPr="004D26F0" w:rsidRDefault="007603C6" w:rsidP="00FF7EA4">
      <w:pPr>
        <w:spacing w:line="300" w:lineRule="auto"/>
        <w:rPr>
          <w:bCs/>
          <w:sz w:val="22"/>
          <w:szCs w:val="22"/>
        </w:rPr>
      </w:pPr>
    </w:p>
    <w:p w:rsidR="00442E32" w:rsidRPr="00FC008F" w:rsidRDefault="00442E32" w:rsidP="00FF7EA4">
      <w:pPr>
        <w:autoSpaceDE w:val="0"/>
        <w:autoSpaceDN w:val="0"/>
        <w:adjustRightInd w:val="0"/>
        <w:spacing w:line="300" w:lineRule="auto"/>
        <w:rPr>
          <w:lang w:val="fr-FR" w:bidi="ar-SA"/>
        </w:rPr>
      </w:pPr>
    </w:p>
    <w:p w:rsidR="00933E0B" w:rsidRDefault="00933E0B">
      <w:pPr>
        <w:spacing w:after="200" w:line="276" w:lineRule="auto"/>
        <w:jc w:val="left"/>
        <w:rPr>
          <w:rFonts w:eastAsia="Times New Roman"/>
          <w:b/>
          <w:bCs/>
          <w:lang w:val="fr-FR" w:eastAsia="en-NZ" w:bidi="ar-SA"/>
        </w:rPr>
      </w:pPr>
      <w:r>
        <w:rPr>
          <w:rFonts w:eastAsia="Times New Roman"/>
          <w:b/>
          <w:bCs/>
          <w:lang w:val="fr-FR" w:eastAsia="en-NZ" w:bidi="ar-SA"/>
        </w:rPr>
        <w:br w:type="page"/>
      </w:r>
    </w:p>
    <w:p w:rsidR="005061DC" w:rsidRDefault="00084C0B" w:rsidP="00FF7EA4">
      <w:pPr>
        <w:spacing w:line="300" w:lineRule="auto"/>
        <w:rPr>
          <w:rFonts w:eastAsia="Times New Roman"/>
          <w:b/>
          <w:bCs/>
          <w:lang w:val="fr-FR" w:eastAsia="en-NZ" w:bidi="ar-SA"/>
        </w:rPr>
      </w:pPr>
      <w:r w:rsidRPr="00FC008F">
        <w:rPr>
          <w:rFonts w:eastAsia="Times New Roman"/>
          <w:b/>
          <w:bCs/>
          <w:lang w:val="fr-FR" w:eastAsia="en-NZ" w:bidi="ar-SA"/>
        </w:rPr>
        <w:lastRenderedPageBreak/>
        <w:t xml:space="preserve">1. </w:t>
      </w:r>
      <w:r w:rsidR="0048171D" w:rsidRPr="00FC008F">
        <w:rPr>
          <w:rFonts w:eastAsia="Times New Roman"/>
          <w:b/>
          <w:bCs/>
          <w:lang w:val="fr-FR" w:eastAsia="en-NZ" w:bidi="ar-SA"/>
        </w:rPr>
        <w:t>Introduction</w:t>
      </w:r>
    </w:p>
    <w:p w:rsidR="00FF7EA4" w:rsidRPr="000D4AC5" w:rsidRDefault="00FF7EA4" w:rsidP="00FF7EA4">
      <w:pPr>
        <w:spacing w:line="300" w:lineRule="auto"/>
        <w:rPr>
          <w:rFonts w:eastAsia="Times New Roman"/>
          <w:b/>
          <w:bCs/>
          <w:sz w:val="12"/>
          <w:szCs w:val="12"/>
          <w:lang w:val="fr-FR" w:eastAsia="en-NZ" w:bidi="ar-SA"/>
        </w:rPr>
      </w:pPr>
    </w:p>
    <w:p w:rsidR="001770F2" w:rsidRDefault="0048171D" w:rsidP="00FF7EA4">
      <w:pPr>
        <w:autoSpaceDE w:val="0"/>
        <w:autoSpaceDN w:val="0"/>
        <w:adjustRightInd w:val="0"/>
        <w:spacing w:line="300" w:lineRule="auto"/>
        <w:rPr>
          <w:lang w:bidi="ar-SA"/>
        </w:rPr>
      </w:pPr>
      <w:r>
        <w:rPr>
          <w:lang w:bidi="ar-SA"/>
        </w:rPr>
        <w:t xml:space="preserve">The quality of indoor air is an important determinant of respiratory disorders such as asthma and chronic obstructive pulmonary disease (COPD). Indoor air quality may be affected by whether </w:t>
      </w:r>
      <w:r w:rsidR="001770F2">
        <w:rPr>
          <w:lang w:bidi="ar-SA"/>
        </w:rPr>
        <w:t xml:space="preserve">residents </w:t>
      </w:r>
      <w:r>
        <w:rPr>
          <w:lang w:bidi="ar-SA"/>
        </w:rPr>
        <w:t xml:space="preserve">smoke, by how weatherproof </w:t>
      </w:r>
      <w:r w:rsidR="00CB7F54">
        <w:rPr>
          <w:lang w:bidi="ar-SA"/>
        </w:rPr>
        <w:t xml:space="preserve">is </w:t>
      </w:r>
      <w:r>
        <w:rPr>
          <w:lang w:bidi="ar-SA"/>
        </w:rPr>
        <w:t xml:space="preserve">the dwelling and the severity of exterior air pollution, but most especially, by the use of a variety of devices that affect dwelling </w:t>
      </w:r>
      <w:r w:rsidR="001770F2">
        <w:rPr>
          <w:lang w:bidi="ar-SA"/>
        </w:rPr>
        <w:t xml:space="preserve">humidity </w:t>
      </w:r>
      <w:r>
        <w:rPr>
          <w:lang w:bidi="ar-SA"/>
        </w:rPr>
        <w:t xml:space="preserve">and </w:t>
      </w:r>
      <w:r w:rsidR="001770F2">
        <w:rPr>
          <w:lang w:bidi="ar-SA"/>
        </w:rPr>
        <w:t>temperature</w:t>
      </w:r>
      <w:r w:rsidR="00CB7F54">
        <w:rPr>
          <w:lang w:bidi="ar-SA"/>
        </w:rPr>
        <w:t>, particular</w:t>
      </w:r>
      <w:r>
        <w:rPr>
          <w:lang w:bidi="ar-SA"/>
        </w:rPr>
        <w:t xml:space="preserve">ly in winter when more time is spent indoors. Such devices include </w:t>
      </w:r>
      <w:r w:rsidR="001770F2">
        <w:rPr>
          <w:lang w:bidi="ar-SA"/>
        </w:rPr>
        <w:t xml:space="preserve">clean </w:t>
      </w:r>
      <w:r>
        <w:rPr>
          <w:lang w:bidi="ar-SA"/>
        </w:rPr>
        <w:t>heating</w:t>
      </w:r>
      <w:r w:rsidRPr="00933344">
        <w:rPr>
          <w:lang w:bidi="ar-SA"/>
        </w:rPr>
        <w:t xml:space="preserve"> (</w:t>
      </w:r>
      <w:r w:rsidR="007276B5">
        <w:rPr>
          <w:lang w:bidi="ar-SA"/>
        </w:rPr>
        <w:t>for example,</w:t>
      </w:r>
      <w:r w:rsidR="00E11E14">
        <w:rPr>
          <w:lang w:bidi="ar-SA"/>
        </w:rPr>
        <w:t xml:space="preserve"> </w:t>
      </w:r>
      <w:proofErr w:type="spellStart"/>
      <w:r w:rsidR="001770F2">
        <w:rPr>
          <w:lang w:bidi="ar-SA"/>
        </w:rPr>
        <w:t>flued</w:t>
      </w:r>
      <w:proofErr w:type="spellEnd"/>
      <w:r w:rsidR="001770F2">
        <w:rPr>
          <w:lang w:bidi="ar-SA"/>
        </w:rPr>
        <w:t xml:space="preserve"> </w:t>
      </w:r>
      <w:r w:rsidRPr="00933344">
        <w:rPr>
          <w:lang w:bidi="ar-SA"/>
        </w:rPr>
        <w:t>gas heater</w:t>
      </w:r>
      <w:r w:rsidR="00E11E14">
        <w:rPr>
          <w:lang w:bidi="ar-SA"/>
        </w:rPr>
        <w:t>s</w:t>
      </w:r>
      <w:r w:rsidRPr="00933344">
        <w:rPr>
          <w:lang w:bidi="ar-SA"/>
        </w:rPr>
        <w:t xml:space="preserve">, </w:t>
      </w:r>
      <w:proofErr w:type="gramStart"/>
      <w:r>
        <w:rPr>
          <w:lang w:bidi="ar-SA"/>
        </w:rPr>
        <w:t>h</w:t>
      </w:r>
      <w:r w:rsidR="001770F2">
        <w:rPr>
          <w:lang w:bidi="ar-SA"/>
        </w:rPr>
        <w:t>eat</w:t>
      </w:r>
      <w:proofErr w:type="gramEnd"/>
      <w:r w:rsidR="001770F2">
        <w:rPr>
          <w:lang w:bidi="ar-SA"/>
        </w:rPr>
        <w:t xml:space="preserve"> pump</w:t>
      </w:r>
      <w:r w:rsidR="00E11E14">
        <w:rPr>
          <w:lang w:bidi="ar-SA"/>
        </w:rPr>
        <w:t>s</w:t>
      </w:r>
      <w:r w:rsidRPr="00933344">
        <w:rPr>
          <w:lang w:bidi="ar-SA"/>
        </w:rPr>
        <w:t>)</w:t>
      </w:r>
      <w:r w:rsidR="001770F2">
        <w:rPr>
          <w:lang w:bidi="ar-SA"/>
        </w:rPr>
        <w:t>,</w:t>
      </w:r>
      <w:r w:rsidRPr="00933344">
        <w:rPr>
          <w:lang w:bidi="ar-SA"/>
        </w:rPr>
        <w:t xml:space="preserve"> </w:t>
      </w:r>
      <w:r w:rsidR="001770F2">
        <w:rPr>
          <w:lang w:bidi="ar-SA"/>
        </w:rPr>
        <w:t>heat-recovery</w:t>
      </w:r>
      <w:r w:rsidR="001770F2" w:rsidRPr="00933344">
        <w:rPr>
          <w:lang w:bidi="ar-SA"/>
        </w:rPr>
        <w:t xml:space="preserve"> ventilation system</w:t>
      </w:r>
      <w:r w:rsidR="001770F2">
        <w:rPr>
          <w:lang w:bidi="ar-SA"/>
        </w:rPr>
        <w:t xml:space="preserve">s </w:t>
      </w:r>
      <w:r w:rsidR="001770F2" w:rsidRPr="00933344">
        <w:rPr>
          <w:lang w:bidi="ar-SA"/>
        </w:rPr>
        <w:t>(HRV),</w:t>
      </w:r>
      <w:r w:rsidR="001770F2">
        <w:rPr>
          <w:lang w:bidi="ar-SA"/>
        </w:rPr>
        <w:t xml:space="preserve"> </w:t>
      </w:r>
      <w:r w:rsidRPr="00933344">
        <w:rPr>
          <w:lang w:bidi="ar-SA"/>
        </w:rPr>
        <w:t>and de</w:t>
      </w:r>
      <w:r>
        <w:rPr>
          <w:lang w:bidi="ar-SA"/>
        </w:rPr>
        <w:t>-</w:t>
      </w:r>
      <w:r w:rsidRPr="00933344">
        <w:rPr>
          <w:lang w:bidi="ar-SA"/>
        </w:rPr>
        <w:t>humidifier</w:t>
      </w:r>
      <w:r>
        <w:rPr>
          <w:lang w:bidi="ar-SA"/>
        </w:rPr>
        <w:t xml:space="preserve">s. </w:t>
      </w:r>
      <w:r w:rsidR="00E11E14">
        <w:rPr>
          <w:lang w:bidi="ar-SA"/>
        </w:rPr>
        <w:t xml:space="preserve">The positive impact on respiratory health of replacing ineffective and polluting forms of heating, such as </w:t>
      </w:r>
      <w:proofErr w:type="spellStart"/>
      <w:r w:rsidR="00E11E14">
        <w:rPr>
          <w:lang w:bidi="ar-SA"/>
        </w:rPr>
        <w:t>unflued</w:t>
      </w:r>
      <w:proofErr w:type="spellEnd"/>
      <w:r w:rsidR="00E11E14">
        <w:rPr>
          <w:lang w:bidi="ar-SA"/>
        </w:rPr>
        <w:t xml:space="preserve"> gas heaters, with cleaner and more effective devices </w:t>
      </w:r>
      <w:r w:rsidR="00A65913">
        <w:rPr>
          <w:lang w:bidi="ar-SA"/>
        </w:rPr>
        <w:t xml:space="preserve">is </w:t>
      </w:r>
      <w:r w:rsidR="00E11E14">
        <w:rPr>
          <w:lang w:bidi="ar-SA"/>
        </w:rPr>
        <w:t xml:space="preserve">demonstrated </w:t>
      </w:r>
      <w:r w:rsidR="00A65913">
        <w:rPr>
          <w:lang w:bidi="ar-SA"/>
        </w:rPr>
        <w:t>by</w:t>
      </w:r>
      <w:r w:rsidR="00E11E14">
        <w:rPr>
          <w:lang w:bidi="ar-SA"/>
        </w:rPr>
        <w:t xml:space="preserve"> randomized </w:t>
      </w:r>
      <w:r w:rsidR="00A65913">
        <w:rPr>
          <w:lang w:bidi="ar-SA"/>
        </w:rPr>
        <w:t xml:space="preserve">control trials </w:t>
      </w:r>
      <w:r w:rsidR="00E11E14">
        <w:rPr>
          <w:lang w:bidi="ar-SA"/>
        </w:rPr>
        <w:t>(</w:t>
      </w:r>
      <w:proofErr w:type="spellStart"/>
      <w:r w:rsidR="00E11E14">
        <w:rPr>
          <w:lang w:bidi="ar-SA"/>
        </w:rPr>
        <w:t>Howden</w:t>
      </w:r>
      <w:proofErr w:type="spellEnd"/>
      <w:r w:rsidR="00E11E14">
        <w:rPr>
          <w:lang w:bidi="ar-SA"/>
        </w:rPr>
        <w:t xml:space="preserve">-Chapman </w:t>
      </w:r>
      <w:r w:rsidR="000F3F3D" w:rsidRPr="000F3F3D">
        <w:rPr>
          <w:i/>
        </w:rPr>
        <w:t>et al.</w:t>
      </w:r>
      <w:r w:rsidR="000F3F3D">
        <w:t xml:space="preserve"> </w:t>
      </w:r>
      <w:r w:rsidR="00E11E14">
        <w:rPr>
          <w:lang w:bidi="ar-SA"/>
        </w:rPr>
        <w:t xml:space="preserve">2008; </w:t>
      </w:r>
      <w:proofErr w:type="spellStart"/>
      <w:r w:rsidR="00E11E14">
        <w:rPr>
          <w:lang w:bidi="ar-SA"/>
        </w:rPr>
        <w:t>Preval</w:t>
      </w:r>
      <w:proofErr w:type="spellEnd"/>
      <w:r w:rsidR="00E11E14">
        <w:rPr>
          <w:lang w:bidi="ar-SA"/>
        </w:rPr>
        <w:t xml:space="preserve"> </w:t>
      </w:r>
      <w:r w:rsidR="000F3F3D" w:rsidRPr="000F3F3D">
        <w:rPr>
          <w:i/>
        </w:rPr>
        <w:t>et al.</w:t>
      </w:r>
      <w:r w:rsidR="000F3F3D">
        <w:t xml:space="preserve"> </w:t>
      </w:r>
      <w:r w:rsidR="00E11E14">
        <w:rPr>
          <w:lang w:bidi="ar-SA"/>
        </w:rPr>
        <w:t>2010).</w:t>
      </w:r>
      <w:r w:rsidR="00395726">
        <w:rPr>
          <w:lang w:bidi="ar-SA"/>
        </w:rPr>
        <w:t xml:space="preserve"> For example, </w:t>
      </w:r>
      <w:r w:rsidR="00A65913">
        <w:rPr>
          <w:lang w:bidi="ar-SA"/>
        </w:rPr>
        <w:t>children in the treatment group</w:t>
      </w:r>
      <w:r w:rsidR="00BA02AE">
        <w:rPr>
          <w:lang w:bidi="ar-SA"/>
        </w:rPr>
        <w:t>s mak</w:t>
      </w:r>
      <w:r w:rsidR="00A65913">
        <w:rPr>
          <w:lang w:bidi="ar-SA"/>
        </w:rPr>
        <w:t>e fe</w:t>
      </w:r>
      <w:r w:rsidR="00BA02AE">
        <w:rPr>
          <w:lang w:bidi="ar-SA"/>
        </w:rPr>
        <w:t>wer visits to the doctor and have</w:t>
      </w:r>
      <w:r w:rsidR="00A65913">
        <w:rPr>
          <w:lang w:bidi="ar-SA"/>
        </w:rPr>
        <w:t xml:space="preserve"> fewer days off school due to asthma, and the value o</w:t>
      </w:r>
      <w:r w:rsidR="00BA02AE">
        <w:rPr>
          <w:lang w:bidi="ar-SA"/>
        </w:rPr>
        <w:t>f these health benefits exceed</w:t>
      </w:r>
      <w:r w:rsidR="00DE37C7">
        <w:rPr>
          <w:lang w:bidi="ar-SA"/>
        </w:rPr>
        <w:t>s</w:t>
      </w:r>
      <w:r w:rsidR="00A65913">
        <w:rPr>
          <w:lang w:bidi="ar-SA"/>
        </w:rPr>
        <w:t xml:space="preserve"> the costs when the intervention is targeted to households with high rates of asthma.</w:t>
      </w:r>
    </w:p>
    <w:p w:rsidR="00FF7EA4" w:rsidRDefault="00FF7EA4" w:rsidP="00FF7EA4">
      <w:pPr>
        <w:autoSpaceDE w:val="0"/>
        <w:autoSpaceDN w:val="0"/>
        <w:adjustRightInd w:val="0"/>
        <w:spacing w:line="300" w:lineRule="auto"/>
        <w:rPr>
          <w:lang w:bidi="ar-SA"/>
        </w:rPr>
      </w:pPr>
    </w:p>
    <w:p w:rsidR="002656F8" w:rsidRDefault="00BA02AE" w:rsidP="00181C80">
      <w:pPr>
        <w:tabs>
          <w:tab w:val="left" w:pos="426"/>
        </w:tabs>
        <w:autoSpaceDE w:val="0"/>
        <w:autoSpaceDN w:val="0"/>
        <w:adjustRightInd w:val="0"/>
        <w:spacing w:line="300" w:lineRule="auto"/>
        <w:rPr>
          <w:lang w:bidi="ar-SA"/>
        </w:rPr>
      </w:pPr>
      <w:r>
        <w:rPr>
          <w:lang w:bidi="ar-SA"/>
        </w:rPr>
        <w:tab/>
        <w:t xml:space="preserve">Evidence from such </w:t>
      </w:r>
      <w:r w:rsidR="00CB7F54">
        <w:rPr>
          <w:lang w:bidi="ar-SA"/>
        </w:rPr>
        <w:t xml:space="preserve">trials </w:t>
      </w:r>
      <w:r>
        <w:rPr>
          <w:lang w:bidi="ar-SA"/>
        </w:rPr>
        <w:t xml:space="preserve">has </w:t>
      </w:r>
      <w:r w:rsidR="00D851F3">
        <w:rPr>
          <w:lang w:bidi="ar-SA"/>
        </w:rPr>
        <w:t xml:space="preserve">supported </w:t>
      </w:r>
      <w:r>
        <w:rPr>
          <w:lang w:bidi="ar-SA"/>
        </w:rPr>
        <w:t xml:space="preserve">the development of </w:t>
      </w:r>
      <w:r w:rsidR="00A0404F">
        <w:rPr>
          <w:lang w:bidi="ar-SA"/>
        </w:rPr>
        <w:t xml:space="preserve">national </w:t>
      </w:r>
      <w:r w:rsidR="005315BB">
        <w:rPr>
          <w:lang w:bidi="ar-SA"/>
        </w:rPr>
        <w:t xml:space="preserve">targeted </w:t>
      </w:r>
      <w:r w:rsidR="00D851F3">
        <w:rPr>
          <w:lang w:bidi="ar-SA"/>
        </w:rPr>
        <w:t xml:space="preserve">grants </w:t>
      </w:r>
      <w:r w:rsidR="00EA628B">
        <w:rPr>
          <w:lang w:bidi="ar-SA"/>
        </w:rPr>
        <w:t>schemes</w:t>
      </w:r>
      <w:r w:rsidR="00A0404F">
        <w:rPr>
          <w:lang w:bidi="ar-SA"/>
        </w:rPr>
        <w:t xml:space="preserve"> </w:t>
      </w:r>
      <w:r w:rsidR="00A218D3">
        <w:rPr>
          <w:lang w:bidi="ar-SA"/>
        </w:rPr>
        <w:t xml:space="preserve">for </w:t>
      </w:r>
      <w:r w:rsidR="00D851F3">
        <w:rPr>
          <w:lang w:bidi="ar-SA"/>
        </w:rPr>
        <w:t>re</w:t>
      </w:r>
      <w:r w:rsidR="00A0404F">
        <w:rPr>
          <w:lang w:bidi="ar-SA"/>
        </w:rPr>
        <w:t>tro-</w:t>
      </w:r>
      <w:r w:rsidR="00D851F3">
        <w:rPr>
          <w:lang w:bidi="ar-SA"/>
        </w:rPr>
        <w:t>fit</w:t>
      </w:r>
      <w:r w:rsidR="00831055">
        <w:rPr>
          <w:lang w:bidi="ar-SA"/>
        </w:rPr>
        <w:t>t</w:t>
      </w:r>
      <w:r w:rsidR="00A218D3">
        <w:rPr>
          <w:lang w:bidi="ar-SA"/>
        </w:rPr>
        <w:t>ing</w:t>
      </w:r>
      <w:r w:rsidR="00D851F3">
        <w:rPr>
          <w:lang w:bidi="ar-SA"/>
        </w:rPr>
        <w:t xml:space="preserve"> insulation in dwellings and </w:t>
      </w:r>
      <w:r w:rsidR="00A0404F">
        <w:rPr>
          <w:lang w:bidi="ar-SA"/>
        </w:rPr>
        <w:t>install</w:t>
      </w:r>
      <w:r w:rsidR="00A218D3">
        <w:rPr>
          <w:lang w:bidi="ar-SA"/>
        </w:rPr>
        <w:t>ing</w:t>
      </w:r>
      <w:r w:rsidR="00A0404F">
        <w:rPr>
          <w:lang w:bidi="ar-SA"/>
        </w:rPr>
        <w:t xml:space="preserve"> </w:t>
      </w:r>
      <w:r w:rsidR="00D851F3">
        <w:rPr>
          <w:lang w:bidi="ar-SA"/>
        </w:rPr>
        <w:t>improved heating</w:t>
      </w:r>
      <w:r w:rsidR="00EA628B">
        <w:rPr>
          <w:lang w:bidi="ar-SA"/>
        </w:rPr>
        <w:t>, such as Warm Homes Plus in Northern Ireland and Warm Up New Zealand</w:t>
      </w:r>
      <w:r w:rsidR="005315BB">
        <w:rPr>
          <w:lang w:bidi="ar-SA"/>
        </w:rPr>
        <w:t>.</w:t>
      </w:r>
      <w:r w:rsidR="00AA4D88">
        <w:rPr>
          <w:lang w:bidi="ar-SA"/>
        </w:rPr>
        <w:t xml:space="preserve"> But</w:t>
      </w:r>
      <w:r>
        <w:rPr>
          <w:lang w:bidi="ar-SA"/>
        </w:rPr>
        <w:t xml:space="preserve"> it is unclear what values the affected population themselves place on improved heating, since randomized </w:t>
      </w:r>
      <w:r w:rsidR="00CB7F54">
        <w:rPr>
          <w:lang w:bidi="ar-SA"/>
        </w:rPr>
        <w:t xml:space="preserve">trials </w:t>
      </w:r>
      <w:r w:rsidR="00A218D3">
        <w:rPr>
          <w:lang w:bidi="ar-SA"/>
        </w:rPr>
        <w:t>typically give the</w:t>
      </w:r>
      <w:r>
        <w:rPr>
          <w:lang w:bidi="ar-SA"/>
        </w:rPr>
        <w:t xml:space="preserve"> </w:t>
      </w:r>
      <w:r w:rsidR="00D851F3">
        <w:rPr>
          <w:lang w:bidi="ar-SA"/>
        </w:rPr>
        <w:t xml:space="preserve">improved heating </w:t>
      </w:r>
      <w:r>
        <w:rPr>
          <w:lang w:bidi="ar-SA"/>
        </w:rPr>
        <w:t>devices away for free</w:t>
      </w:r>
      <w:r w:rsidR="005315BB">
        <w:rPr>
          <w:lang w:bidi="ar-SA"/>
        </w:rPr>
        <w:t xml:space="preserve"> and the national schemes lack plausible methods of estimating how much of the subsidized activity </w:t>
      </w:r>
      <w:r w:rsidR="00A0404F">
        <w:rPr>
          <w:lang w:bidi="ar-SA"/>
        </w:rPr>
        <w:t xml:space="preserve">might </w:t>
      </w:r>
      <w:r w:rsidR="005315BB">
        <w:rPr>
          <w:lang w:bidi="ar-SA"/>
        </w:rPr>
        <w:t>have occurred anyway</w:t>
      </w:r>
      <w:r>
        <w:rPr>
          <w:lang w:bidi="ar-SA"/>
        </w:rPr>
        <w:t>.</w:t>
      </w:r>
      <w:r w:rsidR="00C36C71">
        <w:rPr>
          <w:lang w:bidi="ar-SA"/>
        </w:rPr>
        <w:t xml:space="preserve"> Moreover, renters pose a particular problem for cost-benefit analysis of such schemes; the heating devices are typically immobile and landlords receive the device for free (or with a subsidy), so it is difficult to target the intervention to mobile beneficiaries. </w:t>
      </w:r>
      <w:r w:rsidR="00CB7F54">
        <w:rPr>
          <w:lang w:bidi="ar-SA"/>
        </w:rPr>
        <w:t xml:space="preserve">Thus, </w:t>
      </w:r>
      <w:r w:rsidR="00C36C71">
        <w:rPr>
          <w:lang w:bidi="ar-SA"/>
        </w:rPr>
        <w:t xml:space="preserve">the analysis by </w:t>
      </w:r>
      <w:proofErr w:type="spellStart"/>
      <w:r w:rsidR="00C36C71">
        <w:rPr>
          <w:lang w:bidi="ar-SA"/>
        </w:rPr>
        <w:t>Preval</w:t>
      </w:r>
      <w:proofErr w:type="spellEnd"/>
      <w:r w:rsidR="00C36C71">
        <w:rPr>
          <w:lang w:bidi="ar-SA"/>
        </w:rPr>
        <w:t xml:space="preserve"> </w:t>
      </w:r>
      <w:r w:rsidR="000F3F3D" w:rsidRPr="000F3F3D">
        <w:rPr>
          <w:i/>
        </w:rPr>
        <w:t>et al.</w:t>
      </w:r>
      <w:r w:rsidR="000F3F3D">
        <w:t xml:space="preserve"> </w:t>
      </w:r>
      <w:r w:rsidR="00C36C71">
        <w:rPr>
          <w:lang w:bidi="ar-SA"/>
        </w:rPr>
        <w:t xml:space="preserve">(2010) assumes that households </w:t>
      </w:r>
      <w:r w:rsidR="00CB7F54">
        <w:rPr>
          <w:lang w:bidi="ar-SA"/>
        </w:rPr>
        <w:t>stay</w:t>
      </w:r>
      <w:r w:rsidR="00C36C71">
        <w:rPr>
          <w:lang w:bidi="ar-SA"/>
        </w:rPr>
        <w:t xml:space="preserve"> for the entire 12-year period over which costs and benefits are simulated (the assumed lifetime of the </w:t>
      </w:r>
      <w:r w:rsidR="00CB7F54">
        <w:rPr>
          <w:lang w:bidi="ar-SA"/>
        </w:rPr>
        <w:t>heating device) or that moving</w:t>
      </w:r>
      <w:r w:rsidR="00C36C71">
        <w:rPr>
          <w:lang w:bidi="ar-SA"/>
        </w:rPr>
        <w:t xml:space="preserve"> households with a high proportion of asthmatics are replaced by households with similarly high asthma rates.</w:t>
      </w:r>
      <w:r w:rsidR="002656F8">
        <w:rPr>
          <w:rStyle w:val="FootnoteReference"/>
          <w:lang w:bidi="ar-SA"/>
        </w:rPr>
        <w:footnoteReference w:id="1"/>
      </w:r>
      <w:r w:rsidR="002656F8">
        <w:rPr>
          <w:lang w:bidi="ar-SA"/>
        </w:rPr>
        <w:t xml:space="preserve"> A further problem for economic evaluations is that landlords may increase the rent on properties for which they have received subsidized heating devices, affecting the distribution of who benefits.</w:t>
      </w:r>
    </w:p>
    <w:p w:rsidR="002656F8" w:rsidRDefault="002656F8" w:rsidP="00FF7EA4">
      <w:pPr>
        <w:autoSpaceDE w:val="0"/>
        <w:autoSpaceDN w:val="0"/>
        <w:adjustRightInd w:val="0"/>
        <w:spacing w:line="300" w:lineRule="auto"/>
        <w:rPr>
          <w:lang w:bidi="ar-SA"/>
        </w:rPr>
      </w:pPr>
    </w:p>
    <w:p w:rsidR="002656F8" w:rsidRDefault="002656F8" w:rsidP="00181C80">
      <w:pPr>
        <w:autoSpaceDE w:val="0"/>
        <w:autoSpaceDN w:val="0"/>
        <w:adjustRightInd w:val="0"/>
        <w:spacing w:line="300" w:lineRule="auto"/>
        <w:ind w:firstLine="426"/>
      </w:pPr>
      <w:r>
        <w:rPr>
          <w:lang w:bidi="ar-SA"/>
        </w:rPr>
        <w:t>It may therefore help to have more direct evidence on the willingness to pay (WTP) for improved heating devices by populations that suffer from a high burden of respiratory disorders. Such evidence may help determine who should pay for improved heating devices, since interventi</w:t>
      </w:r>
      <w:r w:rsidR="007276B5">
        <w:rPr>
          <w:lang w:bidi="ar-SA"/>
        </w:rPr>
        <w:t xml:space="preserve">ons applied to landlords (for example, </w:t>
      </w:r>
      <w:r>
        <w:rPr>
          <w:lang w:bidi="ar-SA"/>
        </w:rPr>
        <w:t xml:space="preserve">subsidized installations or regulated </w:t>
      </w:r>
      <w:r>
        <w:rPr>
          <w:lang w:bidi="ar-SA"/>
        </w:rPr>
        <w:lastRenderedPageBreak/>
        <w:t xml:space="preserve">minimum heating standards for rental properties) may ultimately be borne by tenants, depending on the supply and demand conditions in the rental market. Evidence on the WTP for improved heating devices is also useful because </w:t>
      </w:r>
      <w:r>
        <w:t xml:space="preserve">existing </w:t>
      </w:r>
      <w:r w:rsidRPr="00BC4DAD">
        <w:rPr>
          <w:rFonts w:eastAsia="Calibri"/>
        </w:rPr>
        <w:t xml:space="preserve">studies value </w:t>
      </w:r>
      <w:r>
        <w:t>health improvements according to foregone costs, such as for visiting a doctor or hiring a caregiver to look after children when asthma prevents them going to school, but do not factor in the value of the reduced disutility due to sickness, which is a part of the WTP.</w:t>
      </w:r>
    </w:p>
    <w:p w:rsidR="002656F8" w:rsidRDefault="002656F8" w:rsidP="00FF7EA4">
      <w:pPr>
        <w:autoSpaceDE w:val="0"/>
        <w:autoSpaceDN w:val="0"/>
        <w:adjustRightInd w:val="0"/>
        <w:spacing w:line="300" w:lineRule="auto"/>
        <w:ind w:firstLine="720"/>
      </w:pPr>
    </w:p>
    <w:p w:rsidR="002656F8" w:rsidRDefault="002656F8" w:rsidP="002656F8">
      <w:pPr>
        <w:autoSpaceDE w:val="0"/>
        <w:autoSpaceDN w:val="0"/>
        <w:adjustRightInd w:val="0"/>
        <w:spacing w:line="300" w:lineRule="auto"/>
        <w:ind w:firstLine="426"/>
        <w:rPr>
          <w:lang w:bidi="ar-SA"/>
        </w:rPr>
      </w:pPr>
      <w:r>
        <w:rPr>
          <w:lang w:bidi="ar-SA"/>
        </w:rPr>
        <w:t>In this study we use choice experiment data collected from a sample of Pacific Island immigrants located in the upper North Island of New Zealand. We explore the preference structure over household devices that can affect indoor air quality, dampness and warmth. We contrast these preferences with the current availability in the respondent’s dwelling of each of these devices. We focus on Pacific Island immigrants because they are an at-risk group for respiratory disorders, they often have little familiarity with these disorders from their home countries, and they typically live in crowded and inadequately heated dwellings that are rented rather than owner-occupied.</w:t>
      </w:r>
    </w:p>
    <w:p w:rsidR="002656F8" w:rsidRDefault="002656F8" w:rsidP="00FF7EA4">
      <w:pPr>
        <w:autoSpaceDE w:val="0"/>
        <w:autoSpaceDN w:val="0"/>
        <w:adjustRightInd w:val="0"/>
        <w:spacing w:line="300" w:lineRule="auto"/>
        <w:ind w:firstLine="720"/>
        <w:rPr>
          <w:lang w:bidi="ar-SA"/>
        </w:rPr>
      </w:pPr>
    </w:p>
    <w:p w:rsidR="002656F8" w:rsidRDefault="002656F8" w:rsidP="002656F8">
      <w:pPr>
        <w:spacing w:line="300" w:lineRule="auto"/>
        <w:ind w:firstLine="426"/>
        <w:rPr>
          <w:lang w:bidi="ar-SA"/>
        </w:rPr>
      </w:pPr>
      <w:r>
        <w:rPr>
          <w:lang w:bidi="ar-SA"/>
        </w:rPr>
        <w:t>An existing literature examines respiratory health of immigrants, finding that those coming from countries with lower rates of asthma than the country of destination experience a time-dependent increase in asthma symptoms and in other respiratory disorders (</w:t>
      </w:r>
      <w:proofErr w:type="spellStart"/>
      <w:r>
        <w:rPr>
          <w:lang w:bidi="ar-SA"/>
        </w:rPr>
        <w:t>Ballin</w:t>
      </w:r>
      <w:proofErr w:type="spellEnd"/>
      <w:r>
        <w:rPr>
          <w:lang w:bidi="ar-SA"/>
        </w:rPr>
        <w:t xml:space="preserve"> </w:t>
      </w:r>
      <w:r w:rsidRPr="000F3F3D">
        <w:rPr>
          <w:i/>
        </w:rPr>
        <w:t>et al.</w:t>
      </w:r>
      <w:r>
        <w:t xml:space="preserve"> </w:t>
      </w:r>
      <w:r w:rsidR="00CC721B">
        <w:rPr>
          <w:lang w:bidi="ar-SA"/>
        </w:rPr>
        <w:t>1998,</w:t>
      </w:r>
      <w:r>
        <w:rPr>
          <w:lang w:bidi="ar-SA"/>
        </w:rPr>
        <w:t xml:space="preserve"> Gibson </w:t>
      </w:r>
      <w:r w:rsidRPr="000F3F3D">
        <w:rPr>
          <w:i/>
        </w:rPr>
        <w:t>et al.</w:t>
      </w:r>
      <w:r>
        <w:t xml:space="preserve"> </w:t>
      </w:r>
      <w:r>
        <w:rPr>
          <w:lang w:bidi="ar-SA"/>
        </w:rPr>
        <w:t xml:space="preserve">2003). Since immigrants often live in poorly heated and crowded dwellings, the literature on housing adequacy and respiratory health (Gorman and </w:t>
      </w:r>
      <w:proofErr w:type="spellStart"/>
      <w:r>
        <w:rPr>
          <w:rFonts w:eastAsia="Calibri"/>
          <w:lang w:val="en-NZ"/>
        </w:rPr>
        <w:t>Asaithambi</w:t>
      </w:r>
      <w:proofErr w:type="spellEnd"/>
      <w:r>
        <w:rPr>
          <w:lang w:val="en-NZ"/>
        </w:rPr>
        <w:t xml:space="preserve"> 2008</w:t>
      </w:r>
      <w:r>
        <w:rPr>
          <w:lang w:bidi="ar-SA"/>
        </w:rPr>
        <w:t xml:space="preserve">) is potentially informative about interventions that might be useful for this at-risk group. But preferences for indoor air quality determining devices amongst such immigrant populations are yet to be adequately investigated. Information is similarly lacking on the distribution of willingness to pay for each category of these commonly available devices. Pivoting on current rental costs and dwelling characteristics, the present study derives such estimates from stated binary choices between experimentally designed alternatives, and </w:t>
      </w:r>
      <w:r w:rsidRPr="00C73E27">
        <w:rPr>
          <w:lang w:bidi="ar-SA"/>
        </w:rPr>
        <w:t xml:space="preserve">relates them to </w:t>
      </w:r>
      <w:r>
        <w:rPr>
          <w:lang w:bidi="ar-SA"/>
        </w:rPr>
        <w:t xml:space="preserve">current </w:t>
      </w:r>
      <w:r w:rsidRPr="00C73E27">
        <w:rPr>
          <w:lang w:bidi="ar-SA"/>
        </w:rPr>
        <w:t>availability</w:t>
      </w:r>
      <w:r>
        <w:rPr>
          <w:lang w:bidi="ar-SA"/>
        </w:rPr>
        <w:t xml:space="preserve"> of the devices</w:t>
      </w:r>
      <w:r w:rsidRPr="00C73E27">
        <w:rPr>
          <w:lang w:bidi="ar-SA"/>
        </w:rPr>
        <w:t>.</w:t>
      </w:r>
    </w:p>
    <w:p w:rsidR="002656F8" w:rsidRDefault="002656F8" w:rsidP="00FF7EA4">
      <w:pPr>
        <w:spacing w:line="300" w:lineRule="auto"/>
        <w:ind w:firstLine="720"/>
        <w:rPr>
          <w:lang w:bidi="ar-SA"/>
        </w:rPr>
      </w:pPr>
    </w:p>
    <w:p w:rsidR="002656F8" w:rsidRDefault="002656F8" w:rsidP="002656F8">
      <w:pPr>
        <w:spacing w:line="300" w:lineRule="auto"/>
        <w:ind w:firstLine="426"/>
      </w:pPr>
      <w:r>
        <w:t>The remainder of the paper is as follows: Section 2 provides the background to the study, in terms of the population studied, the sample and survey, and the experimental design. In Section 3 the model specifications and econometric analysis of the choice experiment data are discussed. Section 4 contains the results and discussion and Section 5 the conclusions.</w:t>
      </w:r>
    </w:p>
    <w:p w:rsidR="002656F8" w:rsidRPr="00931279" w:rsidRDefault="002656F8" w:rsidP="00FF7EA4">
      <w:pPr>
        <w:spacing w:line="300" w:lineRule="auto"/>
        <w:ind w:firstLine="720"/>
      </w:pPr>
    </w:p>
    <w:p w:rsidR="002656F8" w:rsidRDefault="002656F8" w:rsidP="00FF7EA4">
      <w:pPr>
        <w:spacing w:line="300" w:lineRule="auto"/>
        <w:rPr>
          <w:b/>
        </w:rPr>
      </w:pPr>
      <w:r>
        <w:rPr>
          <w:b/>
        </w:rPr>
        <w:t xml:space="preserve">2. </w:t>
      </w:r>
      <w:r w:rsidR="00A55156">
        <w:rPr>
          <w:b/>
        </w:rPr>
        <w:t xml:space="preserve"> </w:t>
      </w:r>
      <w:r>
        <w:rPr>
          <w:b/>
        </w:rPr>
        <w:t>Background Context, t</w:t>
      </w:r>
      <w:r w:rsidRPr="0084313F">
        <w:rPr>
          <w:b/>
        </w:rPr>
        <w:t xml:space="preserve">he </w:t>
      </w:r>
      <w:r>
        <w:rPr>
          <w:b/>
        </w:rPr>
        <w:t>S</w:t>
      </w:r>
      <w:r w:rsidRPr="0084313F">
        <w:rPr>
          <w:b/>
        </w:rPr>
        <w:t>ample</w:t>
      </w:r>
      <w:r>
        <w:rPr>
          <w:b/>
        </w:rPr>
        <w:t>,</w:t>
      </w:r>
      <w:r w:rsidRPr="0084313F">
        <w:rPr>
          <w:b/>
        </w:rPr>
        <w:t xml:space="preserve"> and </w:t>
      </w:r>
      <w:r>
        <w:rPr>
          <w:b/>
        </w:rPr>
        <w:t>the Survey</w:t>
      </w:r>
    </w:p>
    <w:p w:rsidR="002656F8" w:rsidRPr="000D4AC5" w:rsidRDefault="002656F8" w:rsidP="00FF7EA4">
      <w:pPr>
        <w:spacing w:line="300" w:lineRule="auto"/>
        <w:rPr>
          <w:b/>
          <w:sz w:val="12"/>
          <w:szCs w:val="12"/>
        </w:rPr>
      </w:pPr>
    </w:p>
    <w:p w:rsidR="002656F8" w:rsidRDefault="002656F8" w:rsidP="00FF7EA4">
      <w:pPr>
        <w:autoSpaceDE w:val="0"/>
        <w:autoSpaceDN w:val="0"/>
        <w:adjustRightInd w:val="0"/>
        <w:spacing w:line="300" w:lineRule="auto"/>
        <w:rPr>
          <w:lang w:bidi="ar-SA"/>
        </w:rPr>
      </w:pPr>
      <w:r>
        <w:rPr>
          <w:lang w:bidi="ar-SA"/>
        </w:rPr>
        <w:t xml:space="preserve">New Zealand has one of the highest asthma rates in the world, with this disorder </w:t>
      </w:r>
      <w:r>
        <w:t>affecting one in six adults and one in four children</w:t>
      </w:r>
      <w:r>
        <w:rPr>
          <w:lang w:bidi="ar-SA"/>
        </w:rPr>
        <w:t xml:space="preserve"> (</w:t>
      </w:r>
      <w:r>
        <w:rPr>
          <w:lang w:val="en-NZ"/>
        </w:rPr>
        <w:t xml:space="preserve">Holt and Beasley 2001). </w:t>
      </w:r>
      <w:r>
        <w:rPr>
          <w:lang w:bidi="ar-SA"/>
        </w:rPr>
        <w:t xml:space="preserve">The combined burden of asthma and COPD was second only to the contribution of cardiovascular disease, in terms of </w:t>
      </w:r>
      <w:r>
        <w:rPr>
          <w:lang w:bidi="ar-SA"/>
        </w:rPr>
        <w:lastRenderedPageBreak/>
        <w:t xml:space="preserve">disability-adjusted life years (DALYs) lost in New Zealand in 1996 (Tobias </w:t>
      </w:r>
      <w:r w:rsidRPr="000F3F3D">
        <w:rPr>
          <w:i/>
        </w:rPr>
        <w:t>et al.</w:t>
      </w:r>
      <w:r>
        <w:t xml:space="preserve"> </w:t>
      </w:r>
      <w:r>
        <w:rPr>
          <w:lang w:bidi="ar-SA"/>
        </w:rPr>
        <w:t>2001).</w:t>
      </w:r>
      <w:r>
        <w:rPr>
          <w:rStyle w:val="FootnoteReference"/>
          <w:lang w:bidi="ar-SA"/>
        </w:rPr>
        <w:footnoteReference w:id="2"/>
      </w:r>
      <w:r>
        <w:rPr>
          <w:lang w:bidi="ar-SA"/>
        </w:rPr>
        <w:t xml:space="preserve"> </w:t>
      </w:r>
      <w:r>
        <w:rPr>
          <w:lang w:val="en-NZ"/>
        </w:rPr>
        <w:t xml:space="preserve">There is sizeable </w:t>
      </w:r>
      <w:r>
        <w:rPr>
          <w:lang w:bidi="ar-SA"/>
        </w:rPr>
        <w:t>ethnic inequality in the burden of asthma, with the highest rate of increase over the last two decades experienced by children in the Pacific Islands ethnic group, who already have above average hospitalization rates (</w:t>
      </w:r>
      <w:proofErr w:type="spellStart"/>
      <w:r>
        <w:rPr>
          <w:rFonts w:eastAsia="Times New Roman"/>
          <w:lang w:val="en-NZ" w:eastAsia="en-NZ" w:bidi="ar-SA"/>
        </w:rPr>
        <w:t>Pattemore</w:t>
      </w:r>
      <w:proofErr w:type="spellEnd"/>
      <w:r>
        <w:rPr>
          <w:lang w:bidi="ar-SA"/>
        </w:rPr>
        <w:t xml:space="preserve"> </w:t>
      </w:r>
      <w:r w:rsidRPr="000F3F3D">
        <w:rPr>
          <w:i/>
        </w:rPr>
        <w:t>et al.</w:t>
      </w:r>
      <w:r>
        <w:t xml:space="preserve"> </w:t>
      </w:r>
      <w:r>
        <w:rPr>
          <w:lang w:bidi="ar-SA"/>
        </w:rPr>
        <w:t>2004). The burden of respiratory illnesses for Pacific Islanders reflects their relatively low economic status in New Zealand, high rates of smoking, and poor standard of accommodation with substantial overcrowding. For example, Pacific Islanders have the highest rate of reporting that their house is either too cold or too small, with 33 percent finding their house too cold compared with the average of just 15 percent for other New Zealanders (SNZ 2013). Consequently, Pacific Island immigrants are a relevant population for deriving the WTP for heating and humidity control devices.</w:t>
      </w:r>
    </w:p>
    <w:p w:rsidR="002656F8" w:rsidRDefault="002656F8" w:rsidP="00FF7EA4">
      <w:pPr>
        <w:autoSpaceDE w:val="0"/>
        <w:autoSpaceDN w:val="0"/>
        <w:adjustRightInd w:val="0"/>
        <w:spacing w:line="300" w:lineRule="auto"/>
        <w:rPr>
          <w:lang w:bidi="ar-SA"/>
        </w:rPr>
      </w:pPr>
    </w:p>
    <w:p w:rsidR="002656F8" w:rsidRDefault="002656F8" w:rsidP="00FF7EA4">
      <w:pPr>
        <w:spacing w:line="300" w:lineRule="auto"/>
        <w:rPr>
          <w:b/>
        </w:rPr>
      </w:pPr>
      <w:r>
        <w:rPr>
          <w:b/>
        </w:rPr>
        <w:t xml:space="preserve">2.1 </w:t>
      </w:r>
      <w:r w:rsidRPr="002119C7">
        <w:rPr>
          <w:b/>
        </w:rPr>
        <w:t>The Sample</w:t>
      </w:r>
    </w:p>
    <w:p w:rsidR="002656F8" w:rsidRPr="000D4AC5" w:rsidRDefault="002656F8" w:rsidP="00FF7EA4">
      <w:pPr>
        <w:spacing w:line="300" w:lineRule="auto"/>
        <w:rPr>
          <w:b/>
          <w:sz w:val="12"/>
          <w:szCs w:val="12"/>
        </w:rPr>
      </w:pPr>
    </w:p>
    <w:p w:rsidR="002656F8" w:rsidRDefault="002656F8" w:rsidP="00FF7EA4">
      <w:pPr>
        <w:spacing w:line="300" w:lineRule="auto"/>
      </w:pPr>
      <w:r>
        <w:t xml:space="preserve">Immigrants are a rare population, especially when one focuses on those from a specific region, so obtaining a representative sample can be prohibitively expensive (McKenzie and </w:t>
      </w:r>
      <w:proofErr w:type="spellStart"/>
      <w:r>
        <w:t>Mistiaen</w:t>
      </w:r>
      <w:proofErr w:type="spellEnd"/>
      <w:r>
        <w:t xml:space="preserve"> 2009). We therefore decided to recruit study participants through intercept points where migrant populations are known to congregate, mimicking the approach that may typically be used by health and housing authorities that were rolling out home heating interventions. This has the advantage of making our results relevant for the population most likely to be the subject of such interventions, even if it doesn’t allow measurement of the WTP of immigrant populations not found in these locations.</w:t>
      </w:r>
    </w:p>
    <w:p w:rsidR="002656F8" w:rsidRDefault="002656F8" w:rsidP="00FF7EA4">
      <w:pPr>
        <w:spacing w:line="300" w:lineRule="auto"/>
      </w:pPr>
    </w:p>
    <w:p w:rsidR="002656F8" w:rsidRDefault="002656F8" w:rsidP="002656F8">
      <w:pPr>
        <w:tabs>
          <w:tab w:val="left" w:pos="426"/>
        </w:tabs>
        <w:spacing w:line="300" w:lineRule="auto"/>
      </w:pPr>
      <w:r>
        <w:tab/>
        <w:t>We focused on Pacific Islanders living in urban areas in the upper North Island of New Zealand, where the largest (Auckland) and third largest (Hamilton) cities in terms of Pacific Islanders are just 70 miles apart. Both cities are damp and humid, with mean rainfall of almost 50 inches per year and relative humidity (at 9am) of about 85 percent, and have a temperate climate; Auckland’s mean annual temperature is 15 degrees Celsius (59</w:t>
      </w:r>
      <w:r>
        <w:sym w:font="Symbol" w:char="F0B0"/>
      </w:r>
      <w:r>
        <w:t>F), and is 10.9 degrees Celsius in the coldest month (July), while Hamilton’s annual mean is 14 degrees Celsius (57</w:t>
      </w:r>
      <w:r>
        <w:sym w:font="Symbol" w:char="F0B0"/>
      </w:r>
      <w:r>
        <w:t>F), with a July average of 8.9 degrees. While not cold on a global scale, these are much lower than what Pacific Islanders are used to in their home countries, where annual average temperatures are around 23 degrees Celsius (73</w:t>
      </w:r>
      <w:r>
        <w:sym w:font="Symbol" w:char="F0B0"/>
      </w:r>
      <w:r>
        <w:t>F) and 21 degrees (70</w:t>
      </w:r>
      <w:r>
        <w:sym w:font="Symbol" w:char="F0B0"/>
      </w:r>
      <w:r>
        <w:t>F) in the coldest month. Moreover, homes in New Zealand are poorly heated and insulated, with average indoor temperatures below World Health Organization (WHO) guidelines (</w:t>
      </w:r>
      <w:proofErr w:type="spellStart"/>
      <w:r>
        <w:t>Howden</w:t>
      </w:r>
      <w:proofErr w:type="spellEnd"/>
      <w:r>
        <w:t xml:space="preserve">-Chapman </w:t>
      </w:r>
      <w:r w:rsidRPr="000F3F3D">
        <w:rPr>
          <w:i/>
        </w:rPr>
        <w:t>et al.</w:t>
      </w:r>
      <w:r>
        <w:t xml:space="preserve"> 2012). A further risk to respiratory health is from ‘leaky h</w:t>
      </w:r>
      <w:r w:rsidRPr="00F26F33">
        <w:t xml:space="preserve">omes’ </w:t>
      </w:r>
      <w:r>
        <w:t xml:space="preserve">built in the 1990s after relaxation of </w:t>
      </w:r>
      <w:r w:rsidRPr="00F26F33">
        <w:t xml:space="preserve">building regulations and </w:t>
      </w:r>
      <w:r>
        <w:t xml:space="preserve">during a trend of </w:t>
      </w:r>
      <w:r w:rsidRPr="00F26F33">
        <w:t>Mediterranean-style designs</w:t>
      </w:r>
      <w:r>
        <w:t>;</w:t>
      </w:r>
      <w:r w:rsidRPr="00F26F33">
        <w:t xml:space="preserve"> </w:t>
      </w:r>
      <w:r>
        <w:t xml:space="preserve">these homes </w:t>
      </w:r>
      <w:r w:rsidRPr="00F26F33">
        <w:t xml:space="preserve">allowed external water to penetrate internal cavities, causing mold and </w:t>
      </w:r>
      <w:r>
        <w:lastRenderedPageBreak/>
        <w:t xml:space="preserve">the </w:t>
      </w:r>
      <w:r w:rsidRPr="00F26F33">
        <w:t xml:space="preserve">rotting </w:t>
      </w:r>
      <w:r>
        <w:t>of untreated timber used for the framing of such</w:t>
      </w:r>
      <w:r w:rsidRPr="00F26F33">
        <w:t xml:space="preserve"> houses</w:t>
      </w:r>
      <w:r>
        <w:t xml:space="preserve"> (</w:t>
      </w:r>
      <w:proofErr w:type="spellStart"/>
      <w:r>
        <w:t>Howden</w:t>
      </w:r>
      <w:proofErr w:type="spellEnd"/>
      <w:r>
        <w:t>-Chapman and Bennett 2010)</w:t>
      </w:r>
      <w:r w:rsidRPr="00F26F33">
        <w:t xml:space="preserve">. </w:t>
      </w:r>
      <w:r>
        <w:t xml:space="preserve">The recent rapid population growth in Auckland and Hamilton means that a high proportion of their housing stock was constructed during this ‘leaky home’ period.  </w:t>
      </w:r>
    </w:p>
    <w:p w:rsidR="002656F8" w:rsidRDefault="002656F8" w:rsidP="00FF7EA4">
      <w:pPr>
        <w:spacing w:line="300" w:lineRule="auto"/>
      </w:pPr>
    </w:p>
    <w:p w:rsidR="002656F8" w:rsidRDefault="002656F8" w:rsidP="00181C80">
      <w:pPr>
        <w:spacing w:line="300" w:lineRule="auto"/>
        <w:ind w:firstLine="426"/>
      </w:pPr>
      <w:r>
        <w:t>Recruitment of the sample was mainly through churches and church-based groups (such as choirs), following the approach of some medical studies with a focus on Pacific Islanders in New</w:t>
      </w:r>
      <w:r w:rsidR="00CC721B">
        <w:t xml:space="preserve"> Zealand (for example,</w:t>
      </w:r>
      <w:r>
        <w:t xml:space="preserve"> </w:t>
      </w:r>
      <w:proofErr w:type="spellStart"/>
      <w:r>
        <w:t>Simmonds</w:t>
      </w:r>
      <w:proofErr w:type="spellEnd"/>
      <w:r>
        <w:t xml:space="preserve"> </w:t>
      </w:r>
      <w:r w:rsidRPr="000F3F3D">
        <w:rPr>
          <w:i/>
        </w:rPr>
        <w:t>et al.</w:t>
      </w:r>
      <w:r>
        <w:t xml:space="preserve"> 2004). </w:t>
      </w:r>
      <w:r w:rsidRPr="00CE097B">
        <w:t xml:space="preserve">The </w:t>
      </w:r>
      <w:r>
        <w:t xml:space="preserve">respondents </w:t>
      </w:r>
      <w:r w:rsidRPr="00CE097B">
        <w:t xml:space="preserve">were predominantly (three-quarters) </w:t>
      </w:r>
      <w:r>
        <w:t xml:space="preserve">born in </w:t>
      </w:r>
      <w:r w:rsidRPr="00CE097B">
        <w:t>Tonga, with the remainder born in</w:t>
      </w:r>
      <w:r>
        <w:t xml:space="preserve"> </w:t>
      </w:r>
      <w:r w:rsidRPr="00CE097B">
        <w:t xml:space="preserve">the Solomon Islands, </w:t>
      </w:r>
      <w:r>
        <w:t xml:space="preserve">Samoa, Papua New Guinea, and </w:t>
      </w:r>
      <w:r w:rsidRPr="00CE097B">
        <w:t xml:space="preserve">Australia and New Zealand. </w:t>
      </w:r>
      <w:r>
        <w:t>We did not rule out the small number (less than ten percent) of second-generation migrants born in Australia or New Zealand because anthropological studies show that</w:t>
      </w:r>
      <w:r w:rsidRPr="00CE097B">
        <w:t xml:space="preserve"> second-generation </w:t>
      </w:r>
      <w:r>
        <w:t xml:space="preserve">Pacific Island migrants exhibit similar behavior and values to first generation migrants </w:t>
      </w:r>
      <w:r w:rsidRPr="00CE097B">
        <w:t>(</w:t>
      </w:r>
      <w:r>
        <w:t>Lee 2003)</w:t>
      </w:r>
      <w:r w:rsidRPr="00CE097B">
        <w:t>.</w:t>
      </w:r>
      <w:r>
        <w:t xml:space="preserve"> Amongst those born overseas, two-thirds had resided in New Zealand for fewer than ten years.</w:t>
      </w:r>
    </w:p>
    <w:p w:rsidR="002656F8" w:rsidRDefault="002656F8" w:rsidP="00FF7EA4">
      <w:pPr>
        <w:spacing w:line="300" w:lineRule="auto"/>
        <w:ind w:firstLine="720"/>
      </w:pPr>
    </w:p>
    <w:p w:rsidR="002656F8" w:rsidRDefault="002656F8" w:rsidP="00181C80">
      <w:pPr>
        <w:spacing w:line="300" w:lineRule="auto"/>
        <w:ind w:firstLine="426"/>
      </w:pPr>
      <w:r w:rsidRPr="00CE097B">
        <w:t xml:space="preserve">In order to ensure that the surveys were conducted in the most effective and culturally appropriate way we recruited individuals from these same migrant populations to lead the field work. </w:t>
      </w:r>
      <w:r>
        <w:t>The interview team leader was a Tongan with</w:t>
      </w:r>
      <w:r w:rsidRPr="00CE097B">
        <w:t xml:space="preserve"> a PhD</w:t>
      </w:r>
      <w:r>
        <w:t xml:space="preserve"> in economics, and she was assisted by a Solomon Islander with a PhD and by other tertiary qualified Pacific Islanders. The questionnaires</w:t>
      </w:r>
      <w:r w:rsidRPr="00CE097B">
        <w:t xml:space="preserve"> and any</w:t>
      </w:r>
      <w:r>
        <w:t xml:space="preserve"> written material given out were</w:t>
      </w:r>
      <w:r w:rsidRPr="00CE097B">
        <w:t xml:space="preserve"> available in English</w:t>
      </w:r>
      <w:r>
        <w:t xml:space="preserve"> and Tongan </w:t>
      </w:r>
      <w:r w:rsidRPr="00CE097B">
        <w:t xml:space="preserve">(English </w:t>
      </w:r>
      <w:r>
        <w:t xml:space="preserve">is </w:t>
      </w:r>
      <w:r w:rsidRPr="00CE097B">
        <w:t>the language of schooling throughout the Pacific</w:t>
      </w:r>
      <w:r>
        <w:t>) so comprehension problems should not interfere with the choice tasks</w:t>
      </w:r>
      <w:r w:rsidRPr="00CE097B">
        <w:t>.</w:t>
      </w:r>
      <w:r>
        <w:t xml:space="preserve"> Both the lead author and the interview team leader have carried out several other surveys amongst Pacific Island immigrants in New Zealand (Gibson, McKenzie and Zia 2013, Gibson </w:t>
      </w:r>
      <w:r w:rsidRPr="001A7C72">
        <w:rPr>
          <w:i/>
        </w:rPr>
        <w:t>et al.</w:t>
      </w:r>
      <w:r>
        <w:t xml:space="preserve"> 2013) and the visibility of the research team to this particular community assisted in recruiting participants.</w:t>
      </w:r>
    </w:p>
    <w:p w:rsidR="002656F8" w:rsidRPr="00CE097B" w:rsidRDefault="002656F8" w:rsidP="00FF7EA4">
      <w:pPr>
        <w:spacing w:line="300" w:lineRule="auto"/>
        <w:ind w:firstLine="720"/>
      </w:pPr>
    </w:p>
    <w:p w:rsidR="002656F8" w:rsidRDefault="002656F8" w:rsidP="00FF7EA4">
      <w:pPr>
        <w:spacing w:line="300" w:lineRule="auto"/>
        <w:rPr>
          <w:b/>
        </w:rPr>
      </w:pPr>
      <w:r>
        <w:rPr>
          <w:b/>
        </w:rPr>
        <w:t>2.2 Survey Description</w:t>
      </w:r>
    </w:p>
    <w:p w:rsidR="002656F8" w:rsidRPr="000D4AC5" w:rsidRDefault="002656F8" w:rsidP="00FF7EA4">
      <w:pPr>
        <w:spacing w:line="300" w:lineRule="auto"/>
        <w:rPr>
          <w:b/>
          <w:sz w:val="12"/>
          <w:szCs w:val="12"/>
        </w:rPr>
      </w:pPr>
    </w:p>
    <w:p w:rsidR="002656F8" w:rsidRDefault="002656F8" w:rsidP="00FF7EA4">
      <w:pPr>
        <w:spacing w:line="300" w:lineRule="auto"/>
      </w:pPr>
      <w:r w:rsidRPr="00966DCE">
        <w:t xml:space="preserve">We conducted the survey between December 2012 and March 2013, </w:t>
      </w:r>
      <w:r>
        <w:t xml:space="preserve">obtaining data from </w:t>
      </w:r>
      <w:r w:rsidRPr="002514DF">
        <w:t>249</w:t>
      </w:r>
      <w:r w:rsidRPr="00966DCE">
        <w:t xml:space="preserve"> </w:t>
      </w:r>
      <w:r>
        <w:t xml:space="preserve">adults (age 18 and above), who together provide </w:t>
      </w:r>
      <w:r w:rsidRPr="002514DF">
        <w:t>2,241</w:t>
      </w:r>
      <w:r w:rsidRPr="00966DCE">
        <w:t xml:space="preserve"> choice responses.</w:t>
      </w:r>
      <w:r>
        <w:t xml:space="preserve"> </w:t>
      </w:r>
      <w:r w:rsidRPr="00E634B4">
        <w:rPr>
          <w:rFonts w:eastAsia="Calibri"/>
        </w:rPr>
        <w:t xml:space="preserve">The first </w:t>
      </w:r>
      <w:r w:rsidRPr="00E634B4">
        <w:t>part of the survey asked</w:t>
      </w:r>
      <w:r w:rsidRPr="00E634B4">
        <w:rPr>
          <w:rFonts w:eastAsia="Calibri"/>
        </w:rPr>
        <w:t xml:space="preserve"> about use of various home heating</w:t>
      </w:r>
      <w:r>
        <w:rPr>
          <w:rFonts w:eastAsia="Calibri"/>
        </w:rPr>
        <w:t xml:space="preserve"> devices</w:t>
      </w:r>
      <w:r w:rsidRPr="00E634B4">
        <w:rPr>
          <w:rFonts w:eastAsia="Calibri"/>
        </w:rPr>
        <w:t xml:space="preserve">, and </w:t>
      </w:r>
      <w:r>
        <w:rPr>
          <w:rFonts w:eastAsia="Calibri"/>
        </w:rPr>
        <w:t>satisfaction with the</w:t>
      </w:r>
      <w:r w:rsidRPr="00E634B4">
        <w:rPr>
          <w:rFonts w:eastAsia="Calibri"/>
        </w:rPr>
        <w:t xml:space="preserve"> current dwelling (especially </w:t>
      </w:r>
      <w:r>
        <w:rPr>
          <w:rFonts w:eastAsia="Calibri"/>
        </w:rPr>
        <w:t xml:space="preserve">in terms of </w:t>
      </w:r>
      <w:r w:rsidRPr="00E634B4">
        <w:rPr>
          <w:rFonts w:eastAsia="Calibri"/>
        </w:rPr>
        <w:t xml:space="preserve">warmth and </w:t>
      </w:r>
      <w:r>
        <w:rPr>
          <w:rFonts w:eastAsia="Calibri"/>
        </w:rPr>
        <w:t>dryness) and with</w:t>
      </w:r>
      <w:r w:rsidRPr="00E634B4">
        <w:rPr>
          <w:rFonts w:eastAsia="Calibri"/>
        </w:rPr>
        <w:t xml:space="preserve"> </w:t>
      </w:r>
      <w:r w:rsidRPr="00E634B4">
        <w:t xml:space="preserve">health. The survey also covered some background </w:t>
      </w:r>
      <w:r w:rsidRPr="00E634B4">
        <w:rPr>
          <w:rFonts w:eastAsia="Calibri"/>
        </w:rPr>
        <w:t xml:space="preserve">characteristics and details on </w:t>
      </w:r>
      <w:r w:rsidRPr="00E634B4">
        <w:t>dwelling</w:t>
      </w:r>
      <w:r>
        <w:t xml:space="preserve"> tenure and costs</w:t>
      </w:r>
      <w:r w:rsidRPr="00E634B4">
        <w:rPr>
          <w:rFonts w:eastAsia="Calibri"/>
        </w:rPr>
        <w:t xml:space="preserve">, since the choice experiments are based on hypothetical </w:t>
      </w:r>
      <w:r w:rsidRPr="00E634B4">
        <w:t xml:space="preserve">variations in </w:t>
      </w:r>
      <w:r>
        <w:t xml:space="preserve">rents </w:t>
      </w:r>
      <w:r>
        <w:rPr>
          <w:rFonts w:eastAsia="Calibri"/>
        </w:rPr>
        <w:t xml:space="preserve">for a dwelling similar in all respects to their current one, except in terms of the </w:t>
      </w:r>
      <w:r w:rsidRPr="00E634B4">
        <w:rPr>
          <w:rFonts w:eastAsia="Calibri"/>
        </w:rPr>
        <w:t>changes in heating options</w:t>
      </w:r>
      <w:r>
        <w:rPr>
          <w:rFonts w:eastAsia="Calibri"/>
        </w:rPr>
        <w:t xml:space="preserve"> that were offered under each choice</w:t>
      </w:r>
      <w:r w:rsidRPr="00E634B4">
        <w:rPr>
          <w:rFonts w:eastAsia="Calibri"/>
        </w:rPr>
        <w:t xml:space="preserve">. </w:t>
      </w:r>
      <w:r w:rsidRPr="00E634B4">
        <w:t xml:space="preserve">Information regarding attributes was given to respondents immediately before the choice experiment, including the use of pictures of typical examples of </w:t>
      </w:r>
      <w:r w:rsidRPr="00E634B4">
        <w:rPr>
          <w:rFonts w:eastAsia="Calibri"/>
        </w:rPr>
        <w:t xml:space="preserve">the options that </w:t>
      </w:r>
      <w:r w:rsidRPr="00E634B4">
        <w:t xml:space="preserve">were </w:t>
      </w:r>
      <w:r>
        <w:t>in the choice sets</w:t>
      </w:r>
      <w:r w:rsidRPr="00E634B4">
        <w:t>.</w:t>
      </w:r>
    </w:p>
    <w:p w:rsidR="002656F8" w:rsidRPr="00FF7EA4" w:rsidRDefault="002656F8" w:rsidP="00FF7EA4">
      <w:pPr>
        <w:spacing w:line="300" w:lineRule="auto"/>
        <w:rPr>
          <w:b/>
        </w:rPr>
      </w:pPr>
    </w:p>
    <w:p w:rsidR="002656F8" w:rsidRDefault="002656F8" w:rsidP="002656F8">
      <w:pPr>
        <w:spacing w:line="300" w:lineRule="auto"/>
        <w:ind w:firstLine="426"/>
      </w:pPr>
      <w:r>
        <w:t>S</w:t>
      </w:r>
      <w:r w:rsidRPr="00C31800">
        <w:t xml:space="preserve">ummary statistics show </w:t>
      </w:r>
      <w:r>
        <w:t>that 43 </w:t>
      </w:r>
      <w:r w:rsidRPr="00C31800">
        <w:t xml:space="preserve">percent of respondents were male, </w:t>
      </w:r>
      <w:r>
        <w:t xml:space="preserve">with </w:t>
      </w:r>
      <w:r w:rsidRPr="00C31800">
        <w:t xml:space="preserve">an average age of 39 years (38 years for women and 40 for men). </w:t>
      </w:r>
      <w:r>
        <w:t>Almost one-half (47</w:t>
      </w:r>
      <w:r w:rsidRPr="00C31800">
        <w:t xml:space="preserve"> percent) </w:t>
      </w:r>
      <w:r>
        <w:t xml:space="preserve">of them had high school qualifications, while 31 percent had some tertiary education (including on-going </w:t>
      </w:r>
      <w:r>
        <w:lastRenderedPageBreak/>
        <w:t xml:space="preserve">and sub-degree courses) and just over one-fifth had no educational qualifications. The employment rate amongst respondents was 51 percent, which is the same as for the overall Pacific Island ethnic group in the March quarter of 2013 in the nation-wide </w:t>
      </w:r>
      <w:r>
        <w:rPr>
          <w:i/>
        </w:rPr>
        <w:t xml:space="preserve">Household Labour Force Survey </w:t>
      </w:r>
      <w:r w:rsidRPr="00473580">
        <w:t>(HLFS)</w:t>
      </w:r>
      <w:r>
        <w:t>. However, the sample had a lower proportion unemployed than in the national survey, with 11.2 percent of respondents being unemployed compared with 15.2 percent in the HLFS. Those participants not in the labor force included housewives, unpaid caregivers and some tertiary students. The average personal income of respondents in the previous 12 months, from all sources, was $21,500 (based on nine bracketed intervals); this is slightly below the national average of $24,900 for the Pacific Island ethnic group in New Zealand (which is itself just two-thirds of the overall average income).</w:t>
      </w:r>
      <w:r>
        <w:rPr>
          <w:rStyle w:val="FootnoteReference"/>
        </w:rPr>
        <w:footnoteReference w:id="3"/>
      </w:r>
      <w:r>
        <w:t xml:space="preserve"> </w:t>
      </w:r>
    </w:p>
    <w:p w:rsidR="002656F8" w:rsidRPr="00473580" w:rsidRDefault="002656F8" w:rsidP="00FF7EA4">
      <w:pPr>
        <w:spacing w:line="300" w:lineRule="auto"/>
        <w:ind w:firstLine="720"/>
      </w:pPr>
    </w:p>
    <w:p w:rsidR="002656F8" w:rsidRDefault="002656F8" w:rsidP="00181C80">
      <w:pPr>
        <w:spacing w:line="300" w:lineRule="auto"/>
        <w:ind w:firstLine="426"/>
      </w:pPr>
      <w:r>
        <w:t>In terms of housing, 82 percent of the respondents were renting while just 18 percent were home owners (either with or without a mortgage).  Previous studies have shown that the Tongan population in New Zealand has the second lowest rate of home ownership, at around 30 percent in the 2006 Census (SNZ 2012). The even lower ownership rate amongst the respondents here may reflect their recent arrival in the country, and also the secular decline in home ownership rates since 2006. The average weekly rent paid for the dwelling was NZ$311, while home owners reported an average of $377 for the hypothetical rent that they could receive if they rented out their dwelling.</w:t>
      </w:r>
      <w:r>
        <w:rPr>
          <w:rStyle w:val="FootnoteReference"/>
        </w:rPr>
        <w:footnoteReference w:id="4"/>
      </w:r>
      <w:r>
        <w:t xml:space="preserve"> </w:t>
      </w:r>
    </w:p>
    <w:p w:rsidR="002656F8" w:rsidRDefault="002656F8" w:rsidP="00FF7EA4">
      <w:pPr>
        <w:spacing w:line="300" w:lineRule="auto"/>
        <w:ind w:firstLine="720"/>
      </w:pPr>
    </w:p>
    <w:p w:rsidR="002656F8" w:rsidRDefault="002656F8" w:rsidP="00181C80">
      <w:pPr>
        <w:spacing w:line="300" w:lineRule="auto"/>
        <w:ind w:firstLine="426"/>
      </w:pPr>
      <w:r>
        <w:t>By the standards of many populations, these houses are crowded with a median of eight residents per dwelling (mean=7.4) and 2.4 persons per bedroom. There is no significant difference in crowding between owned and rented properties, although the same is not true for all other dwelling attributes. Table 1 displays the mean values for the dwelling and heating variables and also the mean responses to questions about major problems associated with the dwelling, separately for renters and owner-occupiers. Approximately two-thirds of renters have major problems with cold, damp, moldy houses and an even higher proportion have problems with the cost of heating their house. Owner-occupiers are less likely to have major problems with cold and damp, but the other problems are just as widespread as for renters. Fewer than ten percent of the respondents have improved devices that either warm or dry the air, such as dehumidifiers, HRV systems, and heat pumps. The main forms of heating are electric heaters (either in-built or plug-in), open fireplaces, and in-built gas heaters (and also enclosed wood burners for owner-occupiers).</w:t>
      </w:r>
    </w:p>
    <w:p w:rsidR="002656F8" w:rsidRDefault="002656F8" w:rsidP="00FF7EA4">
      <w:pPr>
        <w:spacing w:line="300" w:lineRule="auto"/>
        <w:ind w:firstLine="720"/>
      </w:pPr>
    </w:p>
    <w:p w:rsidR="002656F8" w:rsidRDefault="002656F8" w:rsidP="002656F8">
      <w:pPr>
        <w:spacing w:line="300" w:lineRule="auto"/>
        <w:ind w:firstLine="426"/>
      </w:pPr>
      <w:r>
        <w:t xml:space="preserve">In terms of respiratory health, 53-55 percent of respondents reported that in the last 12 months they had either been woken by an attack of shortness of breath, had wheezed or </w:t>
      </w:r>
      <w:r>
        <w:lastRenderedPageBreak/>
        <w:t>had difficulty breathing, or had been unable to do normal activities because of difficulties in breathing. Between 17-25 percent of respondents reported that children in their household also had these symptoms of respiratory disorder within the last 12 months. Yet just seven percent of respondents reported ever having been diagnosed by a doctor or nurse as having asthma or ever having taken medication for asthma and only 15 percent reported that children in their household had ever been diagnosed with asthma or taken medication for asthma. In addition to potentially undiagnosed asthma, self-awareness also appeared to be low, with just four percent of respondents reporting having had an attack of asthma during the last 12 months, even though more than one-half of them reported wheeze and other breathing difficulties that are often symptoms of asthma.</w:t>
      </w:r>
      <w:r>
        <w:rPr>
          <w:rStyle w:val="FootnoteReference"/>
        </w:rPr>
        <w:footnoteReference w:id="5"/>
      </w:r>
      <w:r>
        <w:t xml:space="preserve"> </w:t>
      </w:r>
    </w:p>
    <w:p w:rsidR="002656F8" w:rsidRDefault="002656F8" w:rsidP="00FF7EA4">
      <w:pPr>
        <w:spacing w:line="300" w:lineRule="auto"/>
        <w:ind w:firstLine="720"/>
      </w:pPr>
    </w:p>
    <w:tbl>
      <w:tblPr>
        <w:tblStyle w:val="TableGrid"/>
        <w:tblW w:w="0" w:type="auto"/>
        <w:tblLook w:val="04A0"/>
      </w:tblPr>
      <w:tblGrid>
        <w:gridCol w:w="4077"/>
        <w:gridCol w:w="1721"/>
        <w:gridCol w:w="1722"/>
        <w:gridCol w:w="1722"/>
      </w:tblGrid>
      <w:tr w:rsidR="002656F8" w:rsidTr="00C10F63">
        <w:tc>
          <w:tcPr>
            <w:tcW w:w="9242" w:type="dxa"/>
            <w:gridSpan w:val="4"/>
            <w:tcBorders>
              <w:top w:val="nil"/>
              <w:left w:val="nil"/>
              <w:bottom w:val="single" w:sz="4" w:space="0" w:color="auto"/>
              <w:right w:val="nil"/>
            </w:tcBorders>
          </w:tcPr>
          <w:p w:rsidR="002656F8" w:rsidRPr="002656F8" w:rsidRDefault="002656F8" w:rsidP="00CC721B">
            <w:pPr>
              <w:spacing w:after="60"/>
              <w:jc w:val="center"/>
              <w:rPr>
                <w:rFonts w:cs="Times New Roman"/>
                <w:b/>
              </w:rPr>
            </w:pPr>
            <w:r w:rsidRPr="002656F8">
              <w:rPr>
                <w:rFonts w:cs="Times New Roman"/>
                <w:b/>
              </w:rPr>
              <w:t>Table 1: Mean Values of Dwelling and Heating Characteristics and Dwelling-Related Problems</w:t>
            </w:r>
          </w:p>
        </w:tc>
      </w:tr>
      <w:tr w:rsidR="002656F8" w:rsidTr="00C10F63">
        <w:tc>
          <w:tcPr>
            <w:tcW w:w="4077" w:type="dxa"/>
            <w:tcBorders>
              <w:top w:val="single" w:sz="4" w:space="0" w:color="auto"/>
              <w:left w:val="nil"/>
              <w:bottom w:val="single" w:sz="4" w:space="0" w:color="auto"/>
              <w:right w:val="nil"/>
            </w:tcBorders>
          </w:tcPr>
          <w:p w:rsidR="002656F8" w:rsidRDefault="002656F8" w:rsidP="00CC721B">
            <w:pPr>
              <w:spacing w:before="100" w:after="100"/>
              <w:rPr>
                <w:rFonts w:cs="Times New Roman"/>
              </w:rPr>
            </w:pPr>
          </w:p>
        </w:tc>
        <w:tc>
          <w:tcPr>
            <w:tcW w:w="1721" w:type="dxa"/>
            <w:tcBorders>
              <w:top w:val="single" w:sz="4" w:space="0" w:color="auto"/>
              <w:left w:val="nil"/>
              <w:bottom w:val="single" w:sz="4" w:space="0" w:color="auto"/>
              <w:right w:val="nil"/>
            </w:tcBorders>
          </w:tcPr>
          <w:p w:rsidR="002656F8" w:rsidRDefault="002656F8" w:rsidP="00CC721B">
            <w:pPr>
              <w:spacing w:before="100" w:after="100"/>
              <w:jc w:val="center"/>
              <w:rPr>
                <w:rFonts w:cs="Times New Roman"/>
              </w:rPr>
            </w:pPr>
            <w:r>
              <w:rPr>
                <w:rFonts w:cs="Times New Roman"/>
              </w:rPr>
              <w:t>Renters</w:t>
            </w:r>
          </w:p>
        </w:tc>
        <w:tc>
          <w:tcPr>
            <w:tcW w:w="1722" w:type="dxa"/>
            <w:tcBorders>
              <w:top w:val="single" w:sz="4" w:space="0" w:color="auto"/>
              <w:left w:val="nil"/>
              <w:bottom w:val="single" w:sz="4" w:space="0" w:color="auto"/>
              <w:right w:val="nil"/>
            </w:tcBorders>
          </w:tcPr>
          <w:p w:rsidR="002656F8" w:rsidRDefault="002656F8" w:rsidP="00CC721B">
            <w:pPr>
              <w:spacing w:before="100" w:after="100"/>
              <w:jc w:val="center"/>
              <w:rPr>
                <w:rFonts w:cs="Times New Roman"/>
              </w:rPr>
            </w:pPr>
            <w:r>
              <w:rPr>
                <w:rFonts w:cs="Times New Roman"/>
              </w:rPr>
              <w:t>Owners</w:t>
            </w:r>
          </w:p>
        </w:tc>
        <w:tc>
          <w:tcPr>
            <w:tcW w:w="1722" w:type="dxa"/>
            <w:tcBorders>
              <w:top w:val="single" w:sz="4" w:space="0" w:color="auto"/>
              <w:left w:val="nil"/>
              <w:bottom w:val="single" w:sz="4" w:space="0" w:color="auto"/>
              <w:right w:val="nil"/>
            </w:tcBorders>
          </w:tcPr>
          <w:p w:rsidR="002656F8" w:rsidRDefault="002656F8" w:rsidP="00CC721B">
            <w:pPr>
              <w:spacing w:before="100" w:after="100"/>
              <w:jc w:val="center"/>
              <w:rPr>
                <w:rFonts w:cs="Times New Roman"/>
              </w:rPr>
            </w:pPr>
            <w:r>
              <w:rPr>
                <w:rFonts w:cs="Times New Roman"/>
              </w:rPr>
              <w:t>All Respondents</w:t>
            </w:r>
          </w:p>
        </w:tc>
      </w:tr>
      <w:tr w:rsidR="002656F8" w:rsidTr="00C10F63">
        <w:tc>
          <w:tcPr>
            <w:tcW w:w="4077" w:type="dxa"/>
            <w:tcBorders>
              <w:top w:val="single" w:sz="4" w:space="0" w:color="auto"/>
              <w:left w:val="nil"/>
              <w:bottom w:val="nil"/>
              <w:right w:val="nil"/>
            </w:tcBorders>
          </w:tcPr>
          <w:p w:rsidR="002656F8" w:rsidRDefault="002656F8" w:rsidP="00CC721B">
            <w:pPr>
              <w:spacing w:before="60"/>
              <w:rPr>
                <w:rFonts w:cs="Times New Roman"/>
              </w:rPr>
            </w:pPr>
            <w:r>
              <w:rPr>
                <w:rFonts w:cs="Times New Roman"/>
              </w:rPr>
              <w:t>Weekly rent (hypothetical for owners)</w:t>
            </w:r>
          </w:p>
        </w:tc>
        <w:tc>
          <w:tcPr>
            <w:tcW w:w="1721" w:type="dxa"/>
            <w:tcBorders>
              <w:top w:val="single" w:sz="4" w:space="0" w:color="auto"/>
              <w:left w:val="nil"/>
              <w:bottom w:val="nil"/>
              <w:right w:val="nil"/>
            </w:tcBorders>
            <w:vAlign w:val="bottom"/>
          </w:tcPr>
          <w:p w:rsidR="002656F8" w:rsidRPr="006174BE" w:rsidRDefault="002656F8" w:rsidP="00CC721B">
            <w:pPr>
              <w:spacing w:before="60"/>
              <w:jc w:val="center"/>
              <w:rPr>
                <w:rFonts w:cs="Times New Roman"/>
                <w:color w:val="000000"/>
              </w:rPr>
            </w:pPr>
            <w:r w:rsidRPr="006174BE">
              <w:rPr>
                <w:rFonts w:cs="Times New Roman"/>
                <w:color w:val="000000"/>
              </w:rPr>
              <w:t>311</w:t>
            </w:r>
          </w:p>
        </w:tc>
        <w:tc>
          <w:tcPr>
            <w:tcW w:w="1722" w:type="dxa"/>
            <w:tcBorders>
              <w:top w:val="single" w:sz="4" w:space="0" w:color="auto"/>
              <w:left w:val="nil"/>
              <w:bottom w:val="nil"/>
              <w:right w:val="nil"/>
            </w:tcBorders>
            <w:vAlign w:val="bottom"/>
          </w:tcPr>
          <w:p w:rsidR="002656F8" w:rsidRPr="006174BE" w:rsidRDefault="002656F8" w:rsidP="00CC721B">
            <w:pPr>
              <w:spacing w:before="60"/>
              <w:jc w:val="center"/>
              <w:rPr>
                <w:rFonts w:cs="Times New Roman"/>
                <w:color w:val="000000"/>
              </w:rPr>
            </w:pPr>
            <w:r w:rsidRPr="006174BE">
              <w:rPr>
                <w:rFonts w:cs="Times New Roman"/>
                <w:color w:val="000000"/>
              </w:rPr>
              <w:t>377</w:t>
            </w:r>
            <w:r>
              <w:rPr>
                <w:rFonts w:cs="Times New Roman"/>
                <w:color w:val="000000"/>
              </w:rPr>
              <w:t>*</w:t>
            </w:r>
          </w:p>
        </w:tc>
        <w:tc>
          <w:tcPr>
            <w:tcW w:w="1722" w:type="dxa"/>
            <w:tcBorders>
              <w:top w:val="single" w:sz="4" w:space="0" w:color="auto"/>
              <w:left w:val="nil"/>
              <w:bottom w:val="nil"/>
              <w:right w:val="nil"/>
            </w:tcBorders>
            <w:vAlign w:val="bottom"/>
          </w:tcPr>
          <w:p w:rsidR="002656F8" w:rsidRPr="006174BE" w:rsidRDefault="002656F8" w:rsidP="00CC721B">
            <w:pPr>
              <w:spacing w:before="60"/>
              <w:jc w:val="center"/>
              <w:rPr>
                <w:rFonts w:cs="Times New Roman"/>
                <w:color w:val="000000"/>
              </w:rPr>
            </w:pPr>
            <w:r w:rsidRPr="006174BE">
              <w:rPr>
                <w:rFonts w:cs="Times New Roman"/>
                <w:color w:val="000000"/>
              </w:rPr>
              <w:t>323</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Household size</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7.3</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7.7</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7.4</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Residents per bedroom</w:t>
            </w:r>
          </w:p>
          <w:p w:rsidR="00CC721B" w:rsidRPr="00CC721B" w:rsidRDefault="00CC721B" w:rsidP="001B2090">
            <w:pPr>
              <w:rPr>
                <w:rFonts w:cs="Times New Roman"/>
                <w:sz w:val="6"/>
                <w:szCs w:val="6"/>
              </w:rPr>
            </w:pP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2.4</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2.3</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2.4</w:t>
            </w:r>
          </w:p>
        </w:tc>
      </w:tr>
      <w:tr w:rsidR="002656F8" w:rsidTr="00C10F63">
        <w:tc>
          <w:tcPr>
            <w:tcW w:w="4077" w:type="dxa"/>
            <w:tcBorders>
              <w:top w:val="nil"/>
              <w:left w:val="nil"/>
              <w:bottom w:val="nil"/>
              <w:right w:val="nil"/>
            </w:tcBorders>
          </w:tcPr>
          <w:p w:rsidR="002656F8" w:rsidRDefault="002656F8" w:rsidP="001B2090">
            <w:pPr>
              <w:rPr>
                <w:rFonts w:cs="Times New Roman"/>
                <w:i/>
              </w:rPr>
            </w:pPr>
            <w:r>
              <w:rPr>
                <w:rFonts w:cs="Times New Roman"/>
                <w:i/>
              </w:rPr>
              <w:t>Respondent’s dwelling has a:</w:t>
            </w:r>
          </w:p>
          <w:p w:rsidR="00CC721B" w:rsidRPr="00CC721B" w:rsidRDefault="00CC721B" w:rsidP="001B2090">
            <w:pPr>
              <w:rPr>
                <w:rFonts w:cs="Times New Roman"/>
                <w:sz w:val="2"/>
                <w:szCs w:val="2"/>
              </w:rPr>
            </w:pPr>
          </w:p>
          <w:p w:rsidR="002656F8" w:rsidRDefault="002656F8" w:rsidP="001B2090">
            <w:pPr>
              <w:rPr>
                <w:rFonts w:cs="Times New Roman"/>
              </w:rPr>
            </w:pPr>
            <w:r>
              <w:rPr>
                <w:rFonts w:cs="Times New Roman"/>
              </w:rPr>
              <w:t xml:space="preserve">   Heat pump</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0.078</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0.045</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0.072</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Electric heater</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0.561</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0.386</w:t>
            </w:r>
            <w:r>
              <w:rPr>
                <w:rFonts w:cs="Times New Roman"/>
                <w:color w:val="000000"/>
              </w:rPr>
              <w:t>*</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0.530</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Portable gas bottle heater</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0.063</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0.000</w:t>
            </w:r>
            <w:r>
              <w:rPr>
                <w:rFonts w:cs="Times New Roman"/>
                <w:color w:val="000000"/>
              </w:rPr>
              <w:t>*</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0.052</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In-built gas heater</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0.244</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0.227</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0.241</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Open fireplace</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0.283</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0.227</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0.273</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Enclosed wood burner</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0.015</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0.295</w:t>
            </w:r>
            <w:r>
              <w:rPr>
                <w:rFonts w:cs="Times New Roman"/>
                <w:color w:val="000000"/>
              </w:rPr>
              <w:t>*</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0.064</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Dehumidifier</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0.049</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0.091</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0.056</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Heat-recovery ventilation (HRV) system</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0.034</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0.023</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0.032</w:t>
            </w:r>
          </w:p>
        </w:tc>
      </w:tr>
      <w:tr w:rsidR="002656F8" w:rsidTr="00C10F63">
        <w:tc>
          <w:tcPr>
            <w:tcW w:w="4077" w:type="dxa"/>
            <w:tcBorders>
              <w:top w:val="nil"/>
              <w:left w:val="nil"/>
              <w:bottom w:val="nil"/>
              <w:right w:val="nil"/>
            </w:tcBorders>
          </w:tcPr>
          <w:p w:rsidR="00CC721B" w:rsidRPr="00CC721B" w:rsidRDefault="00CC721B" w:rsidP="001B2090">
            <w:pPr>
              <w:rPr>
                <w:rFonts w:cs="Times New Roman"/>
                <w:i/>
                <w:sz w:val="6"/>
                <w:szCs w:val="6"/>
              </w:rPr>
            </w:pPr>
          </w:p>
          <w:p w:rsidR="002656F8" w:rsidRDefault="002656F8" w:rsidP="001B2090">
            <w:pPr>
              <w:rPr>
                <w:rFonts w:cs="Times New Roman"/>
                <w:i/>
              </w:rPr>
            </w:pPr>
            <w:r>
              <w:rPr>
                <w:rFonts w:cs="Times New Roman"/>
                <w:i/>
              </w:rPr>
              <w:t>Respondent has a major problem with:</w:t>
            </w:r>
          </w:p>
          <w:p w:rsidR="00CC721B" w:rsidRPr="00CC721B" w:rsidRDefault="00CC721B" w:rsidP="001B2090">
            <w:pPr>
              <w:rPr>
                <w:rFonts w:cs="Times New Roman"/>
                <w:i/>
                <w:sz w:val="2"/>
                <w:szCs w:val="2"/>
              </w:rPr>
            </w:pPr>
          </w:p>
          <w:p w:rsidR="002656F8" w:rsidRDefault="002656F8" w:rsidP="001B2090">
            <w:pPr>
              <w:rPr>
                <w:rFonts w:cs="Times New Roman"/>
              </w:rPr>
            </w:pPr>
            <w:r>
              <w:rPr>
                <w:rFonts w:cs="Times New Roman"/>
              </w:rPr>
              <w:t xml:space="preserve">   Dwelling is too cold</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0.644</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0.455</w:t>
            </w:r>
            <w:r>
              <w:rPr>
                <w:rFonts w:cs="Times New Roman"/>
                <w:color w:val="000000"/>
              </w:rPr>
              <w:t>*</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0.610</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Dwelling is damp or not waterproof</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0.654</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0.477</w:t>
            </w:r>
            <w:r>
              <w:rPr>
                <w:rFonts w:cs="Times New Roman"/>
                <w:color w:val="000000"/>
              </w:rPr>
              <w:t>*</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0.622</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Visible </w:t>
            </w:r>
            <w:proofErr w:type="spellStart"/>
            <w:r>
              <w:rPr>
                <w:rFonts w:cs="Times New Roman"/>
              </w:rPr>
              <w:t>mold</w:t>
            </w:r>
            <w:proofErr w:type="spellEnd"/>
            <w:r>
              <w:rPr>
                <w:rFonts w:cs="Times New Roman"/>
              </w:rPr>
              <w:t xml:space="preserve"> in one or more rooms</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0.717</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0.773</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0.727</w:t>
            </w:r>
          </w:p>
        </w:tc>
      </w:tr>
      <w:tr w:rsidR="002656F8" w:rsidTr="00C10F63">
        <w:tc>
          <w:tcPr>
            <w:tcW w:w="4077" w:type="dxa"/>
            <w:tcBorders>
              <w:top w:val="nil"/>
              <w:left w:val="nil"/>
              <w:bottom w:val="nil"/>
              <w:right w:val="nil"/>
            </w:tcBorders>
          </w:tcPr>
          <w:p w:rsidR="002656F8" w:rsidRDefault="002656F8" w:rsidP="001B2090">
            <w:pPr>
              <w:rPr>
                <w:rFonts w:cs="Times New Roman"/>
              </w:rPr>
            </w:pPr>
            <w:r>
              <w:rPr>
                <w:rFonts w:cs="Times New Roman"/>
              </w:rPr>
              <w:t xml:space="preserve">   Dwelling is too difficult or costly to heat</w:t>
            </w:r>
          </w:p>
        </w:tc>
        <w:tc>
          <w:tcPr>
            <w:tcW w:w="1721"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0.771</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0.795</w:t>
            </w:r>
          </w:p>
        </w:tc>
        <w:tc>
          <w:tcPr>
            <w:tcW w:w="1722" w:type="dxa"/>
            <w:tcBorders>
              <w:top w:val="nil"/>
              <w:left w:val="nil"/>
              <w:bottom w:val="nil"/>
              <w:right w:val="nil"/>
            </w:tcBorders>
            <w:vAlign w:val="bottom"/>
          </w:tcPr>
          <w:p w:rsidR="002656F8" w:rsidRPr="006174BE" w:rsidRDefault="002656F8" w:rsidP="001B2090">
            <w:pPr>
              <w:tabs>
                <w:tab w:val="decimal" w:pos="680"/>
              </w:tabs>
              <w:rPr>
                <w:rFonts w:cs="Times New Roman"/>
                <w:color w:val="000000"/>
              </w:rPr>
            </w:pPr>
            <w:r w:rsidRPr="006174BE">
              <w:rPr>
                <w:rFonts w:cs="Times New Roman"/>
                <w:color w:val="000000"/>
              </w:rPr>
              <w:t>0.775</w:t>
            </w:r>
          </w:p>
        </w:tc>
      </w:tr>
      <w:tr w:rsidR="002656F8" w:rsidRPr="006174BE" w:rsidTr="00C10F63">
        <w:tc>
          <w:tcPr>
            <w:tcW w:w="4077" w:type="dxa"/>
            <w:tcBorders>
              <w:top w:val="nil"/>
              <w:left w:val="nil"/>
              <w:bottom w:val="nil"/>
              <w:right w:val="nil"/>
            </w:tcBorders>
          </w:tcPr>
          <w:p w:rsidR="002656F8" w:rsidRPr="006174BE" w:rsidRDefault="002656F8" w:rsidP="001B2090">
            <w:pPr>
              <w:rPr>
                <w:rFonts w:cs="Times New Roman"/>
                <w:sz w:val="6"/>
              </w:rPr>
            </w:pPr>
          </w:p>
        </w:tc>
        <w:tc>
          <w:tcPr>
            <w:tcW w:w="1721" w:type="dxa"/>
            <w:tcBorders>
              <w:top w:val="nil"/>
              <w:left w:val="nil"/>
              <w:bottom w:val="nil"/>
              <w:right w:val="nil"/>
            </w:tcBorders>
          </w:tcPr>
          <w:p w:rsidR="002656F8" w:rsidRPr="006174BE" w:rsidRDefault="002656F8" w:rsidP="001B2090">
            <w:pPr>
              <w:tabs>
                <w:tab w:val="decimal" w:pos="680"/>
              </w:tabs>
              <w:rPr>
                <w:rFonts w:cs="Times New Roman"/>
                <w:sz w:val="6"/>
              </w:rPr>
            </w:pPr>
          </w:p>
        </w:tc>
        <w:tc>
          <w:tcPr>
            <w:tcW w:w="1722" w:type="dxa"/>
            <w:tcBorders>
              <w:top w:val="nil"/>
              <w:left w:val="nil"/>
              <w:bottom w:val="nil"/>
              <w:right w:val="nil"/>
            </w:tcBorders>
          </w:tcPr>
          <w:p w:rsidR="002656F8" w:rsidRPr="006174BE" w:rsidRDefault="002656F8" w:rsidP="001B2090">
            <w:pPr>
              <w:tabs>
                <w:tab w:val="decimal" w:pos="680"/>
              </w:tabs>
              <w:rPr>
                <w:rFonts w:cs="Times New Roman"/>
                <w:sz w:val="6"/>
              </w:rPr>
            </w:pPr>
          </w:p>
        </w:tc>
        <w:tc>
          <w:tcPr>
            <w:tcW w:w="1722" w:type="dxa"/>
            <w:tcBorders>
              <w:top w:val="nil"/>
              <w:left w:val="nil"/>
              <w:bottom w:val="nil"/>
              <w:right w:val="nil"/>
            </w:tcBorders>
          </w:tcPr>
          <w:p w:rsidR="002656F8" w:rsidRPr="006174BE" w:rsidRDefault="002656F8" w:rsidP="001B2090">
            <w:pPr>
              <w:tabs>
                <w:tab w:val="decimal" w:pos="680"/>
              </w:tabs>
              <w:rPr>
                <w:rFonts w:cs="Times New Roman"/>
                <w:sz w:val="6"/>
              </w:rPr>
            </w:pPr>
          </w:p>
        </w:tc>
      </w:tr>
      <w:tr w:rsidR="002656F8" w:rsidTr="00C10F63">
        <w:tc>
          <w:tcPr>
            <w:tcW w:w="4077" w:type="dxa"/>
            <w:tcBorders>
              <w:top w:val="nil"/>
              <w:left w:val="nil"/>
              <w:bottom w:val="single" w:sz="4" w:space="0" w:color="auto"/>
              <w:right w:val="nil"/>
            </w:tcBorders>
          </w:tcPr>
          <w:p w:rsidR="002656F8" w:rsidRDefault="002656F8" w:rsidP="001B2090">
            <w:pPr>
              <w:rPr>
                <w:rFonts w:cs="Times New Roman"/>
              </w:rPr>
            </w:pPr>
            <w:r>
              <w:rPr>
                <w:rFonts w:cs="Times New Roman"/>
              </w:rPr>
              <w:t>Sample size</w:t>
            </w:r>
          </w:p>
        </w:tc>
        <w:tc>
          <w:tcPr>
            <w:tcW w:w="1721" w:type="dxa"/>
            <w:tcBorders>
              <w:top w:val="nil"/>
              <w:left w:val="nil"/>
              <w:bottom w:val="single" w:sz="4" w:space="0" w:color="auto"/>
              <w:right w:val="nil"/>
            </w:tcBorders>
          </w:tcPr>
          <w:p w:rsidR="002656F8" w:rsidRPr="006174BE" w:rsidRDefault="002656F8" w:rsidP="001B2090">
            <w:pPr>
              <w:jc w:val="center"/>
              <w:rPr>
                <w:rFonts w:cs="Times New Roman"/>
              </w:rPr>
            </w:pPr>
            <w:r>
              <w:rPr>
                <w:rFonts w:cs="Times New Roman"/>
              </w:rPr>
              <w:t>205</w:t>
            </w:r>
          </w:p>
        </w:tc>
        <w:tc>
          <w:tcPr>
            <w:tcW w:w="1722" w:type="dxa"/>
            <w:tcBorders>
              <w:top w:val="nil"/>
              <w:left w:val="nil"/>
              <w:bottom w:val="single" w:sz="4" w:space="0" w:color="auto"/>
              <w:right w:val="nil"/>
            </w:tcBorders>
          </w:tcPr>
          <w:p w:rsidR="002656F8" w:rsidRPr="006174BE" w:rsidRDefault="002656F8" w:rsidP="001B2090">
            <w:pPr>
              <w:jc w:val="center"/>
              <w:rPr>
                <w:rFonts w:cs="Times New Roman"/>
              </w:rPr>
            </w:pPr>
            <w:r>
              <w:rPr>
                <w:rFonts w:cs="Times New Roman"/>
              </w:rPr>
              <w:t>44</w:t>
            </w:r>
          </w:p>
        </w:tc>
        <w:tc>
          <w:tcPr>
            <w:tcW w:w="1722" w:type="dxa"/>
            <w:tcBorders>
              <w:top w:val="nil"/>
              <w:left w:val="nil"/>
              <w:bottom w:val="single" w:sz="4" w:space="0" w:color="auto"/>
              <w:right w:val="nil"/>
            </w:tcBorders>
          </w:tcPr>
          <w:p w:rsidR="002656F8" w:rsidRPr="006174BE" w:rsidRDefault="002656F8" w:rsidP="001B2090">
            <w:pPr>
              <w:jc w:val="center"/>
              <w:rPr>
                <w:rFonts w:cs="Times New Roman"/>
              </w:rPr>
            </w:pPr>
            <w:r>
              <w:rPr>
                <w:rFonts w:cs="Times New Roman"/>
              </w:rPr>
              <w:t>249</w:t>
            </w:r>
          </w:p>
        </w:tc>
      </w:tr>
      <w:tr w:rsidR="002656F8" w:rsidTr="00C10F63">
        <w:tc>
          <w:tcPr>
            <w:tcW w:w="9242" w:type="dxa"/>
            <w:gridSpan w:val="4"/>
            <w:tcBorders>
              <w:top w:val="single" w:sz="4" w:space="0" w:color="auto"/>
              <w:left w:val="nil"/>
              <w:bottom w:val="nil"/>
              <w:right w:val="nil"/>
            </w:tcBorders>
          </w:tcPr>
          <w:p w:rsidR="002656F8" w:rsidRPr="00E01CF2" w:rsidRDefault="002656F8" w:rsidP="00C10F63">
            <w:pPr>
              <w:spacing w:before="40"/>
              <w:rPr>
                <w:rFonts w:cs="Times New Roman"/>
              </w:rPr>
            </w:pPr>
            <w:r w:rsidRPr="006174BE">
              <w:rPr>
                <w:rFonts w:cs="Times New Roman"/>
                <w:i/>
                <w:sz w:val="20"/>
              </w:rPr>
              <w:t>Note:</w:t>
            </w:r>
            <w:r>
              <w:rPr>
                <w:rFonts w:cs="Times New Roman"/>
                <w:sz w:val="20"/>
              </w:rPr>
              <w:t xml:space="preserve"> * indicates that the mean for owners is significantly different to the mean for renters, at the 5% level.</w:t>
            </w:r>
          </w:p>
        </w:tc>
      </w:tr>
    </w:tbl>
    <w:p w:rsidR="002656F8" w:rsidRDefault="002656F8" w:rsidP="001B2090"/>
    <w:p w:rsidR="00A55156" w:rsidRDefault="00A55156" w:rsidP="001B2090"/>
    <w:p w:rsidR="000D4AC5" w:rsidRDefault="00B3306E" w:rsidP="000D4AC5">
      <w:pPr>
        <w:spacing w:line="300" w:lineRule="auto"/>
        <w:rPr>
          <w:b/>
        </w:rPr>
      </w:pPr>
      <w:proofErr w:type="gramStart"/>
      <w:r>
        <w:rPr>
          <w:b/>
        </w:rPr>
        <w:t xml:space="preserve">2.3 </w:t>
      </w:r>
      <w:r w:rsidR="007276B5">
        <w:rPr>
          <w:b/>
        </w:rPr>
        <w:t xml:space="preserve"> </w:t>
      </w:r>
      <w:r>
        <w:rPr>
          <w:b/>
        </w:rPr>
        <w:t>Experimental</w:t>
      </w:r>
      <w:proofErr w:type="gramEnd"/>
      <w:r>
        <w:rPr>
          <w:b/>
        </w:rPr>
        <w:t xml:space="preserve"> Design</w:t>
      </w:r>
    </w:p>
    <w:p w:rsidR="000D4AC5" w:rsidRPr="000D4AC5" w:rsidRDefault="000D4AC5" w:rsidP="000D4AC5">
      <w:pPr>
        <w:spacing w:line="300" w:lineRule="auto"/>
        <w:rPr>
          <w:b/>
          <w:sz w:val="12"/>
          <w:szCs w:val="12"/>
        </w:rPr>
      </w:pPr>
    </w:p>
    <w:p w:rsidR="00414F59" w:rsidRPr="000D4AC5" w:rsidRDefault="00E877F3" w:rsidP="000D4AC5">
      <w:pPr>
        <w:spacing w:line="300" w:lineRule="auto"/>
        <w:rPr>
          <w:b/>
        </w:rPr>
      </w:pPr>
      <w:r>
        <w:t xml:space="preserve">Choice experiments use experimental design techniques to identify the </w:t>
      </w:r>
      <w:r w:rsidR="000533AA">
        <w:t>effects that</w:t>
      </w:r>
      <w:r>
        <w:t xml:space="preserve"> attributes of qualitatively different alternatives </w:t>
      </w:r>
      <w:r w:rsidR="000533AA">
        <w:t xml:space="preserve">have </w:t>
      </w:r>
      <w:r>
        <w:t xml:space="preserve">on estimated utility. Design techniques are required to define the efficient allocation of attributes and their levels in </w:t>
      </w:r>
      <w:r w:rsidR="00414F59">
        <w:t xml:space="preserve">the </w:t>
      </w:r>
      <w:r>
        <w:t xml:space="preserve">alternatives </w:t>
      </w:r>
      <w:r w:rsidR="000533AA">
        <w:t xml:space="preserve">that </w:t>
      </w:r>
      <w:r>
        <w:t>are combined in</w:t>
      </w:r>
      <w:r w:rsidR="00414F59">
        <w:t>to the</w:t>
      </w:r>
      <w:r>
        <w:t xml:space="preserve"> separate choice tasks. Design efficiency is a salient issue when sample sizes are naturally restricted, such as in this study. Drawing from the rapidly expanding </w:t>
      </w:r>
      <w:r>
        <w:lastRenderedPageBreak/>
        <w:t xml:space="preserve">literature on efficient designs </w:t>
      </w:r>
      <w:r w:rsidR="00880E2A">
        <w:t xml:space="preserve">for stated choice for non-market valuation from small samples </w:t>
      </w:r>
      <w:r>
        <w:t>(</w:t>
      </w:r>
      <w:proofErr w:type="spellStart"/>
      <w:r w:rsidR="000D4AC5">
        <w:t>Sandor</w:t>
      </w:r>
      <w:proofErr w:type="spellEnd"/>
      <w:r w:rsidR="000D4AC5">
        <w:t xml:space="preserve"> and </w:t>
      </w:r>
      <w:proofErr w:type="spellStart"/>
      <w:r w:rsidR="000D4AC5">
        <w:t>Wedel</w:t>
      </w:r>
      <w:proofErr w:type="spellEnd"/>
      <w:r w:rsidR="006B0257">
        <w:t xml:space="preserve"> 2001, </w:t>
      </w:r>
      <w:proofErr w:type="spellStart"/>
      <w:r w:rsidR="006B0257">
        <w:t>Ferrini</w:t>
      </w:r>
      <w:proofErr w:type="spellEnd"/>
      <w:r w:rsidR="006B0257">
        <w:t xml:space="preserve"> and Scarpa 2007, Scarpa </w:t>
      </w:r>
      <w:r w:rsidR="006314CD" w:rsidRPr="006314CD">
        <w:rPr>
          <w:i/>
        </w:rPr>
        <w:t>et al.</w:t>
      </w:r>
      <w:r w:rsidR="006314CD">
        <w:t xml:space="preserve"> </w:t>
      </w:r>
      <w:r w:rsidR="006B0257">
        <w:t>2007</w:t>
      </w:r>
      <w:r w:rsidR="00880E2A">
        <w:t xml:space="preserve">, Rose and Scarpa 2008, </w:t>
      </w:r>
      <w:proofErr w:type="spellStart"/>
      <w:r w:rsidR="00414F59">
        <w:rPr>
          <w:lang w:bidi="ar-SA"/>
        </w:rPr>
        <w:t>Bliemer</w:t>
      </w:r>
      <w:proofErr w:type="spellEnd"/>
      <w:r w:rsidR="00414F59">
        <w:rPr>
          <w:lang w:bidi="ar-SA"/>
        </w:rPr>
        <w:t>, Rose and</w:t>
      </w:r>
      <w:r w:rsidR="000D4AC5">
        <w:rPr>
          <w:lang w:bidi="ar-SA"/>
        </w:rPr>
        <w:t xml:space="preserve"> </w:t>
      </w:r>
      <w:proofErr w:type="spellStart"/>
      <w:r w:rsidR="000D4AC5">
        <w:rPr>
          <w:lang w:bidi="ar-SA"/>
        </w:rPr>
        <w:t>Hensher</w:t>
      </w:r>
      <w:proofErr w:type="spellEnd"/>
      <w:r w:rsidR="00880E2A">
        <w:rPr>
          <w:lang w:bidi="ar-SA"/>
        </w:rPr>
        <w:t xml:space="preserve"> 2009, </w:t>
      </w:r>
      <w:proofErr w:type="spellStart"/>
      <w:r w:rsidR="00880E2A">
        <w:t>Verme</w:t>
      </w:r>
      <w:r w:rsidR="000C7D11">
        <w:t>ulen</w:t>
      </w:r>
      <w:proofErr w:type="spellEnd"/>
      <w:r w:rsidR="000C7D11">
        <w:t xml:space="preserve"> </w:t>
      </w:r>
      <w:r w:rsidR="006314CD" w:rsidRPr="006314CD">
        <w:rPr>
          <w:i/>
        </w:rPr>
        <w:t>et al.</w:t>
      </w:r>
      <w:r w:rsidR="006314CD">
        <w:t xml:space="preserve"> </w:t>
      </w:r>
      <w:r w:rsidR="000C7D11">
        <w:t xml:space="preserve">2011, </w:t>
      </w:r>
      <w:proofErr w:type="spellStart"/>
      <w:r w:rsidR="000C7D11">
        <w:t>Kessels</w:t>
      </w:r>
      <w:proofErr w:type="spellEnd"/>
      <w:r w:rsidR="000C7D11">
        <w:t xml:space="preserve"> </w:t>
      </w:r>
      <w:r w:rsidR="000C7D11" w:rsidRPr="006314CD">
        <w:rPr>
          <w:i/>
        </w:rPr>
        <w:t>et al</w:t>
      </w:r>
      <w:r w:rsidR="000D4AC5" w:rsidRPr="006314CD">
        <w:rPr>
          <w:i/>
        </w:rPr>
        <w:t>.</w:t>
      </w:r>
      <w:r w:rsidR="00880E2A">
        <w:t xml:space="preserve"> 2011</w:t>
      </w:r>
      <w:r>
        <w:t xml:space="preserve">) we adopted a sequential Bayesian D-efficient design where prior values of </w:t>
      </w:r>
      <w:r w:rsidR="00414F59">
        <w:t xml:space="preserve">the </w:t>
      </w:r>
      <w:r>
        <w:t>mean and variance of parameter estimates where drawn from a pilot study</w:t>
      </w:r>
      <w:r w:rsidR="00400FBE">
        <w:t xml:space="preserve">. </w:t>
      </w:r>
    </w:p>
    <w:p w:rsidR="00FF7EA4" w:rsidRDefault="00FF7EA4" w:rsidP="00FF7EA4">
      <w:pPr>
        <w:spacing w:line="300" w:lineRule="auto"/>
        <w:ind w:firstLine="720"/>
      </w:pPr>
    </w:p>
    <w:p w:rsidR="0048171D" w:rsidRPr="00625151" w:rsidRDefault="00414F59" w:rsidP="00181C80">
      <w:pPr>
        <w:spacing w:line="300" w:lineRule="auto"/>
        <w:ind w:firstLine="426"/>
      </w:pPr>
      <w:r>
        <w:t>Since our interest was in the willingness-to-pay for improved heating and humidity control devices, the choice tasks excluded two unimproved heating options from those shown in Table 1; the portable gas bottle heater and the open fireplace. The choices were therefore over various combinations of the other six devices listed in Table 1, along with the rental cost variation. T</w:t>
      </w:r>
      <w:r w:rsidR="00400FBE">
        <w:t xml:space="preserve">he </w:t>
      </w:r>
      <w:r w:rsidR="00650B94">
        <w:t>initial</w:t>
      </w:r>
      <w:r w:rsidR="00400FBE">
        <w:t xml:space="preserve"> design used in the pilot was orthogonal in the differences of the seven main effects, inclusive of </w:t>
      </w:r>
      <w:r>
        <w:t xml:space="preserve">the </w:t>
      </w:r>
      <w:r w:rsidR="00400FBE">
        <w:t>cost variatio</w:t>
      </w:r>
      <w:r w:rsidR="000C7D11">
        <w:t>n. The final design consisted of</w:t>
      </w:r>
      <w:r w:rsidR="00400FBE">
        <w:t xml:space="preserve"> </w:t>
      </w:r>
      <w:r w:rsidR="00650B94">
        <w:t>7</w:t>
      </w:r>
      <w:r w:rsidR="00400FBE">
        <w:t xml:space="preserve">2 pairwise choice tasks, blocked </w:t>
      </w:r>
      <w:r w:rsidR="00650B94">
        <w:t xml:space="preserve">orthogonally </w:t>
      </w:r>
      <w:r w:rsidR="00400FBE">
        <w:t xml:space="preserve">into </w:t>
      </w:r>
      <w:r>
        <w:t>eight blocks each of nine</w:t>
      </w:r>
      <w:r w:rsidR="00650B94">
        <w:t xml:space="preserve"> choice tasks. This was obtained by using </w:t>
      </w:r>
      <w:proofErr w:type="spellStart"/>
      <w:r w:rsidR="00650B94">
        <w:t>Ngene</w:t>
      </w:r>
      <w:proofErr w:type="spellEnd"/>
      <w:r w:rsidR="00650B94">
        <w:t xml:space="preserve"> and minimizing the D-error of the multinomial logit mode</w:t>
      </w:r>
      <w:r>
        <w:t>l</w:t>
      </w:r>
      <w:r w:rsidR="00650B94">
        <w:t xml:space="preserve"> over the allocation of attributes, conditional on the assumed prior values. By allocating a different block to each respondent</w:t>
      </w:r>
      <w:r>
        <w:t>,</w:t>
      </w:r>
      <w:r w:rsidR="00650B94">
        <w:t xml:space="preserve"> </w:t>
      </w:r>
      <w:r>
        <w:t>after every eight</w:t>
      </w:r>
      <w:r w:rsidR="00650B94">
        <w:t xml:space="preserve"> respondents the design was complete. Since these blocks were allocated to 249 respondents, (44 home owners and 205 renters) we collected 31 balanced and complete designs with a minor redundancy.</w:t>
      </w:r>
    </w:p>
    <w:p w:rsidR="0048171D" w:rsidRDefault="0048171D" w:rsidP="00FF7EA4">
      <w:pPr>
        <w:spacing w:line="300" w:lineRule="auto"/>
        <w:ind w:firstLine="720"/>
      </w:pPr>
    </w:p>
    <w:p w:rsidR="00675C52" w:rsidRDefault="0048171D" w:rsidP="00FF7EA4">
      <w:pPr>
        <w:spacing w:line="300" w:lineRule="auto"/>
        <w:rPr>
          <w:b/>
        </w:rPr>
      </w:pPr>
      <w:r>
        <w:rPr>
          <w:b/>
        </w:rPr>
        <w:t xml:space="preserve">3. </w:t>
      </w:r>
      <w:r w:rsidR="007276B5">
        <w:rPr>
          <w:b/>
        </w:rPr>
        <w:t xml:space="preserve"> </w:t>
      </w:r>
      <w:r w:rsidR="00675C52">
        <w:rPr>
          <w:b/>
        </w:rPr>
        <w:t xml:space="preserve">Empirical Specification and Econometric Analysis </w:t>
      </w:r>
    </w:p>
    <w:p w:rsidR="000D4AC5" w:rsidRPr="000D4AC5" w:rsidRDefault="000D4AC5" w:rsidP="00FF7EA4">
      <w:pPr>
        <w:spacing w:line="300" w:lineRule="auto"/>
        <w:rPr>
          <w:b/>
          <w:sz w:val="12"/>
          <w:szCs w:val="12"/>
        </w:rPr>
      </w:pPr>
    </w:p>
    <w:p w:rsidR="00675C52" w:rsidRDefault="00650B94" w:rsidP="00FF7EA4">
      <w:pPr>
        <w:spacing w:line="300" w:lineRule="auto"/>
      </w:pPr>
      <w:r>
        <w:t xml:space="preserve">Of interest </w:t>
      </w:r>
      <w:r w:rsidR="004F7D27">
        <w:t xml:space="preserve">is in </w:t>
      </w:r>
      <w:r>
        <w:t xml:space="preserve">the implicit values assigned to different </w:t>
      </w:r>
      <w:r w:rsidR="004F7D27">
        <w:t xml:space="preserve">devices for </w:t>
      </w:r>
      <w:r>
        <w:t>indoor air control</w:t>
      </w:r>
      <w:r w:rsidR="006E5D4D">
        <w:t xml:space="preserve"> by the sampled population</w:t>
      </w:r>
      <w:r>
        <w:t xml:space="preserve">. These </w:t>
      </w:r>
      <w:r w:rsidR="004F7D27">
        <w:t xml:space="preserve">willingness-to-pay (WTP) values </w:t>
      </w:r>
      <w:r>
        <w:t xml:space="preserve">can be obtained by estimating a </w:t>
      </w:r>
      <w:r w:rsidR="006E5D4D">
        <w:t xml:space="preserve">conditional </w:t>
      </w:r>
      <w:r>
        <w:t xml:space="preserve">logit </w:t>
      </w:r>
      <w:r w:rsidR="004F7D27">
        <w:t xml:space="preserve">model </w:t>
      </w:r>
      <w:r>
        <w:t>under the assumption that respondents ch</w:t>
      </w:r>
      <w:r w:rsidR="000533AA">
        <w:t>o</w:t>
      </w:r>
      <w:r>
        <w:t>ose their preferred alternative according to the random utility maximization paradigm. Using maximum likelihood</w:t>
      </w:r>
      <w:r w:rsidR="004F7D27">
        <w:t>,</w:t>
      </w:r>
      <w:r>
        <w:t xml:space="preserve"> estimates of utility coefficients can be obtained and the ratios of the attribute coefficients with </w:t>
      </w:r>
      <w:r w:rsidR="004F7D27">
        <w:t xml:space="preserve">respect to </w:t>
      </w:r>
      <w:r>
        <w:t xml:space="preserve">the coefficient for rent give an </w:t>
      </w:r>
      <w:r w:rsidR="006E5D4D">
        <w:t>asymptotically consistent estimate of the marginal WTP for each attribute</w:t>
      </w:r>
      <w:r w:rsidR="00880E2A">
        <w:t xml:space="preserve"> (</w:t>
      </w:r>
      <w:proofErr w:type="spellStart"/>
      <w:r w:rsidR="00880E2A">
        <w:t>Adamowicz</w:t>
      </w:r>
      <w:proofErr w:type="spellEnd"/>
      <w:r w:rsidR="00880E2A">
        <w:t xml:space="preserve"> </w:t>
      </w:r>
      <w:r w:rsidR="00880E2A" w:rsidRPr="006314CD">
        <w:rPr>
          <w:i/>
        </w:rPr>
        <w:t>et al.</w:t>
      </w:r>
      <w:r w:rsidR="00880E2A">
        <w:t xml:space="preserve"> 1998)</w:t>
      </w:r>
      <w:r w:rsidR="006E5D4D">
        <w:t>.</w:t>
      </w:r>
    </w:p>
    <w:p w:rsidR="00FF7EA4" w:rsidRDefault="00FF7EA4" w:rsidP="00FF7EA4">
      <w:pPr>
        <w:spacing w:line="300" w:lineRule="auto"/>
      </w:pPr>
    </w:p>
    <w:p w:rsidR="00EE6FAB" w:rsidRDefault="00EE6FAB" w:rsidP="006314CD">
      <w:pPr>
        <w:spacing w:line="300" w:lineRule="auto"/>
        <w:ind w:firstLine="426"/>
      </w:pPr>
      <w:r>
        <w:t xml:space="preserve">The utility structure </w:t>
      </w:r>
      <w:r w:rsidR="004F7D27">
        <w:t xml:space="preserve">that is </w:t>
      </w:r>
      <w:r>
        <w:t>assumed is linear in the parameter</w:t>
      </w:r>
      <w:r w:rsidR="004F7D27">
        <w:t>s</w:t>
      </w:r>
      <w:r>
        <w:t xml:space="preserve"> and contains an interaction </w:t>
      </w:r>
      <w:r w:rsidR="000533AA">
        <w:t xml:space="preserve">between </w:t>
      </w:r>
      <w:r>
        <w:t>the effect of rent change and the status of being a home owner. This is justified by the fact that those who rent are likely to have a different marginal utility of money from those who own the house they live in. The utility structure employed is:</w:t>
      </w:r>
    </w:p>
    <w:p w:rsidR="00FF7EA4" w:rsidRDefault="00FF7EA4" w:rsidP="00FF7EA4">
      <w:pPr>
        <w:spacing w:line="300" w:lineRule="auto"/>
        <w:ind w:firstLine="720"/>
      </w:pPr>
    </w:p>
    <w:p w:rsidR="000D4AC5" w:rsidRDefault="00EE6FAB" w:rsidP="007276B5">
      <w:pPr>
        <w:spacing w:line="300" w:lineRule="auto"/>
        <w:jc w:val="center"/>
        <w:rPr>
          <w:sz w:val="22"/>
          <w:szCs w:val="22"/>
        </w:rPr>
      </w:pPr>
      <w:r w:rsidRPr="00FF7EA4">
        <w:rPr>
          <w:i/>
          <w:sz w:val="22"/>
          <w:szCs w:val="22"/>
        </w:rPr>
        <w:t xml:space="preserve">U </w:t>
      </w:r>
      <w:r w:rsidRPr="00FF7EA4">
        <w:rPr>
          <w:sz w:val="22"/>
          <w:szCs w:val="22"/>
        </w:rPr>
        <w:t xml:space="preserve">= </w:t>
      </w:r>
      <w:r w:rsidR="00961A97" w:rsidRPr="00FF7EA4">
        <w:rPr>
          <w:sz w:val="22"/>
          <w:szCs w:val="22"/>
        </w:rPr>
        <w:sym w:font="Symbol" w:char="F061"/>
      </w:r>
      <w:r w:rsidR="00961A97" w:rsidRPr="00FF7EA4">
        <w:rPr>
          <w:sz w:val="22"/>
          <w:szCs w:val="22"/>
        </w:rPr>
        <w:t xml:space="preserve"> </w:t>
      </w:r>
      <w:r w:rsidRPr="00FF7EA4">
        <w:rPr>
          <w:sz w:val="22"/>
          <w:szCs w:val="22"/>
        </w:rPr>
        <w:sym w:font="Symbol" w:char="F0B4"/>
      </w:r>
      <w:r w:rsidRPr="00FF7EA4">
        <w:rPr>
          <w:sz w:val="22"/>
          <w:szCs w:val="22"/>
        </w:rPr>
        <w:t xml:space="preserve"> ASC</w:t>
      </w:r>
      <w:r w:rsidRPr="00FF7EA4">
        <w:rPr>
          <w:sz w:val="22"/>
          <w:szCs w:val="22"/>
          <w:vertAlign w:val="subscript"/>
        </w:rPr>
        <w:t>LHS</w:t>
      </w:r>
      <w:r w:rsidRPr="00FF7EA4">
        <w:rPr>
          <w:sz w:val="22"/>
          <w:szCs w:val="22"/>
        </w:rPr>
        <w:t xml:space="preserve"> + </w:t>
      </w:r>
      <w:r w:rsidRPr="00FF7EA4">
        <w:rPr>
          <w:sz w:val="22"/>
          <w:szCs w:val="22"/>
        </w:rPr>
        <w:sym w:font="Symbol" w:char="F062"/>
      </w:r>
      <w:r w:rsidRPr="00FF7EA4">
        <w:rPr>
          <w:sz w:val="22"/>
          <w:szCs w:val="22"/>
          <w:vertAlign w:val="subscript"/>
        </w:rPr>
        <w:t>1</w:t>
      </w:r>
      <w:r w:rsidRPr="00FF7EA4">
        <w:rPr>
          <w:sz w:val="22"/>
          <w:szCs w:val="22"/>
        </w:rPr>
        <w:t xml:space="preserve"> </w:t>
      </w:r>
      <w:r w:rsidRPr="00FF7EA4">
        <w:rPr>
          <w:sz w:val="22"/>
          <w:szCs w:val="22"/>
        </w:rPr>
        <w:sym w:font="Symbol" w:char="F0B4"/>
      </w:r>
      <w:r w:rsidRPr="00FF7EA4">
        <w:rPr>
          <w:sz w:val="22"/>
          <w:szCs w:val="22"/>
        </w:rPr>
        <w:t xml:space="preserve"> HRV + </w:t>
      </w:r>
      <w:r w:rsidRPr="00FF7EA4">
        <w:rPr>
          <w:sz w:val="22"/>
          <w:szCs w:val="22"/>
        </w:rPr>
        <w:sym w:font="Symbol" w:char="F062"/>
      </w:r>
      <w:r w:rsidRPr="00FF7EA4">
        <w:rPr>
          <w:sz w:val="22"/>
          <w:szCs w:val="22"/>
          <w:vertAlign w:val="subscript"/>
        </w:rPr>
        <w:t>2</w:t>
      </w:r>
      <w:r w:rsidRPr="00FF7EA4">
        <w:rPr>
          <w:sz w:val="22"/>
          <w:szCs w:val="22"/>
        </w:rPr>
        <w:t xml:space="preserve"> </w:t>
      </w:r>
      <w:r w:rsidRPr="00FF7EA4">
        <w:rPr>
          <w:sz w:val="22"/>
          <w:szCs w:val="22"/>
        </w:rPr>
        <w:sym w:font="Symbol" w:char="F0B4"/>
      </w:r>
      <w:r w:rsidRPr="00FF7EA4">
        <w:rPr>
          <w:sz w:val="22"/>
          <w:szCs w:val="22"/>
        </w:rPr>
        <w:t xml:space="preserve"> </w:t>
      </w:r>
      <w:proofErr w:type="spellStart"/>
      <w:r w:rsidRPr="00FF7EA4">
        <w:rPr>
          <w:sz w:val="22"/>
          <w:szCs w:val="22"/>
        </w:rPr>
        <w:t>WoodBurner</w:t>
      </w:r>
      <w:proofErr w:type="spellEnd"/>
      <w:r w:rsidRPr="00FF7EA4">
        <w:rPr>
          <w:sz w:val="22"/>
          <w:szCs w:val="22"/>
        </w:rPr>
        <w:t xml:space="preserve"> + </w:t>
      </w:r>
      <w:r w:rsidRPr="00FF7EA4">
        <w:rPr>
          <w:sz w:val="22"/>
          <w:szCs w:val="22"/>
        </w:rPr>
        <w:sym w:font="Symbol" w:char="F062"/>
      </w:r>
      <w:r w:rsidRPr="00FF7EA4">
        <w:rPr>
          <w:sz w:val="22"/>
          <w:szCs w:val="22"/>
          <w:vertAlign w:val="subscript"/>
        </w:rPr>
        <w:t>3</w:t>
      </w:r>
      <w:r w:rsidRPr="00FF7EA4">
        <w:rPr>
          <w:sz w:val="22"/>
          <w:szCs w:val="22"/>
        </w:rPr>
        <w:t xml:space="preserve"> </w:t>
      </w:r>
      <w:r w:rsidRPr="00FF7EA4">
        <w:rPr>
          <w:sz w:val="22"/>
          <w:szCs w:val="22"/>
        </w:rPr>
        <w:sym w:font="Symbol" w:char="F0B4"/>
      </w:r>
      <w:r w:rsidRPr="00FF7EA4">
        <w:rPr>
          <w:sz w:val="22"/>
          <w:szCs w:val="22"/>
        </w:rPr>
        <w:t xml:space="preserve"> </w:t>
      </w:r>
      <w:proofErr w:type="spellStart"/>
      <w:r w:rsidRPr="00FF7EA4">
        <w:rPr>
          <w:sz w:val="22"/>
          <w:szCs w:val="22"/>
        </w:rPr>
        <w:t>Elect_Heating</w:t>
      </w:r>
      <w:proofErr w:type="spellEnd"/>
      <w:r w:rsidRPr="00FF7EA4">
        <w:rPr>
          <w:sz w:val="22"/>
          <w:szCs w:val="22"/>
        </w:rPr>
        <w:t xml:space="preserve"> </w:t>
      </w:r>
      <w:proofErr w:type="gramStart"/>
      <w:r w:rsidRPr="00FF7EA4">
        <w:rPr>
          <w:sz w:val="22"/>
          <w:szCs w:val="22"/>
        </w:rPr>
        <w:t xml:space="preserve">+  </w:t>
      </w:r>
      <w:proofErr w:type="gramEnd"/>
      <w:r w:rsidRPr="00FF7EA4">
        <w:rPr>
          <w:sz w:val="22"/>
          <w:szCs w:val="22"/>
        </w:rPr>
        <w:sym w:font="Symbol" w:char="F062"/>
      </w:r>
      <w:r w:rsidRPr="00FF7EA4">
        <w:rPr>
          <w:sz w:val="22"/>
          <w:szCs w:val="22"/>
          <w:vertAlign w:val="subscript"/>
        </w:rPr>
        <w:t>4</w:t>
      </w:r>
      <w:r w:rsidRPr="00FF7EA4">
        <w:rPr>
          <w:sz w:val="22"/>
          <w:szCs w:val="22"/>
        </w:rPr>
        <w:t xml:space="preserve"> </w:t>
      </w:r>
      <w:r w:rsidRPr="00FF7EA4">
        <w:rPr>
          <w:sz w:val="22"/>
          <w:szCs w:val="22"/>
        </w:rPr>
        <w:sym w:font="Symbol" w:char="F0B4"/>
      </w:r>
      <w:r w:rsidRPr="00FF7EA4">
        <w:rPr>
          <w:sz w:val="22"/>
          <w:szCs w:val="22"/>
        </w:rPr>
        <w:t xml:space="preserve"> </w:t>
      </w:r>
      <w:proofErr w:type="spellStart"/>
      <w:r w:rsidRPr="00FF7EA4">
        <w:rPr>
          <w:sz w:val="22"/>
          <w:szCs w:val="22"/>
        </w:rPr>
        <w:t>Gas_Heating</w:t>
      </w:r>
      <w:proofErr w:type="spellEnd"/>
      <w:r w:rsidRPr="00FF7EA4">
        <w:rPr>
          <w:sz w:val="22"/>
          <w:szCs w:val="22"/>
        </w:rPr>
        <w:t xml:space="preserve"> +</w:t>
      </w:r>
    </w:p>
    <w:p w:rsidR="00EE6FAB" w:rsidRDefault="00EE6FAB" w:rsidP="007276B5">
      <w:pPr>
        <w:tabs>
          <w:tab w:val="left" w:pos="426"/>
        </w:tabs>
        <w:spacing w:line="300" w:lineRule="auto"/>
        <w:jc w:val="center"/>
        <w:rPr>
          <w:i/>
          <w:sz w:val="22"/>
          <w:szCs w:val="22"/>
        </w:rPr>
      </w:pPr>
      <w:r w:rsidRPr="00FF7EA4">
        <w:rPr>
          <w:sz w:val="22"/>
          <w:szCs w:val="22"/>
        </w:rPr>
        <w:sym w:font="Symbol" w:char="F062"/>
      </w:r>
      <w:r w:rsidRPr="00FF7EA4">
        <w:rPr>
          <w:sz w:val="22"/>
          <w:szCs w:val="22"/>
          <w:vertAlign w:val="subscript"/>
        </w:rPr>
        <w:t>5</w:t>
      </w:r>
      <w:r w:rsidRPr="00FF7EA4">
        <w:rPr>
          <w:sz w:val="22"/>
          <w:szCs w:val="22"/>
        </w:rPr>
        <w:t xml:space="preserve"> </w:t>
      </w:r>
      <w:r w:rsidRPr="00FF7EA4">
        <w:rPr>
          <w:sz w:val="22"/>
          <w:szCs w:val="22"/>
        </w:rPr>
        <w:sym w:font="Symbol" w:char="F0B4"/>
      </w:r>
      <w:r w:rsidRPr="00FF7EA4">
        <w:rPr>
          <w:sz w:val="22"/>
          <w:szCs w:val="22"/>
        </w:rPr>
        <w:t xml:space="preserve"> </w:t>
      </w:r>
      <w:proofErr w:type="spellStart"/>
      <w:r w:rsidRPr="00FF7EA4">
        <w:rPr>
          <w:sz w:val="22"/>
          <w:szCs w:val="22"/>
        </w:rPr>
        <w:t>Heat_Pump</w:t>
      </w:r>
      <w:proofErr w:type="spellEnd"/>
      <w:r w:rsidRPr="00FF7EA4">
        <w:rPr>
          <w:sz w:val="22"/>
          <w:szCs w:val="22"/>
        </w:rPr>
        <w:t xml:space="preserve"> + </w:t>
      </w:r>
      <w:r w:rsidRPr="00FF7EA4">
        <w:rPr>
          <w:sz w:val="22"/>
          <w:szCs w:val="22"/>
        </w:rPr>
        <w:sym w:font="Symbol" w:char="F062"/>
      </w:r>
      <w:r w:rsidRPr="00FF7EA4">
        <w:rPr>
          <w:sz w:val="22"/>
          <w:szCs w:val="22"/>
          <w:vertAlign w:val="subscript"/>
        </w:rPr>
        <w:t>6</w:t>
      </w:r>
      <w:r w:rsidRPr="00FF7EA4">
        <w:rPr>
          <w:sz w:val="22"/>
          <w:szCs w:val="22"/>
        </w:rPr>
        <w:t xml:space="preserve"> </w:t>
      </w:r>
      <w:r w:rsidRPr="00FF7EA4">
        <w:rPr>
          <w:sz w:val="22"/>
          <w:szCs w:val="22"/>
        </w:rPr>
        <w:sym w:font="Symbol" w:char="F0B4"/>
      </w:r>
      <w:r w:rsidRPr="00FF7EA4">
        <w:rPr>
          <w:sz w:val="22"/>
          <w:szCs w:val="22"/>
        </w:rPr>
        <w:t xml:space="preserve"> Dehumidifier + </w:t>
      </w:r>
      <w:r w:rsidRPr="00FF7EA4">
        <w:rPr>
          <w:sz w:val="22"/>
          <w:szCs w:val="22"/>
        </w:rPr>
        <w:sym w:font="Symbol" w:char="F067"/>
      </w:r>
      <w:r w:rsidRPr="00FF7EA4">
        <w:rPr>
          <w:sz w:val="22"/>
          <w:szCs w:val="22"/>
        </w:rPr>
        <w:t xml:space="preserve"> </w:t>
      </w:r>
      <w:r w:rsidRPr="00FF7EA4">
        <w:rPr>
          <w:sz w:val="22"/>
          <w:szCs w:val="22"/>
        </w:rPr>
        <w:sym w:font="Symbol" w:char="F0B4"/>
      </w:r>
      <w:r w:rsidRPr="00FF7EA4">
        <w:rPr>
          <w:sz w:val="22"/>
          <w:szCs w:val="22"/>
        </w:rPr>
        <w:t xml:space="preserve"> RENT + </w:t>
      </w:r>
      <w:r w:rsidRPr="00FF7EA4">
        <w:rPr>
          <w:sz w:val="22"/>
          <w:szCs w:val="22"/>
        </w:rPr>
        <w:sym w:font="Symbol" w:char="F064"/>
      </w:r>
      <w:r w:rsidRPr="00FF7EA4">
        <w:rPr>
          <w:sz w:val="22"/>
          <w:szCs w:val="22"/>
        </w:rPr>
        <w:t xml:space="preserve"> </w:t>
      </w:r>
      <w:r w:rsidRPr="00FF7EA4">
        <w:rPr>
          <w:sz w:val="22"/>
          <w:szCs w:val="22"/>
        </w:rPr>
        <w:sym w:font="Symbol" w:char="F0B4"/>
      </w:r>
      <w:r w:rsidR="00664A55" w:rsidRPr="00FF7EA4">
        <w:rPr>
          <w:sz w:val="22"/>
          <w:szCs w:val="22"/>
        </w:rPr>
        <w:t xml:space="preserve"> </w:t>
      </w:r>
      <w:r w:rsidRPr="00FF7EA4">
        <w:rPr>
          <w:sz w:val="22"/>
          <w:szCs w:val="22"/>
        </w:rPr>
        <w:t xml:space="preserve">RENT </w:t>
      </w:r>
      <w:r w:rsidRPr="00FF7EA4">
        <w:rPr>
          <w:sz w:val="22"/>
          <w:szCs w:val="22"/>
        </w:rPr>
        <w:sym w:font="Symbol" w:char="F0B4"/>
      </w:r>
      <w:r w:rsidRPr="00FF7EA4">
        <w:rPr>
          <w:sz w:val="22"/>
          <w:szCs w:val="22"/>
        </w:rPr>
        <w:t xml:space="preserve"> 1(HOME_OWN) + </w:t>
      </w:r>
      <w:r w:rsidRPr="00FF7EA4">
        <w:rPr>
          <w:i/>
          <w:sz w:val="22"/>
          <w:szCs w:val="22"/>
        </w:rPr>
        <w:t>u</w:t>
      </w:r>
    </w:p>
    <w:p w:rsidR="00FF7EA4" w:rsidRPr="00FF7EA4" w:rsidRDefault="00FF7EA4" w:rsidP="00FF7EA4">
      <w:pPr>
        <w:spacing w:line="300" w:lineRule="auto"/>
        <w:rPr>
          <w:i/>
          <w:sz w:val="22"/>
          <w:szCs w:val="22"/>
        </w:rPr>
      </w:pPr>
    </w:p>
    <w:p w:rsidR="00EE6FAB" w:rsidRDefault="000D4AC5" w:rsidP="00FF7EA4">
      <w:pPr>
        <w:spacing w:line="300" w:lineRule="auto"/>
      </w:pPr>
      <w:r>
        <w:t>W</w:t>
      </w:r>
      <w:r w:rsidR="0067174B">
        <w:t xml:space="preserve">e have </w:t>
      </w:r>
      <w:r w:rsidR="004F7D27">
        <w:t xml:space="preserve">dropped the </w:t>
      </w:r>
      <w:r w:rsidR="00F27C70">
        <w:t xml:space="preserve">usual </w:t>
      </w:r>
      <w:r w:rsidR="004F7D27">
        <w:t xml:space="preserve">subscripts </w:t>
      </w:r>
      <w:r w:rsidR="00F27C70">
        <w:t xml:space="preserve">denoting choice task and respondent </w:t>
      </w:r>
      <w:r w:rsidR="004F7D27">
        <w:t>for simplicity. In this model, ASC</w:t>
      </w:r>
      <w:r w:rsidR="00055DDE">
        <w:rPr>
          <w:vertAlign w:val="subscript"/>
        </w:rPr>
        <w:t>LHS</w:t>
      </w:r>
      <w:r w:rsidR="004F7D27">
        <w:t xml:space="preserve"> is</w:t>
      </w:r>
      <w:r w:rsidR="00055DDE">
        <w:t xml:space="preserve"> an alternative specific constant for the first alternative of the two alternatives presented (hence, it is on the left-hand side (LHS) of the page), with the use of this covariate suggested by</w:t>
      </w:r>
      <w:r w:rsidR="004F7D27">
        <w:t xml:space="preserve"> </w:t>
      </w:r>
      <w:r w:rsidR="00F27C70">
        <w:t>the work of, amongst others,</w:t>
      </w:r>
      <w:r w:rsidR="00055DDE">
        <w:t xml:space="preserve"> </w:t>
      </w:r>
      <w:proofErr w:type="spellStart"/>
      <w:r w:rsidR="00155BE3">
        <w:rPr>
          <w:rFonts w:eastAsia="Times New Roman"/>
          <w:lang w:val="en-NZ" w:eastAsia="en-NZ" w:bidi="ar-SA"/>
        </w:rPr>
        <w:t>Dobel</w:t>
      </w:r>
      <w:proofErr w:type="spellEnd"/>
      <w:r w:rsidR="00155BE3">
        <w:rPr>
          <w:rFonts w:eastAsia="Times New Roman"/>
          <w:lang w:val="en-NZ" w:eastAsia="en-NZ" w:bidi="ar-SA"/>
        </w:rPr>
        <w:t xml:space="preserve">, </w:t>
      </w:r>
      <w:proofErr w:type="spellStart"/>
      <w:r w:rsidR="00155BE3">
        <w:rPr>
          <w:rFonts w:eastAsia="Times New Roman"/>
          <w:lang w:val="en-NZ" w:eastAsia="en-NZ" w:bidi="ar-SA"/>
        </w:rPr>
        <w:t>Diesendruck</w:t>
      </w:r>
      <w:proofErr w:type="spellEnd"/>
      <w:r w:rsidR="00C959E6" w:rsidRPr="00F27C70">
        <w:rPr>
          <w:rFonts w:eastAsia="Times New Roman"/>
          <w:lang w:val="en-NZ" w:eastAsia="en-NZ" w:bidi="ar-SA"/>
        </w:rPr>
        <w:t xml:space="preserve"> and </w:t>
      </w:r>
      <w:proofErr w:type="spellStart"/>
      <w:r w:rsidR="00C959E6" w:rsidRPr="00F27C70">
        <w:rPr>
          <w:rFonts w:eastAsia="Times New Roman"/>
          <w:lang w:val="en-NZ" w:eastAsia="en-NZ" w:bidi="ar-SA"/>
        </w:rPr>
        <w:t>Bölte</w:t>
      </w:r>
      <w:proofErr w:type="spellEnd"/>
      <w:r w:rsidR="00C959E6">
        <w:t xml:space="preserve"> </w:t>
      </w:r>
      <w:r w:rsidR="00C959E6">
        <w:lastRenderedPageBreak/>
        <w:t xml:space="preserve">(2007) </w:t>
      </w:r>
      <w:r w:rsidR="00F27C70">
        <w:t>to account for left-to-right bias in choice</w:t>
      </w:r>
      <w:r w:rsidR="00055DDE">
        <w:t>. T</w:t>
      </w:r>
      <w:r w:rsidR="004F7D27">
        <w:t xml:space="preserve">he variables associated with the parameters </w:t>
      </w:r>
      <w:r w:rsidR="004F7D27">
        <w:sym w:font="Symbol" w:char="F062"/>
      </w:r>
      <w:r w:rsidR="004F7D27" w:rsidRPr="00EE6FAB">
        <w:rPr>
          <w:vertAlign w:val="subscript"/>
        </w:rPr>
        <w:t>1</w:t>
      </w:r>
      <w:r w:rsidR="004F7D27">
        <w:t xml:space="preserve"> to </w:t>
      </w:r>
      <w:r w:rsidR="004F7D27">
        <w:sym w:font="Symbol" w:char="F062"/>
      </w:r>
      <w:r w:rsidR="004F7D27">
        <w:rPr>
          <w:vertAlign w:val="subscript"/>
        </w:rPr>
        <w:t>6</w:t>
      </w:r>
      <w:r w:rsidR="004F7D27">
        <w:t xml:space="preserve"> are dummy variables for the presence in the choice alternative of the various heating and humidity control devices, RENT is </w:t>
      </w:r>
      <w:r w:rsidR="00C959E6">
        <w:t>the cost per week of a house identical to the one in which the respondent lives, but with the set of devices proposed in the design</w:t>
      </w:r>
      <w:r w:rsidR="00EE6FAB">
        <w:t xml:space="preserve">, and </w:t>
      </w:r>
      <w:r w:rsidR="004F7D27">
        <w:t xml:space="preserve">the last covariate is the interaction between rent and the home ownership dummy variable. </w:t>
      </w:r>
      <w:r w:rsidR="00C959E6">
        <w:t xml:space="preserve">This last variable is included to account for differences in marginal utility of money between respondents who rent and </w:t>
      </w:r>
      <w:r w:rsidR="001D690E">
        <w:t xml:space="preserve">those who are </w:t>
      </w:r>
      <w:r w:rsidR="00C959E6">
        <w:t xml:space="preserve">home-owners. </w:t>
      </w:r>
      <w:r w:rsidR="004F7D27">
        <w:t xml:space="preserve">In the specified utility structure, </w:t>
      </w:r>
      <w:r w:rsidR="00EE6FAB">
        <w:t xml:space="preserve">the random component </w:t>
      </w:r>
      <w:r w:rsidR="00EE6FAB">
        <w:rPr>
          <w:i/>
        </w:rPr>
        <w:t>u</w:t>
      </w:r>
      <w:r w:rsidR="00055DDE">
        <w:t xml:space="preserve"> is assumed to follow an</w:t>
      </w:r>
      <w:r w:rsidR="00EE6FAB">
        <w:t xml:space="preserve"> </w:t>
      </w:r>
      <w:r w:rsidR="00055DDE">
        <w:t>independently and identically distributed (</w:t>
      </w:r>
      <w:proofErr w:type="spellStart"/>
      <w:r w:rsidR="00EE6FAB">
        <w:t>i.i.d</w:t>
      </w:r>
      <w:proofErr w:type="spellEnd"/>
      <w:r w:rsidR="00EE6FAB">
        <w:t>.</w:t>
      </w:r>
      <w:r w:rsidR="00055DDE">
        <w:t xml:space="preserve">) </w:t>
      </w:r>
      <w:proofErr w:type="spellStart"/>
      <w:r w:rsidR="00055DDE">
        <w:t>Gumbel</w:t>
      </w:r>
      <w:proofErr w:type="spellEnd"/>
      <w:r w:rsidR="00055DDE">
        <w:t xml:space="preserve"> distribution.</w:t>
      </w:r>
    </w:p>
    <w:p w:rsidR="00FF7EA4" w:rsidRPr="00EE6FAB" w:rsidRDefault="00FF7EA4" w:rsidP="00FF7EA4">
      <w:pPr>
        <w:spacing w:line="300" w:lineRule="auto"/>
      </w:pPr>
    </w:p>
    <w:p w:rsidR="006E5D4D" w:rsidRDefault="0067174B" w:rsidP="006314CD">
      <w:pPr>
        <w:spacing w:line="300" w:lineRule="auto"/>
        <w:ind w:firstLine="426"/>
      </w:pPr>
      <w:r>
        <w:t xml:space="preserve">A secondary issue </w:t>
      </w:r>
      <w:r w:rsidR="006E5D4D">
        <w:t>of in</w:t>
      </w:r>
      <w:r>
        <w:t xml:space="preserve">terest is whether the </w:t>
      </w:r>
      <w:r w:rsidR="006E5D4D">
        <w:t xml:space="preserve">results </w:t>
      </w:r>
      <w:r>
        <w:t xml:space="preserve">that are </w:t>
      </w:r>
      <w:r w:rsidR="006E5D4D">
        <w:t>obtained from the fixed coefficient</w:t>
      </w:r>
      <w:r w:rsidR="000533AA">
        <w:t>,</w:t>
      </w:r>
      <w:r w:rsidR="006E5D4D">
        <w:t xml:space="preserve"> conditional logit model </w:t>
      </w:r>
      <w:r>
        <w:t xml:space="preserve">are robust </w:t>
      </w:r>
      <w:r w:rsidR="006E5D4D">
        <w:t>to the assumptions of independence of choic</w:t>
      </w:r>
      <w:r w:rsidR="00CC721B">
        <w:t xml:space="preserve">es by the same respondent (that is, </w:t>
      </w:r>
      <w:r>
        <w:t xml:space="preserve">allowing for </w:t>
      </w:r>
      <w:r w:rsidR="006E5D4D">
        <w:t>the panel nature of the data</w:t>
      </w:r>
      <w:r>
        <w:t xml:space="preserve"> where the same respondent is making nine choices). The robustness</w:t>
      </w:r>
      <w:r w:rsidR="006E5D4D">
        <w:t xml:space="preserve"> to the presence of unobserved taste heterogeneity (</w:t>
      </w:r>
      <w:r w:rsidR="001A7C72">
        <w:t>that is,</w:t>
      </w:r>
      <w:r w:rsidR="006E5D4D">
        <w:t xml:space="preserve"> taste variation across respondents)</w:t>
      </w:r>
      <w:r>
        <w:t xml:space="preserve"> is also of interest. To address these</w:t>
      </w:r>
      <w:r w:rsidR="006E5D4D">
        <w:t xml:space="preserve"> issue</w:t>
      </w:r>
      <w:r>
        <w:t>s</w:t>
      </w:r>
      <w:r w:rsidR="006E5D4D">
        <w:t xml:space="preserve"> we also report estimates of a panel mixed logit (PMXL)</w:t>
      </w:r>
      <w:r w:rsidR="00F95BF4">
        <w:t xml:space="preserve"> model</w:t>
      </w:r>
      <w:r w:rsidR="006E5D4D">
        <w:t xml:space="preserve"> </w:t>
      </w:r>
      <w:r w:rsidR="00880E2A">
        <w:t>(</w:t>
      </w:r>
      <w:proofErr w:type="spellStart"/>
      <w:r w:rsidR="00880E2A">
        <w:t>Revelt</w:t>
      </w:r>
      <w:proofErr w:type="spellEnd"/>
      <w:r w:rsidR="00880E2A">
        <w:t xml:space="preserve"> and Train 1998, Train 1998, 2003)</w:t>
      </w:r>
      <w:r>
        <w:t>. The PMXL model has</w:t>
      </w:r>
      <w:r w:rsidR="006E5D4D">
        <w:t xml:space="preserve"> multivariate normal random taste coefficients</w:t>
      </w:r>
      <w:r>
        <w:t>,</w:t>
      </w:r>
      <w:r w:rsidR="006E5D4D">
        <w:t xml:space="preserve"> with the exception of the coefficients for rent and the interaction between rent </w:t>
      </w:r>
      <w:r w:rsidR="008E230A">
        <w:t>and home-owner status</w:t>
      </w:r>
      <w:r w:rsidR="006E5D4D">
        <w:t xml:space="preserve">. The multivariate nature of the distributional assumption </w:t>
      </w:r>
      <w:r>
        <w:t xml:space="preserve">also lets us uncover </w:t>
      </w:r>
      <w:r w:rsidR="006E5D4D">
        <w:t>the correlation across tastes</w:t>
      </w:r>
      <w:r>
        <w:t>, which</w:t>
      </w:r>
      <w:r w:rsidR="006E5D4D">
        <w:t xml:space="preserve"> illustrates how taste intensities for the various attributes under evaluation co-vary in the population. </w:t>
      </w:r>
      <w:r w:rsidR="000533AA">
        <w:t>I</w:t>
      </w:r>
      <w:r w:rsidR="00EE6FAB">
        <w:t xml:space="preserve">n </w:t>
      </w:r>
      <w:r w:rsidR="000533AA">
        <w:t xml:space="preserve">other words, </w:t>
      </w:r>
      <w:r w:rsidR="00EE6FAB">
        <w:t xml:space="preserve">this specification </w:t>
      </w:r>
      <w:r w:rsidR="000533AA">
        <w:t>assumes</w:t>
      </w:r>
      <w:r w:rsidR="00EE6FAB">
        <w:t xml:space="preserve"> that the vector of beta parameters is multivariate normal, </w:t>
      </w:r>
      <w:proofErr w:type="gramStart"/>
      <w:r w:rsidR="00EE6FAB">
        <w:t xml:space="preserve">while </w:t>
      </w:r>
      <w:proofErr w:type="gramEnd"/>
      <w:r w:rsidR="00961A97">
        <w:sym w:font="Symbol" w:char="F061"/>
      </w:r>
      <w:r w:rsidR="00961A97">
        <w:t xml:space="preserve">, </w:t>
      </w:r>
      <w:r w:rsidR="00EE6FAB">
        <w:sym w:font="Symbol" w:char="F067"/>
      </w:r>
      <w:r w:rsidR="00EE6FAB">
        <w:t xml:space="preserve"> and </w:t>
      </w:r>
      <w:r w:rsidR="00EE6FAB">
        <w:sym w:font="Symbol" w:char="F064"/>
      </w:r>
      <w:r w:rsidR="00EE6FAB">
        <w:t xml:space="preserve"> are fixed.</w:t>
      </w:r>
      <w:r>
        <w:t xml:space="preserve"> </w:t>
      </w:r>
      <w:r w:rsidR="006E5D4D">
        <w:t xml:space="preserve">The estimation of the PMXL </w:t>
      </w:r>
      <w:r>
        <w:t xml:space="preserve">model </w:t>
      </w:r>
      <w:r w:rsidR="006E5D4D">
        <w:t xml:space="preserve">is conducted by simulating the integral </w:t>
      </w:r>
      <w:r w:rsidR="00EE6FAB">
        <w:t xml:space="preserve">of the unconditional choice probabilities </w:t>
      </w:r>
      <w:r w:rsidR="006E5D4D">
        <w:t xml:space="preserve">by means of 500 </w:t>
      </w:r>
      <w:proofErr w:type="spellStart"/>
      <w:r w:rsidR="006E5D4D">
        <w:t>Halton</w:t>
      </w:r>
      <w:proofErr w:type="spellEnd"/>
      <w:r w:rsidR="006E5D4D">
        <w:t xml:space="preserve"> draws (Train 200</w:t>
      </w:r>
      <w:r w:rsidR="00880E2A">
        <w:t xml:space="preserve">0, </w:t>
      </w:r>
      <w:proofErr w:type="spellStart"/>
      <w:r w:rsidR="00880E2A">
        <w:t>Baiocchi</w:t>
      </w:r>
      <w:proofErr w:type="spellEnd"/>
      <w:r w:rsidR="00880E2A">
        <w:t xml:space="preserve"> 2005</w:t>
      </w:r>
      <w:r w:rsidR="006E5D4D">
        <w:t>).</w:t>
      </w:r>
    </w:p>
    <w:p w:rsidR="00650B94" w:rsidRDefault="00650B94" w:rsidP="00FF7EA4">
      <w:pPr>
        <w:spacing w:line="300" w:lineRule="auto"/>
      </w:pPr>
    </w:p>
    <w:p w:rsidR="00A55156" w:rsidRPr="00675C52" w:rsidRDefault="00A55156" w:rsidP="00FF7EA4">
      <w:pPr>
        <w:spacing w:line="300" w:lineRule="auto"/>
      </w:pPr>
    </w:p>
    <w:p w:rsidR="0048171D" w:rsidRDefault="00675C52" w:rsidP="00FF7EA4">
      <w:pPr>
        <w:spacing w:line="300" w:lineRule="auto"/>
        <w:rPr>
          <w:b/>
        </w:rPr>
      </w:pPr>
      <w:r>
        <w:rPr>
          <w:b/>
        </w:rPr>
        <w:t>4.</w:t>
      </w:r>
      <w:r w:rsidR="00A55156">
        <w:rPr>
          <w:b/>
        </w:rPr>
        <w:t xml:space="preserve"> </w:t>
      </w:r>
      <w:r>
        <w:rPr>
          <w:b/>
        </w:rPr>
        <w:t xml:space="preserve"> R</w:t>
      </w:r>
      <w:r w:rsidR="0048171D" w:rsidRPr="0084313F">
        <w:rPr>
          <w:b/>
        </w:rPr>
        <w:t>esults</w:t>
      </w:r>
      <w:r>
        <w:rPr>
          <w:b/>
        </w:rPr>
        <w:t xml:space="preserve"> and Discussion</w:t>
      </w:r>
    </w:p>
    <w:p w:rsidR="00155BE3" w:rsidRPr="00155BE3" w:rsidRDefault="00155BE3" w:rsidP="00FF7EA4">
      <w:pPr>
        <w:spacing w:line="300" w:lineRule="auto"/>
        <w:rPr>
          <w:b/>
          <w:sz w:val="12"/>
          <w:szCs w:val="12"/>
        </w:rPr>
      </w:pPr>
    </w:p>
    <w:p w:rsidR="00A52C1E" w:rsidRDefault="00961A97" w:rsidP="00FF7EA4">
      <w:pPr>
        <w:spacing w:line="300" w:lineRule="auto"/>
      </w:pPr>
      <w:r>
        <w:t xml:space="preserve">The </w:t>
      </w:r>
      <w:r w:rsidR="00A52C1E">
        <w:t xml:space="preserve">conditional logit results </w:t>
      </w:r>
      <w:r>
        <w:t>are reported in Table 2</w:t>
      </w:r>
      <w:r w:rsidR="00A52C1E">
        <w:t>, with the parameter estimates in the top panel of the table and the marginal WTP estimates in the bottom panels (for renters and owner-occupiers separately)</w:t>
      </w:r>
      <w:r>
        <w:t xml:space="preserve">. </w:t>
      </w:r>
      <w:r w:rsidR="008C2040">
        <w:t>The</w:t>
      </w:r>
      <w:r w:rsidR="00A52C1E">
        <w:t xml:space="preserve"> estimated parameters suggest that there are statistically significant increases in utility from the presence of four of the devices; the heat-recovery ventilation (HRV) system, the enclosed wood burner, the heat pump, and the dehumidifier. The other two heating options (in-built gas and electric heaters) have confidence intervals that include zero. The negative coefficient on RENT indicates that utility falls as rents rise</w:t>
      </w:r>
      <w:r w:rsidR="004752F7">
        <w:t xml:space="preserve"> for all respondents</w:t>
      </w:r>
      <w:r w:rsidR="00A52C1E">
        <w:t xml:space="preserve">, </w:t>
      </w:r>
      <w:r w:rsidR="00A52C1E" w:rsidRPr="004752F7">
        <w:t xml:space="preserve">and </w:t>
      </w:r>
      <w:r w:rsidR="000C7D11">
        <w:t xml:space="preserve">would </w:t>
      </w:r>
      <w:r w:rsidR="00A52C1E" w:rsidRPr="004752F7">
        <w:t>do so at a faster rate for owner-occupiers</w:t>
      </w:r>
      <w:r w:rsidR="004752F7" w:rsidRPr="004752F7">
        <w:t xml:space="preserve"> since the coefficient for the interaction term is negative</w:t>
      </w:r>
      <w:r w:rsidR="00A52C1E" w:rsidRPr="004752F7">
        <w:t>.</w:t>
      </w:r>
    </w:p>
    <w:p w:rsidR="006314CD" w:rsidRDefault="006314CD" w:rsidP="00FF7EA4">
      <w:pPr>
        <w:spacing w:line="300" w:lineRule="auto"/>
      </w:pPr>
    </w:p>
    <w:p w:rsidR="006314CD" w:rsidRDefault="006314CD" w:rsidP="006314CD">
      <w:pPr>
        <w:spacing w:line="300" w:lineRule="auto"/>
        <w:ind w:firstLine="426"/>
      </w:pPr>
      <w:r>
        <w:t xml:space="preserve">The estimates from the panel mixed logit model are reported in Table 3. This PMXL model appears to perform better than the conditional logit model, in terms of both log-likelihood values and the </w:t>
      </w:r>
      <w:proofErr w:type="spellStart"/>
      <w:r w:rsidRPr="00055DDE">
        <w:t>Akaike</w:t>
      </w:r>
      <w:proofErr w:type="spellEnd"/>
      <w:r w:rsidRPr="00055DDE">
        <w:t xml:space="preserve"> information criterion</w:t>
      </w:r>
      <w:r>
        <w:t xml:space="preserve"> (AIC). Specifically, t</w:t>
      </w:r>
      <w:r w:rsidRPr="00400C97">
        <w:t>he PMXL model</w:t>
      </w:r>
      <w:r>
        <w:t xml:space="preserve"> </w:t>
      </w:r>
      <w:r>
        <w:lastRenderedPageBreak/>
        <w:t>converges with a maximiz</w:t>
      </w:r>
      <w:r w:rsidRPr="00400C97">
        <w:t>ed simulated likelihood of -1297.18 and an AIC/N of 1.184, which significantly outperforms the conditional logi</w:t>
      </w:r>
      <w:r>
        <w:t xml:space="preserve">t specification, for which the maximized log-likelihood was </w:t>
      </w:r>
      <w:r w:rsidRPr="00400C97">
        <w:t>-1327.8</w:t>
      </w:r>
      <w:r>
        <w:t>6 and the AIC/N was 1.193. These comparisons suggest</w:t>
      </w:r>
      <w:r w:rsidRPr="00400C97">
        <w:t xml:space="preserve"> that the panel nature of the data</w:t>
      </w:r>
      <w:r>
        <w:t>, whereby each respondent made nine choices,</w:t>
      </w:r>
      <w:r w:rsidRPr="00400C97">
        <w:t xml:space="preserve"> </w:t>
      </w:r>
      <w:r>
        <w:t xml:space="preserve">along with </w:t>
      </w:r>
      <w:r w:rsidRPr="00400C97">
        <w:t>the presence of taste heterogeneity</w:t>
      </w:r>
      <w:r>
        <w:t>,</w:t>
      </w:r>
      <w:r w:rsidRPr="00400C97">
        <w:t xml:space="preserve"> require a more flexible model than </w:t>
      </w:r>
      <w:r>
        <w:t xml:space="preserve">is provided by </w:t>
      </w:r>
      <w:r w:rsidRPr="00400C97">
        <w:t xml:space="preserve">the conditional logit </w:t>
      </w:r>
      <w:r>
        <w:t>specification</w:t>
      </w:r>
      <w:r w:rsidRPr="00400C97">
        <w:t xml:space="preserve">. We </w:t>
      </w:r>
      <w:r>
        <w:t>therefore concentrate the discussion of the results on those from</w:t>
      </w:r>
      <w:r w:rsidRPr="00400C97">
        <w:t xml:space="preserve"> the PMXL model, </w:t>
      </w:r>
      <w:r>
        <w:t xml:space="preserve">while noting that the </w:t>
      </w:r>
      <w:r w:rsidRPr="00400C97">
        <w:t xml:space="preserve">substantive results are confirmed by both specifications. </w:t>
      </w:r>
    </w:p>
    <w:p w:rsidR="00A55156" w:rsidRPr="001A7C72" w:rsidRDefault="00A55156" w:rsidP="006314CD">
      <w:pPr>
        <w:spacing w:line="300" w:lineRule="auto"/>
        <w:ind w:firstLine="426"/>
        <w:rPr>
          <w:sz w:val="20"/>
          <w:szCs w:val="20"/>
        </w:rPr>
      </w:pPr>
    </w:p>
    <w:p w:rsidR="00A55156" w:rsidRPr="001A7C72" w:rsidRDefault="00A55156" w:rsidP="006314CD">
      <w:pPr>
        <w:spacing w:line="300" w:lineRule="auto"/>
        <w:ind w:firstLine="426"/>
        <w:rPr>
          <w:sz w:val="20"/>
          <w:szCs w:val="20"/>
        </w:rPr>
      </w:pPr>
    </w:p>
    <w:tbl>
      <w:tblPr>
        <w:tblW w:w="8715" w:type="dxa"/>
        <w:tblInd w:w="93" w:type="dxa"/>
        <w:tblLook w:val="04A0"/>
      </w:tblPr>
      <w:tblGrid>
        <w:gridCol w:w="1995"/>
        <w:gridCol w:w="960"/>
        <w:gridCol w:w="960"/>
        <w:gridCol w:w="960"/>
        <w:gridCol w:w="960"/>
        <w:gridCol w:w="960"/>
        <w:gridCol w:w="960"/>
        <w:gridCol w:w="960"/>
      </w:tblGrid>
      <w:tr w:rsidR="0072582E" w:rsidRPr="0072582E" w:rsidTr="00C10F63">
        <w:trPr>
          <w:trHeight w:val="300"/>
        </w:trPr>
        <w:tc>
          <w:tcPr>
            <w:tcW w:w="8715" w:type="dxa"/>
            <w:gridSpan w:val="8"/>
            <w:tcBorders>
              <w:top w:val="nil"/>
              <w:left w:val="nil"/>
              <w:bottom w:val="single" w:sz="4" w:space="0" w:color="auto"/>
              <w:right w:val="nil"/>
            </w:tcBorders>
            <w:shd w:val="clear" w:color="auto" w:fill="auto"/>
            <w:noWrap/>
            <w:vAlign w:val="bottom"/>
            <w:hideMark/>
          </w:tcPr>
          <w:p w:rsidR="006314CD" w:rsidRDefault="006314CD" w:rsidP="00C10F63">
            <w:pPr>
              <w:jc w:val="center"/>
              <w:rPr>
                <w:b/>
              </w:rPr>
            </w:pPr>
            <w:r>
              <w:rPr>
                <w:b/>
                <w:sz w:val="22"/>
                <w:szCs w:val="22"/>
              </w:rPr>
              <w:t xml:space="preserve">Table 2: Conditional Logit Model Estimates </w:t>
            </w:r>
          </w:p>
          <w:p w:rsidR="0072582E" w:rsidRDefault="006314CD" w:rsidP="00C10F63">
            <w:pPr>
              <w:jc w:val="center"/>
              <w:rPr>
                <w:b/>
              </w:rPr>
            </w:pPr>
            <w:r>
              <w:rPr>
                <w:b/>
                <w:sz w:val="22"/>
                <w:szCs w:val="22"/>
              </w:rPr>
              <w:t>and Implied Willingness to P</w:t>
            </w:r>
            <w:r w:rsidR="0072582E" w:rsidRPr="0072582E">
              <w:rPr>
                <w:b/>
                <w:sz w:val="22"/>
                <w:szCs w:val="22"/>
              </w:rPr>
              <w:t>ay (in NZ$/week)</w:t>
            </w:r>
          </w:p>
          <w:p w:rsidR="006314CD" w:rsidRPr="006314CD" w:rsidRDefault="006314CD" w:rsidP="00C10F63">
            <w:pPr>
              <w:jc w:val="center"/>
              <w:rPr>
                <w:b/>
                <w:sz w:val="6"/>
                <w:szCs w:val="6"/>
              </w:rPr>
            </w:pPr>
          </w:p>
        </w:tc>
      </w:tr>
      <w:tr w:rsidR="0072582E" w:rsidRPr="00535B31" w:rsidTr="00C10F63">
        <w:trPr>
          <w:trHeight w:val="300"/>
        </w:trPr>
        <w:tc>
          <w:tcPr>
            <w:tcW w:w="1995" w:type="dxa"/>
            <w:tcBorders>
              <w:top w:val="single" w:sz="4" w:space="0" w:color="auto"/>
              <w:left w:val="nil"/>
              <w:bottom w:val="nil"/>
              <w:right w:val="nil"/>
            </w:tcBorders>
            <w:shd w:val="clear" w:color="auto" w:fill="auto"/>
            <w:noWrap/>
            <w:vAlign w:val="bottom"/>
            <w:hideMark/>
          </w:tcPr>
          <w:p w:rsidR="0072582E" w:rsidRPr="0072582E" w:rsidRDefault="0072582E" w:rsidP="00C10F63"/>
        </w:tc>
        <w:tc>
          <w:tcPr>
            <w:tcW w:w="960" w:type="dxa"/>
            <w:tcBorders>
              <w:top w:val="single" w:sz="4" w:space="0" w:color="auto"/>
              <w:left w:val="nil"/>
              <w:bottom w:val="single" w:sz="4" w:space="0" w:color="auto"/>
              <w:right w:val="nil"/>
            </w:tcBorders>
            <w:shd w:val="clear" w:color="auto" w:fill="auto"/>
            <w:noWrap/>
            <w:vAlign w:val="bottom"/>
            <w:hideMark/>
          </w:tcPr>
          <w:p w:rsidR="0072582E" w:rsidRPr="0072582E" w:rsidRDefault="0072582E" w:rsidP="00C10F63">
            <w:pPr>
              <w:jc w:val="right"/>
            </w:pPr>
            <w:proofErr w:type="spellStart"/>
            <w:r w:rsidRPr="0072582E">
              <w:rPr>
                <w:sz w:val="22"/>
                <w:szCs w:val="22"/>
              </w:rPr>
              <w:t>Coeff</w:t>
            </w:r>
            <w:proofErr w:type="spellEnd"/>
            <w:r w:rsidRPr="0072582E">
              <w:rPr>
                <w:sz w:val="22"/>
                <w:szCs w:val="22"/>
              </w:rPr>
              <w:t>.</w:t>
            </w:r>
          </w:p>
        </w:tc>
        <w:tc>
          <w:tcPr>
            <w:tcW w:w="960" w:type="dxa"/>
            <w:tcBorders>
              <w:top w:val="single" w:sz="4" w:space="0" w:color="auto"/>
              <w:left w:val="nil"/>
              <w:bottom w:val="single" w:sz="4" w:space="0" w:color="auto"/>
              <w:right w:val="nil"/>
            </w:tcBorders>
            <w:shd w:val="clear" w:color="auto" w:fill="auto"/>
            <w:noWrap/>
            <w:vAlign w:val="bottom"/>
            <w:hideMark/>
          </w:tcPr>
          <w:p w:rsidR="0072582E" w:rsidRPr="0072582E" w:rsidRDefault="0072582E" w:rsidP="00C10F63">
            <w:r w:rsidRPr="0072582E">
              <w:rPr>
                <w:sz w:val="22"/>
                <w:szCs w:val="22"/>
              </w:rPr>
              <w:t>Sig.</w:t>
            </w:r>
          </w:p>
        </w:tc>
        <w:tc>
          <w:tcPr>
            <w:tcW w:w="960" w:type="dxa"/>
            <w:tcBorders>
              <w:top w:val="single" w:sz="4" w:space="0" w:color="auto"/>
              <w:left w:val="nil"/>
              <w:bottom w:val="single" w:sz="4" w:space="0" w:color="auto"/>
              <w:right w:val="nil"/>
            </w:tcBorders>
            <w:shd w:val="clear" w:color="auto" w:fill="auto"/>
            <w:noWrap/>
            <w:vAlign w:val="bottom"/>
            <w:hideMark/>
          </w:tcPr>
          <w:p w:rsidR="0072582E" w:rsidRPr="0072582E" w:rsidRDefault="0072582E" w:rsidP="00C10F63">
            <w:pPr>
              <w:jc w:val="right"/>
            </w:pPr>
            <w:proofErr w:type="spellStart"/>
            <w:r w:rsidRPr="0072582E">
              <w:rPr>
                <w:sz w:val="22"/>
                <w:szCs w:val="22"/>
              </w:rPr>
              <w:t>Std.Err</w:t>
            </w:r>
            <w:proofErr w:type="spellEnd"/>
            <w:r w:rsidRPr="0072582E">
              <w:rPr>
                <w:sz w:val="22"/>
                <w:szCs w:val="22"/>
              </w:rPr>
              <w:t>.</w:t>
            </w:r>
          </w:p>
        </w:tc>
        <w:tc>
          <w:tcPr>
            <w:tcW w:w="960" w:type="dxa"/>
            <w:tcBorders>
              <w:top w:val="single" w:sz="4" w:space="0" w:color="auto"/>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z-value</w:t>
            </w:r>
          </w:p>
        </w:tc>
        <w:tc>
          <w:tcPr>
            <w:tcW w:w="960" w:type="dxa"/>
            <w:tcBorders>
              <w:top w:val="single" w:sz="4" w:space="0" w:color="auto"/>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p-value</w:t>
            </w:r>
          </w:p>
        </w:tc>
        <w:tc>
          <w:tcPr>
            <w:tcW w:w="960" w:type="dxa"/>
            <w:tcBorders>
              <w:top w:val="single" w:sz="4" w:space="0" w:color="auto"/>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2.5%</w:t>
            </w:r>
          </w:p>
        </w:tc>
        <w:tc>
          <w:tcPr>
            <w:tcW w:w="960" w:type="dxa"/>
            <w:tcBorders>
              <w:top w:val="single" w:sz="4" w:space="0" w:color="auto"/>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97.5%</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ASC for LHS alt</w:t>
            </w:r>
          </w:p>
        </w:tc>
        <w:tc>
          <w:tcPr>
            <w:tcW w:w="960" w:type="dxa"/>
            <w:tcBorders>
              <w:top w:val="single" w:sz="4" w:space="0" w:color="auto"/>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0.163</w:t>
            </w:r>
          </w:p>
        </w:tc>
        <w:tc>
          <w:tcPr>
            <w:tcW w:w="960" w:type="dxa"/>
            <w:tcBorders>
              <w:top w:val="single" w:sz="4" w:space="0" w:color="auto"/>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single" w:sz="4" w:space="0" w:color="auto"/>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0.048</w:t>
            </w:r>
          </w:p>
        </w:tc>
        <w:tc>
          <w:tcPr>
            <w:tcW w:w="960" w:type="dxa"/>
            <w:tcBorders>
              <w:top w:val="single" w:sz="4" w:space="0" w:color="auto"/>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3.44</w:t>
            </w:r>
          </w:p>
        </w:tc>
        <w:tc>
          <w:tcPr>
            <w:tcW w:w="960" w:type="dxa"/>
            <w:tcBorders>
              <w:top w:val="single" w:sz="4" w:space="0" w:color="auto"/>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0.0006</w:t>
            </w:r>
          </w:p>
        </w:tc>
        <w:tc>
          <w:tcPr>
            <w:tcW w:w="960" w:type="dxa"/>
            <w:tcBorders>
              <w:top w:val="single" w:sz="4" w:space="0" w:color="auto"/>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0.070</w:t>
            </w:r>
          </w:p>
        </w:tc>
        <w:tc>
          <w:tcPr>
            <w:tcW w:w="960" w:type="dxa"/>
            <w:tcBorders>
              <w:top w:val="single" w:sz="4" w:space="0" w:color="auto"/>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0.257</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HRV</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0.837</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0.068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12.31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0.704</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0.970</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WoodBurner</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0.404</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0.070</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5.81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0.268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0.541</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Gas_Heating</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0.114</w:t>
            </w:r>
          </w:p>
        </w:tc>
        <w:tc>
          <w:tcPr>
            <w:tcW w:w="960" w:type="dxa"/>
            <w:tcBorders>
              <w:top w:val="nil"/>
              <w:left w:val="nil"/>
              <w:bottom w:val="nil"/>
              <w:right w:val="nil"/>
            </w:tcBorders>
            <w:shd w:val="clear" w:color="auto" w:fill="auto"/>
            <w:noWrap/>
            <w:vAlign w:val="bottom"/>
            <w:hideMark/>
          </w:tcPr>
          <w:p w:rsidR="0072582E" w:rsidRPr="0072582E" w:rsidRDefault="0072582E" w:rsidP="00C10F63"/>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0.078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1.47</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0.1428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-0.038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0.266</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Elect_Heating</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-0.024</w:t>
            </w:r>
          </w:p>
        </w:tc>
        <w:tc>
          <w:tcPr>
            <w:tcW w:w="960" w:type="dxa"/>
            <w:tcBorders>
              <w:top w:val="nil"/>
              <w:left w:val="nil"/>
              <w:bottom w:val="nil"/>
              <w:right w:val="nil"/>
            </w:tcBorders>
            <w:shd w:val="clear" w:color="auto" w:fill="auto"/>
            <w:noWrap/>
            <w:vAlign w:val="bottom"/>
            <w:hideMark/>
          </w:tcPr>
          <w:p w:rsidR="0072582E" w:rsidRPr="0072582E" w:rsidRDefault="0072582E" w:rsidP="00C10F63"/>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0.063</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-0.38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0.7019</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-0.148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0.099</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Heat_Pump</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0.399</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0.072</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5.56</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0.258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0.539</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Dehumidifier</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0.236</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0.070</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3.37</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0.0007</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0.099</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0.373</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Rent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-0.089</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0.007</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-13.2</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-0.102</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-0.075</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 xml:space="preserve">Rent </w:t>
            </w:r>
            <w:r w:rsidRPr="0072582E">
              <w:rPr>
                <w:sz w:val="22"/>
                <w:szCs w:val="22"/>
              </w:rPr>
              <w:sym w:font="Symbol" w:char="F0B4"/>
            </w:r>
            <w:r w:rsidRPr="0072582E">
              <w:rPr>
                <w:sz w:val="22"/>
                <w:szCs w:val="22"/>
              </w:rPr>
              <w:t xml:space="preserve"> own house</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-0.046</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0.016</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-2.8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0.0052</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-0.078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-0.014</w:t>
            </w:r>
          </w:p>
        </w:tc>
      </w:tr>
      <w:tr w:rsidR="0072582E" w:rsidRPr="00535B31" w:rsidTr="00C10F63">
        <w:trPr>
          <w:trHeight w:val="300"/>
        </w:trPr>
        <w:tc>
          <w:tcPr>
            <w:tcW w:w="8715" w:type="dxa"/>
            <w:gridSpan w:val="8"/>
            <w:tcBorders>
              <w:top w:val="nil"/>
              <w:left w:val="nil"/>
              <w:bottom w:val="nil"/>
              <w:right w:val="nil"/>
            </w:tcBorders>
            <w:shd w:val="clear" w:color="auto" w:fill="auto"/>
            <w:noWrap/>
            <w:vAlign w:val="bottom"/>
            <w:hideMark/>
          </w:tcPr>
          <w:p w:rsidR="006314CD" w:rsidRDefault="006314CD" w:rsidP="00C10F63">
            <w:pPr>
              <w:jc w:val="center"/>
            </w:pPr>
          </w:p>
          <w:p w:rsidR="0072582E" w:rsidRPr="0072582E" w:rsidRDefault="0072582E" w:rsidP="00C10F63">
            <w:pPr>
              <w:jc w:val="center"/>
            </w:pPr>
            <w:r w:rsidRPr="0072582E">
              <w:rPr>
                <w:sz w:val="22"/>
                <w:szCs w:val="22"/>
              </w:rPr>
              <w:t>marginal WTP estimates</w:t>
            </w:r>
          </w:p>
        </w:tc>
      </w:tr>
      <w:tr w:rsidR="0072582E" w:rsidRPr="00535B31" w:rsidTr="00C10F63">
        <w:trPr>
          <w:trHeight w:val="300"/>
        </w:trPr>
        <w:tc>
          <w:tcPr>
            <w:tcW w:w="8715" w:type="dxa"/>
            <w:gridSpan w:val="8"/>
            <w:tcBorders>
              <w:top w:val="nil"/>
              <w:left w:val="nil"/>
              <w:bottom w:val="nil"/>
              <w:right w:val="nil"/>
            </w:tcBorders>
            <w:shd w:val="clear" w:color="auto" w:fill="auto"/>
            <w:noWrap/>
            <w:vAlign w:val="bottom"/>
            <w:hideMark/>
          </w:tcPr>
          <w:p w:rsidR="006314CD" w:rsidRDefault="006314CD" w:rsidP="00C10F63">
            <w:pPr>
              <w:jc w:val="center"/>
              <w:rPr>
                <w:i/>
              </w:rPr>
            </w:pPr>
          </w:p>
          <w:p w:rsidR="0072582E" w:rsidRPr="0072582E" w:rsidRDefault="0072582E" w:rsidP="00C10F63">
            <w:pPr>
              <w:jc w:val="center"/>
              <w:rPr>
                <w:i/>
              </w:rPr>
            </w:pPr>
            <w:r w:rsidRPr="0072582E">
              <w:rPr>
                <w:i/>
                <w:sz w:val="22"/>
                <w:szCs w:val="22"/>
              </w:rPr>
              <w:t>Renters</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HRV</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9.457</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0.968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9.77</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7.560</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11.353</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WoodBurner</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4.569</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0.824</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5.55</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2.954</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6.183</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Gas_Heating</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1.284</w:t>
            </w:r>
          </w:p>
        </w:tc>
        <w:tc>
          <w:tcPr>
            <w:tcW w:w="960" w:type="dxa"/>
            <w:tcBorders>
              <w:top w:val="nil"/>
              <w:left w:val="nil"/>
              <w:bottom w:val="nil"/>
              <w:right w:val="nil"/>
            </w:tcBorders>
            <w:shd w:val="clear" w:color="auto" w:fill="auto"/>
            <w:noWrap/>
            <w:vAlign w:val="bottom"/>
            <w:hideMark/>
          </w:tcPr>
          <w:p w:rsidR="0072582E" w:rsidRPr="0072582E" w:rsidRDefault="0072582E" w:rsidP="00C10F63"/>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0.877</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1.46</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0.1432</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-0.435</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3.002</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Elect_Heating</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-0.272</w:t>
            </w:r>
          </w:p>
        </w:tc>
        <w:tc>
          <w:tcPr>
            <w:tcW w:w="960" w:type="dxa"/>
            <w:tcBorders>
              <w:top w:val="nil"/>
              <w:left w:val="nil"/>
              <w:bottom w:val="nil"/>
              <w:right w:val="nil"/>
            </w:tcBorders>
            <w:shd w:val="clear" w:color="auto" w:fill="auto"/>
            <w:noWrap/>
            <w:vAlign w:val="bottom"/>
            <w:hideMark/>
          </w:tcPr>
          <w:p w:rsidR="0072582E" w:rsidRPr="0072582E" w:rsidRDefault="0072582E" w:rsidP="00C10F63"/>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0.713</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-0.38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0.7025</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-1.670</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1.125</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Heat_Pump</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4.503</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0.779</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5.78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2.975</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6.030</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Dehumidifier</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2.666</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0.795</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3.35</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0.0008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1.108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4.224</w:t>
            </w:r>
          </w:p>
        </w:tc>
      </w:tr>
      <w:tr w:rsidR="0072582E" w:rsidRPr="00535B31" w:rsidTr="00C10F63">
        <w:trPr>
          <w:trHeight w:val="300"/>
        </w:trPr>
        <w:tc>
          <w:tcPr>
            <w:tcW w:w="8715" w:type="dxa"/>
            <w:gridSpan w:val="8"/>
            <w:tcBorders>
              <w:top w:val="nil"/>
              <w:left w:val="nil"/>
              <w:bottom w:val="nil"/>
              <w:right w:val="nil"/>
            </w:tcBorders>
            <w:shd w:val="clear" w:color="auto" w:fill="auto"/>
            <w:noWrap/>
            <w:vAlign w:val="bottom"/>
            <w:hideMark/>
          </w:tcPr>
          <w:p w:rsidR="006314CD" w:rsidRDefault="006314CD" w:rsidP="00C10F63">
            <w:pPr>
              <w:jc w:val="center"/>
              <w:rPr>
                <w:i/>
              </w:rPr>
            </w:pPr>
          </w:p>
          <w:p w:rsidR="0072582E" w:rsidRPr="0072582E" w:rsidRDefault="0072582E" w:rsidP="00C10F63">
            <w:pPr>
              <w:jc w:val="center"/>
              <w:rPr>
                <w:i/>
              </w:rPr>
            </w:pPr>
            <w:r w:rsidRPr="0072582E">
              <w:rPr>
                <w:i/>
                <w:sz w:val="22"/>
                <w:szCs w:val="22"/>
              </w:rPr>
              <w:t>Home-owners</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HRV</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6.224</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0.839</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7.42</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4.579</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7.869</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WoodBurner</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3.007</w:t>
            </w:r>
          </w:p>
        </w:tc>
        <w:tc>
          <w:tcPr>
            <w:tcW w:w="960" w:type="dxa"/>
            <w:tcBorders>
              <w:top w:val="nil"/>
              <w:left w:val="nil"/>
              <w:bottom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0.604</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4.98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1.823</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4.190</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Gas_Heating</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0.845</w:t>
            </w:r>
          </w:p>
        </w:tc>
        <w:tc>
          <w:tcPr>
            <w:tcW w:w="960" w:type="dxa"/>
            <w:tcBorders>
              <w:top w:val="nil"/>
              <w:left w:val="nil"/>
              <w:bottom w:val="nil"/>
              <w:right w:val="nil"/>
            </w:tcBorders>
            <w:shd w:val="clear" w:color="auto" w:fill="auto"/>
            <w:noWrap/>
            <w:vAlign w:val="bottom"/>
            <w:hideMark/>
          </w:tcPr>
          <w:p w:rsidR="0072582E" w:rsidRPr="0072582E" w:rsidRDefault="0072582E" w:rsidP="00C10F63"/>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0.584</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1.45</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0.1478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-0.299</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1.989</w:t>
            </w:r>
          </w:p>
        </w:tc>
      </w:tr>
      <w:tr w:rsidR="0072582E" w:rsidRPr="00535B31" w:rsidTr="00C10F63">
        <w:trPr>
          <w:trHeight w:val="300"/>
        </w:trPr>
        <w:tc>
          <w:tcPr>
            <w:tcW w:w="1995" w:type="dxa"/>
            <w:tcBorders>
              <w:top w:val="nil"/>
              <w:left w:val="nil"/>
              <w:bottom w:val="nil"/>
              <w:right w:val="nil"/>
            </w:tcBorders>
            <w:shd w:val="clear" w:color="auto" w:fill="auto"/>
            <w:noWrap/>
            <w:vAlign w:val="bottom"/>
            <w:hideMark/>
          </w:tcPr>
          <w:p w:rsidR="0072582E" w:rsidRPr="0072582E" w:rsidRDefault="0072582E" w:rsidP="00C10F63">
            <w:proofErr w:type="spellStart"/>
            <w:r w:rsidRPr="0072582E">
              <w:rPr>
                <w:sz w:val="22"/>
                <w:szCs w:val="22"/>
              </w:rPr>
              <w:t>Elect_Heating</w:t>
            </w:r>
            <w:proofErr w:type="spellEnd"/>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-0.179</w:t>
            </w:r>
          </w:p>
        </w:tc>
        <w:tc>
          <w:tcPr>
            <w:tcW w:w="960" w:type="dxa"/>
            <w:tcBorders>
              <w:top w:val="nil"/>
              <w:left w:val="nil"/>
              <w:bottom w:val="nil"/>
              <w:right w:val="nil"/>
            </w:tcBorders>
            <w:shd w:val="clear" w:color="auto" w:fill="auto"/>
            <w:noWrap/>
            <w:vAlign w:val="bottom"/>
            <w:hideMark/>
          </w:tcPr>
          <w:p w:rsidR="0072582E" w:rsidRPr="0072582E" w:rsidRDefault="0072582E" w:rsidP="00C10F63"/>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0.470</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-0.38</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0.7026</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-1.100</w:t>
            </w:r>
          </w:p>
        </w:tc>
        <w:tc>
          <w:tcPr>
            <w:tcW w:w="960" w:type="dxa"/>
            <w:tcBorders>
              <w:top w:val="nil"/>
              <w:left w:val="nil"/>
              <w:bottom w:val="nil"/>
              <w:right w:val="nil"/>
            </w:tcBorders>
            <w:shd w:val="clear" w:color="auto" w:fill="auto"/>
            <w:noWrap/>
            <w:vAlign w:val="bottom"/>
            <w:hideMark/>
          </w:tcPr>
          <w:p w:rsidR="0072582E" w:rsidRPr="0072582E" w:rsidRDefault="0072582E" w:rsidP="00C10F63">
            <w:pPr>
              <w:jc w:val="right"/>
            </w:pPr>
            <w:r w:rsidRPr="0072582E">
              <w:rPr>
                <w:sz w:val="22"/>
                <w:szCs w:val="22"/>
              </w:rPr>
              <w:t>0.741</w:t>
            </w:r>
          </w:p>
        </w:tc>
      </w:tr>
      <w:tr w:rsidR="0072582E" w:rsidRPr="00535B31" w:rsidTr="00C10F63">
        <w:trPr>
          <w:trHeight w:val="300"/>
        </w:trPr>
        <w:tc>
          <w:tcPr>
            <w:tcW w:w="1995" w:type="dxa"/>
            <w:tcBorders>
              <w:top w:val="nil"/>
              <w:left w:val="nil"/>
              <w:right w:val="nil"/>
            </w:tcBorders>
            <w:shd w:val="clear" w:color="auto" w:fill="auto"/>
            <w:noWrap/>
            <w:vAlign w:val="bottom"/>
            <w:hideMark/>
          </w:tcPr>
          <w:p w:rsidR="0072582E" w:rsidRPr="0072582E" w:rsidRDefault="0072582E" w:rsidP="00C10F63">
            <w:proofErr w:type="spellStart"/>
            <w:r w:rsidRPr="0072582E">
              <w:rPr>
                <w:sz w:val="22"/>
                <w:szCs w:val="22"/>
              </w:rPr>
              <w:t>Heat_Pump</w:t>
            </w:r>
            <w:proofErr w:type="spellEnd"/>
          </w:p>
        </w:tc>
        <w:tc>
          <w:tcPr>
            <w:tcW w:w="960" w:type="dxa"/>
            <w:tcBorders>
              <w:top w:val="nil"/>
              <w:left w:val="nil"/>
              <w:right w:val="nil"/>
            </w:tcBorders>
            <w:shd w:val="clear" w:color="auto" w:fill="auto"/>
            <w:noWrap/>
            <w:vAlign w:val="bottom"/>
            <w:hideMark/>
          </w:tcPr>
          <w:p w:rsidR="0072582E" w:rsidRPr="0072582E" w:rsidRDefault="0072582E" w:rsidP="00C10F63">
            <w:pPr>
              <w:jc w:val="right"/>
            </w:pPr>
            <w:r w:rsidRPr="0072582E">
              <w:rPr>
                <w:sz w:val="22"/>
                <w:szCs w:val="22"/>
              </w:rPr>
              <w:t>2.963</w:t>
            </w:r>
          </w:p>
        </w:tc>
        <w:tc>
          <w:tcPr>
            <w:tcW w:w="960" w:type="dxa"/>
            <w:tcBorders>
              <w:top w:val="nil"/>
              <w:left w:val="nil"/>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right w:val="nil"/>
            </w:tcBorders>
            <w:shd w:val="clear" w:color="auto" w:fill="auto"/>
            <w:noWrap/>
            <w:vAlign w:val="bottom"/>
            <w:hideMark/>
          </w:tcPr>
          <w:p w:rsidR="0072582E" w:rsidRPr="0072582E" w:rsidRDefault="0072582E" w:rsidP="00C10F63">
            <w:pPr>
              <w:jc w:val="right"/>
            </w:pPr>
            <w:r w:rsidRPr="0072582E">
              <w:rPr>
                <w:sz w:val="22"/>
                <w:szCs w:val="22"/>
              </w:rPr>
              <w:t>0.584</w:t>
            </w:r>
          </w:p>
        </w:tc>
        <w:tc>
          <w:tcPr>
            <w:tcW w:w="960" w:type="dxa"/>
            <w:tcBorders>
              <w:top w:val="nil"/>
              <w:left w:val="nil"/>
              <w:right w:val="nil"/>
            </w:tcBorders>
            <w:shd w:val="clear" w:color="auto" w:fill="auto"/>
            <w:noWrap/>
            <w:vAlign w:val="bottom"/>
            <w:hideMark/>
          </w:tcPr>
          <w:p w:rsidR="0072582E" w:rsidRPr="0072582E" w:rsidRDefault="0072582E" w:rsidP="00C10F63">
            <w:pPr>
              <w:jc w:val="right"/>
            </w:pPr>
            <w:r w:rsidRPr="0072582E">
              <w:rPr>
                <w:sz w:val="22"/>
                <w:szCs w:val="22"/>
              </w:rPr>
              <w:t>5.07</w:t>
            </w:r>
          </w:p>
        </w:tc>
        <w:tc>
          <w:tcPr>
            <w:tcW w:w="960" w:type="dxa"/>
            <w:tcBorders>
              <w:top w:val="nil"/>
              <w:left w:val="nil"/>
              <w:right w:val="nil"/>
            </w:tcBorders>
            <w:shd w:val="clear" w:color="auto" w:fill="auto"/>
            <w:noWrap/>
            <w:vAlign w:val="bottom"/>
            <w:hideMark/>
          </w:tcPr>
          <w:p w:rsidR="0072582E" w:rsidRPr="0072582E" w:rsidRDefault="0072582E" w:rsidP="00C10F63">
            <w:pPr>
              <w:jc w:val="right"/>
            </w:pPr>
            <w:r w:rsidRPr="0072582E">
              <w:rPr>
                <w:sz w:val="22"/>
                <w:szCs w:val="22"/>
              </w:rPr>
              <w:t>&lt;0.001</w:t>
            </w:r>
          </w:p>
        </w:tc>
        <w:tc>
          <w:tcPr>
            <w:tcW w:w="960" w:type="dxa"/>
            <w:tcBorders>
              <w:top w:val="nil"/>
              <w:left w:val="nil"/>
              <w:right w:val="nil"/>
            </w:tcBorders>
            <w:shd w:val="clear" w:color="auto" w:fill="auto"/>
            <w:noWrap/>
            <w:vAlign w:val="bottom"/>
            <w:hideMark/>
          </w:tcPr>
          <w:p w:rsidR="0072582E" w:rsidRPr="0072582E" w:rsidRDefault="0072582E" w:rsidP="00C10F63">
            <w:pPr>
              <w:jc w:val="right"/>
            </w:pPr>
            <w:r w:rsidRPr="0072582E">
              <w:rPr>
                <w:sz w:val="22"/>
                <w:szCs w:val="22"/>
              </w:rPr>
              <w:t>1.819</w:t>
            </w:r>
          </w:p>
        </w:tc>
        <w:tc>
          <w:tcPr>
            <w:tcW w:w="960" w:type="dxa"/>
            <w:tcBorders>
              <w:top w:val="nil"/>
              <w:left w:val="nil"/>
              <w:right w:val="nil"/>
            </w:tcBorders>
            <w:shd w:val="clear" w:color="auto" w:fill="auto"/>
            <w:noWrap/>
            <w:vAlign w:val="bottom"/>
            <w:hideMark/>
          </w:tcPr>
          <w:p w:rsidR="0072582E" w:rsidRPr="0072582E" w:rsidRDefault="0072582E" w:rsidP="00C10F63">
            <w:pPr>
              <w:jc w:val="right"/>
            </w:pPr>
            <w:r w:rsidRPr="0072582E">
              <w:rPr>
                <w:sz w:val="22"/>
                <w:szCs w:val="22"/>
              </w:rPr>
              <w:t>4.108</w:t>
            </w:r>
          </w:p>
        </w:tc>
      </w:tr>
      <w:tr w:rsidR="0072582E" w:rsidRPr="00535B31" w:rsidTr="00C10F63">
        <w:trPr>
          <w:trHeight w:val="300"/>
        </w:trPr>
        <w:tc>
          <w:tcPr>
            <w:tcW w:w="1995" w:type="dxa"/>
            <w:tcBorders>
              <w:top w:val="nil"/>
              <w:left w:val="nil"/>
              <w:bottom w:val="single" w:sz="4" w:space="0" w:color="auto"/>
              <w:right w:val="nil"/>
            </w:tcBorders>
            <w:shd w:val="clear" w:color="auto" w:fill="auto"/>
            <w:noWrap/>
            <w:vAlign w:val="bottom"/>
            <w:hideMark/>
          </w:tcPr>
          <w:p w:rsidR="0072582E" w:rsidRPr="0072582E" w:rsidRDefault="0072582E" w:rsidP="00C10F63">
            <w:r w:rsidRPr="0072582E">
              <w:rPr>
                <w:sz w:val="22"/>
                <w:szCs w:val="22"/>
              </w:rPr>
              <w:t>Dehumidifier</w:t>
            </w:r>
          </w:p>
        </w:tc>
        <w:tc>
          <w:tcPr>
            <w:tcW w:w="960" w:type="dxa"/>
            <w:tcBorders>
              <w:top w:val="nil"/>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1.754</w:t>
            </w:r>
          </w:p>
        </w:tc>
        <w:tc>
          <w:tcPr>
            <w:tcW w:w="960" w:type="dxa"/>
            <w:tcBorders>
              <w:top w:val="nil"/>
              <w:left w:val="nil"/>
              <w:bottom w:val="single" w:sz="4" w:space="0" w:color="auto"/>
              <w:right w:val="nil"/>
            </w:tcBorders>
            <w:shd w:val="clear" w:color="auto" w:fill="auto"/>
            <w:noWrap/>
            <w:vAlign w:val="bottom"/>
            <w:hideMark/>
          </w:tcPr>
          <w:p w:rsidR="0072582E" w:rsidRPr="0072582E" w:rsidRDefault="0072582E" w:rsidP="00C10F63">
            <w:r w:rsidRPr="0072582E">
              <w:rPr>
                <w:sz w:val="22"/>
                <w:szCs w:val="22"/>
              </w:rPr>
              <w:t>***</w:t>
            </w:r>
          </w:p>
        </w:tc>
        <w:tc>
          <w:tcPr>
            <w:tcW w:w="960" w:type="dxa"/>
            <w:tcBorders>
              <w:top w:val="nil"/>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0.544</w:t>
            </w:r>
          </w:p>
        </w:tc>
        <w:tc>
          <w:tcPr>
            <w:tcW w:w="960" w:type="dxa"/>
            <w:tcBorders>
              <w:top w:val="nil"/>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3.23</w:t>
            </w:r>
          </w:p>
        </w:tc>
        <w:tc>
          <w:tcPr>
            <w:tcW w:w="960" w:type="dxa"/>
            <w:tcBorders>
              <w:top w:val="nil"/>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0.0013</w:t>
            </w:r>
          </w:p>
        </w:tc>
        <w:tc>
          <w:tcPr>
            <w:tcW w:w="960" w:type="dxa"/>
            <w:tcBorders>
              <w:top w:val="nil"/>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0.689</w:t>
            </w:r>
          </w:p>
        </w:tc>
        <w:tc>
          <w:tcPr>
            <w:tcW w:w="960" w:type="dxa"/>
            <w:tcBorders>
              <w:top w:val="nil"/>
              <w:left w:val="nil"/>
              <w:bottom w:val="single" w:sz="4" w:space="0" w:color="auto"/>
              <w:right w:val="nil"/>
            </w:tcBorders>
            <w:shd w:val="clear" w:color="auto" w:fill="auto"/>
            <w:noWrap/>
            <w:vAlign w:val="bottom"/>
            <w:hideMark/>
          </w:tcPr>
          <w:p w:rsidR="0072582E" w:rsidRPr="0072582E" w:rsidRDefault="0072582E" w:rsidP="00C10F63">
            <w:pPr>
              <w:jc w:val="right"/>
            </w:pPr>
            <w:r w:rsidRPr="0072582E">
              <w:rPr>
                <w:sz w:val="22"/>
                <w:szCs w:val="22"/>
              </w:rPr>
              <w:t>2.820</w:t>
            </w:r>
          </w:p>
        </w:tc>
      </w:tr>
    </w:tbl>
    <w:p w:rsidR="0072582E" w:rsidRPr="003C2AD4" w:rsidRDefault="0072582E" w:rsidP="0072582E">
      <w:pPr>
        <w:rPr>
          <w:sz w:val="20"/>
        </w:rPr>
      </w:pPr>
      <w:r w:rsidRPr="003C2AD4">
        <w:rPr>
          <w:i/>
          <w:sz w:val="20"/>
        </w:rPr>
        <w:t>Note</w:t>
      </w:r>
      <w:r>
        <w:rPr>
          <w:i/>
          <w:sz w:val="20"/>
        </w:rPr>
        <w:t>s</w:t>
      </w:r>
      <w:r w:rsidRPr="003C2AD4">
        <w:rPr>
          <w:i/>
          <w:sz w:val="20"/>
        </w:rPr>
        <w:t>:</w:t>
      </w:r>
      <w:r>
        <w:rPr>
          <w:sz w:val="20"/>
        </w:rPr>
        <w:t xml:space="preserve"> ‘ASC’ is alternative specific constant, for the alternative provided first (on Left-Hand side of page), ‘Sig’ is statistical significance at ***=1% level, **=5% level, *=10% level. </w:t>
      </w:r>
      <w:r>
        <w:rPr>
          <w:i/>
          <w:sz w:val="20"/>
        </w:rPr>
        <w:t>N</w:t>
      </w:r>
      <w:r>
        <w:rPr>
          <w:sz w:val="20"/>
        </w:rPr>
        <w:t>=249.</w:t>
      </w:r>
    </w:p>
    <w:p w:rsidR="00FF7EA4" w:rsidRPr="001A7C72" w:rsidRDefault="00FF7EA4" w:rsidP="00FF7EA4">
      <w:pPr>
        <w:spacing w:line="300" w:lineRule="auto"/>
        <w:ind w:firstLine="720"/>
        <w:rPr>
          <w:sz w:val="20"/>
          <w:szCs w:val="20"/>
        </w:rPr>
      </w:pPr>
    </w:p>
    <w:p w:rsidR="006314CD" w:rsidRPr="001A7C72" w:rsidRDefault="006314CD" w:rsidP="00FF7EA4">
      <w:pPr>
        <w:spacing w:line="300" w:lineRule="auto"/>
        <w:ind w:firstLine="720"/>
        <w:rPr>
          <w:sz w:val="20"/>
          <w:szCs w:val="20"/>
        </w:rPr>
      </w:pPr>
    </w:p>
    <w:p w:rsidR="00356759" w:rsidRDefault="00356759" w:rsidP="0072582E">
      <w:pPr>
        <w:spacing w:line="300" w:lineRule="auto"/>
        <w:ind w:firstLine="426"/>
      </w:pPr>
      <w:r>
        <w:t>We first f</w:t>
      </w:r>
      <w:r w:rsidR="00CD7F7A">
        <w:t>ocu</w:t>
      </w:r>
      <w:r>
        <w:t>s</w:t>
      </w:r>
      <w:r w:rsidR="00174767">
        <w:t xml:space="preserve"> on the means of the random taste coefficients</w:t>
      </w:r>
      <w:r>
        <w:t xml:space="preserve"> for the PMXL model, which are reported in the top panel of T</w:t>
      </w:r>
      <w:r w:rsidR="00174767">
        <w:t xml:space="preserve">able </w:t>
      </w:r>
      <w:r>
        <w:t>3. All attributes subject to</w:t>
      </w:r>
      <w:r w:rsidR="00174767">
        <w:t xml:space="preserve"> investigation have the expected positive values, but </w:t>
      </w:r>
      <w:r>
        <w:t>for the in-built gas heater and the in-built e</w:t>
      </w:r>
      <w:r w:rsidR="00174767">
        <w:t xml:space="preserve">lectric </w:t>
      </w:r>
      <w:r>
        <w:t xml:space="preserve">heater these </w:t>
      </w:r>
      <w:r w:rsidR="00174767">
        <w:lastRenderedPageBreak/>
        <w:t xml:space="preserve">are not significantly different from zero. </w:t>
      </w:r>
      <w:r>
        <w:t>While these two heating options both have statistically insignificant means for the random parameters in the utility function, there is an important difference between the two, which is shown in the bottom panel of T</w:t>
      </w:r>
      <w:r w:rsidR="00174767">
        <w:t xml:space="preserve">able 3 </w:t>
      </w:r>
      <w:r>
        <w:t>where the implied standard deviation</w:t>
      </w:r>
      <w:r w:rsidR="00F95BF4">
        <w:t>s</w:t>
      </w:r>
      <w:r>
        <w:t xml:space="preserve"> o</w:t>
      </w:r>
      <w:r w:rsidR="00F95BF4">
        <w:t>f the parameter distributions are</w:t>
      </w:r>
      <w:r>
        <w:t xml:space="preserve"> reported. T</w:t>
      </w:r>
      <w:r w:rsidR="00174767">
        <w:t>here is substantial heterogeneity in the distribution</w:t>
      </w:r>
      <w:r>
        <w:t xml:space="preserve"> of tastes for in-built electric heating</w:t>
      </w:r>
      <w:r w:rsidR="00174767">
        <w:t xml:space="preserve">, as </w:t>
      </w:r>
      <w:r>
        <w:t xml:space="preserve">seen </w:t>
      </w:r>
      <w:r w:rsidR="00174767">
        <w:t xml:space="preserve">by a </w:t>
      </w:r>
      <w:r>
        <w:t xml:space="preserve">statistically </w:t>
      </w:r>
      <w:r w:rsidR="00174767">
        <w:t>significant standard deviation estimate of</w:t>
      </w:r>
      <w:r w:rsidR="00174767" w:rsidRPr="00F95BF4">
        <w:rPr>
          <w:sz w:val="32"/>
        </w:rPr>
        <w:t xml:space="preserve"> </w:t>
      </w:r>
      <w:r w:rsidR="00664A55" w:rsidRPr="00F95BF4">
        <w:rPr>
          <w:rFonts w:eastAsia="Times New Roman"/>
          <w:color w:val="000000"/>
          <w:szCs w:val="20"/>
        </w:rPr>
        <w:sym w:font="Symbol" w:char="F073"/>
      </w:r>
      <w:r w:rsidR="00664A55" w:rsidRPr="00F95BF4">
        <w:rPr>
          <w:rFonts w:eastAsia="Times New Roman"/>
          <w:color w:val="000000"/>
          <w:szCs w:val="20"/>
          <w:vertAlign w:val="subscript"/>
        </w:rPr>
        <w:t>3</w:t>
      </w:r>
      <w:r w:rsidR="00664A55" w:rsidRPr="00F95BF4">
        <w:rPr>
          <w:szCs w:val="20"/>
        </w:rPr>
        <w:t xml:space="preserve"> = </w:t>
      </w:r>
      <w:r w:rsidR="00174767">
        <w:t>0.7</w:t>
      </w:r>
      <w:r w:rsidR="00664A55">
        <w:t xml:space="preserve">19 around a mean estimated at </w:t>
      </w:r>
      <w:r w:rsidR="00664A55" w:rsidRPr="00F95BF4">
        <w:sym w:font="Symbol" w:char="F062"/>
      </w:r>
      <w:r w:rsidR="00664A55" w:rsidRPr="00F95BF4">
        <w:rPr>
          <w:vertAlign w:val="subscript"/>
        </w:rPr>
        <w:t>3</w:t>
      </w:r>
      <w:r w:rsidR="00664A55" w:rsidRPr="00F95BF4">
        <w:t xml:space="preserve"> = </w:t>
      </w:r>
      <w:r w:rsidR="00664A55" w:rsidRPr="00F95BF4">
        <w:rPr>
          <w:rFonts w:eastAsia="Times New Roman"/>
          <w:color w:val="000000"/>
        </w:rPr>
        <w:t>0.166</w:t>
      </w:r>
      <w:r w:rsidR="00174767">
        <w:t xml:space="preserve">, </w:t>
      </w:r>
      <w:r>
        <w:t>but this variation is not apparent for the in-built gas h</w:t>
      </w:r>
      <w:r w:rsidR="00174767">
        <w:t>eating</w:t>
      </w:r>
      <w:r>
        <w:t xml:space="preserve"> option</w:t>
      </w:r>
      <w:r w:rsidR="00174767">
        <w:t xml:space="preserve">. We conclude that </w:t>
      </w:r>
      <w:r>
        <w:t>in-built electric h</w:t>
      </w:r>
      <w:r w:rsidR="00174767">
        <w:t xml:space="preserve">eating is </w:t>
      </w:r>
      <w:r w:rsidR="000D4AC5">
        <w:t>‘</w:t>
      </w:r>
      <w:r w:rsidR="005D0035">
        <w:t>dis</w:t>
      </w:r>
      <w:r w:rsidR="00174767">
        <w:t>liked</w:t>
      </w:r>
      <w:r w:rsidR="000D4AC5">
        <w:t>’</w:t>
      </w:r>
      <w:r w:rsidR="00174767">
        <w:t xml:space="preserve"> by some </w:t>
      </w:r>
      <w:r w:rsidR="00664A55">
        <w:t>(th</w:t>
      </w:r>
      <w:r w:rsidR="005D0035">
        <w:t>e proportion</w:t>
      </w:r>
      <w:r w:rsidR="00664A55">
        <w:t xml:space="preserve"> predicted to have </w:t>
      </w:r>
      <w:r w:rsidR="005D0035">
        <w:t>nega</w:t>
      </w:r>
      <w:r w:rsidR="000C7D11">
        <w:t>tive utility coefficients under</w:t>
      </w:r>
      <w:r w:rsidR="00664A55">
        <w:t xml:space="preserve"> the estimated normal distribution</w:t>
      </w:r>
      <w:r w:rsidR="005D0035">
        <w:t xml:space="preserve"> can be derived by computing t</w:t>
      </w:r>
      <w:r w:rsidR="00664A55">
        <w:t xml:space="preserve">he </w:t>
      </w:r>
      <w:r w:rsidR="005D0035">
        <w:t xml:space="preserve">normal </w:t>
      </w:r>
      <w:proofErr w:type="spellStart"/>
      <w:r w:rsidR="00664A55">
        <w:t>cdf</w:t>
      </w:r>
      <w:proofErr w:type="spellEnd"/>
      <w:r w:rsidR="00664A55">
        <w:t xml:space="preserve"> for </w:t>
      </w:r>
      <w:r w:rsidR="00664A55">
        <w:sym w:font="Symbol" w:char="F046"/>
      </w:r>
      <w:r w:rsidR="00664A55">
        <w:t>(</w:t>
      </w:r>
      <w:r w:rsidR="00D52169">
        <w:t>x=0</w:t>
      </w:r>
      <w:r w:rsidR="00664A55">
        <w:t>|</w:t>
      </w:r>
      <w:r w:rsidR="00D52169">
        <w:sym w:font="Symbol" w:char="F062"/>
      </w:r>
      <w:r w:rsidR="00D52169" w:rsidRPr="00D52169">
        <w:rPr>
          <w:vertAlign w:val="subscript"/>
        </w:rPr>
        <w:t>3</w:t>
      </w:r>
      <w:r w:rsidR="00D52169">
        <w:t xml:space="preserve"> = </w:t>
      </w:r>
      <w:r w:rsidR="00D52169" w:rsidRPr="00D52169">
        <w:t>0.166</w:t>
      </w:r>
      <w:proofErr w:type="gramStart"/>
      <w:r w:rsidR="00D52169">
        <w:t>,</w:t>
      </w:r>
      <w:proofErr w:type="gramEnd"/>
      <w:r w:rsidR="00664A55" w:rsidRPr="00D52169">
        <w:sym w:font="Symbol" w:char="F073"/>
      </w:r>
      <w:r w:rsidR="00664A55" w:rsidRPr="00D52169">
        <w:rPr>
          <w:vertAlign w:val="subscript"/>
        </w:rPr>
        <w:t>3</w:t>
      </w:r>
      <w:r w:rsidR="00664A55" w:rsidRPr="00D52169">
        <w:t xml:space="preserve"> = </w:t>
      </w:r>
      <w:r w:rsidR="00664A55">
        <w:t>0.719)</w:t>
      </w:r>
      <w:r w:rsidR="00D52169">
        <w:t xml:space="preserve"> =</w:t>
      </w:r>
      <w:r w:rsidR="00664A55">
        <w:t xml:space="preserve"> </w:t>
      </w:r>
      <w:r w:rsidR="00D52169">
        <w:t>0.409</w:t>
      </w:r>
      <w:r w:rsidR="005D0035">
        <w:t>)</w:t>
      </w:r>
      <w:r w:rsidR="00D52169">
        <w:t xml:space="preserve"> </w:t>
      </w:r>
      <w:r w:rsidR="00174767">
        <w:t xml:space="preserve">and </w:t>
      </w:r>
      <w:r w:rsidR="000D4AC5">
        <w:t>‘</w:t>
      </w:r>
      <w:r w:rsidR="00174767">
        <w:t>liked</w:t>
      </w:r>
      <w:r w:rsidR="000D4AC5">
        <w:t>’</w:t>
      </w:r>
      <w:r w:rsidR="00174767">
        <w:t xml:space="preserve"> by others</w:t>
      </w:r>
      <w:r w:rsidR="00664A55">
        <w:t xml:space="preserve"> (th</w:t>
      </w:r>
      <w:r w:rsidR="005D0035">
        <w:t>e complement to the previous proportion</w:t>
      </w:r>
      <w:r w:rsidR="00F95BF4">
        <w:t>, which</w:t>
      </w:r>
      <w:r w:rsidR="00664A55">
        <w:t xml:space="preserve"> </w:t>
      </w:r>
      <w:r w:rsidR="005D0035">
        <w:t xml:space="preserve">is </w:t>
      </w:r>
      <w:r w:rsidR="00F95BF4">
        <w:t xml:space="preserve">the proportion </w:t>
      </w:r>
      <w:r w:rsidR="00664A55">
        <w:t xml:space="preserve">predicted to have </w:t>
      </w:r>
      <w:r w:rsidR="005D0035">
        <w:t>posi</w:t>
      </w:r>
      <w:r w:rsidR="00664A55">
        <w:t>tive utility coefficients)</w:t>
      </w:r>
      <w:r w:rsidR="00174767">
        <w:t xml:space="preserve">, </w:t>
      </w:r>
      <w:r>
        <w:t>with the</w:t>
      </w:r>
      <w:r w:rsidR="00174767">
        <w:t xml:space="preserve"> ratio</w:t>
      </w:r>
      <w:r>
        <w:t xml:space="preserve"> of </w:t>
      </w:r>
      <w:r w:rsidRPr="00664A55">
        <w:t>dislikes to likes</w:t>
      </w:r>
      <w:r>
        <w:t xml:space="preserve"> close to </w:t>
      </w:r>
      <w:r w:rsidR="00D52169">
        <w:t>4</w:t>
      </w:r>
      <w:r w:rsidR="007F5A9E">
        <w:t>0:</w:t>
      </w:r>
      <w:r w:rsidR="00D52169">
        <w:t>6</w:t>
      </w:r>
      <w:r w:rsidR="007F5A9E">
        <w:t>0</w:t>
      </w:r>
      <w:r w:rsidR="00F95BF4">
        <w:t>.</w:t>
      </w:r>
      <w:r w:rsidR="00174767">
        <w:t xml:space="preserve"> </w:t>
      </w:r>
      <w:r w:rsidR="00F95BF4">
        <w:t xml:space="preserve">In contrast, </w:t>
      </w:r>
      <w:r w:rsidR="00174767">
        <w:t xml:space="preserve">gas heating </w:t>
      </w:r>
      <w:r w:rsidR="00636858">
        <w:t>is shown to induce</w:t>
      </w:r>
      <w:r w:rsidR="00174767">
        <w:t xml:space="preserve"> indifference</w:t>
      </w:r>
      <w:r>
        <w:t xml:space="preserve"> since the standard deviation of the parameter distribution is so small</w:t>
      </w:r>
      <w:r w:rsidR="005D0035">
        <w:t xml:space="preserve"> and the mean so </w:t>
      </w:r>
      <w:r w:rsidR="00F95BF4">
        <w:t xml:space="preserve">close </w:t>
      </w:r>
      <w:r w:rsidR="005D0035">
        <w:t>to zero (</w:t>
      </w:r>
      <w:r w:rsidR="005D0035">
        <w:sym w:font="Symbol" w:char="F062"/>
      </w:r>
      <w:r w:rsidR="005D0035">
        <w:rPr>
          <w:vertAlign w:val="subscript"/>
        </w:rPr>
        <w:t>4</w:t>
      </w:r>
      <w:r w:rsidR="006314CD">
        <w:t xml:space="preserve"> </w:t>
      </w:r>
      <w:r w:rsidR="005D0035">
        <w:t xml:space="preserve">= 0.015 and </w:t>
      </w:r>
      <w:r w:rsidR="005D0035" w:rsidRPr="00F95BF4">
        <w:rPr>
          <w:rFonts w:eastAsia="Times New Roman"/>
          <w:color w:val="000000"/>
          <w:szCs w:val="20"/>
        </w:rPr>
        <w:sym w:font="Symbol" w:char="F073"/>
      </w:r>
      <w:r w:rsidR="005D0035" w:rsidRPr="00F95BF4">
        <w:rPr>
          <w:rFonts w:eastAsia="Times New Roman"/>
          <w:color w:val="000000"/>
          <w:szCs w:val="20"/>
          <w:vertAlign w:val="subscript"/>
        </w:rPr>
        <w:t>4</w:t>
      </w:r>
      <w:r w:rsidR="005D0035" w:rsidRPr="00F95BF4">
        <w:rPr>
          <w:rFonts w:eastAsia="Times New Roman"/>
          <w:color w:val="000000"/>
          <w:szCs w:val="20"/>
        </w:rPr>
        <w:t xml:space="preserve"> </w:t>
      </w:r>
      <w:r w:rsidR="005D0035" w:rsidRPr="00F95BF4">
        <w:rPr>
          <w:szCs w:val="20"/>
        </w:rPr>
        <w:t>= 0.144</w:t>
      </w:r>
      <w:r w:rsidR="005D0035">
        <w:t>)</w:t>
      </w:r>
      <w:r w:rsidR="00174767">
        <w:t xml:space="preserve">. </w:t>
      </w:r>
    </w:p>
    <w:p w:rsidR="00FF7EA4" w:rsidRDefault="00FF7EA4" w:rsidP="00FF7EA4">
      <w:pPr>
        <w:spacing w:line="300" w:lineRule="auto"/>
        <w:ind w:firstLine="720"/>
      </w:pPr>
    </w:p>
    <w:p w:rsidR="00174767" w:rsidRDefault="000533AA" w:rsidP="00181C80">
      <w:pPr>
        <w:spacing w:line="300" w:lineRule="auto"/>
        <w:ind w:firstLine="426"/>
      </w:pPr>
      <w:r>
        <w:t>The four devices with statistically significant mean</w:t>
      </w:r>
      <w:r w:rsidR="00F22DFC">
        <w:t xml:space="preserve"> estimate</w:t>
      </w:r>
      <w:r>
        <w:t xml:space="preserve">s </w:t>
      </w:r>
      <w:r w:rsidR="00F22DFC">
        <w:t>for</w:t>
      </w:r>
      <w:r>
        <w:t xml:space="preserve"> the </w:t>
      </w:r>
      <w:r w:rsidR="00F22DFC">
        <w:t xml:space="preserve">respective </w:t>
      </w:r>
      <w:r>
        <w:t xml:space="preserve">random taste coefficients in the utility function are the heat-recovery ventilation </w:t>
      </w:r>
      <w:r w:rsidR="00A07CDA">
        <w:t xml:space="preserve">(HRV) </w:t>
      </w:r>
      <w:r>
        <w:t>system, the heat pump, the enclosed wood burner and the dehumidifier (ranked in order of the size of their means)</w:t>
      </w:r>
      <w:r w:rsidR="00F22DFC">
        <w:t xml:space="preserve">, </w:t>
      </w:r>
      <w:r w:rsidR="001A7C72">
        <w:t>that is,</w:t>
      </w:r>
      <w:r w:rsidR="00F22DFC">
        <w:t xml:space="preserve"> </w:t>
      </w:r>
      <w:r w:rsidR="00F22DFC">
        <w:sym w:font="Symbol" w:char="F062"/>
      </w:r>
      <w:r w:rsidR="00F22DFC" w:rsidRPr="00EE6FAB">
        <w:rPr>
          <w:vertAlign w:val="subscript"/>
        </w:rPr>
        <w:t>1</w:t>
      </w:r>
      <w:r w:rsidR="00F22DFC">
        <w:t>,</w:t>
      </w:r>
      <w:r w:rsidR="00F22DFC" w:rsidRPr="00F22DFC">
        <w:t xml:space="preserve"> </w:t>
      </w:r>
      <w:r w:rsidR="00F22DFC">
        <w:sym w:font="Symbol" w:char="F062"/>
      </w:r>
      <w:r w:rsidR="00F22DFC">
        <w:rPr>
          <w:vertAlign w:val="subscript"/>
        </w:rPr>
        <w:t>5</w:t>
      </w:r>
      <w:r w:rsidR="00F22DFC">
        <w:t xml:space="preserve">, </w:t>
      </w:r>
      <w:r w:rsidR="00F22DFC">
        <w:sym w:font="Symbol" w:char="F062"/>
      </w:r>
      <w:r w:rsidR="00F22DFC">
        <w:rPr>
          <w:vertAlign w:val="subscript"/>
        </w:rPr>
        <w:t>2</w:t>
      </w:r>
      <w:r w:rsidR="00F22DFC">
        <w:t>,</w:t>
      </w:r>
      <w:r w:rsidR="00F22DFC" w:rsidRPr="00F22DFC">
        <w:t xml:space="preserve"> </w:t>
      </w:r>
      <w:r w:rsidR="00F22DFC">
        <w:t xml:space="preserve">and </w:t>
      </w:r>
      <w:r w:rsidR="00F22DFC">
        <w:sym w:font="Symbol" w:char="F062"/>
      </w:r>
      <w:r w:rsidR="00F22DFC">
        <w:rPr>
          <w:vertAlign w:val="subscript"/>
        </w:rPr>
        <w:t>6</w:t>
      </w:r>
      <w:r>
        <w:t xml:space="preserve">. </w:t>
      </w:r>
      <w:r w:rsidR="00A07CDA">
        <w:t>While</w:t>
      </w:r>
      <w:r>
        <w:t xml:space="preserve"> the heat pump and wood burner have similar </w:t>
      </w:r>
      <w:r w:rsidR="00F22DFC">
        <w:t xml:space="preserve">estimated </w:t>
      </w:r>
      <w:r>
        <w:t xml:space="preserve">means, the </w:t>
      </w:r>
      <w:r w:rsidR="00F22DFC">
        <w:t>estimat</w:t>
      </w:r>
      <w:r w:rsidR="00A07CDA">
        <w:t>ed standard deviation of the parameter distribution is 60 percent larger for the heat pump, which suggests that there is much greater heterogeneity in tastes for this device. These results can also be interpreted in terms of the proportion of respondents disliking a device, which is lowest for the HRV system, at 1</w:t>
      </w:r>
      <w:r w:rsidR="00F22DFC">
        <w:t>1</w:t>
      </w:r>
      <w:r w:rsidR="00A07CDA">
        <w:t xml:space="preserve"> percent disliking it, followed by the wood burner at 20 percent. In contrast, the h</w:t>
      </w:r>
      <w:r w:rsidR="00D83DBC">
        <w:t xml:space="preserve">eat </w:t>
      </w:r>
      <w:r w:rsidR="00A07CDA">
        <w:t>pump and d</w:t>
      </w:r>
      <w:r w:rsidR="00D83DBC">
        <w:t xml:space="preserve">ehumidifier have a </w:t>
      </w:r>
      <w:r w:rsidR="00A07CDA">
        <w:t xml:space="preserve">dislike-like </w:t>
      </w:r>
      <w:r w:rsidR="00D83DBC">
        <w:t xml:space="preserve">ratio </w:t>
      </w:r>
      <w:r w:rsidR="00D52169">
        <w:t>close to</w:t>
      </w:r>
      <w:r w:rsidR="00A07CDA">
        <w:t xml:space="preserve"> </w:t>
      </w:r>
      <w:r w:rsidR="00D83DBC">
        <w:t>30</w:t>
      </w:r>
      <w:r w:rsidR="00A07CDA">
        <w:t>:</w:t>
      </w:r>
      <w:r w:rsidR="00D83DBC">
        <w:t>70</w:t>
      </w:r>
      <w:r w:rsidR="000C7D11">
        <w:t>; although between these two devices</w:t>
      </w:r>
      <w:r w:rsidR="00A07CDA">
        <w:t xml:space="preserve"> the heat</w:t>
      </w:r>
      <w:r w:rsidR="00D83DBC">
        <w:t xml:space="preserve"> pump has a much higher </w:t>
      </w:r>
      <w:r w:rsidR="00D52169">
        <w:t xml:space="preserve">estimated </w:t>
      </w:r>
      <w:r w:rsidR="00A07CDA">
        <w:t xml:space="preserve">mean and </w:t>
      </w:r>
      <w:r w:rsidR="00D83DBC">
        <w:t xml:space="preserve">spread </w:t>
      </w:r>
      <w:r w:rsidR="00A07CDA">
        <w:t xml:space="preserve">of the random taste coefficients. </w:t>
      </w:r>
    </w:p>
    <w:p w:rsidR="006314CD" w:rsidRDefault="006314CD" w:rsidP="00FF7EA4">
      <w:pPr>
        <w:spacing w:line="300" w:lineRule="auto"/>
        <w:ind w:firstLine="720"/>
      </w:pPr>
    </w:p>
    <w:p w:rsidR="006314CD" w:rsidRDefault="006314CD" w:rsidP="00181C80">
      <w:pPr>
        <w:spacing w:line="300" w:lineRule="auto"/>
        <w:ind w:firstLine="426"/>
      </w:pPr>
      <w:r>
        <w:t>The results for the non-random parameters in the utility functions are shown in the second block of Table 3. Importantly for our distinction between renters and home-owners we note that the interaction term for home-owners is statistically significant. This result provides empirical corroboration for our expectation that different implicit values for air control devices will be generated by the two tenure groups.</w:t>
      </w:r>
    </w:p>
    <w:p w:rsidR="006314CD" w:rsidRDefault="006314CD" w:rsidP="006314CD">
      <w:pPr>
        <w:spacing w:line="300" w:lineRule="auto"/>
        <w:ind w:firstLine="720"/>
      </w:pPr>
    </w:p>
    <w:p w:rsidR="006314CD" w:rsidRDefault="006314CD" w:rsidP="00181C80">
      <w:pPr>
        <w:spacing w:line="300" w:lineRule="auto"/>
        <w:ind w:firstLine="426"/>
      </w:pPr>
      <w:r>
        <w:t xml:space="preserve">Because of the full correlation structure of the multivariate normal used in the PMXL model we can also derive the correlation matrix of the random taste coefficients. This is reported in Table 4 and shows </w:t>
      </w:r>
      <w:r w:rsidRPr="00D83DBC">
        <w:t xml:space="preserve">a positive and strong </w:t>
      </w:r>
      <w:r>
        <w:t xml:space="preserve">correlation </w:t>
      </w:r>
      <w:r w:rsidRPr="00D83DBC">
        <w:t xml:space="preserve">for </w:t>
      </w:r>
      <w:r>
        <w:t>several pairs of devices, including the in-built e</w:t>
      </w:r>
      <w:r w:rsidRPr="00D83DBC">
        <w:t>lec</w:t>
      </w:r>
      <w:r>
        <w:t>tric h</w:t>
      </w:r>
      <w:r w:rsidRPr="00D83DBC">
        <w:t>eat</w:t>
      </w:r>
      <w:r>
        <w:t>er</w:t>
      </w:r>
      <w:r w:rsidRPr="00D83DBC">
        <w:t xml:space="preserve"> </w:t>
      </w:r>
      <w:r>
        <w:t>and the d</w:t>
      </w:r>
      <w:r w:rsidRPr="00D83DBC">
        <w:t>ehumid</w:t>
      </w:r>
      <w:r>
        <w:t>ifier</w:t>
      </w:r>
      <w:r w:rsidRPr="00D83DBC">
        <w:t xml:space="preserve"> (</w:t>
      </w:r>
      <w:r>
        <w:t>0</w:t>
      </w:r>
      <w:r w:rsidRPr="00D83DBC">
        <w:t>.94),</w:t>
      </w:r>
      <w:r>
        <w:t xml:space="preserve"> and the in-built </w:t>
      </w:r>
      <w:r w:rsidRPr="00D83DBC">
        <w:t>gas</w:t>
      </w:r>
      <w:r>
        <w:t xml:space="preserve"> </w:t>
      </w:r>
      <w:r w:rsidRPr="00D83DBC">
        <w:t>heat</w:t>
      </w:r>
      <w:r>
        <w:t>er and the</w:t>
      </w:r>
      <w:r w:rsidRPr="00D83DBC">
        <w:t xml:space="preserve"> HRV (0.92)</w:t>
      </w:r>
      <w:r>
        <w:t>. There is also a moderate positive correlation between</w:t>
      </w:r>
      <w:r w:rsidRPr="00D83DBC">
        <w:t xml:space="preserve"> </w:t>
      </w:r>
      <w:r>
        <w:t xml:space="preserve">the </w:t>
      </w:r>
      <w:r w:rsidRPr="00D83DBC">
        <w:t xml:space="preserve">HRV </w:t>
      </w:r>
      <w:r>
        <w:t>and the h</w:t>
      </w:r>
      <w:r w:rsidRPr="00D83DBC">
        <w:t>eat</w:t>
      </w:r>
      <w:r>
        <w:t xml:space="preserve"> p</w:t>
      </w:r>
      <w:r w:rsidRPr="00D83DBC">
        <w:t>ump (0.75)</w:t>
      </w:r>
      <w:r>
        <w:t xml:space="preserve">, while the </w:t>
      </w:r>
      <w:r w:rsidRPr="00D83DBC">
        <w:t>strongest negative correlation is -</w:t>
      </w:r>
      <w:r>
        <w:t>0</w:t>
      </w:r>
      <w:r w:rsidRPr="00D83DBC">
        <w:t xml:space="preserve">.52 between </w:t>
      </w:r>
      <w:r>
        <w:t>the d</w:t>
      </w:r>
      <w:r w:rsidRPr="00D83DBC">
        <w:t>ehum</w:t>
      </w:r>
      <w:r>
        <w:t>idifier</w:t>
      </w:r>
      <w:r w:rsidRPr="00D83DBC">
        <w:t xml:space="preserve"> </w:t>
      </w:r>
      <w:r>
        <w:t>and the w</w:t>
      </w:r>
      <w:r w:rsidRPr="00D83DBC">
        <w:t>ood</w:t>
      </w:r>
      <w:r>
        <w:t xml:space="preserve"> b</w:t>
      </w:r>
      <w:r w:rsidRPr="00D83DBC">
        <w:t>ur</w:t>
      </w:r>
      <w:r>
        <w:t>ner</w:t>
      </w:r>
      <w:r w:rsidRPr="00D83DBC">
        <w:t xml:space="preserve">. </w:t>
      </w:r>
    </w:p>
    <w:tbl>
      <w:tblPr>
        <w:tblW w:w="8973" w:type="dxa"/>
        <w:tblInd w:w="93" w:type="dxa"/>
        <w:tblLook w:val="04A0"/>
      </w:tblPr>
      <w:tblGrid>
        <w:gridCol w:w="2805"/>
        <w:gridCol w:w="810"/>
        <w:gridCol w:w="675"/>
        <w:gridCol w:w="839"/>
        <w:gridCol w:w="964"/>
        <w:gridCol w:w="960"/>
        <w:gridCol w:w="960"/>
        <w:gridCol w:w="960"/>
      </w:tblGrid>
      <w:tr w:rsidR="00A62DE6" w:rsidRPr="00B84103" w:rsidTr="006314CD">
        <w:trPr>
          <w:trHeight w:val="300"/>
        </w:trPr>
        <w:tc>
          <w:tcPr>
            <w:tcW w:w="8973" w:type="dxa"/>
            <w:gridSpan w:val="8"/>
            <w:tcBorders>
              <w:top w:val="nil"/>
              <w:left w:val="nil"/>
              <w:bottom w:val="single" w:sz="4" w:space="0" w:color="auto"/>
              <w:right w:val="nil"/>
            </w:tcBorders>
            <w:shd w:val="clear" w:color="auto" w:fill="auto"/>
            <w:noWrap/>
            <w:vAlign w:val="bottom"/>
            <w:hideMark/>
          </w:tcPr>
          <w:p w:rsidR="00A62DE6" w:rsidRDefault="006314CD" w:rsidP="00C10F63">
            <w:pPr>
              <w:jc w:val="center"/>
              <w:rPr>
                <w:b/>
              </w:rPr>
            </w:pPr>
            <w:r>
              <w:rPr>
                <w:b/>
                <w:sz w:val="22"/>
                <w:szCs w:val="22"/>
              </w:rPr>
              <w:lastRenderedPageBreak/>
              <w:t>Table 3: Panel Mixed Logit Model E</w:t>
            </w:r>
            <w:r w:rsidR="00A62DE6" w:rsidRPr="00A62DE6">
              <w:rPr>
                <w:b/>
                <w:sz w:val="22"/>
                <w:szCs w:val="22"/>
              </w:rPr>
              <w:t xml:space="preserve">stimates </w:t>
            </w:r>
          </w:p>
          <w:p w:rsidR="00A62DE6" w:rsidRDefault="006314CD" w:rsidP="00C10F63">
            <w:pPr>
              <w:jc w:val="center"/>
              <w:rPr>
                <w:b/>
              </w:rPr>
            </w:pPr>
            <w:r>
              <w:rPr>
                <w:b/>
                <w:sz w:val="22"/>
                <w:szCs w:val="22"/>
              </w:rPr>
              <w:t>with Full Correlation S</w:t>
            </w:r>
            <w:r w:rsidR="00A62DE6" w:rsidRPr="00A62DE6">
              <w:rPr>
                <w:b/>
                <w:sz w:val="22"/>
                <w:szCs w:val="22"/>
              </w:rPr>
              <w:t xml:space="preserve">tructure of </w:t>
            </w:r>
            <w:r>
              <w:rPr>
                <w:b/>
                <w:sz w:val="22"/>
                <w:szCs w:val="22"/>
              </w:rPr>
              <w:t>Random C</w:t>
            </w:r>
            <w:r w:rsidR="00A62DE6" w:rsidRPr="00A62DE6">
              <w:rPr>
                <w:b/>
                <w:sz w:val="22"/>
                <w:szCs w:val="22"/>
              </w:rPr>
              <w:t>oefficients</w:t>
            </w:r>
          </w:p>
          <w:p w:rsidR="006314CD" w:rsidRPr="006314CD" w:rsidRDefault="006314CD" w:rsidP="00C10F63">
            <w:pPr>
              <w:jc w:val="center"/>
              <w:rPr>
                <w:b/>
                <w:sz w:val="8"/>
                <w:szCs w:val="8"/>
              </w:rPr>
            </w:pPr>
          </w:p>
        </w:tc>
      </w:tr>
      <w:tr w:rsidR="00A62DE6" w:rsidRPr="00B84103" w:rsidTr="006314CD">
        <w:trPr>
          <w:trHeight w:val="300"/>
        </w:trPr>
        <w:tc>
          <w:tcPr>
            <w:tcW w:w="2805" w:type="dxa"/>
            <w:tcBorders>
              <w:top w:val="single" w:sz="4" w:space="0" w:color="auto"/>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10" w:type="dxa"/>
            <w:tcBorders>
              <w:top w:val="single" w:sz="4" w:space="0" w:color="auto"/>
              <w:left w:val="nil"/>
              <w:bottom w:val="single" w:sz="4" w:space="0" w:color="auto"/>
              <w:right w:val="nil"/>
            </w:tcBorders>
            <w:shd w:val="clear" w:color="auto" w:fill="auto"/>
            <w:noWrap/>
            <w:vAlign w:val="bottom"/>
            <w:hideMark/>
          </w:tcPr>
          <w:p w:rsidR="00A62DE6" w:rsidRPr="00B84103" w:rsidRDefault="00A62DE6" w:rsidP="00C10F63">
            <w:pPr>
              <w:jc w:val="right"/>
              <w:rPr>
                <w:sz w:val="20"/>
                <w:szCs w:val="20"/>
              </w:rPr>
            </w:pPr>
            <w:proofErr w:type="spellStart"/>
            <w:r w:rsidRPr="00B84103">
              <w:rPr>
                <w:sz w:val="20"/>
                <w:szCs w:val="20"/>
              </w:rPr>
              <w:t>Coeff</w:t>
            </w:r>
            <w:proofErr w:type="spellEnd"/>
            <w:r w:rsidRPr="00B84103">
              <w:rPr>
                <w:sz w:val="20"/>
                <w:szCs w:val="20"/>
              </w:rPr>
              <w:t>.</w:t>
            </w:r>
          </w:p>
        </w:tc>
        <w:tc>
          <w:tcPr>
            <w:tcW w:w="675" w:type="dxa"/>
            <w:tcBorders>
              <w:top w:val="single" w:sz="4" w:space="0" w:color="auto"/>
              <w:left w:val="nil"/>
              <w:bottom w:val="single" w:sz="4" w:space="0" w:color="auto"/>
              <w:right w:val="nil"/>
            </w:tcBorders>
            <w:shd w:val="clear" w:color="auto" w:fill="auto"/>
            <w:noWrap/>
            <w:vAlign w:val="bottom"/>
            <w:hideMark/>
          </w:tcPr>
          <w:p w:rsidR="00A62DE6" w:rsidRPr="00B84103" w:rsidRDefault="00A62DE6" w:rsidP="00C10F63">
            <w:pPr>
              <w:rPr>
                <w:sz w:val="20"/>
                <w:szCs w:val="20"/>
              </w:rPr>
            </w:pPr>
            <w:r>
              <w:rPr>
                <w:sz w:val="20"/>
                <w:szCs w:val="20"/>
              </w:rPr>
              <w:t>Sig</w:t>
            </w:r>
            <w:r w:rsidRPr="00B84103">
              <w:rPr>
                <w:sz w:val="20"/>
                <w:szCs w:val="20"/>
              </w:rPr>
              <w:t>.</w:t>
            </w:r>
          </w:p>
        </w:tc>
        <w:tc>
          <w:tcPr>
            <w:tcW w:w="839" w:type="dxa"/>
            <w:tcBorders>
              <w:top w:val="single" w:sz="4" w:space="0" w:color="auto"/>
              <w:left w:val="nil"/>
              <w:bottom w:val="single" w:sz="4" w:space="0" w:color="auto"/>
              <w:right w:val="nil"/>
            </w:tcBorders>
            <w:shd w:val="clear" w:color="auto" w:fill="auto"/>
            <w:noWrap/>
            <w:vAlign w:val="bottom"/>
            <w:hideMark/>
          </w:tcPr>
          <w:p w:rsidR="00A62DE6" w:rsidRPr="00B84103" w:rsidRDefault="00A62DE6" w:rsidP="00C10F63">
            <w:pPr>
              <w:jc w:val="right"/>
              <w:rPr>
                <w:sz w:val="20"/>
                <w:szCs w:val="20"/>
              </w:rPr>
            </w:pPr>
            <w:proofErr w:type="spellStart"/>
            <w:r w:rsidRPr="00B84103">
              <w:rPr>
                <w:sz w:val="20"/>
                <w:szCs w:val="20"/>
              </w:rPr>
              <w:t>St</w:t>
            </w:r>
            <w:r>
              <w:rPr>
                <w:sz w:val="20"/>
                <w:szCs w:val="20"/>
              </w:rPr>
              <w:t>d</w:t>
            </w:r>
            <w:r w:rsidRPr="00B84103">
              <w:rPr>
                <w:sz w:val="20"/>
                <w:szCs w:val="20"/>
              </w:rPr>
              <w:t>.Err</w:t>
            </w:r>
            <w:proofErr w:type="spellEnd"/>
            <w:r w:rsidRPr="00B84103">
              <w:rPr>
                <w:sz w:val="20"/>
                <w:szCs w:val="20"/>
              </w:rPr>
              <w:t>.</w:t>
            </w:r>
          </w:p>
        </w:tc>
        <w:tc>
          <w:tcPr>
            <w:tcW w:w="964" w:type="dxa"/>
            <w:tcBorders>
              <w:top w:val="single" w:sz="4" w:space="0" w:color="auto"/>
              <w:left w:val="nil"/>
              <w:bottom w:val="single" w:sz="4" w:space="0" w:color="auto"/>
              <w:right w:val="nil"/>
            </w:tcBorders>
            <w:shd w:val="clear" w:color="auto" w:fill="auto"/>
            <w:noWrap/>
            <w:vAlign w:val="bottom"/>
            <w:hideMark/>
          </w:tcPr>
          <w:p w:rsidR="00A62DE6" w:rsidRPr="00B84103" w:rsidRDefault="00A62DE6" w:rsidP="00C10F63">
            <w:pPr>
              <w:jc w:val="right"/>
              <w:rPr>
                <w:sz w:val="20"/>
                <w:szCs w:val="20"/>
              </w:rPr>
            </w:pPr>
            <w:r w:rsidRPr="00B84103">
              <w:rPr>
                <w:sz w:val="20"/>
                <w:szCs w:val="20"/>
              </w:rPr>
              <w:t>z-value</w:t>
            </w:r>
          </w:p>
        </w:tc>
        <w:tc>
          <w:tcPr>
            <w:tcW w:w="960" w:type="dxa"/>
            <w:tcBorders>
              <w:top w:val="single" w:sz="4" w:space="0" w:color="auto"/>
              <w:left w:val="nil"/>
              <w:bottom w:val="single" w:sz="4" w:space="0" w:color="auto"/>
              <w:right w:val="nil"/>
            </w:tcBorders>
            <w:shd w:val="clear" w:color="auto" w:fill="auto"/>
            <w:noWrap/>
            <w:vAlign w:val="bottom"/>
            <w:hideMark/>
          </w:tcPr>
          <w:p w:rsidR="00A62DE6" w:rsidRPr="00B84103" w:rsidRDefault="00A62DE6" w:rsidP="00C10F63">
            <w:pPr>
              <w:jc w:val="right"/>
              <w:rPr>
                <w:sz w:val="20"/>
                <w:szCs w:val="20"/>
              </w:rPr>
            </w:pPr>
            <w:r w:rsidRPr="00B84103">
              <w:rPr>
                <w:sz w:val="20"/>
                <w:szCs w:val="20"/>
              </w:rPr>
              <w:t>p-value</w:t>
            </w:r>
          </w:p>
        </w:tc>
        <w:tc>
          <w:tcPr>
            <w:tcW w:w="960" w:type="dxa"/>
            <w:tcBorders>
              <w:top w:val="single" w:sz="4" w:space="0" w:color="auto"/>
              <w:left w:val="nil"/>
              <w:bottom w:val="single" w:sz="4" w:space="0" w:color="auto"/>
              <w:right w:val="nil"/>
            </w:tcBorders>
            <w:shd w:val="clear" w:color="auto" w:fill="auto"/>
            <w:noWrap/>
            <w:vAlign w:val="bottom"/>
            <w:hideMark/>
          </w:tcPr>
          <w:p w:rsidR="00A62DE6" w:rsidRPr="00B84103" w:rsidRDefault="00A62DE6" w:rsidP="00C10F63">
            <w:pPr>
              <w:jc w:val="right"/>
              <w:rPr>
                <w:sz w:val="20"/>
                <w:szCs w:val="20"/>
              </w:rPr>
            </w:pPr>
            <w:r w:rsidRPr="00B84103">
              <w:rPr>
                <w:sz w:val="20"/>
                <w:szCs w:val="20"/>
              </w:rPr>
              <w:t>2.5%</w:t>
            </w:r>
          </w:p>
        </w:tc>
        <w:tc>
          <w:tcPr>
            <w:tcW w:w="960" w:type="dxa"/>
            <w:tcBorders>
              <w:top w:val="single" w:sz="4" w:space="0" w:color="auto"/>
              <w:left w:val="nil"/>
              <w:bottom w:val="single" w:sz="4" w:space="0" w:color="auto"/>
              <w:right w:val="nil"/>
            </w:tcBorders>
            <w:shd w:val="clear" w:color="auto" w:fill="auto"/>
            <w:noWrap/>
            <w:vAlign w:val="bottom"/>
            <w:hideMark/>
          </w:tcPr>
          <w:p w:rsidR="00A62DE6" w:rsidRPr="00B84103" w:rsidRDefault="00A62DE6" w:rsidP="00C10F63">
            <w:pPr>
              <w:jc w:val="right"/>
              <w:rPr>
                <w:sz w:val="20"/>
                <w:szCs w:val="20"/>
              </w:rPr>
            </w:pPr>
            <w:r w:rsidRPr="00B84103">
              <w:rPr>
                <w:sz w:val="20"/>
                <w:szCs w:val="20"/>
              </w:rPr>
              <w:t>97.5%</w:t>
            </w:r>
          </w:p>
        </w:tc>
      </w:tr>
      <w:tr w:rsidR="00A62DE6" w:rsidRPr="00B84103" w:rsidTr="006314CD">
        <w:trPr>
          <w:trHeight w:val="300"/>
        </w:trPr>
        <w:tc>
          <w:tcPr>
            <w:tcW w:w="8973" w:type="dxa"/>
            <w:gridSpan w:val="8"/>
            <w:tcBorders>
              <w:top w:val="nil"/>
              <w:left w:val="nil"/>
              <w:bottom w:val="nil"/>
              <w:right w:val="nil"/>
            </w:tcBorders>
            <w:shd w:val="clear" w:color="auto" w:fill="auto"/>
            <w:noWrap/>
            <w:vAlign w:val="bottom"/>
          </w:tcPr>
          <w:p w:rsidR="00A62DE6" w:rsidRPr="001A7C72" w:rsidRDefault="00A62DE6" w:rsidP="00C10F63">
            <w:pPr>
              <w:jc w:val="center"/>
              <w:rPr>
                <w:rFonts w:eastAsia="Times New Roman"/>
                <w:i/>
                <w:color w:val="000000"/>
                <w:sz w:val="20"/>
                <w:szCs w:val="20"/>
              </w:rPr>
            </w:pPr>
            <w:r w:rsidRPr="001A7C72">
              <w:rPr>
                <w:rFonts w:eastAsia="Times New Roman"/>
                <w:i/>
                <w:color w:val="000000"/>
                <w:sz w:val="20"/>
                <w:szCs w:val="20"/>
              </w:rPr>
              <w:t>Random parameters in utility functions</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1.060</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0.110</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9.62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0.844</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1.276</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sz w:val="20"/>
                <w:szCs w:val="20"/>
              </w:rPr>
            </w:pPr>
            <w:proofErr w:type="spellStart"/>
            <w:r w:rsidRPr="00B84103">
              <w:rPr>
                <w:sz w:val="20"/>
                <w:szCs w:val="20"/>
              </w:rPr>
              <w:t>WoodBurner</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0.510</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0.102</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5.02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0.311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0.709</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sz w:val="20"/>
                <w:szCs w:val="20"/>
              </w:rPr>
            </w:pPr>
            <w:r w:rsidRPr="00B84103">
              <w:rPr>
                <w:sz w:val="20"/>
                <w:szCs w:val="20"/>
              </w:rPr>
              <w:t>Elect _Heating</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0.166</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0.120</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1.38</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0.1665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-0.069</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0.402</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sz w:val="20"/>
                <w:szCs w:val="20"/>
              </w:rPr>
            </w:pPr>
            <w:proofErr w:type="spellStart"/>
            <w:r>
              <w:rPr>
                <w:sz w:val="20"/>
                <w:szCs w:val="20"/>
              </w:rPr>
              <w:t>Gas</w:t>
            </w:r>
            <w:r w:rsidRPr="00B84103">
              <w:rPr>
                <w:sz w:val="20"/>
                <w:szCs w:val="20"/>
              </w:rPr>
              <w:t>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0.015</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0.074</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0.8338</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-0.129</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0.160</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sz w:val="20"/>
                <w:szCs w:val="20"/>
              </w:rPr>
            </w:pPr>
            <w:proofErr w:type="spellStart"/>
            <w:r w:rsidRPr="00B84103">
              <w:rPr>
                <w:sz w:val="20"/>
                <w:szCs w:val="20"/>
              </w:rPr>
              <w:t>Heat_Pump</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0.527</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0.113</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4.67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0.306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0.748</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sz w:val="20"/>
                <w:szCs w:val="20"/>
              </w:rPr>
            </w:pPr>
            <w:r w:rsidRPr="00B84103">
              <w:rPr>
                <w:sz w:val="20"/>
                <w:szCs w:val="20"/>
              </w:rPr>
              <w:t>Dehumidifier</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0.334</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0.096</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3.47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0.0005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0.145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0.522</w:t>
            </w:r>
          </w:p>
        </w:tc>
      </w:tr>
      <w:tr w:rsidR="00A62DE6" w:rsidRPr="00B84103" w:rsidTr="006314CD">
        <w:trPr>
          <w:trHeight w:val="300"/>
        </w:trPr>
        <w:tc>
          <w:tcPr>
            <w:tcW w:w="8973" w:type="dxa"/>
            <w:gridSpan w:val="8"/>
            <w:tcBorders>
              <w:top w:val="nil"/>
              <w:left w:val="nil"/>
              <w:bottom w:val="nil"/>
              <w:right w:val="nil"/>
            </w:tcBorders>
            <w:shd w:val="clear" w:color="auto" w:fill="auto"/>
            <w:noWrap/>
            <w:vAlign w:val="bottom"/>
            <w:hideMark/>
          </w:tcPr>
          <w:p w:rsidR="00A62DE6" w:rsidRPr="001A7C72" w:rsidRDefault="00A62DE6" w:rsidP="00C10F63">
            <w:pPr>
              <w:jc w:val="center"/>
              <w:rPr>
                <w:rFonts w:eastAsia="Times New Roman"/>
                <w:i/>
                <w:color w:val="000000"/>
                <w:sz w:val="20"/>
                <w:szCs w:val="20"/>
              </w:rPr>
            </w:pPr>
            <w:r w:rsidRPr="001A7C72">
              <w:rPr>
                <w:rFonts w:eastAsia="Times New Roman"/>
                <w:i/>
                <w:color w:val="000000"/>
                <w:sz w:val="20"/>
                <w:szCs w:val="20"/>
              </w:rPr>
              <w:t>Nonrandom parameters in utility functions</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sz w:val="20"/>
                <w:szCs w:val="20"/>
              </w:rPr>
              <w:t>ASC for LHS alt</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0.318</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0.066</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4.85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0.189</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0.446</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Pr>
                <w:rFonts w:eastAsia="Times New Roman"/>
                <w:color w:val="000000"/>
                <w:sz w:val="20"/>
                <w:szCs w:val="20"/>
              </w:rPr>
              <w:t>Rent</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-0.100</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0.008</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-11.83</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-0.117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-0.084</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535B31">
              <w:t xml:space="preserve">Rent </w:t>
            </w:r>
            <w:r>
              <w:sym w:font="Symbol" w:char="F0B4"/>
            </w:r>
            <w:r w:rsidRPr="00535B31">
              <w:t xml:space="preserve"> own house</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-0.058</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0.021</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-2.78</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0.0054</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-0.099</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-0.017</w:t>
            </w:r>
          </w:p>
        </w:tc>
      </w:tr>
      <w:tr w:rsidR="00A62DE6" w:rsidRPr="00B84103" w:rsidTr="006314CD">
        <w:trPr>
          <w:trHeight w:val="300"/>
        </w:trPr>
        <w:tc>
          <w:tcPr>
            <w:tcW w:w="8973" w:type="dxa"/>
            <w:gridSpan w:val="8"/>
            <w:tcBorders>
              <w:top w:val="nil"/>
              <w:left w:val="nil"/>
              <w:bottom w:val="nil"/>
              <w:right w:val="nil"/>
            </w:tcBorders>
            <w:shd w:val="clear" w:color="auto" w:fill="auto"/>
            <w:noWrap/>
            <w:vAlign w:val="bottom"/>
            <w:hideMark/>
          </w:tcPr>
          <w:p w:rsidR="00A62DE6" w:rsidRPr="001A7C72" w:rsidRDefault="00A62DE6" w:rsidP="00C10F63">
            <w:pPr>
              <w:jc w:val="center"/>
              <w:rPr>
                <w:rFonts w:eastAsia="Times New Roman"/>
                <w:i/>
                <w:color w:val="000000"/>
                <w:sz w:val="20"/>
                <w:szCs w:val="20"/>
              </w:rPr>
            </w:pPr>
            <w:r w:rsidRPr="001A7C72">
              <w:rPr>
                <w:rFonts w:eastAsia="Times New Roman"/>
                <w:i/>
                <w:color w:val="000000"/>
                <w:sz w:val="20"/>
                <w:szCs w:val="20"/>
              </w:rPr>
              <w:t xml:space="preserve">Diagonal values in </w:t>
            </w:r>
            <w:proofErr w:type="spellStart"/>
            <w:r w:rsidRPr="001A7C72">
              <w:rPr>
                <w:rFonts w:eastAsia="Times New Roman"/>
                <w:i/>
                <w:color w:val="000000"/>
                <w:sz w:val="20"/>
                <w:szCs w:val="20"/>
              </w:rPr>
              <w:t>Cholesky</w:t>
            </w:r>
            <w:proofErr w:type="spellEnd"/>
            <w:r w:rsidRPr="001A7C72">
              <w:rPr>
                <w:rFonts w:eastAsia="Times New Roman"/>
                <w:i/>
                <w:color w:val="000000"/>
                <w:sz w:val="20"/>
                <w:szCs w:val="20"/>
              </w:rPr>
              <w:t xml:space="preserve"> matrix L</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Pr>
                <w:rFonts w:eastAsia="Times New Roman"/>
                <w:color w:val="000000"/>
                <w:sz w:val="20"/>
                <w:szCs w:val="20"/>
              </w:rPr>
              <w:t xml:space="preserve">Ns </w:t>
            </w:r>
            <w:r w:rsidRPr="00B84103">
              <w:rPr>
                <w:rFonts w:eastAsia="Times New Roman"/>
                <w:color w:val="000000"/>
                <w:sz w:val="20"/>
                <w:szCs w:val="20"/>
              </w:rPr>
              <w:t>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0.867</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0.155</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5.61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0.564</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1.170</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Ns</w:t>
            </w:r>
            <w:r>
              <w:rPr>
                <w:rFonts w:eastAsia="Times New Roman"/>
                <w:color w:val="000000"/>
                <w:sz w:val="20"/>
                <w:szCs w:val="20"/>
              </w:rPr>
              <w:t xml:space="preserve"> </w:t>
            </w:r>
            <w:proofErr w:type="spellStart"/>
            <w:r w:rsidRPr="00B84103">
              <w:rPr>
                <w:sz w:val="20"/>
                <w:szCs w:val="20"/>
              </w:rPr>
              <w:t>WoodBurner</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0.603</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0.162</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3.72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0.0002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0.286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0.920</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Ns</w:t>
            </w:r>
            <w:r>
              <w:rPr>
                <w:rFonts w:eastAsia="Times New Roman"/>
                <w:color w:val="000000"/>
                <w:sz w:val="20"/>
                <w:szCs w:val="20"/>
              </w:rPr>
              <w:t xml:space="preserve"> </w:t>
            </w:r>
            <w:proofErr w:type="spellStart"/>
            <w:r w:rsidRPr="00B84103">
              <w:rPr>
                <w:sz w:val="20"/>
                <w:szCs w:val="20"/>
              </w:rPr>
              <w:t>Elect_Heating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0.636</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0.192</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3.31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0.0009</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0.260</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1.013</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Ns</w:t>
            </w:r>
            <w:r w:rsidRPr="00B84103">
              <w:rPr>
                <w:sz w:val="20"/>
                <w:szCs w:val="20"/>
              </w:rPr>
              <w:t xml:space="preserve"> </w:t>
            </w:r>
            <w:proofErr w:type="spellStart"/>
            <w:r w:rsidRPr="00B84103">
              <w:rPr>
                <w:sz w:val="20"/>
                <w:szCs w:val="20"/>
              </w:rPr>
              <w:t>Gas_Heating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0.002</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0.152</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0.9894</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-0.296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0.300</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Ns</w:t>
            </w:r>
            <w:r w:rsidRPr="00B84103">
              <w:rPr>
                <w:sz w:val="20"/>
                <w:szCs w:val="20"/>
              </w:rPr>
              <w:t xml:space="preserve"> </w:t>
            </w:r>
            <w:proofErr w:type="spellStart"/>
            <w:r w:rsidRPr="00B84103">
              <w:rPr>
                <w:sz w:val="20"/>
                <w:szCs w:val="20"/>
              </w:rPr>
              <w:t>Heat_Pump</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0.332</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0.363</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0.361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-0.380</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1.043</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Ns</w:t>
            </w:r>
            <w:r w:rsidRPr="00B84103">
              <w:rPr>
                <w:sz w:val="20"/>
                <w:szCs w:val="20"/>
              </w:rPr>
              <w:t xml:space="preserve"> Dehumidifier</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0.005</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0.207</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0.9815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0.411</w:t>
            </w:r>
          </w:p>
        </w:tc>
      </w:tr>
      <w:tr w:rsidR="00A62DE6" w:rsidRPr="00B84103" w:rsidTr="006314CD">
        <w:trPr>
          <w:trHeight w:val="300"/>
        </w:trPr>
        <w:tc>
          <w:tcPr>
            <w:tcW w:w="8973" w:type="dxa"/>
            <w:gridSpan w:val="8"/>
            <w:tcBorders>
              <w:top w:val="nil"/>
              <w:left w:val="nil"/>
              <w:bottom w:val="nil"/>
              <w:right w:val="nil"/>
            </w:tcBorders>
            <w:shd w:val="clear" w:color="auto" w:fill="auto"/>
            <w:noWrap/>
            <w:vAlign w:val="bottom"/>
            <w:hideMark/>
          </w:tcPr>
          <w:p w:rsidR="00A62DE6" w:rsidRPr="001A7C72" w:rsidRDefault="00A62DE6" w:rsidP="00C10F63">
            <w:pPr>
              <w:jc w:val="center"/>
              <w:rPr>
                <w:rFonts w:eastAsia="Times New Roman"/>
                <w:i/>
                <w:color w:val="000000"/>
                <w:sz w:val="20"/>
                <w:szCs w:val="20"/>
              </w:rPr>
            </w:pPr>
            <w:r w:rsidRPr="001A7C72">
              <w:rPr>
                <w:rFonts w:eastAsia="Times New Roman"/>
                <w:i/>
                <w:color w:val="000000"/>
                <w:sz w:val="20"/>
                <w:szCs w:val="20"/>
              </w:rPr>
              <w:t xml:space="preserve">Below diagonal values in L matrix. </w:t>
            </w:r>
            <w:r w:rsidRPr="001A7C72">
              <w:rPr>
                <w:rFonts w:eastAsia="Times New Roman"/>
                <w:i/>
                <w:color w:val="000000"/>
                <w:sz w:val="20"/>
                <w:szCs w:val="20"/>
              </w:rPr>
              <w:sym w:font="Symbol" w:char="F057"/>
            </w:r>
            <w:r w:rsidRPr="001A7C72">
              <w:rPr>
                <w:rFonts w:eastAsia="Times New Roman"/>
                <w:i/>
                <w:color w:val="000000"/>
                <w:sz w:val="20"/>
                <w:szCs w:val="20"/>
              </w:rPr>
              <w:t xml:space="preserve"> = L L</w:t>
            </w:r>
            <w:r w:rsidRPr="001A7C72">
              <w:rPr>
                <w:rFonts w:eastAsia="Times New Roman"/>
                <w:i/>
                <w:color w:val="000000"/>
                <w:sz w:val="20"/>
                <w:szCs w:val="20"/>
                <w:vertAlign w:val="superscript"/>
              </w:rPr>
              <w:t>T</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WoodBurner</w:t>
            </w:r>
            <w:proofErr w:type="spellEnd"/>
            <w:r w:rsidRPr="00B84103">
              <w:rPr>
                <w:rFonts w:eastAsia="Times New Roman"/>
                <w:color w:val="000000"/>
                <w:sz w:val="20"/>
                <w:szCs w:val="20"/>
              </w:rPr>
              <w:t>: 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0.095</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0.205</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0.6422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-0.306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0.497</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Elect_Heating</w:t>
            </w:r>
            <w:proofErr w:type="spellEnd"/>
            <w:r w:rsidRPr="00B84103">
              <w:rPr>
                <w:rFonts w:eastAsia="Times New Roman"/>
                <w:color w:val="000000"/>
                <w:sz w:val="20"/>
                <w:szCs w:val="20"/>
              </w:rPr>
              <w:t>: 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0.253</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0.250</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0.3107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-0.236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0.742</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Elect_Heating</w:t>
            </w:r>
            <w:proofErr w:type="spellEnd"/>
            <w:r w:rsidRPr="00B84103">
              <w:rPr>
                <w:rFonts w:eastAsia="Times New Roman"/>
                <w:color w:val="000000"/>
                <w:sz w:val="20"/>
                <w:szCs w:val="20"/>
              </w:rPr>
              <w:t>:</w:t>
            </w:r>
            <w:r w:rsidRPr="00B84103">
              <w:rPr>
                <w:sz w:val="20"/>
                <w:szCs w:val="20"/>
              </w:rPr>
              <w:t xml:space="preserve"> </w:t>
            </w:r>
            <w:proofErr w:type="spellStart"/>
            <w:r w:rsidRPr="00B84103">
              <w:rPr>
                <w:sz w:val="20"/>
                <w:szCs w:val="20"/>
              </w:rPr>
              <w:t>WoodBurner</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-0.220</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0.255</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0.3895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-0.720</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0.281</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Gas_Heating</w:t>
            </w:r>
            <w:proofErr w:type="spellEnd"/>
            <w:r w:rsidRPr="00B84103">
              <w:rPr>
                <w:rFonts w:eastAsia="Times New Roman"/>
                <w:color w:val="000000"/>
                <w:sz w:val="20"/>
                <w:szCs w:val="20"/>
              </w:rPr>
              <w:t>: 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0.134</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0.106</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1.26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0.2083</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-0.075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0.343</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Gas_Heating</w:t>
            </w:r>
            <w:proofErr w:type="spellEnd"/>
            <w:r w:rsidRPr="00B84103">
              <w:rPr>
                <w:rFonts w:eastAsia="Times New Roman"/>
                <w:color w:val="000000"/>
                <w:sz w:val="20"/>
                <w:szCs w:val="20"/>
              </w:rPr>
              <w:t>:</w:t>
            </w:r>
            <w:r w:rsidRPr="00B84103">
              <w:rPr>
                <w:sz w:val="20"/>
                <w:szCs w:val="20"/>
              </w:rPr>
              <w:t xml:space="preserve"> </w:t>
            </w:r>
            <w:proofErr w:type="spellStart"/>
            <w:r w:rsidRPr="00B84103">
              <w:rPr>
                <w:sz w:val="20"/>
                <w:szCs w:val="20"/>
              </w:rPr>
              <w:t>WoodBurner</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-0.004</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0.114</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-0.03</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0.9751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-0.228</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0.221</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Gas_Heating</w:t>
            </w:r>
            <w:proofErr w:type="spellEnd"/>
            <w:r w:rsidRPr="00B84103">
              <w:rPr>
                <w:rFonts w:eastAsia="Times New Roman"/>
                <w:color w:val="000000"/>
                <w:sz w:val="20"/>
                <w:szCs w:val="20"/>
              </w:rPr>
              <w:t>:</w:t>
            </w:r>
            <w:r w:rsidRPr="00B84103">
              <w:rPr>
                <w:sz w:val="20"/>
                <w:szCs w:val="20"/>
              </w:rPr>
              <w:t xml:space="preserve"> </w:t>
            </w:r>
            <w:proofErr w:type="spellStart"/>
            <w:r w:rsidRPr="00B84103">
              <w:rPr>
                <w:sz w:val="20"/>
                <w:szCs w:val="20"/>
              </w:rPr>
              <w:t>Elect_Heating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0.053</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0.117</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0.6515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-0.177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0.282</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Heat_Pump</w:t>
            </w:r>
            <w:proofErr w:type="spellEnd"/>
            <w:r w:rsidRPr="00B84103">
              <w:rPr>
                <w:rFonts w:eastAsia="Times New Roman"/>
                <w:color w:val="000000"/>
                <w:sz w:val="20"/>
                <w:szCs w:val="20"/>
              </w:rPr>
              <w:t>: 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0.733</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0.184</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3.98</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0.372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1.094</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Heat_Pump</w:t>
            </w:r>
            <w:proofErr w:type="spellEnd"/>
            <w:r w:rsidRPr="00B84103">
              <w:rPr>
                <w:rFonts w:eastAsia="Times New Roman"/>
                <w:color w:val="000000"/>
                <w:sz w:val="20"/>
                <w:szCs w:val="20"/>
              </w:rPr>
              <w:t>:</w:t>
            </w:r>
            <w:r w:rsidRPr="00B84103">
              <w:rPr>
                <w:sz w:val="20"/>
                <w:szCs w:val="20"/>
              </w:rPr>
              <w:t xml:space="preserve"> </w:t>
            </w:r>
            <w:proofErr w:type="spellStart"/>
            <w:r w:rsidRPr="00B84103">
              <w:rPr>
                <w:sz w:val="20"/>
                <w:szCs w:val="20"/>
              </w:rPr>
              <w:t>WoodBurner</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0.430</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0.241</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1.78</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0.0744</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-0.042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0.903</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Heat_Pump</w:t>
            </w:r>
            <w:proofErr w:type="spellEnd"/>
            <w:r w:rsidRPr="00B84103">
              <w:rPr>
                <w:rFonts w:eastAsia="Times New Roman"/>
                <w:color w:val="000000"/>
                <w:sz w:val="20"/>
                <w:szCs w:val="20"/>
              </w:rPr>
              <w:t>:</w:t>
            </w:r>
            <w:r w:rsidRPr="00B84103">
              <w:rPr>
                <w:sz w:val="20"/>
                <w:szCs w:val="20"/>
              </w:rPr>
              <w:t xml:space="preserve"> </w:t>
            </w:r>
            <w:proofErr w:type="spellStart"/>
            <w:r w:rsidRPr="00B84103">
              <w:rPr>
                <w:sz w:val="20"/>
                <w:szCs w:val="20"/>
              </w:rPr>
              <w:t>Elect_Heating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0.319</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0.293</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1.09</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0.2755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-0.255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0.893</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sz w:val="20"/>
                <w:szCs w:val="20"/>
              </w:rPr>
              <w:t>Heat_Pump</w:t>
            </w:r>
            <w:proofErr w:type="spellEnd"/>
            <w:r w:rsidRPr="00B84103">
              <w:rPr>
                <w:rFonts w:eastAsia="Times New Roman"/>
                <w:color w:val="000000"/>
                <w:sz w:val="20"/>
                <w:szCs w:val="20"/>
              </w:rPr>
              <w:t>:</w:t>
            </w:r>
            <w:r w:rsidRPr="00B84103">
              <w:rPr>
                <w:sz w:val="20"/>
                <w:szCs w:val="20"/>
              </w:rPr>
              <w:t xml:space="preserve"> </w:t>
            </w:r>
            <w:proofErr w:type="spellStart"/>
            <w:r w:rsidRPr="00B84103">
              <w:rPr>
                <w:sz w:val="20"/>
                <w:szCs w:val="20"/>
              </w:rPr>
              <w:t>Gas_Heating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-0.122</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0.510</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-0.24</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0.8106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-1.121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0.877</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sz w:val="20"/>
                <w:szCs w:val="20"/>
              </w:rPr>
              <w:t>Dehumidifier</w:t>
            </w:r>
            <w:r w:rsidRPr="00B84103">
              <w:rPr>
                <w:rFonts w:eastAsia="Times New Roman"/>
                <w:color w:val="000000"/>
                <w:sz w:val="20"/>
                <w:szCs w:val="20"/>
              </w:rPr>
              <w:t>: 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0.225</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0.169</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1.33</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0.1823</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-0.106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0.555</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sz w:val="20"/>
                <w:szCs w:val="20"/>
              </w:rPr>
              <w:t>Dehumidifier</w:t>
            </w:r>
            <w:r w:rsidRPr="00B84103">
              <w:rPr>
                <w:rFonts w:eastAsia="Times New Roman"/>
                <w:color w:val="000000"/>
                <w:sz w:val="20"/>
                <w:szCs w:val="20"/>
              </w:rPr>
              <w:t>:</w:t>
            </w:r>
            <w:r w:rsidRPr="00B84103">
              <w:rPr>
                <w:sz w:val="20"/>
                <w:szCs w:val="20"/>
              </w:rPr>
              <w:t xml:space="preserve"> </w:t>
            </w:r>
            <w:proofErr w:type="spellStart"/>
            <w:r w:rsidRPr="00B84103">
              <w:rPr>
                <w:sz w:val="20"/>
                <w:szCs w:val="20"/>
              </w:rPr>
              <w:t>WoodBurner</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-0.356</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0.208</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-1.71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0.0867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-0.762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0.051</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sz w:val="20"/>
                <w:szCs w:val="20"/>
              </w:rPr>
              <w:t>Dehumidifier</w:t>
            </w:r>
            <w:r w:rsidRPr="00B84103">
              <w:rPr>
                <w:rFonts w:eastAsia="Times New Roman"/>
                <w:color w:val="000000"/>
                <w:sz w:val="20"/>
                <w:szCs w:val="20"/>
              </w:rPr>
              <w:t>:</w:t>
            </w:r>
            <w:r w:rsidRPr="00B84103">
              <w:rPr>
                <w:sz w:val="20"/>
                <w:szCs w:val="20"/>
              </w:rPr>
              <w:t xml:space="preserve"> </w:t>
            </w:r>
            <w:proofErr w:type="spellStart"/>
            <w:r w:rsidRPr="00B84103">
              <w:rPr>
                <w:sz w:val="20"/>
                <w:szCs w:val="20"/>
              </w:rPr>
              <w:t>Elect_Heating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0.437</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0.180</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2.43</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0.0151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0.085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0.789</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sz w:val="20"/>
                <w:szCs w:val="20"/>
              </w:rPr>
              <w:t>Dehumidifier</w:t>
            </w:r>
            <w:r w:rsidRPr="00B84103">
              <w:rPr>
                <w:rFonts w:eastAsia="Times New Roman"/>
                <w:color w:val="000000"/>
                <w:sz w:val="20"/>
                <w:szCs w:val="20"/>
              </w:rPr>
              <w:t>:</w:t>
            </w:r>
            <w:r w:rsidRPr="00B84103">
              <w:rPr>
                <w:sz w:val="20"/>
                <w:szCs w:val="20"/>
              </w:rPr>
              <w:t xml:space="preserve"> </w:t>
            </w:r>
            <w:proofErr w:type="spellStart"/>
            <w:r w:rsidRPr="00B84103">
              <w:rPr>
                <w:sz w:val="20"/>
                <w:szCs w:val="20"/>
              </w:rPr>
              <w:t>Gas_Heating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-0.003</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0.209</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0.9891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-0.412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0.406</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sz w:val="20"/>
                <w:szCs w:val="20"/>
              </w:rPr>
              <w:t>Dehumidifier</w:t>
            </w:r>
            <w:r w:rsidRPr="00B84103">
              <w:rPr>
                <w:rFonts w:eastAsia="Times New Roman"/>
                <w:color w:val="000000"/>
                <w:sz w:val="20"/>
                <w:szCs w:val="20"/>
              </w:rPr>
              <w:t xml:space="preserve">: </w:t>
            </w:r>
            <w:proofErr w:type="spellStart"/>
            <w:r w:rsidRPr="00B84103">
              <w:rPr>
                <w:sz w:val="20"/>
                <w:szCs w:val="20"/>
              </w:rPr>
              <w:t>Heat_Pump</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0.013</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0.194</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0.9467</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-0.368</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0.394</w:t>
            </w:r>
          </w:p>
        </w:tc>
      </w:tr>
      <w:tr w:rsidR="00A62DE6" w:rsidRPr="00B84103" w:rsidTr="006314CD">
        <w:trPr>
          <w:trHeight w:val="300"/>
        </w:trPr>
        <w:tc>
          <w:tcPr>
            <w:tcW w:w="8973" w:type="dxa"/>
            <w:gridSpan w:val="8"/>
            <w:tcBorders>
              <w:top w:val="nil"/>
              <w:left w:val="nil"/>
              <w:bottom w:val="nil"/>
              <w:right w:val="nil"/>
            </w:tcBorders>
            <w:shd w:val="clear" w:color="auto" w:fill="auto"/>
            <w:noWrap/>
            <w:vAlign w:val="bottom"/>
            <w:hideMark/>
          </w:tcPr>
          <w:p w:rsidR="00A62DE6" w:rsidRPr="001A7C72" w:rsidRDefault="00A62DE6" w:rsidP="00C10F63">
            <w:pPr>
              <w:jc w:val="center"/>
              <w:rPr>
                <w:rFonts w:eastAsia="Times New Roman"/>
                <w:i/>
                <w:color w:val="000000"/>
                <w:sz w:val="20"/>
                <w:szCs w:val="20"/>
              </w:rPr>
            </w:pPr>
            <w:r w:rsidRPr="001A7C72">
              <w:rPr>
                <w:rFonts w:eastAsia="Times New Roman"/>
                <w:i/>
                <w:color w:val="000000"/>
                <w:sz w:val="20"/>
                <w:szCs w:val="20"/>
              </w:rPr>
              <w:t>Implied Standard deviations of parameter distributions</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rFonts w:eastAsia="Times New Roman"/>
                <w:color w:val="000000"/>
                <w:sz w:val="20"/>
                <w:szCs w:val="20"/>
              </w:rPr>
              <w:t>sd</w:t>
            </w:r>
            <w:proofErr w:type="spellEnd"/>
            <w:r w:rsidRPr="00B84103">
              <w:rPr>
                <w:rFonts w:eastAsia="Times New Roman"/>
                <w:color w:val="000000"/>
                <w:sz w:val="20"/>
                <w:szCs w:val="20"/>
              </w:rPr>
              <w:t xml:space="preserve"> HRV</w:t>
            </w:r>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0.867</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0.155</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5.61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0.564</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1.170</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rFonts w:eastAsia="Times New Roman"/>
                <w:color w:val="000000"/>
                <w:sz w:val="20"/>
                <w:szCs w:val="20"/>
              </w:rPr>
              <w:t>sd</w:t>
            </w:r>
            <w:proofErr w:type="spellEnd"/>
            <w:r w:rsidRPr="00B84103">
              <w:rPr>
                <w:sz w:val="20"/>
                <w:szCs w:val="20"/>
              </w:rPr>
              <w:t xml:space="preserve"> </w:t>
            </w:r>
            <w:proofErr w:type="spellStart"/>
            <w:r w:rsidRPr="00B84103">
              <w:rPr>
                <w:sz w:val="20"/>
                <w:szCs w:val="20"/>
              </w:rPr>
              <w:t>WoodBurner</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0.611</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0.163</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3.75</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0.0002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0.291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0.930</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rFonts w:eastAsia="Times New Roman"/>
                <w:color w:val="000000"/>
                <w:sz w:val="20"/>
                <w:szCs w:val="20"/>
              </w:rPr>
              <w:t>sd</w:t>
            </w:r>
            <w:proofErr w:type="spellEnd"/>
            <w:r w:rsidRPr="00B84103">
              <w:rPr>
                <w:sz w:val="20"/>
                <w:szCs w:val="20"/>
              </w:rPr>
              <w:t xml:space="preserve"> </w:t>
            </w:r>
            <w:proofErr w:type="spellStart"/>
            <w:r w:rsidRPr="00B84103">
              <w:rPr>
                <w:sz w:val="20"/>
                <w:szCs w:val="20"/>
              </w:rPr>
              <w:t>Elect_Heating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0.719</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0.188</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3.82</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0.350</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1.088</w:t>
            </w:r>
          </w:p>
        </w:tc>
      </w:tr>
      <w:tr w:rsidR="00A62DE6" w:rsidRPr="00B84103" w:rsidTr="006314CD">
        <w:trPr>
          <w:trHeight w:val="300"/>
        </w:trPr>
        <w:tc>
          <w:tcPr>
            <w:tcW w:w="280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rFonts w:eastAsia="Times New Roman"/>
                <w:color w:val="000000"/>
                <w:sz w:val="20"/>
                <w:szCs w:val="20"/>
              </w:rPr>
              <w:t>sd</w:t>
            </w:r>
            <w:proofErr w:type="spellEnd"/>
            <w:r w:rsidRPr="00B84103">
              <w:rPr>
                <w:sz w:val="20"/>
                <w:szCs w:val="20"/>
              </w:rPr>
              <w:t xml:space="preserve"> </w:t>
            </w:r>
            <w:proofErr w:type="spellStart"/>
            <w:r w:rsidRPr="00B84103">
              <w:rPr>
                <w:sz w:val="20"/>
                <w:szCs w:val="20"/>
              </w:rPr>
              <w:t>Gas_Heating</w:t>
            </w:r>
            <w:proofErr w:type="spellEnd"/>
          </w:p>
        </w:tc>
        <w:tc>
          <w:tcPr>
            <w:tcW w:w="81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0.144</w:t>
            </w:r>
          </w:p>
        </w:tc>
        <w:tc>
          <w:tcPr>
            <w:tcW w:w="675" w:type="dxa"/>
            <w:tcBorders>
              <w:top w:val="nil"/>
              <w:left w:val="nil"/>
              <w:bottom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
        </w:tc>
        <w:tc>
          <w:tcPr>
            <w:tcW w:w="839"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0.102</w:t>
            </w:r>
          </w:p>
        </w:tc>
        <w:tc>
          <w:tcPr>
            <w:tcW w:w="964"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1.41</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0.1579</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-0.056</w:t>
            </w:r>
          </w:p>
        </w:tc>
        <w:tc>
          <w:tcPr>
            <w:tcW w:w="960" w:type="dxa"/>
            <w:tcBorders>
              <w:top w:val="nil"/>
              <w:left w:val="nil"/>
              <w:bottom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0.344</w:t>
            </w:r>
          </w:p>
        </w:tc>
      </w:tr>
      <w:tr w:rsidR="00A62DE6" w:rsidRPr="00B84103" w:rsidTr="006314CD">
        <w:trPr>
          <w:trHeight w:val="300"/>
        </w:trPr>
        <w:tc>
          <w:tcPr>
            <w:tcW w:w="2805" w:type="dxa"/>
            <w:tcBorders>
              <w:top w:val="nil"/>
              <w:left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rFonts w:eastAsia="Times New Roman"/>
                <w:color w:val="000000"/>
                <w:sz w:val="20"/>
                <w:szCs w:val="20"/>
              </w:rPr>
              <w:t>sd</w:t>
            </w:r>
            <w:proofErr w:type="spellEnd"/>
            <w:r w:rsidRPr="00B84103">
              <w:rPr>
                <w:sz w:val="20"/>
                <w:szCs w:val="20"/>
              </w:rPr>
              <w:t xml:space="preserve"> </w:t>
            </w:r>
            <w:proofErr w:type="spellStart"/>
            <w:r w:rsidRPr="00B84103">
              <w:rPr>
                <w:sz w:val="20"/>
                <w:szCs w:val="20"/>
              </w:rPr>
              <w:t>Heat_Pump</w:t>
            </w:r>
            <w:proofErr w:type="spellEnd"/>
          </w:p>
        </w:tc>
        <w:tc>
          <w:tcPr>
            <w:tcW w:w="810" w:type="dxa"/>
            <w:tcBorders>
              <w:top w:val="nil"/>
              <w:left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0.974</w:t>
            </w:r>
          </w:p>
        </w:tc>
        <w:tc>
          <w:tcPr>
            <w:tcW w:w="675" w:type="dxa"/>
            <w:tcBorders>
              <w:top w:val="nil"/>
              <w:left w:val="nil"/>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0.196</w:t>
            </w:r>
          </w:p>
        </w:tc>
        <w:tc>
          <w:tcPr>
            <w:tcW w:w="964" w:type="dxa"/>
            <w:tcBorders>
              <w:top w:val="nil"/>
              <w:left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4.97</w:t>
            </w:r>
          </w:p>
        </w:tc>
        <w:tc>
          <w:tcPr>
            <w:tcW w:w="960" w:type="dxa"/>
            <w:tcBorders>
              <w:top w:val="nil"/>
              <w:left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sz w:val="20"/>
                <w:szCs w:val="20"/>
              </w:rPr>
              <w:t>&lt;0.0001</w:t>
            </w:r>
          </w:p>
        </w:tc>
        <w:tc>
          <w:tcPr>
            <w:tcW w:w="960" w:type="dxa"/>
            <w:tcBorders>
              <w:top w:val="nil"/>
              <w:left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0.590</w:t>
            </w:r>
          </w:p>
        </w:tc>
        <w:tc>
          <w:tcPr>
            <w:tcW w:w="960" w:type="dxa"/>
            <w:tcBorders>
              <w:top w:val="nil"/>
              <w:left w:val="nil"/>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1.359</w:t>
            </w:r>
          </w:p>
        </w:tc>
      </w:tr>
      <w:tr w:rsidR="00A62DE6" w:rsidRPr="00B84103" w:rsidTr="006314CD">
        <w:trPr>
          <w:trHeight w:val="300"/>
        </w:trPr>
        <w:tc>
          <w:tcPr>
            <w:tcW w:w="2805" w:type="dxa"/>
            <w:tcBorders>
              <w:top w:val="nil"/>
              <w:left w:val="nil"/>
              <w:bottom w:val="single" w:sz="4" w:space="0" w:color="auto"/>
              <w:right w:val="nil"/>
            </w:tcBorders>
            <w:shd w:val="clear" w:color="auto" w:fill="auto"/>
            <w:noWrap/>
            <w:vAlign w:val="bottom"/>
            <w:hideMark/>
          </w:tcPr>
          <w:p w:rsidR="00A62DE6" w:rsidRPr="00B84103" w:rsidRDefault="00A62DE6" w:rsidP="00C10F63">
            <w:pPr>
              <w:rPr>
                <w:rFonts w:eastAsia="Times New Roman"/>
                <w:color w:val="000000"/>
                <w:sz w:val="20"/>
                <w:szCs w:val="20"/>
              </w:rPr>
            </w:pPr>
            <w:proofErr w:type="spellStart"/>
            <w:r w:rsidRPr="00B84103">
              <w:rPr>
                <w:rFonts w:eastAsia="Times New Roman"/>
                <w:color w:val="000000"/>
                <w:sz w:val="20"/>
                <w:szCs w:val="20"/>
              </w:rPr>
              <w:t>sd</w:t>
            </w:r>
            <w:proofErr w:type="spellEnd"/>
            <w:r w:rsidRPr="00B84103">
              <w:rPr>
                <w:sz w:val="20"/>
                <w:szCs w:val="20"/>
              </w:rPr>
              <w:t xml:space="preserve"> Dehumidifier</w:t>
            </w:r>
          </w:p>
        </w:tc>
        <w:tc>
          <w:tcPr>
            <w:tcW w:w="810" w:type="dxa"/>
            <w:tcBorders>
              <w:top w:val="nil"/>
              <w:left w:val="nil"/>
              <w:bottom w:val="single" w:sz="4" w:space="0" w:color="auto"/>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0.607</w:t>
            </w:r>
          </w:p>
        </w:tc>
        <w:tc>
          <w:tcPr>
            <w:tcW w:w="675" w:type="dxa"/>
            <w:tcBorders>
              <w:top w:val="nil"/>
              <w:left w:val="nil"/>
              <w:bottom w:val="single" w:sz="4" w:space="0" w:color="auto"/>
              <w:right w:val="nil"/>
            </w:tcBorders>
            <w:shd w:val="clear" w:color="auto" w:fill="auto"/>
            <w:noWrap/>
            <w:vAlign w:val="bottom"/>
            <w:hideMark/>
          </w:tcPr>
          <w:p w:rsidR="00A62DE6" w:rsidRPr="00B84103" w:rsidRDefault="00A62DE6" w:rsidP="00C10F63">
            <w:pPr>
              <w:rPr>
                <w:rFonts w:eastAsia="Times New Roman"/>
                <w:color w:val="000000"/>
                <w:sz w:val="20"/>
                <w:szCs w:val="20"/>
              </w:rPr>
            </w:pPr>
            <w:r w:rsidRPr="00B84103">
              <w:rPr>
                <w:rFonts w:eastAsia="Times New Roman"/>
                <w:color w:val="000000"/>
                <w:sz w:val="20"/>
                <w:szCs w:val="20"/>
              </w:rPr>
              <w:t>***</w:t>
            </w:r>
          </w:p>
        </w:tc>
        <w:tc>
          <w:tcPr>
            <w:tcW w:w="839" w:type="dxa"/>
            <w:tcBorders>
              <w:top w:val="nil"/>
              <w:left w:val="nil"/>
              <w:bottom w:val="single" w:sz="4" w:space="0" w:color="auto"/>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0.194</w:t>
            </w:r>
          </w:p>
        </w:tc>
        <w:tc>
          <w:tcPr>
            <w:tcW w:w="964" w:type="dxa"/>
            <w:tcBorders>
              <w:top w:val="nil"/>
              <w:left w:val="nil"/>
              <w:bottom w:val="single" w:sz="4" w:space="0" w:color="auto"/>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3.12</w:t>
            </w:r>
          </w:p>
        </w:tc>
        <w:tc>
          <w:tcPr>
            <w:tcW w:w="960" w:type="dxa"/>
            <w:tcBorders>
              <w:top w:val="nil"/>
              <w:left w:val="nil"/>
              <w:bottom w:val="single" w:sz="4" w:space="0" w:color="auto"/>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0.0018</w:t>
            </w:r>
          </w:p>
        </w:tc>
        <w:tc>
          <w:tcPr>
            <w:tcW w:w="960" w:type="dxa"/>
            <w:tcBorders>
              <w:top w:val="nil"/>
              <w:left w:val="nil"/>
              <w:bottom w:val="single" w:sz="4" w:space="0" w:color="auto"/>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0.226</w:t>
            </w:r>
          </w:p>
        </w:tc>
        <w:tc>
          <w:tcPr>
            <w:tcW w:w="960" w:type="dxa"/>
            <w:tcBorders>
              <w:top w:val="nil"/>
              <w:left w:val="nil"/>
              <w:bottom w:val="single" w:sz="4" w:space="0" w:color="auto"/>
              <w:right w:val="nil"/>
            </w:tcBorders>
            <w:shd w:val="clear" w:color="auto" w:fill="auto"/>
            <w:noWrap/>
            <w:vAlign w:val="bottom"/>
            <w:hideMark/>
          </w:tcPr>
          <w:p w:rsidR="00A62DE6" w:rsidRPr="00B84103" w:rsidRDefault="00A62DE6" w:rsidP="00C10F63">
            <w:pPr>
              <w:jc w:val="right"/>
              <w:rPr>
                <w:rFonts w:eastAsia="Times New Roman"/>
                <w:color w:val="000000"/>
                <w:sz w:val="20"/>
                <w:szCs w:val="20"/>
              </w:rPr>
            </w:pPr>
            <w:r w:rsidRPr="00B84103">
              <w:rPr>
                <w:rFonts w:eastAsia="Times New Roman"/>
                <w:color w:val="000000"/>
                <w:sz w:val="20"/>
                <w:szCs w:val="20"/>
              </w:rPr>
              <w:t>0.987</w:t>
            </w:r>
          </w:p>
        </w:tc>
      </w:tr>
    </w:tbl>
    <w:p w:rsidR="00A62DE6" w:rsidRPr="003C2AD4" w:rsidRDefault="00A62DE6" w:rsidP="00A62DE6">
      <w:pPr>
        <w:rPr>
          <w:sz w:val="20"/>
        </w:rPr>
      </w:pPr>
      <w:proofErr w:type="gramStart"/>
      <w:r w:rsidRPr="003C2AD4">
        <w:rPr>
          <w:i/>
          <w:sz w:val="20"/>
        </w:rPr>
        <w:t xml:space="preserve">Notes: </w:t>
      </w:r>
      <w:r w:rsidRPr="003C2AD4">
        <w:rPr>
          <w:sz w:val="20"/>
        </w:rPr>
        <w:t>See Table 2.</w:t>
      </w:r>
      <w:proofErr w:type="gramEnd"/>
    </w:p>
    <w:p w:rsidR="00FF7EA4" w:rsidRDefault="00FF7EA4" w:rsidP="00FF7EA4">
      <w:pPr>
        <w:spacing w:line="300" w:lineRule="auto"/>
        <w:ind w:firstLine="720"/>
      </w:pPr>
    </w:p>
    <w:tbl>
      <w:tblPr>
        <w:tblW w:w="9583" w:type="dxa"/>
        <w:tblInd w:w="93" w:type="dxa"/>
        <w:tblLook w:val="04A0"/>
      </w:tblPr>
      <w:tblGrid>
        <w:gridCol w:w="1475"/>
        <w:gridCol w:w="933"/>
        <w:gridCol w:w="1678"/>
        <w:gridCol w:w="1475"/>
        <w:gridCol w:w="1365"/>
        <w:gridCol w:w="1255"/>
        <w:gridCol w:w="1402"/>
      </w:tblGrid>
      <w:tr w:rsidR="008A5740" w:rsidRPr="00535B31" w:rsidTr="00C10F63">
        <w:trPr>
          <w:trHeight w:val="300"/>
        </w:trPr>
        <w:tc>
          <w:tcPr>
            <w:tcW w:w="9583" w:type="dxa"/>
            <w:gridSpan w:val="7"/>
            <w:tcBorders>
              <w:top w:val="nil"/>
              <w:left w:val="nil"/>
              <w:bottom w:val="single" w:sz="4" w:space="0" w:color="auto"/>
              <w:right w:val="nil"/>
            </w:tcBorders>
            <w:shd w:val="clear" w:color="auto" w:fill="auto"/>
            <w:noWrap/>
            <w:vAlign w:val="bottom"/>
            <w:hideMark/>
          </w:tcPr>
          <w:p w:rsidR="00F3589B" w:rsidRDefault="00F3589B" w:rsidP="00C10F63">
            <w:pPr>
              <w:jc w:val="center"/>
              <w:rPr>
                <w:b/>
              </w:rPr>
            </w:pPr>
            <w:r>
              <w:rPr>
                <w:b/>
                <w:sz w:val="22"/>
                <w:szCs w:val="22"/>
              </w:rPr>
              <w:lastRenderedPageBreak/>
              <w:t xml:space="preserve">Table 4: Implied Correlation Structure of Random Parameters </w:t>
            </w:r>
          </w:p>
          <w:p w:rsidR="008A5740" w:rsidRPr="008A5740" w:rsidRDefault="00F3589B" w:rsidP="00C10F63">
            <w:pPr>
              <w:jc w:val="center"/>
              <w:rPr>
                <w:b/>
              </w:rPr>
            </w:pPr>
            <w:r>
              <w:rPr>
                <w:b/>
                <w:sz w:val="22"/>
                <w:szCs w:val="22"/>
              </w:rPr>
              <w:t>from Panel Mixed Logit M</w:t>
            </w:r>
            <w:r w:rsidR="008A5740" w:rsidRPr="008A5740">
              <w:rPr>
                <w:b/>
                <w:sz w:val="22"/>
                <w:szCs w:val="22"/>
              </w:rPr>
              <w:t>odel</w:t>
            </w:r>
          </w:p>
        </w:tc>
      </w:tr>
      <w:tr w:rsidR="008A5740" w:rsidRPr="00A60380" w:rsidTr="00C10F63">
        <w:trPr>
          <w:trHeight w:val="300"/>
        </w:trPr>
        <w:tc>
          <w:tcPr>
            <w:tcW w:w="1475" w:type="dxa"/>
            <w:tcBorders>
              <w:top w:val="single" w:sz="4" w:space="0" w:color="auto"/>
              <w:left w:val="nil"/>
              <w:bottom w:val="nil"/>
              <w:right w:val="nil"/>
            </w:tcBorders>
            <w:shd w:val="clear" w:color="auto" w:fill="auto"/>
            <w:noWrap/>
            <w:vAlign w:val="bottom"/>
            <w:hideMark/>
          </w:tcPr>
          <w:p w:rsidR="008A5740" w:rsidRPr="008A5740" w:rsidRDefault="008A5740" w:rsidP="00C10F63">
            <w:pPr>
              <w:rPr>
                <w:rFonts w:eastAsia="Times New Roman"/>
                <w:color w:val="000000"/>
              </w:rPr>
            </w:pPr>
          </w:p>
        </w:tc>
        <w:tc>
          <w:tcPr>
            <w:tcW w:w="933" w:type="dxa"/>
            <w:tcBorders>
              <w:top w:val="single" w:sz="4" w:space="0" w:color="auto"/>
              <w:left w:val="nil"/>
              <w:bottom w:val="single" w:sz="4" w:space="0" w:color="auto"/>
              <w:right w:val="nil"/>
            </w:tcBorders>
            <w:shd w:val="clear" w:color="auto" w:fill="auto"/>
            <w:noWrap/>
            <w:vAlign w:val="bottom"/>
            <w:hideMark/>
          </w:tcPr>
          <w:p w:rsidR="008A5740" w:rsidRPr="008A5740" w:rsidRDefault="008A5740" w:rsidP="00C10F63">
            <w:pPr>
              <w:rPr>
                <w:rFonts w:eastAsia="Times New Roman"/>
                <w:color w:val="000000"/>
              </w:rPr>
            </w:pPr>
            <w:r w:rsidRPr="008A5740">
              <w:rPr>
                <w:rFonts w:eastAsia="Times New Roman"/>
                <w:color w:val="000000"/>
                <w:sz w:val="22"/>
                <w:szCs w:val="22"/>
              </w:rPr>
              <w:t>HRV</w:t>
            </w:r>
          </w:p>
        </w:tc>
        <w:tc>
          <w:tcPr>
            <w:tcW w:w="1678" w:type="dxa"/>
            <w:tcBorders>
              <w:top w:val="single" w:sz="4" w:space="0" w:color="auto"/>
              <w:left w:val="nil"/>
              <w:bottom w:val="single" w:sz="4" w:space="0" w:color="auto"/>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WoodBurner</w:t>
            </w:r>
            <w:proofErr w:type="spellEnd"/>
          </w:p>
        </w:tc>
        <w:tc>
          <w:tcPr>
            <w:tcW w:w="1475" w:type="dxa"/>
            <w:tcBorders>
              <w:top w:val="single" w:sz="4" w:space="0" w:color="auto"/>
              <w:left w:val="nil"/>
              <w:bottom w:val="single" w:sz="4" w:space="0" w:color="auto"/>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Elect_Heating</w:t>
            </w:r>
            <w:proofErr w:type="spellEnd"/>
          </w:p>
        </w:tc>
        <w:tc>
          <w:tcPr>
            <w:tcW w:w="1365" w:type="dxa"/>
            <w:tcBorders>
              <w:top w:val="single" w:sz="4" w:space="0" w:color="auto"/>
              <w:left w:val="nil"/>
              <w:bottom w:val="single" w:sz="4" w:space="0" w:color="auto"/>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Gas_Heating</w:t>
            </w:r>
            <w:proofErr w:type="spellEnd"/>
          </w:p>
        </w:tc>
        <w:tc>
          <w:tcPr>
            <w:tcW w:w="1255" w:type="dxa"/>
            <w:tcBorders>
              <w:top w:val="single" w:sz="4" w:space="0" w:color="auto"/>
              <w:left w:val="nil"/>
              <w:bottom w:val="single" w:sz="4" w:space="0" w:color="auto"/>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Heat_Pump</w:t>
            </w:r>
            <w:proofErr w:type="spellEnd"/>
          </w:p>
        </w:tc>
        <w:tc>
          <w:tcPr>
            <w:tcW w:w="1402" w:type="dxa"/>
            <w:tcBorders>
              <w:top w:val="single" w:sz="4" w:space="0" w:color="auto"/>
              <w:left w:val="nil"/>
              <w:bottom w:val="single" w:sz="4" w:space="0" w:color="auto"/>
              <w:right w:val="nil"/>
            </w:tcBorders>
            <w:shd w:val="clear" w:color="auto" w:fill="auto"/>
            <w:noWrap/>
            <w:vAlign w:val="bottom"/>
            <w:hideMark/>
          </w:tcPr>
          <w:p w:rsidR="008A5740" w:rsidRPr="008A5740" w:rsidRDefault="008A5740" w:rsidP="00C10F63">
            <w:pPr>
              <w:rPr>
                <w:rFonts w:eastAsia="Times New Roman"/>
                <w:color w:val="000000"/>
              </w:rPr>
            </w:pPr>
            <w:r w:rsidRPr="008A5740">
              <w:rPr>
                <w:sz w:val="22"/>
                <w:szCs w:val="22"/>
              </w:rPr>
              <w:t>Dehumidifier</w:t>
            </w:r>
          </w:p>
        </w:tc>
      </w:tr>
      <w:tr w:rsidR="008A5740" w:rsidRPr="00A60380" w:rsidTr="00C10F63">
        <w:trPr>
          <w:trHeight w:val="300"/>
        </w:trPr>
        <w:tc>
          <w:tcPr>
            <w:tcW w:w="1475" w:type="dxa"/>
            <w:tcBorders>
              <w:top w:val="nil"/>
              <w:left w:val="nil"/>
              <w:bottom w:val="nil"/>
              <w:right w:val="nil"/>
            </w:tcBorders>
            <w:shd w:val="clear" w:color="auto" w:fill="auto"/>
            <w:noWrap/>
            <w:vAlign w:val="bottom"/>
            <w:hideMark/>
          </w:tcPr>
          <w:p w:rsidR="008A5740" w:rsidRPr="008A5740" w:rsidRDefault="008A5740" w:rsidP="00C10F63">
            <w:pPr>
              <w:rPr>
                <w:rFonts w:eastAsia="Times New Roman"/>
                <w:color w:val="000000"/>
              </w:rPr>
            </w:pPr>
            <w:r w:rsidRPr="008A5740">
              <w:rPr>
                <w:rFonts w:eastAsia="Times New Roman"/>
                <w:color w:val="000000"/>
                <w:sz w:val="22"/>
                <w:szCs w:val="22"/>
              </w:rPr>
              <w:t>HRV</w:t>
            </w:r>
          </w:p>
        </w:tc>
        <w:tc>
          <w:tcPr>
            <w:tcW w:w="933" w:type="dxa"/>
            <w:tcBorders>
              <w:top w:val="single" w:sz="4" w:space="0" w:color="auto"/>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1</w:t>
            </w:r>
          </w:p>
        </w:tc>
        <w:tc>
          <w:tcPr>
            <w:tcW w:w="1678" w:type="dxa"/>
            <w:tcBorders>
              <w:top w:val="single" w:sz="4" w:space="0" w:color="auto"/>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0.156</w:t>
            </w:r>
          </w:p>
        </w:tc>
        <w:tc>
          <w:tcPr>
            <w:tcW w:w="1475" w:type="dxa"/>
            <w:tcBorders>
              <w:top w:val="single" w:sz="4" w:space="0" w:color="auto"/>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0.352</w:t>
            </w:r>
          </w:p>
        </w:tc>
        <w:tc>
          <w:tcPr>
            <w:tcW w:w="1365" w:type="dxa"/>
            <w:tcBorders>
              <w:top w:val="single" w:sz="4" w:space="0" w:color="auto"/>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0.930</w:t>
            </w:r>
          </w:p>
        </w:tc>
        <w:tc>
          <w:tcPr>
            <w:tcW w:w="1255" w:type="dxa"/>
            <w:tcBorders>
              <w:top w:val="single" w:sz="4" w:space="0" w:color="auto"/>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0.752</w:t>
            </w:r>
          </w:p>
        </w:tc>
        <w:tc>
          <w:tcPr>
            <w:tcW w:w="1402" w:type="dxa"/>
            <w:tcBorders>
              <w:top w:val="single" w:sz="4" w:space="0" w:color="auto"/>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0.371</w:t>
            </w:r>
          </w:p>
        </w:tc>
      </w:tr>
      <w:tr w:rsidR="008A5740" w:rsidRPr="00A60380" w:rsidTr="00C10F63">
        <w:trPr>
          <w:trHeight w:val="300"/>
        </w:trPr>
        <w:tc>
          <w:tcPr>
            <w:tcW w:w="1475" w:type="dxa"/>
            <w:tcBorders>
              <w:top w:val="nil"/>
              <w:left w:val="nil"/>
              <w:bottom w:val="nil"/>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WoodBurner</w:t>
            </w:r>
            <w:proofErr w:type="spellEnd"/>
          </w:p>
        </w:tc>
        <w:tc>
          <w:tcPr>
            <w:tcW w:w="933"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0.156</w:t>
            </w:r>
          </w:p>
        </w:tc>
        <w:tc>
          <w:tcPr>
            <w:tcW w:w="1678"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1</w:t>
            </w:r>
          </w:p>
        </w:tc>
        <w:tc>
          <w:tcPr>
            <w:tcW w:w="147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-0.247</w:t>
            </w:r>
          </w:p>
        </w:tc>
        <w:tc>
          <w:tcPr>
            <w:tcW w:w="136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0.120</w:t>
            </w:r>
          </w:p>
        </w:tc>
        <w:tc>
          <w:tcPr>
            <w:tcW w:w="125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0.553</w:t>
            </w:r>
          </w:p>
        </w:tc>
        <w:tc>
          <w:tcPr>
            <w:tcW w:w="1402"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-0.521</w:t>
            </w:r>
          </w:p>
        </w:tc>
      </w:tr>
      <w:tr w:rsidR="008A5740" w:rsidRPr="00A60380" w:rsidTr="00C10F63">
        <w:trPr>
          <w:trHeight w:val="300"/>
        </w:trPr>
        <w:tc>
          <w:tcPr>
            <w:tcW w:w="1475" w:type="dxa"/>
            <w:tcBorders>
              <w:top w:val="nil"/>
              <w:left w:val="nil"/>
              <w:bottom w:val="nil"/>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Elect_Heating</w:t>
            </w:r>
            <w:proofErr w:type="spellEnd"/>
          </w:p>
        </w:tc>
        <w:tc>
          <w:tcPr>
            <w:tcW w:w="933"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0.352</w:t>
            </w:r>
          </w:p>
        </w:tc>
        <w:tc>
          <w:tcPr>
            <w:tcW w:w="1678"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-0.247</w:t>
            </w:r>
          </w:p>
        </w:tc>
        <w:tc>
          <w:tcPr>
            <w:tcW w:w="147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1</w:t>
            </w:r>
          </w:p>
        </w:tc>
        <w:tc>
          <w:tcPr>
            <w:tcW w:w="136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0.660</w:t>
            </w:r>
          </w:p>
        </w:tc>
        <w:tc>
          <w:tcPr>
            <w:tcW w:w="125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0.420</w:t>
            </w:r>
          </w:p>
        </w:tc>
        <w:tc>
          <w:tcPr>
            <w:tcW w:w="1402"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0.947</w:t>
            </w:r>
          </w:p>
        </w:tc>
      </w:tr>
      <w:tr w:rsidR="008A5740" w:rsidRPr="00A60380" w:rsidTr="00C10F63">
        <w:trPr>
          <w:trHeight w:val="300"/>
        </w:trPr>
        <w:tc>
          <w:tcPr>
            <w:tcW w:w="1475" w:type="dxa"/>
            <w:tcBorders>
              <w:top w:val="nil"/>
              <w:left w:val="nil"/>
              <w:bottom w:val="nil"/>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Gas_Heating</w:t>
            </w:r>
            <w:proofErr w:type="spellEnd"/>
          </w:p>
        </w:tc>
        <w:tc>
          <w:tcPr>
            <w:tcW w:w="933"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0.930</w:t>
            </w:r>
          </w:p>
        </w:tc>
        <w:tc>
          <w:tcPr>
            <w:tcW w:w="1678"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0.121</w:t>
            </w:r>
          </w:p>
        </w:tc>
        <w:tc>
          <w:tcPr>
            <w:tcW w:w="147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0.660</w:t>
            </w:r>
          </w:p>
        </w:tc>
        <w:tc>
          <w:tcPr>
            <w:tcW w:w="136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1</w:t>
            </w:r>
          </w:p>
        </w:tc>
        <w:tc>
          <w:tcPr>
            <w:tcW w:w="1255"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0.808</w:t>
            </w:r>
          </w:p>
        </w:tc>
        <w:tc>
          <w:tcPr>
            <w:tcW w:w="1402" w:type="dxa"/>
            <w:tcBorders>
              <w:top w:val="nil"/>
              <w:left w:val="nil"/>
              <w:bottom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0.624</w:t>
            </w:r>
          </w:p>
        </w:tc>
      </w:tr>
      <w:tr w:rsidR="008A5740" w:rsidRPr="00A60380" w:rsidTr="00C10F63">
        <w:trPr>
          <w:trHeight w:val="300"/>
        </w:trPr>
        <w:tc>
          <w:tcPr>
            <w:tcW w:w="1475" w:type="dxa"/>
            <w:tcBorders>
              <w:top w:val="nil"/>
              <w:left w:val="nil"/>
              <w:right w:val="nil"/>
            </w:tcBorders>
            <w:shd w:val="clear" w:color="auto" w:fill="auto"/>
            <w:noWrap/>
            <w:vAlign w:val="bottom"/>
            <w:hideMark/>
          </w:tcPr>
          <w:p w:rsidR="008A5740" w:rsidRPr="008A5740" w:rsidRDefault="008A5740" w:rsidP="00C10F63">
            <w:pPr>
              <w:rPr>
                <w:rFonts w:eastAsia="Times New Roman"/>
                <w:color w:val="000000"/>
              </w:rPr>
            </w:pPr>
            <w:proofErr w:type="spellStart"/>
            <w:r w:rsidRPr="008A5740">
              <w:rPr>
                <w:sz w:val="22"/>
                <w:szCs w:val="22"/>
              </w:rPr>
              <w:t>Heat_Pump</w:t>
            </w:r>
            <w:proofErr w:type="spellEnd"/>
          </w:p>
        </w:tc>
        <w:tc>
          <w:tcPr>
            <w:tcW w:w="933" w:type="dxa"/>
            <w:tcBorders>
              <w:top w:val="nil"/>
              <w:left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0.752</w:t>
            </w:r>
          </w:p>
        </w:tc>
        <w:tc>
          <w:tcPr>
            <w:tcW w:w="1678" w:type="dxa"/>
            <w:tcBorders>
              <w:top w:val="nil"/>
              <w:left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0.553</w:t>
            </w:r>
          </w:p>
        </w:tc>
        <w:tc>
          <w:tcPr>
            <w:tcW w:w="1475" w:type="dxa"/>
            <w:tcBorders>
              <w:top w:val="nil"/>
              <w:left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0.420</w:t>
            </w:r>
          </w:p>
        </w:tc>
        <w:tc>
          <w:tcPr>
            <w:tcW w:w="1365" w:type="dxa"/>
            <w:tcBorders>
              <w:top w:val="nil"/>
              <w:left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0.808</w:t>
            </w:r>
          </w:p>
        </w:tc>
        <w:tc>
          <w:tcPr>
            <w:tcW w:w="1255" w:type="dxa"/>
            <w:tcBorders>
              <w:top w:val="nil"/>
              <w:left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1</w:t>
            </w:r>
          </w:p>
        </w:tc>
        <w:tc>
          <w:tcPr>
            <w:tcW w:w="1402" w:type="dxa"/>
            <w:tcBorders>
              <w:top w:val="nil"/>
              <w:left w:val="nil"/>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0.264</w:t>
            </w:r>
          </w:p>
        </w:tc>
      </w:tr>
      <w:tr w:rsidR="008A5740" w:rsidRPr="00A60380" w:rsidTr="00C10F63">
        <w:trPr>
          <w:trHeight w:val="300"/>
        </w:trPr>
        <w:tc>
          <w:tcPr>
            <w:tcW w:w="1475" w:type="dxa"/>
            <w:tcBorders>
              <w:top w:val="nil"/>
              <w:left w:val="nil"/>
              <w:bottom w:val="single" w:sz="4" w:space="0" w:color="auto"/>
              <w:right w:val="nil"/>
            </w:tcBorders>
            <w:shd w:val="clear" w:color="auto" w:fill="auto"/>
            <w:noWrap/>
            <w:vAlign w:val="bottom"/>
            <w:hideMark/>
          </w:tcPr>
          <w:p w:rsidR="008A5740" w:rsidRPr="008A5740" w:rsidRDefault="008A5740" w:rsidP="00C10F63">
            <w:pPr>
              <w:rPr>
                <w:rFonts w:eastAsia="Times New Roman"/>
                <w:color w:val="000000"/>
              </w:rPr>
            </w:pPr>
            <w:r w:rsidRPr="008A5740">
              <w:rPr>
                <w:sz w:val="22"/>
                <w:szCs w:val="22"/>
              </w:rPr>
              <w:t>Dehumidifier</w:t>
            </w:r>
          </w:p>
        </w:tc>
        <w:tc>
          <w:tcPr>
            <w:tcW w:w="933" w:type="dxa"/>
            <w:tcBorders>
              <w:top w:val="nil"/>
              <w:left w:val="nil"/>
              <w:bottom w:val="single" w:sz="4" w:space="0" w:color="auto"/>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0.371</w:t>
            </w:r>
          </w:p>
        </w:tc>
        <w:tc>
          <w:tcPr>
            <w:tcW w:w="1678" w:type="dxa"/>
            <w:tcBorders>
              <w:top w:val="nil"/>
              <w:left w:val="nil"/>
              <w:bottom w:val="single" w:sz="4" w:space="0" w:color="auto"/>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-0.521</w:t>
            </w:r>
          </w:p>
        </w:tc>
        <w:tc>
          <w:tcPr>
            <w:tcW w:w="1475" w:type="dxa"/>
            <w:tcBorders>
              <w:top w:val="nil"/>
              <w:left w:val="nil"/>
              <w:bottom w:val="single" w:sz="4" w:space="0" w:color="auto"/>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0.947</w:t>
            </w:r>
          </w:p>
        </w:tc>
        <w:tc>
          <w:tcPr>
            <w:tcW w:w="1365" w:type="dxa"/>
            <w:tcBorders>
              <w:top w:val="nil"/>
              <w:left w:val="nil"/>
              <w:bottom w:val="single" w:sz="4" w:space="0" w:color="auto"/>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0.624</w:t>
            </w:r>
          </w:p>
        </w:tc>
        <w:tc>
          <w:tcPr>
            <w:tcW w:w="1255" w:type="dxa"/>
            <w:tcBorders>
              <w:top w:val="nil"/>
              <w:left w:val="nil"/>
              <w:bottom w:val="single" w:sz="4" w:space="0" w:color="auto"/>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0.264</w:t>
            </w:r>
          </w:p>
        </w:tc>
        <w:tc>
          <w:tcPr>
            <w:tcW w:w="1402" w:type="dxa"/>
            <w:tcBorders>
              <w:top w:val="nil"/>
              <w:left w:val="nil"/>
              <w:bottom w:val="single" w:sz="4" w:space="0" w:color="auto"/>
              <w:right w:val="nil"/>
            </w:tcBorders>
            <w:shd w:val="clear" w:color="auto" w:fill="auto"/>
            <w:noWrap/>
            <w:vAlign w:val="bottom"/>
            <w:hideMark/>
          </w:tcPr>
          <w:p w:rsidR="008A5740" w:rsidRPr="008A5740" w:rsidRDefault="008A5740" w:rsidP="00C10F63">
            <w:pPr>
              <w:jc w:val="center"/>
              <w:rPr>
                <w:rFonts w:eastAsia="Times New Roman"/>
                <w:color w:val="000000"/>
              </w:rPr>
            </w:pPr>
            <w:r w:rsidRPr="008A5740">
              <w:rPr>
                <w:rFonts w:eastAsia="Times New Roman"/>
                <w:color w:val="000000"/>
                <w:sz w:val="22"/>
                <w:szCs w:val="22"/>
              </w:rPr>
              <w:t>1</w:t>
            </w:r>
          </w:p>
        </w:tc>
      </w:tr>
    </w:tbl>
    <w:p w:rsidR="00FF7EA4" w:rsidRDefault="00FF7EA4" w:rsidP="00FF7EA4">
      <w:pPr>
        <w:spacing w:line="300" w:lineRule="auto"/>
        <w:ind w:firstLine="720"/>
      </w:pPr>
    </w:p>
    <w:p w:rsidR="00F3589B" w:rsidRDefault="00F3589B" w:rsidP="00FF7EA4">
      <w:pPr>
        <w:spacing w:line="300" w:lineRule="auto"/>
        <w:ind w:firstLine="720"/>
      </w:pPr>
    </w:p>
    <w:p w:rsidR="00D83DBC" w:rsidRDefault="007E7628" w:rsidP="007276B5">
      <w:pPr>
        <w:spacing w:line="300" w:lineRule="auto"/>
        <w:ind w:firstLine="426"/>
      </w:pPr>
      <w:r>
        <w:t>Finally</w:t>
      </w:r>
      <w:r w:rsidR="00F70CE6">
        <w:t xml:space="preserve">, marginal WTP estimates can be derived at the estimated means of the taste parameter distributions. </w:t>
      </w:r>
      <w:r w:rsidR="003A4D3A">
        <w:t xml:space="preserve">Because of the </w:t>
      </w:r>
      <w:r w:rsidR="007E3567">
        <w:t xml:space="preserve">separate rental cost </w:t>
      </w:r>
      <w:r w:rsidR="003A4D3A">
        <w:t xml:space="preserve">coefficients derived for renters and home-owners we obtain separate </w:t>
      </w:r>
      <w:r w:rsidR="007E3567">
        <w:t xml:space="preserve">WTP </w:t>
      </w:r>
      <w:r w:rsidR="003A4D3A">
        <w:t xml:space="preserve">estimates for the two groups. </w:t>
      </w:r>
      <w:r w:rsidR="00F70CE6">
        <w:t xml:space="preserve">These are reported in Table 5 for the PMXL </w:t>
      </w:r>
      <w:r w:rsidR="007E3567">
        <w:t>model and in the lower part of T</w:t>
      </w:r>
      <w:r w:rsidR="00F70CE6">
        <w:t>able 2 for the conditional logit model with fixed parameters. The results are similar, so we focus on the former.</w:t>
      </w:r>
      <w:r w:rsidR="00CD7F7A">
        <w:t xml:space="preserve"> Renters display a higher marginal WTP by virtue of a marginal utility of money that is closer to zero than that estimated for ho</w:t>
      </w:r>
      <w:r w:rsidR="007E3567">
        <w:t>me-owners (the interaction term between rent and home-ownership</w:t>
      </w:r>
      <w:r w:rsidR="00CD7F7A">
        <w:t xml:space="preserve"> is negative). Based on the point estimates, </w:t>
      </w:r>
      <w:r w:rsidR="007E3567">
        <w:t xml:space="preserve">the </w:t>
      </w:r>
      <w:r w:rsidR="00CD7F7A">
        <w:t xml:space="preserve">HRV </w:t>
      </w:r>
      <w:r w:rsidR="007E3567">
        <w:t xml:space="preserve">system </w:t>
      </w:r>
      <w:r w:rsidR="00CD7F7A">
        <w:t>is the most value</w:t>
      </w:r>
      <w:r w:rsidR="007E3567">
        <w:t>d</w:t>
      </w:r>
      <w:r w:rsidR="00CD7F7A">
        <w:t xml:space="preserve"> </w:t>
      </w:r>
      <w:r w:rsidR="007E3567">
        <w:t xml:space="preserve">device </w:t>
      </w:r>
      <w:r w:rsidR="00CD7F7A">
        <w:t>at the margin</w:t>
      </w:r>
      <w:r w:rsidR="007E3567">
        <w:t>. For this device, renters revealed a willingness to pay of NZ$</w:t>
      </w:r>
      <w:r w:rsidR="00CD7F7A">
        <w:t>10</w:t>
      </w:r>
      <w:r w:rsidR="007E3567">
        <w:t xml:space="preserve">.60 per </w:t>
      </w:r>
      <w:r w:rsidR="00CD7F7A">
        <w:t xml:space="preserve">week and </w:t>
      </w:r>
      <w:r w:rsidR="007E3567">
        <w:t xml:space="preserve">for owners it was NZ$6.70 per </w:t>
      </w:r>
      <w:r w:rsidR="00CD7F7A">
        <w:t>week.</w:t>
      </w:r>
      <w:r w:rsidR="007E3567">
        <w:t xml:space="preserve"> The next two devices, the heat pump and the enclosed wood burner, are valued almost equally, at about half the</w:t>
      </w:r>
      <w:r w:rsidR="00CD7F7A">
        <w:t xml:space="preserve"> value </w:t>
      </w:r>
      <w:r w:rsidR="007E3567">
        <w:t xml:space="preserve">placed on the HRV system. </w:t>
      </w:r>
      <w:r w:rsidR="00CD7F7A">
        <w:t xml:space="preserve">The lowest </w:t>
      </w:r>
      <w:r w:rsidR="007E3567">
        <w:t xml:space="preserve">statistically </w:t>
      </w:r>
      <w:r w:rsidR="00CD7F7A">
        <w:t xml:space="preserve">significant marginal valuation is obtained </w:t>
      </w:r>
      <w:r w:rsidR="007E3567">
        <w:t>for</w:t>
      </w:r>
      <w:r w:rsidR="00CD7F7A">
        <w:t xml:space="preserve"> the dehumidifier, </w:t>
      </w:r>
      <w:r w:rsidR="007E3567">
        <w:t>at NZ$3.30 per week by renters and NZ$2.10 per week by</w:t>
      </w:r>
      <w:r w:rsidR="00CD7F7A">
        <w:t xml:space="preserve"> home owners.</w:t>
      </w:r>
    </w:p>
    <w:p w:rsidR="00FF7EA4" w:rsidRDefault="00FF7EA4" w:rsidP="00FF7EA4">
      <w:pPr>
        <w:spacing w:line="300" w:lineRule="auto"/>
        <w:ind w:firstLine="720"/>
      </w:pPr>
    </w:p>
    <w:tbl>
      <w:tblPr>
        <w:tblW w:w="8839" w:type="dxa"/>
        <w:tblInd w:w="93" w:type="dxa"/>
        <w:tblLook w:val="04A0"/>
      </w:tblPr>
      <w:tblGrid>
        <w:gridCol w:w="2110"/>
        <w:gridCol w:w="1071"/>
        <w:gridCol w:w="675"/>
        <w:gridCol w:w="901"/>
        <w:gridCol w:w="944"/>
        <w:gridCol w:w="1071"/>
        <w:gridCol w:w="996"/>
        <w:gridCol w:w="1071"/>
      </w:tblGrid>
      <w:tr w:rsidR="00C10F63" w:rsidRPr="00F53910" w:rsidTr="00C10F63">
        <w:trPr>
          <w:trHeight w:val="300"/>
        </w:trPr>
        <w:tc>
          <w:tcPr>
            <w:tcW w:w="8839" w:type="dxa"/>
            <w:gridSpan w:val="8"/>
            <w:tcBorders>
              <w:top w:val="nil"/>
              <w:left w:val="nil"/>
              <w:bottom w:val="single" w:sz="4" w:space="0" w:color="auto"/>
              <w:right w:val="nil"/>
            </w:tcBorders>
            <w:shd w:val="clear" w:color="auto" w:fill="auto"/>
            <w:noWrap/>
            <w:vAlign w:val="bottom"/>
            <w:hideMark/>
          </w:tcPr>
          <w:p w:rsidR="00634809" w:rsidRDefault="00F3589B" w:rsidP="00C10F63">
            <w:pPr>
              <w:jc w:val="center"/>
              <w:rPr>
                <w:b/>
              </w:rPr>
            </w:pPr>
            <w:r>
              <w:rPr>
                <w:b/>
                <w:sz w:val="22"/>
                <w:szCs w:val="22"/>
              </w:rPr>
              <w:t>Table 5: Implied Marginal Willingness to Pay at the Means of Random P</w:t>
            </w:r>
            <w:r w:rsidR="00C10F63" w:rsidRPr="00C10F63">
              <w:rPr>
                <w:b/>
                <w:sz w:val="22"/>
                <w:szCs w:val="22"/>
              </w:rPr>
              <w:t xml:space="preserve">arameters </w:t>
            </w:r>
          </w:p>
          <w:p w:rsidR="00C10F63" w:rsidRPr="00C10F63" w:rsidRDefault="00F3589B" w:rsidP="00C10F63">
            <w:pPr>
              <w:jc w:val="center"/>
              <w:rPr>
                <w:b/>
              </w:rPr>
            </w:pPr>
            <w:r>
              <w:rPr>
                <w:b/>
                <w:sz w:val="22"/>
                <w:szCs w:val="22"/>
              </w:rPr>
              <w:t>from Panel Mixed Logit M</w:t>
            </w:r>
            <w:r w:rsidR="00C10F63" w:rsidRPr="00C10F63">
              <w:rPr>
                <w:b/>
                <w:sz w:val="22"/>
                <w:szCs w:val="22"/>
              </w:rPr>
              <w:t>odel</w:t>
            </w:r>
          </w:p>
        </w:tc>
      </w:tr>
      <w:tr w:rsidR="00C10F63" w:rsidRPr="00F53910" w:rsidTr="00C10F63">
        <w:trPr>
          <w:trHeight w:val="300"/>
        </w:trPr>
        <w:tc>
          <w:tcPr>
            <w:tcW w:w="2110" w:type="dxa"/>
            <w:tcBorders>
              <w:top w:val="single" w:sz="4" w:space="0" w:color="auto"/>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
        </w:tc>
        <w:tc>
          <w:tcPr>
            <w:tcW w:w="1071" w:type="dxa"/>
            <w:tcBorders>
              <w:top w:val="single" w:sz="4" w:space="0" w:color="auto"/>
              <w:left w:val="nil"/>
              <w:bottom w:val="single" w:sz="4" w:space="0" w:color="auto"/>
              <w:right w:val="nil"/>
            </w:tcBorders>
            <w:shd w:val="clear" w:color="auto" w:fill="auto"/>
            <w:noWrap/>
            <w:vAlign w:val="bottom"/>
            <w:hideMark/>
          </w:tcPr>
          <w:p w:rsidR="00C10F63" w:rsidRPr="00F53910" w:rsidRDefault="00C10F63" w:rsidP="00C10F63">
            <w:pPr>
              <w:jc w:val="right"/>
            </w:pPr>
            <w:r w:rsidRPr="00F53910">
              <w:rPr>
                <w:sz w:val="22"/>
                <w:szCs w:val="22"/>
              </w:rPr>
              <w:t>WTP</w:t>
            </w:r>
          </w:p>
        </w:tc>
        <w:tc>
          <w:tcPr>
            <w:tcW w:w="675" w:type="dxa"/>
            <w:tcBorders>
              <w:top w:val="single" w:sz="4" w:space="0" w:color="auto"/>
              <w:left w:val="nil"/>
              <w:bottom w:val="single" w:sz="4" w:space="0" w:color="auto"/>
              <w:right w:val="nil"/>
            </w:tcBorders>
            <w:shd w:val="clear" w:color="auto" w:fill="auto"/>
            <w:noWrap/>
            <w:vAlign w:val="bottom"/>
            <w:hideMark/>
          </w:tcPr>
          <w:p w:rsidR="00C10F63" w:rsidRPr="00F53910" w:rsidRDefault="00C10F63" w:rsidP="00C10F63">
            <w:pPr>
              <w:jc w:val="center"/>
            </w:pPr>
            <w:r w:rsidRPr="00F53910">
              <w:rPr>
                <w:sz w:val="22"/>
                <w:szCs w:val="22"/>
              </w:rPr>
              <w:t>Sig.</w:t>
            </w:r>
          </w:p>
        </w:tc>
        <w:tc>
          <w:tcPr>
            <w:tcW w:w="901" w:type="dxa"/>
            <w:tcBorders>
              <w:top w:val="single" w:sz="4" w:space="0" w:color="auto"/>
              <w:left w:val="nil"/>
              <w:bottom w:val="single" w:sz="4" w:space="0" w:color="auto"/>
              <w:right w:val="nil"/>
            </w:tcBorders>
            <w:shd w:val="clear" w:color="auto" w:fill="auto"/>
            <w:noWrap/>
            <w:vAlign w:val="bottom"/>
            <w:hideMark/>
          </w:tcPr>
          <w:p w:rsidR="00C10F63" w:rsidRPr="00F53910" w:rsidRDefault="00C10F63" w:rsidP="00C10F63">
            <w:pPr>
              <w:jc w:val="right"/>
            </w:pPr>
            <w:proofErr w:type="spellStart"/>
            <w:r w:rsidRPr="00F53910">
              <w:rPr>
                <w:sz w:val="22"/>
                <w:szCs w:val="22"/>
              </w:rPr>
              <w:t>Std.Err</w:t>
            </w:r>
            <w:proofErr w:type="spellEnd"/>
            <w:r w:rsidRPr="00F53910">
              <w:rPr>
                <w:sz w:val="22"/>
                <w:szCs w:val="22"/>
              </w:rPr>
              <w:t>.</w:t>
            </w:r>
          </w:p>
        </w:tc>
        <w:tc>
          <w:tcPr>
            <w:tcW w:w="944" w:type="dxa"/>
            <w:tcBorders>
              <w:top w:val="single" w:sz="4" w:space="0" w:color="auto"/>
              <w:left w:val="nil"/>
              <w:bottom w:val="single" w:sz="4" w:space="0" w:color="auto"/>
              <w:right w:val="nil"/>
            </w:tcBorders>
            <w:shd w:val="clear" w:color="auto" w:fill="auto"/>
            <w:noWrap/>
            <w:vAlign w:val="bottom"/>
            <w:hideMark/>
          </w:tcPr>
          <w:p w:rsidR="00C10F63" w:rsidRPr="00F53910" w:rsidRDefault="00C10F63" w:rsidP="00C10F63">
            <w:pPr>
              <w:jc w:val="right"/>
            </w:pPr>
            <w:r w:rsidRPr="00F53910">
              <w:rPr>
                <w:sz w:val="22"/>
                <w:szCs w:val="22"/>
              </w:rPr>
              <w:t>z-value</w:t>
            </w:r>
          </w:p>
        </w:tc>
        <w:tc>
          <w:tcPr>
            <w:tcW w:w="1071" w:type="dxa"/>
            <w:tcBorders>
              <w:top w:val="single" w:sz="4" w:space="0" w:color="auto"/>
              <w:left w:val="nil"/>
              <w:bottom w:val="single" w:sz="4" w:space="0" w:color="auto"/>
              <w:right w:val="nil"/>
            </w:tcBorders>
            <w:shd w:val="clear" w:color="auto" w:fill="auto"/>
            <w:noWrap/>
            <w:vAlign w:val="bottom"/>
            <w:hideMark/>
          </w:tcPr>
          <w:p w:rsidR="00C10F63" w:rsidRPr="00F53910" w:rsidRDefault="00C10F63" w:rsidP="00C10F63">
            <w:pPr>
              <w:jc w:val="right"/>
            </w:pPr>
            <w:r w:rsidRPr="00F53910">
              <w:rPr>
                <w:sz w:val="22"/>
                <w:szCs w:val="22"/>
              </w:rPr>
              <w:t>p-value</w:t>
            </w:r>
          </w:p>
        </w:tc>
        <w:tc>
          <w:tcPr>
            <w:tcW w:w="996" w:type="dxa"/>
            <w:tcBorders>
              <w:top w:val="single" w:sz="4" w:space="0" w:color="auto"/>
              <w:left w:val="nil"/>
              <w:bottom w:val="single" w:sz="4" w:space="0" w:color="auto"/>
              <w:right w:val="nil"/>
            </w:tcBorders>
            <w:shd w:val="clear" w:color="auto" w:fill="auto"/>
            <w:noWrap/>
            <w:vAlign w:val="bottom"/>
            <w:hideMark/>
          </w:tcPr>
          <w:p w:rsidR="00C10F63" w:rsidRPr="00F53910" w:rsidRDefault="00C10F63" w:rsidP="00C10F63">
            <w:pPr>
              <w:jc w:val="right"/>
            </w:pPr>
            <w:r w:rsidRPr="00F53910">
              <w:rPr>
                <w:sz w:val="22"/>
                <w:szCs w:val="22"/>
              </w:rPr>
              <w:t>2.5%</w:t>
            </w:r>
          </w:p>
        </w:tc>
        <w:tc>
          <w:tcPr>
            <w:tcW w:w="1071" w:type="dxa"/>
            <w:tcBorders>
              <w:top w:val="single" w:sz="4" w:space="0" w:color="auto"/>
              <w:left w:val="nil"/>
              <w:bottom w:val="single" w:sz="4" w:space="0" w:color="auto"/>
              <w:right w:val="nil"/>
            </w:tcBorders>
            <w:shd w:val="clear" w:color="auto" w:fill="auto"/>
            <w:noWrap/>
            <w:vAlign w:val="bottom"/>
            <w:hideMark/>
          </w:tcPr>
          <w:p w:rsidR="00C10F63" w:rsidRPr="00F53910" w:rsidRDefault="00C10F63" w:rsidP="00C10F63">
            <w:pPr>
              <w:jc w:val="right"/>
            </w:pPr>
            <w:r w:rsidRPr="00F53910">
              <w:rPr>
                <w:sz w:val="22"/>
                <w:szCs w:val="22"/>
              </w:rPr>
              <w:t>97.5%</w:t>
            </w:r>
          </w:p>
        </w:tc>
      </w:tr>
      <w:tr w:rsidR="00C10F63" w:rsidRPr="00F53910" w:rsidTr="00C10F63">
        <w:trPr>
          <w:trHeight w:val="300"/>
        </w:trPr>
        <w:tc>
          <w:tcPr>
            <w:tcW w:w="8839" w:type="dxa"/>
            <w:gridSpan w:val="8"/>
            <w:tcBorders>
              <w:top w:val="nil"/>
              <w:left w:val="nil"/>
              <w:bottom w:val="nil"/>
              <w:right w:val="nil"/>
            </w:tcBorders>
            <w:shd w:val="clear" w:color="auto" w:fill="auto"/>
            <w:noWrap/>
            <w:vAlign w:val="bottom"/>
            <w:hideMark/>
          </w:tcPr>
          <w:p w:rsidR="00C10F63" w:rsidRPr="00156478" w:rsidRDefault="00C10F63" w:rsidP="00C10F63">
            <w:pPr>
              <w:jc w:val="center"/>
              <w:rPr>
                <w:rFonts w:eastAsia="Times New Roman"/>
                <w:i/>
                <w:color w:val="000000"/>
              </w:rPr>
            </w:pPr>
            <w:r w:rsidRPr="00156478">
              <w:rPr>
                <w:rFonts w:eastAsia="Times New Roman"/>
                <w:i/>
                <w:color w:val="000000"/>
                <w:sz w:val="22"/>
                <w:szCs w:val="22"/>
              </w:rPr>
              <w:t>Renters</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HRV</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10.559</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1.286</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8.21</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sz w:val="22"/>
                <w:szCs w:val="22"/>
              </w:rPr>
              <w:t>&lt;0.0001</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8.038</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13.080</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WoodBurner</w:t>
            </w:r>
            <w:proofErr w:type="spellEnd"/>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5.082</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1.077</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4.72</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sz w:val="22"/>
                <w:szCs w:val="22"/>
              </w:rPr>
              <w:t>&lt;0.0001</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2.971</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7.194</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Gas_Heating</w:t>
            </w:r>
            <w:proofErr w:type="spellEnd"/>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1.657</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1.184</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1.4</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0.1617</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-0.663</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3.977</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Elect_Heating</w:t>
            </w:r>
            <w:proofErr w:type="spellEnd"/>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0.154</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0.734</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0.21</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0.8336</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-1.285</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1.594</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Heat_Pump</w:t>
            </w:r>
            <w:proofErr w:type="spellEnd"/>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5.247</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1.094</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4.8</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sz w:val="22"/>
                <w:szCs w:val="22"/>
              </w:rPr>
              <w:t>&lt;0.0001</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3.104</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7.391</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Dehumidifier</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3.326</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0.954</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3.49</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0.0005</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1.456</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5.196</w:t>
            </w:r>
          </w:p>
        </w:tc>
      </w:tr>
      <w:tr w:rsidR="00C10F63" w:rsidRPr="00F53910" w:rsidTr="00C10F63">
        <w:trPr>
          <w:trHeight w:val="300"/>
        </w:trPr>
        <w:tc>
          <w:tcPr>
            <w:tcW w:w="8839" w:type="dxa"/>
            <w:gridSpan w:val="8"/>
            <w:tcBorders>
              <w:top w:val="nil"/>
              <w:left w:val="nil"/>
              <w:bottom w:val="nil"/>
              <w:right w:val="nil"/>
            </w:tcBorders>
            <w:shd w:val="clear" w:color="auto" w:fill="auto"/>
            <w:noWrap/>
            <w:vAlign w:val="bottom"/>
            <w:hideMark/>
          </w:tcPr>
          <w:p w:rsidR="00C10F63" w:rsidRPr="00156478" w:rsidRDefault="00C10F63" w:rsidP="00C10F63">
            <w:pPr>
              <w:jc w:val="center"/>
              <w:rPr>
                <w:rFonts w:eastAsia="Times New Roman"/>
                <w:i/>
                <w:color w:val="000000"/>
              </w:rPr>
            </w:pPr>
            <w:r w:rsidRPr="00156478">
              <w:rPr>
                <w:rFonts w:eastAsia="Times New Roman"/>
                <w:i/>
                <w:color w:val="000000"/>
                <w:sz w:val="22"/>
                <w:szCs w:val="22"/>
              </w:rPr>
              <w:t>Home-owners</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HRV</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6.689</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1.015</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6.59</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sz w:val="22"/>
                <w:szCs w:val="22"/>
              </w:rPr>
              <w:t>&lt;0.0001</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4.700</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8.679</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WoodBurner</w:t>
            </w:r>
            <w:proofErr w:type="spellEnd"/>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3.220</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0.734</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4.39</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sz w:val="22"/>
                <w:szCs w:val="22"/>
              </w:rPr>
              <w:t>&lt;0.0001</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1.781</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4.659</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Gas_Heating</w:t>
            </w:r>
            <w:proofErr w:type="spellEnd"/>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1.050</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0.758</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1.38</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0.1661</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-0.436</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2.535</w:t>
            </w:r>
          </w:p>
        </w:tc>
      </w:tr>
      <w:tr w:rsidR="00C10F63" w:rsidRPr="00F53910" w:rsidTr="00C10F63">
        <w:trPr>
          <w:trHeight w:val="300"/>
        </w:trPr>
        <w:tc>
          <w:tcPr>
            <w:tcW w:w="2110"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Elect_Heating</w:t>
            </w:r>
            <w:proofErr w:type="spellEnd"/>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0.098</w:t>
            </w:r>
          </w:p>
        </w:tc>
        <w:tc>
          <w:tcPr>
            <w:tcW w:w="675" w:type="dxa"/>
            <w:tcBorders>
              <w:top w:val="nil"/>
              <w:left w:val="nil"/>
              <w:bottom w:val="nil"/>
              <w:right w:val="nil"/>
            </w:tcBorders>
            <w:shd w:val="clear" w:color="auto" w:fill="auto"/>
            <w:noWrap/>
            <w:vAlign w:val="bottom"/>
            <w:hideMark/>
          </w:tcPr>
          <w:p w:rsidR="00C10F63" w:rsidRPr="00F53910" w:rsidRDefault="00C10F63" w:rsidP="00C10F63">
            <w:pPr>
              <w:rPr>
                <w:rFonts w:eastAsia="Times New Roman"/>
                <w:color w:val="000000"/>
              </w:rPr>
            </w:pPr>
          </w:p>
        </w:tc>
        <w:tc>
          <w:tcPr>
            <w:tcW w:w="90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0.466</w:t>
            </w:r>
          </w:p>
        </w:tc>
        <w:tc>
          <w:tcPr>
            <w:tcW w:w="944"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0.21</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0.8337</w:t>
            </w:r>
          </w:p>
        </w:tc>
        <w:tc>
          <w:tcPr>
            <w:tcW w:w="996"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-0.815</w:t>
            </w:r>
          </w:p>
        </w:tc>
        <w:tc>
          <w:tcPr>
            <w:tcW w:w="1071" w:type="dxa"/>
            <w:tcBorders>
              <w:top w:val="nil"/>
              <w:left w:val="nil"/>
              <w:bottom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1.010</w:t>
            </w:r>
          </w:p>
        </w:tc>
      </w:tr>
      <w:tr w:rsidR="00C10F63" w:rsidRPr="00F53910" w:rsidTr="00C10F63">
        <w:trPr>
          <w:trHeight w:val="300"/>
        </w:trPr>
        <w:tc>
          <w:tcPr>
            <w:tcW w:w="2110" w:type="dxa"/>
            <w:tcBorders>
              <w:top w:val="nil"/>
              <w:left w:val="nil"/>
              <w:right w:val="nil"/>
            </w:tcBorders>
            <w:shd w:val="clear" w:color="auto" w:fill="auto"/>
            <w:noWrap/>
            <w:vAlign w:val="bottom"/>
            <w:hideMark/>
          </w:tcPr>
          <w:p w:rsidR="00C10F63" w:rsidRPr="00F53910" w:rsidRDefault="00C10F63" w:rsidP="00C10F63">
            <w:pPr>
              <w:rPr>
                <w:rFonts w:eastAsia="Times New Roman"/>
                <w:color w:val="000000"/>
              </w:rPr>
            </w:pPr>
            <w:proofErr w:type="spellStart"/>
            <w:r w:rsidRPr="00F53910">
              <w:rPr>
                <w:rFonts w:eastAsia="Times New Roman"/>
                <w:color w:val="000000"/>
                <w:sz w:val="22"/>
                <w:szCs w:val="22"/>
              </w:rPr>
              <w:t>Heat_Pump</w:t>
            </w:r>
            <w:proofErr w:type="spellEnd"/>
          </w:p>
        </w:tc>
        <w:tc>
          <w:tcPr>
            <w:tcW w:w="1071" w:type="dxa"/>
            <w:tcBorders>
              <w:top w:val="nil"/>
              <w:left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3.324</w:t>
            </w:r>
          </w:p>
        </w:tc>
        <w:tc>
          <w:tcPr>
            <w:tcW w:w="675" w:type="dxa"/>
            <w:tcBorders>
              <w:top w:val="nil"/>
              <w:left w:val="nil"/>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0.761</w:t>
            </w:r>
          </w:p>
        </w:tc>
        <w:tc>
          <w:tcPr>
            <w:tcW w:w="944" w:type="dxa"/>
            <w:tcBorders>
              <w:top w:val="nil"/>
              <w:left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4.37</w:t>
            </w:r>
          </w:p>
        </w:tc>
        <w:tc>
          <w:tcPr>
            <w:tcW w:w="1071" w:type="dxa"/>
            <w:tcBorders>
              <w:top w:val="nil"/>
              <w:left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sz w:val="22"/>
                <w:szCs w:val="22"/>
              </w:rPr>
              <w:t>&lt;0.0001</w:t>
            </w:r>
          </w:p>
        </w:tc>
        <w:tc>
          <w:tcPr>
            <w:tcW w:w="996" w:type="dxa"/>
            <w:tcBorders>
              <w:top w:val="nil"/>
              <w:left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1.833</w:t>
            </w:r>
          </w:p>
        </w:tc>
        <w:tc>
          <w:tcPr>
            <w:tcW w:w="1071" w:type="dxa"/>
            <w:tcBorders>
              <w:top w:val="nil"/>
              <w:left w:val="nil"/>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4.816</w:t>
            </w:r>
          </w:p>
        </w:tc>
      </w:tr>
      <w:tr w:rsidR="00C10F63" w:rsidRPr="00F53910" w:rsidTr="00C10F63">
        <w:trPr>
          <w:trHeight w:val="300"/>
        </w:trPr>
        <w:tc>
          <w:tcPr>
            <w:tcW w:w="2110" w:type="dxa"/>
            <w:tcBorders>
              <w:top w:val="nil"/>
              <w:left w:val="nil"/>
              <w:bottom w:val="single" w:sz="4" w:space="0" w:color="auto"/>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Dehumidifier</w:t>
            </w:r>
          </w:p>
        </w:tc>
        <w:tc>
          <w:tcPr>
            <w:tcW w:w="1071" w:type="dxa"/>
            <w:tcBorders>
              <w:top w:val="nil"/>
              <w:left w:val="nil"/>
              <w:bottom w:val="single" w:sz="4" w:space="0" w:color="auto"/>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2.107</w:t>
            </w:r>
          </w:p>
        </w:tc>
        <w:tc>
          <w:tcPr>
            <w:tcW w:w="675" w:type="dxa"/>
            <w:tcBorders>
              <w:top w:val="nil"/>
              <w:left w:val="nil"/>
              <w:bottom w:val="single" w:sz="4" w:space="0" w:color="auto"/>
              <w:right w:val="nil"/>
            </w:tcBorders>
            <w:shd w:val="clear" w:color="auto" w:fill="auto"/>
            <w:noWrap/>
            <w:vAlign w:val="bottom"/>
            <w:hideMark/>
          </w:tcPr>
          <w:p w:rsidR="00C10F63" w:rsidRPr="00F53910" w:rsidRDefault="00C10F63" w:rsidP="00C10F63">
            <w:pPr>
              <w:rPr>
                <w:rFonts w:eastAsia="Times New Roman"/>
                <w:color w:val="000000"/>
              </w:rPr>
            </w:pPr>
            <w:r w:rsidRPr="00F53910">
              <w:rPr>
                <w:rFonts w:eastAsia="Times New Roman"/>
                <w:color w:val="000000"/>
                <w:sz w:val="22"/>
                <w:szCs w:val="22"/>
              </w:rPr>
              <w:t>***</w:t>
            </w:r>
          </w:p>
        </w:tc>
        <w:tc>
          <w:tcPr>
            <w:tcW w:w="901" w:type="dxa"/>
            <w:tcBorders>
              <w:top w:val="nil"/>
              <w:left w:val="nil"/>
              <w:bottom w:val="single" w:sz="4" w:space="0" w:color="auto"/>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0.638</w:t>
            </w:r>
          </w:p>
        </w:tc>
        <w:tc>
          <w:tcPr>
            <w:tcW w:w="944" w:type="dxa"/>
            <w:tcBorders>
              <w:top w:val="nil"/>
              <w:left w:val="nil"/>
              <w:bottom w:val="single" w:sz="4" w:space="0" w:color="auto"/>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3.3</w:t>
            </w:r>
          </w:p>
        </w:tc>
        <w:tc>
          <w:tcPr>
            <w:tcW w:w="1071" w:type="dxa"/>
            <w:tcBorders>
              <w:top w:val="nil"/>
              <w:left w:val="nil"/>
              <w:bottom w:val="single" w:sz="4" w:space="0" w:color="auto"/>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0.001</w:t>
            </w:r>
          </w:p>
        </w:tc>
        <w:tc>
          <w:tcPr>
            <w:tcW w:w="996" w:type="dxa"/>
            <w:tcBorders>
              <w:top w:val="nil"/>
              <w:left w:val="nil"/>
              <w:bottom w:val="single" w:sz="4" w:space="0" w:color="auto"/>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0.858</w:t>
            </w:r>
          </w:p>
        </w:tc>
        <w:tc>
          <w:tcPr>
            <w:tcW w:w="1071" w:type="dxa"/>
            <w:tcBorders>
              <w:top w:val="nil"/>
              <w:left w:val="nil"/>
              <w:bottom w:val="single" w:sz="4" w:space="0" w:color="auto"/>
              <w:right w:val="nil"/>
            </w:tcBorders>
            <w:shd w:val="clear" w:color="auto" w:fill="auto"/>
            <w:noWrap/>
            <w:vAlign w:val="bottom"/>
            <w:hideMark/>
          </w:tcPr>
          <w:p w:rsidR="00C10F63" w:rsidRPr="00F53910" w:rsidRDefault="00C10F63" w:rsidP="00C10F63">
            <w:pPr>
              <w:jc w:val="right"/>
              <w:rPr>
                <w:rFonts w:eastAsia="Times New Roman"/>
                <w:color w:val="000000"/>
              </w:rPr>
            </w:pPr>
            <w:r w:rsidRPr="00F53910">
              <w:rPr>
                <w:rFonts w:eastAsia="Times New Roman"/>
                <w:color w:val="000000"/>
                <w:sz w:val="22"/>
                <w:szCs w:val="22"/>
              </w:rPr>
              <w:t>3.357</w:t>
            </w:r>
          </w:p>
        </w:tc>
      </w:tr>
    </w:tbl>
    <w:p w:rsidR="00C10F63" w:rsidRPr="00634809" w:rsidRDefault="00C10F63" w:rsidP="00C10F63">
      <w:pPr>
        <w:rPr>
          <w:sz w:val="20"/>
          <w:szCs w:val="20"/>
        </w:rPr>
      </w:pPr>
      <w:r w:rsidRPr="00634809">
        <w:rPr>
          <w:i/>
          <w:sz w:val="20"/>
          <w:szCs w:val="20"/>
        </w:rPr>
        <w:t xml:space="preserve">Notes: </w:t>
      </w:r>
      <w:r w:rsidRPr="00634809">
        <w:rPr>
          <w:sz w:val="20"/>
          <w:szCs w:val="20"/>
        </w:rPr>
        <w:t xml:space="preserve">WTP is willingness to pay, in NZ$ per week. Other </w:t>
      </w:r>
      <w:proofErr w:type="gramStart"/>
      <w:r w:rsidRPr="00634809">
        <w:rPr>
          <w:sz w:val="20"/>
          <w:szCs w:val="20"/>
        </w:rPr>
        <w:t>notes,</w:t>
      </w:r>
      <w:proofErr w:type="gramEnd"/>
      <w:r w:rsidRPr="00634809">
        <w:rPr>
          <w:sz w:val="20"/>
          <w:szCs w:val="20"/>
        </w:rPr>
        <w:t xml:space="preserve"> see Table 2.</w:t>
      </w:r>
    </w:p>
    <w:p w:rsidR="00C10F63" w:rsidRDefault="00C10F63" w:rsidP="00C10F63">
      <w:pPr>
        <w:rPr>
          <w:sz w:val="22"/>
          <w:szCs w:val="22"/>
        </w:rPr>
      </w:pPr>
    </w:p>
    <w:p w:rsidR="00F94614" w:rsidRDefault="00F94614">
      <w:pPr>
        <w:spacing w:after="200" w:line="276" w:lineRule="auto"/>
        <w:jc w:val="left"/>
      </w:pPr>
      <w:r>
        <w:br w:type="page"/>
      </w:r>
    </w:p>
    <w:p w:rsidR="00F94614" w:rsidRDefault="00F94614" w:rsidP="00F94614">
      <w:pPr>
        <w:spacing w:line="300" w:lineRule="auto"/>
        <w:ind w:firstLine="426"/>
      </w:pPr>
      <w:r>
        <w:lastRenderedPageBreak/>
        <w:t xml:space="preserve">How do the willingness to pay estimates compare with the costs of these devices? In order to convert the flow of weekly payments into a lump sum, we assume that each device has a life of 12 years and we use a discount rate of 0.05, following the assumptions used by </w:t>
      </w:r>
      <w:proofErr w:type="spellStart"/>
      <w:r>
        <w:t>Preval</w:t>
      </w:r>
      <w:proofErr w:type="spellEnd"/>
      <w:r>
        <w:t xml:space="preserve"> </w:t>
      </w:r>
      <w:r w:rsidRPr="00F94614">
        <w:rPr>
          <w:i/>
        </w:rPr>
        <w:t>et al.</w:t>
      </w:r>
      <w:r>
        <w:t xml:space="preserve"> (2010). We use the WTP of renters in the calculations, implicitly asking whether the willingness of renters to pay higher rent would enable a landlord to pay back the cost of one of these devices without any government subsidies. The results in Table 6 suggest that the HRV system and dehumidifiers could be fully paid back by tenants’ willingness to pay higher rent for dwellings with these devices, while for the heat pump and the enclosed wood burner the WTPs add up to between two-thirds and three-quarters of the capital cost. </w:t>
      </w:r>
    </w:p>
    <w:p w:rsidR="000F3F3D" w:rsidRDefault="000F3F3D" w:rsidP="00C10F63">
      <w:pPr>
        <w:rPr>
          <w:sz w:val="22"/>
          <w:szCs w:val="22"/>
        </w:rPr>
      </w:pPr>
    </w:p>
    <w:p w:rsidR="00F3589B" w:rsidRPr="00F53910" w:rsidRDefault="00F3589B" w:rsidP="00C10F63">
      <w:pPr>
        <w:rPr>
          <w:sz w:val="22"/>
          <w:szCs w:val="22"/>
        </w:rPr>
      </w:pPr>
    </w:p>
    <w:tbl>
      <w:tblPr>
        <w:tblW w:w="9583" w:type="dxa"/>
        <w:tblInd w:w="93" w:type="dxa"/>
        <w:tblLook w:val="04A0"/>
      </w:tblPr>
      <w:tblGrid>
        <w:gridCol w:w="3402"/>
        <w:gridCol w:w="1531"/>
        <w:gridCol w:w="1531"/>
        <w:gridCol w:w="1531"/>
        <w:gridCol w:w="1531"/>
        <w:gridCol w:w="57"/>
      </w:tblGrid>
      <w:tr w:rsidR="000F3F3D" w:rsidRPr="00A60380" w:rsidTr="00047DD4">
        <w:trPr>
          <w:trHeight w:val="300"/>
        </w:trPr>
        <w:tc>
          <w:tcPr>
            <w:tcW w:w="9583" w:type="dxa"/>
            <w:gridSpan w:val="6"/>
            <w:tcBorders>
              <w:top w:val="nil"/>
              <w:left w:val="nil"/>
              <w:bottom w:val="single" w:sz="4" w:space="0" w:color="auto"/>
              <w:right w:val="nil"/>
            </w:tcBorders>
            <w:shd w:val="clear" w:color="auto" w:fill="auto"/>
            <w:noWrap/>
            <w:vAlign w:val="bottom"/>
            <w:hideMark/>
          </w:tcPr>
          <w:p w:rsidR="000F3F3D" w:rsidRPr="000F3F3D" w:rsidRDefault="000F3F3D" w:rsidP="00047DD4">
            <w:pPr>
              <w:spacing w:after="40"/>
              <w:jc w:val="center"/>
              <w:rPr>
                <w:b/>
              </w:rPr>
            </w:pPr>
            <w:r w:rsidRPr="000F3F3D">
              <w:rPr>
                <w:b/>
                <w:sz w:val="22"/>
                <w:szCs w:val="22"/>
              </w:rPr>
              <w:t xml:space="preserve">Table 6: Comparison of </w:t>
            </w:r>
            <w:r w:rsidR="00F94614">
              <w:rPr>
                <w:b/>
                <w:sz w:val="22"/>
                <w:szCs w:val="22"/>
              </w:rPr>
              <w:t>Willingness to Pay and Capital Costs for Selected D</w:t>
            </w:r>
            <w:r w:rsidRPr="000F3F3D">
              <w:rPr>
                <w:b/>
                <w:sz w:val="22"/>
                <w:szCs w:val="22"/>
              </w:rPr>
              <w:t xml:space="preserve">evices </w:t>
            </w:r>
          </w:p>
        </w:tc>
      </w:tr>
      <w:tr w:rsidR="000F3F3D" w:rsidRPr="00A60380" w:rsidTr="00047DD4">
        <w:trPr>
          <w:gridAfter w:val="1"/>
          <w:wAfter w:w="57" w:type="dxa"/>
          <w:trHeight w:val="300"/>
        </w:trPr>
        <w:tc>
          <w:tcPr>
            <w:tcW w:w="3402" w:type="dxa"/>
            <w:tcBorders>
              <w:top w:val="single" w:sz="4" w:space="0" w:color="auto"/>
              <w:left w:val="nil"/>
              <w:bottom w:val="nil"/>
              <w:right w:val="nil"/>
            </w:tcBorders>
            <w:shd w:val="clear" w:color="auto" w:fill="auto"/>
            <w:noWrap/>
            <w:vAlign w:val="bottom"/>
            <w:hideMark/>
          </w:tcPr>
          <w:p w:rsidR="000F3F3D" w:rsidRPr="000F3F3D" w:rsidRDefault="000F3F3D" w:rsidP="00047DD4">
            <w:pPr>
              <w:rPr>
                <w:rFonts w:eastAsia="Times New Roman"/>
                <w:color w:val="000000"/>
              </w:rPr>
            </w:pPr>
          </w:p>
        </w:tc>
        <w:tc>
          <w:tcPr>
            <w:tcW w:w="1531" w:type="dxa"/>
            <w:tcBorders>
              <w:top w:val="single" w:sz="4" w:space="0" w:color="auto"/>
              <w:left w:val="nil"/>
              <w:bottom w:val="single" w:sz="4" w:space="0" w:color="auto"/>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WTP (Renters) NZ$/week</w:t>
            </w:r>
          </w:p>
        </w:tc>
        <w:tc>
          <w:tcPr>
            <w:tcW w:w="1531" w:type="dxa"/>
            <w:tcBorders>
              <w:top w:val="single" w:sz="4" w:space="0" w:color="auto"/>
              <w:left w:val="nil"/>
              <w:bottom w:val="single" w:sz="4" w:space="0" w:color="auto"/>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Net Present Value (NPV)</w:t>
            </w:r>
          </w:p>
        </w:tc>
        <w:tc>
          <w:tcPr>
            <w:tcW w:w="1531" w:type="dxa"/>
            <w:tcBorders>
              <w:top w:val="single" w:sz="4" w:space="0" w:color="auto"/>
              <w:left w:val="nil"/>
              <w:bottom w:val="single" w:sz="4" w:space="0" w:color="auto"/>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Capital Cost (installed)</w:t>
            </w:r>
          </w:p>
        </w:tc>
        <w:tc>
          <w:tcPr>
            <w:tcW w:w="1531" w:type="dxa"/>
            <w:tcBorders>
              <w:top w:val="single" w:sz="4" w:space="0" w:color="auto"/>
              <w:left w:val="nil"/>
              <w:bottom w:val="single" w:sz="4" w:space="0" w:color="auto"/>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NPV as % of Capital Cost</w:t>
            </w:r>
          </w:p>
        </w:tc>
      </w:tr>
      <w:tr w:rsidR="000F3F3D" w:rsidRPr="00A60380" w:rsidTr="00047DD4">
        <w:trPr>
          <w:gridAfter w:val="1"/>
          <w:wAfter w:w="57" w:type="dxa"/>
          <w:trHeight w:val="300"/>
        </w:trPr>
        <w:tc>
          <w:tcPr>
            <w:tcW w:w="3402" w:type="dxa"/>
            <w:tcBorders>
              <w:top w:val="nil"/>
              <w:left w:val="nil"/>
              <w:bottom w:val="nil"/>
              <w:right w:val="nil"/>
            </w:tcBorders>
            <w:shd w:val="clear" w:color="auto" w:fill="auto"/>
            <w:noWrap/>
            <w:vAlign w:val="bottom"/>
            <w:hideMark/>
          </w:tcPr>
          <w:p w:rsidR="000F3F3D" w:rsidRPr="000F3F3D" w:rsidRDefault="000F3F3D" w:rsidP="00047DD4">
            <w:pPr>
              <w:rPr>
                <w:rFonts w:eastAsia="Times New Roman"/>
                <w:color w:val="000000"/>
              </w:rPr>
            </w:pPr>
            <w:r w:rsidRPr="000F3F3D">
              <w:rPr>
                <w:rFonts w:eastAsia="Times New Roman"/>
                <w:color w:val="000000"/>
                <w:sz w:val="22"/>
                <w:szCs w:val="22"/>
              </w:rPr>
              <w:t>Heat Recovery Ventilation (HRV)</w:t>
            </w:r>
          </w:p>
        </w:tc>
        <w:tc>
          <w:tcPr>
            <w:tcW w:w="1531" w:type="dxa"/>
            <w:tcBorders>
              <w:top w:val="single" w:sz="4" w:space="0" w:color="auto"/>
              <w:left w:val="nil"/>
              <w:bottom w:val="nil"/>
              <w:right w:val="nil"/>
            </w:tcBorders>
            <w:shd w:val="clear" w:color="auto" w:fill="auto"/>
            <w:noWrap/>
            <w:vAlign w:val="bottom"/>
            <w:hideMark/>
          </w:tcPr>
          <w:p w:rsidR="000F3F3D" w:rsidRPr="000F3F3D" w:rsidRDefault="000F3F3D" w:rsidP="00047DD4">
            <w:pPr>
              <w:tabs>
                <w:tab w:val="decimal" w:pos="680"/>
              </w:tabs>
              <w:rPr>
                <w:rFonts w:eastAsia="Times New Roman"/>
                <w:color w:val="000000"/>
              </w:rPr>
            </w:pPr>
            <w:r w:rsidRPr="000F3F3D">
              <w:rPr>
                <w:rFonts w:eastAsia="Times New Roman"/>
                <w:color w:val="000000"/>
                <w:sz w:val="22"/>
                <w:szCs w:val="22"/>
              </w:rPr>
              <w:t>10.56</w:t>
            </w:r>
          </w:p>
        </w:tc>
        <w:tc>
          <w:tcPr>
            <w:tcW w:w="1531" w:type="dxa"/>
            <w:tcBorders>
              <w:top w:val="single" w:sz="4" w:space="0" w:color="auto"/>
              <w:left w:val="nil"/>
              <w:bottom w:val="nil"/>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$4870</w:t>
            </w:r>
          </w:p>
        </w:tc>
        <w:tc>
          <w:tcPr>
            <w:tcW w:w="1531" w:type="dxa"/>
            <w:tcBorders>
              <w:top w:val="single" w:sz="4" w:space="0" w:color="auto"/>
              <w:left w:val="nil"/>
              <w:bottom w:val="nil"/>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$4100</w:t>
            </w:r>
          </w:p>
        </w:tc>
        <w:tc>
          <w:tcPr>
            <w:tcW w:w="1531" w:type="dxa"/>
            <w:tcBorders>
              <w:top w:val="single" w:sz="4" w:space="0" w:color="auto"/>
              <w:left w:val="nil"/>
              <w:bottom w:val="nil"/>
              <w:right w:val="nil"/>
            </w:tcBorders>
            <w:shd w:val="clear" w:color="auto" w:fill="auto"/>
            <w:noWrap/>
            <w:vAlign w:val="bottom"/>
            <w:hideMark/>
          </w:tcPr>
          <w:p w:rsidR="000F3F3D" w:rsidRPr="000F3F3D" w:rsidRDefault="000F3F3D" w:rsidP="00047DD4">
            <w:pPr>
              <w:tabs>
                <w:tab w:val="right" w:pos="851"/>
              </w:tabs>
              <w:jc w:val="center"/>
              <w:rPr>
                <w:rFonts w:eastAsia="Times New Roman"/>
                <w:color w:val="000000"/>
              </w:rPr>
            </w:pPr>
            <w:r w:rsidRPr="000F3F3D">
              <w:rPr>
                <w:rFonts w:eastAsia="Times New Roman"/>
                <w:color w:val="000000"/>
                <w:sz w:val="22"/>
                <w:szCs w:val="22"/>
              </w:rPr>
              <w:t>119%</w:t>
            </w:r>
          </w:p>
        </w:tc>
      </w:tr>
      <w:tr w:rsidR="000F3F3D" w:rsidRPr="00A60380" w:rsidTr="00047DD4">
        <w:trPr>
          <w:gridAfter w:val="1"/>
          <w:wAfter w:w="57" w:type="dxa"/>
          <w:trHeight w:val="300"/>
        </w:trPr>
        <w:tc>
          <w:tcPr>
            <w:tcW w:w="3402" w:type="dxa"/>
            <w:tcBorders>
              <w:top w:val="nil"/>
              <w:left w:val="nil"/>
              <w:bottom w:val="nil"/>
              <w:right w:val="nil"/>
            </w:tcBorders>
            <w:shd w:val="clear" w:color="auto" w:fill="auto"/>
            <w:noWrap/>
            <w:vAlign w:val="bottom"/>
            <w:hideMark/>
          </w:tcPr>
          <w:p w:rsidR="000F3F3D" w:rsidRPr="000F3F3D" w:rsidRDefault="000F3F3D" w:rsidP="00047DD4">
            <w:pPr>
              <w:rPr>
                <w:rFonts w:eastAsia="Times New Roman"/>
                <w:color w:val="000000"/>
              </w:rPr>
            </w:pPr>
            <w:r w:rsidRPr="000F3F3D">
              <w:rPr>
                <w:sz w:val="22"/>
                <w:szCs w:val="22"/>
              </w:rPr>
              <w:t>Enclosed Wood Burner</w:t>
            </w:r>
          </w:p>
        </w:tc>
        <w:tc>
          <w:tcPr>
            <w:tcW w:w="1531" w:type="dxa"/>
            <w:tcBorders>
              <w:top w:val="nil"/>
              <w:left w:val="nil"/>
              <w:bottom w:val="nil"/>
              <w:right w:val="nil"/>
            </w:tcBorders>
            <w:shd w:val="clear" w:color="auto" w:fill="auto"/>
            <w:noWrap/>
            <w:vAlign w:val="bottom"/>
            <w:hideMark/>
          </w:tcPr>
          <w:p w:rsidR="000F3F3D" w:rsidRPr="000F3F3D" w:rsidRDefault="000F3F3D" w:rsidP="00047DD4">
            <w:pPr>
              <w:tabs>
                <w:tab w:val="decimal" w:pos="680"/>
              </w:tabs>
              <w:rPr>
                <w:rFonts w:eastAsia="Times New Roman"/>
                <w:color w:val="000000"/>
              </w:rPr>
            </w:pPr>
            <w:r w:rsidRPr="000F3F3D">
              <w:rPr>
                <w:rFonts w:eastAsia="Times New Roman"/>
                <w:color w:val="000000"/>
                <w:sz w:val="22"/>
                <w:szCs w:val="22"/>
              </w:rPr>
              <w:t>5.08</w:t>
            </w:r>
          </w:p>
        </w:tc>
        <w:tc>
          <w:tcPr>
            <w:tcW w:w="1531" w:type="dxa"/>
            <w:tcBorders>
              <w:top w:val="nil"/>
              <w:left w:val="nil"/>
              <w:bottom w:val="nil"/>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$2340</w:t>
            </w:r>
          </w:p>
        </w:tc>
        <w:tc>
          <w:tcPr>
            <w:tcW w:w="1531" w:type="dxa"/>
            <w:tcBorders>
              <w:top w:val="nil"/>
              <w:left w:val="nil"/>
              <w:bottom w:val="nil"/>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$3100</w:t>
            </w:r>
          </w:p>
        </w:tc>
        <w:tc>
          <w:tcPr>
            <w:tcW w:w="1531" w:type="dxa"/>
            <w:tcBorders>
              <w:top w:val="nil"/>
              <w:left w:val="nil"/>
              <w:bottom w:val="nil"/>
              <w:right w:val="nil"/>
            </w:tcBorders>
            <w:shd w:val="clear" w:color="auto" w:fill="auto"/>
            <w:noWrap/>
            <w:vAlign w:val="bottom"/>
            <w:hideMark/>
          </w:tcPr>
          <w:p w:rsidR="000F3F3D" w:rsidRPr="000F3F3D" w:rsidRDefault="000F3F3D" w:rsidP="00047DD4">
            <w:pPr>
              <w:tabs>
                <w:tab w:val="right" w:pos="851"/>
              </w:tabs>
              <w:jc w:val="center"/>
              <w:rPr>
                <w:rFonts w:eastAsia="Times New Roman"/>
                <w:color w:val="000000"/>
              </w:rPr>
            </w:pPr>
            <w:r w:rsidRPr="000F3F3D">
              <w:rPr>
                <w:rFonts w:eastAsia="Times New Roman"/>
                <w:color w:val="000000"/>
                <w:sz w:val="22"/>
                <w:szCs w:val="22"/>
              </w:rPr>
              <w:t xml:space="preserve">  75%</w:t>
            </w:r>
          </w:p>
        </w:tc>
      </w:tr>
      <w:tr w:rsidR="000F3F3D" w:rsidRPr="00A60380" w:rsidTr="00047DD4">
        <w:trPr>
          <w:gridAfter w:val="1"/>
          <w:wAfter w:w="57" w:type="dxa"/>
          <w:trHeight w:val="300"/>
        </w:trPr>
        <w:tc>
          <w:tcPr>
            <w:tcW w:w="3402" w:type="dxa"/>
            <w:tcBorders>
              <w:top w:val="nil"/>
              <w:left w:val="nil"/>
              <w:right w:val="nil"/>
            </w:tcBorders>
            <w:shd w:val="clear" w:color="auto" w:fill="auto"/>
            <w:noWrap/>
            <w:vAlign w:val="bottom"/>
            <w:hideMark/>
          </w:tcPr>
          <w:p w:rsidR="000F3F3D" w:rsidRPr="000F3F3D" w:rsidRDefault="000F3F3D" w:rsidP="00047DD4">
            <w:pPr>
              <w:rPr>
                <w:rFonts w:eastAsia="Times New Roman"/>
                <w:color w:val="000000"/>
              </w:rPr>
            </w:pPr>
            <w:r w:rsidRPr="000F3F3D">
              <w:rPr>
                <w:sz w:val="22"/>
                <w:szCs w:val="22"/>
              </w:rPr>
              <w:t>Heat Pump</w:t>
            </w:r>
          </w:p>
        </w:tc>
        <w:tc>
          <w:tcPr>
            <w:tcW w:w="1531" w:type="dxa"/>
            <w:tcBorders>
              <w:top w:val="nil"/>
              <w:left w:val="nil"/>
              <w:right w:val="nil"/>
            </w:tcBorders>
            <w:shd w:val="clear" w:color="auto" w:fill="auto"/>
            <w:noWrap/>
            <w:vAlign w:val="bottom"/>
            <w:hideMark/>
          </w:tcPr>
          <w:p w:rsidR="000F3F3D" w:rsidRPr="000F3F3D" w:rsidRDefault="000F3F3D" w:rsidP="00047DD4">
            <w:pPr>
              <w:tabs>
                <w:tab w:val="decimal" w:pos="680"/>
              </w:tabs>
              <w:rPr>
                <w:rFonts w:eastAsia="Times New Roman"/>
                <w:color w:val="000000"/>
              </w:rPr>
            </w:pPr>
            <w:r w:rsidRPr="000F3F3D">
              <w:rPr>
                <w:rFonts w:eastAsia="Times New Roman"/>
                <w:color w:val="000000"/>
                <w:sz w:val="22"/>
                <w:szCs w:val="22"/>
              </w:rPr>
              <w:t>5.25</w:t>
            </w:r>
          </w:p>
        </w:tc>
        <w:tc>
          <w:tcPr>
            <w:tcW w:w="1531" w:type="dxa"/>
            <w:tcBorders>
              <w:top w:val="nil"/>
              <w:left w:val="nil"/>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$2420</w:t>
            </w:r>
          </w:p>
        </w:tc>
        <w:tc>
          <w:tcPr>
            <w:tcW w:w="1531" w:type="dxa"/>
            <w:tcBorders>
              <w:top w:val="nil"/>
              <w:left w:val="nil"/>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$3700</w:t>
            </w:r>
          </w:p>
        </w:tc>
        <w:tc>
          <w:tcPr>
            <w:tcW w:w="1531" w:type="dxa"/>
            <w:tcBorders>
              <w:top w:val="nil"/>
              <w:left w:val="nil"/>
              <w:right w:val="nil"/>
            </w:tcBorders>
            <w:shd w:val="clear" w:color="auto" w:fill="auto"/>
            <w:noWrap/>
            <w:vAlign w:val="bottom"/>
            <w:hideMark/>
          </w:tcPr>
          <w:p w:rsidR="000F3F3D" w:rsidRPr="000F3F3D" w:rsidRDefault="000F3F3D" w:rsidP="00047DD4">
            <w:pPr>
              <w:tabs>
                <w:tab w:val="right" w:pos="851"/>
              </w:tabs>
              <w:jc w:val="center"/>
              <w:rPr>
                <w:rFonts w:eastAsia="Times New Roman"/>
                <w:color w:val="000000"/>
              </w:rPr>
            </w:pPr>
            <w:r w:rsidRPr="000F3F3D">
              <w:rPr>
                <w:rFonts w:eastAsia="Times New Roman"/>
                <w:color w:val="000000"/>
                <w:sz w:val="22"/>
                <w:szCs w:val="22"/>
              </w:rPr>
              <w:t xml:space="preserve">  65%</w:t>
            </w:r>
          </w:p>
        </w:tc>
      </w:tr>
      <w:tr w:rsidR="000F3F3D" w:rsidRPr="00A60380" w:rsidTr="00047DD4">
        <w:trPr>
          <w:gridAfter w:val="1"/>
          <w:wAfter w:w="57" w:type="dxa"/>
          <w:trHeight w:val="300"/>
        </w:trPr>
        <w:tc>
          <w:tcPr>
            <w:tcW w:w="3402" w:type="dxa"/>
            <w:tcBorders>
              <w:top w:val="nil"/>
              <w:left w:val="nil"/>
              <w:bottom w:val="single" w:sz="4" w:space="0" w:color="auto"/>
              <w:right w:val="nil"/>
            </w:tcBorders>
            <w:shd w:val="clear" w:color="auto" w:fill="auto"/>
            <w:noWrap/>
            <w:vAlign w:val="bottom"/>
            <w:hideMark/>
          </w:tcPr>
          <w:p w:rsidR="000F3F3D" w:rsidRPr="000F3F3D" w:rsidRDefault="000F3F3D" w:rsidP="00047DD4">
            <w:pPr>
              <w:rPr>
                <w:rFonts w:eastAsia="Times New Roman"/>
                <w:color w:val="000000"/>
              </w:rPr>
            </w:pPr>
            <w:r w:rsidRPr="000F3F3D">
              <w:rPr>
                <w:sz w:val="22"/>
                <w:szCs w:val="22"/>
              </w:rPr>
              <w:t>Dehumidifier</w:t>
            </w:r>
          </w:p>
        </w:tc>
        <w:tc>
          <w:tcPr>
            <w:tcW w:w="1531" w:type="dxa"/>
            <w:tcBorders>
              <w:top w:val="nil"/>
              <w:left w:val="nil"/>
              <w:bottom w:val="single" w:sz="4" w:space="0" w:color="auto"/>
              <w:right w:val="nil"/>
            </w:tcBorders>
            <w:shd w:val="clear" w:color="auto" w:fill="auto"/>
            <w:noWrap/>
            <w:vAlign w:val="bottom"/>
            <w:hideMark/>
          </w:tcPr>
          <w:p w:rsidR="000F3F3D" w:rsidRPr="000F3F3D" w:rsidRDefault="000F3F3D" w:rsidP="00047DD4">
            <w:pPr>
              <w:tabs>
                <w:tab w:val="decimal" w:pos="680"/>
              </w:tabs>
              <w:rPr>
                <w:rFonts w:eastAsia="Times New Roman"/>
                <w:color w:val="000000"/>
              </w:rPr>
            </w:pPr>
            <w:r w:rsidRPr="000F3F3D">
              <w:rPr>
                <w:rFonts w:eastAsia="Times New Roman"/>
                <w:color w:val="000000"/>
                <w:sz w:val="22"/>
                <w:szCs w:val="22"/>
              </w:rPr>
              <w:t>3.33</w:t>
            </w:r>
          </w:p>
        </w:tc>
        <w:tc>
          <w:tcPr>
            <w:tcW w:w="1531" w:type="dxa"/>
            <w:tcBorders>
              <w:top w:val="nil"/>
              <w:left w:val="nil"/>
              <w:bottom w:val="single" w:sz="4" w:space="0" w:color="auto"/>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$1530</w:t>
            </w:r>
          </w:p>
        </w:tc>
        <w:tc>
          <w:tcPr>
            <w:tcW w:w="1531" w:type="dxa"/>
            <w:tcBorders>
              <w:top w:val="nil"/>
              <w:left w:val="nil"/>
              <w:bottom w:val="single" w:sz="4" w:space="0" w:color="auto"/>
              <w:right w:val="nil"/>
            </w:tcBorders>
            <w:shd w:val="clear" w:color="auto" w:fill="auto"/>
            <w:noWrap/>
            <w:vAlign w:val="bottom"/>
            <w:hideMark/>
          </w:tcPr>
          <w:p w:rsidR="000F3F3D" w:rsidRPr="000F3F3D" w:rsidRDefault="000F3F3D" w:rsidP="00047DD4">
            <w:pPr>
              <w:jc w:val="center"/>
              <w:rPr>
                <w:rFonts w:eastAsia="Times New Roman"/>
                <w:color w:val="000000"/>
              </w:rPr>
            </w:pPr>
            <w:r w:rsidRPr="000F3F3D">
              <w:rPr>
                <w:rFonts w:eastAsia="Times New Roman"/>
                <w:color w:val="000000"/>
                <w:sz w:val="22"/>
                <w:szCs w:val="22"/>
              </w:rPr>
              <w:t>$1000</w:t>
            </w:r>
          </w:p>
        </w:tc>
        <w:tc>
          <w:tcPr>
            <w:tcW w:w="1531" w:type="dxa"/>
            <w:tcBorders>
              <w:top w:val="nil"/>
              <w:left w:val="nil"/>
              <w:bottom w:val="single" w:sz="4" w:space="0" w:color="auto"/>
              <w:right w:val="nil"/>
            </w:tcBorders>
            <w:shd w:val="clear" w:color="auto" w:fill="auto"/>
            <w:noWrap/>
            <w:vAlign w:val="bottom"/>
            <w:hideMark/>
          </w:tcPr>
          <w:p w:rsidR="000F3F3D" w:rsidRPr="000F3F3D" w:rsidRDefault="000F3F3D" w:rsidP="00047DD4">
            <w:pPr>
              <w:tabs>
                <w:tab w:val="right" w:pos="851"/>
              </w:tabs>
              <w:jc w:val="center"/>
              <w:rPr>
                <w:rFonts w:eastAsia="Times New Roman"/>
                <w:color w:val="000000"/>
              </w:rPr>
            </w:pPr>
            <w:r w:rsidRPr="000F3F3D">
              <w:rPr>
                <w:rFonts w:eastAsia="Times New Roman"/>
                <w:color w:val="000000"/>
                <w:sz w:val="22"/>
                <w:szCs w:val="22"/>
              </w:rPr>
              <w:t>153%</w:t>
            </w:r>
          </w:p>
        </w:tc>
      </w:tr>
    </w:tbl>
    <w:p w:rsidR="000F3F3D" w:rsidRPr="003C2AD4" w:rsidRDefault="000F3F3D" w:rsidP="000F3F3D">
      <w:pPr>
        <w:spacing w:before="40"/>
        <w:rPr>
          <w:sz w:val="20"/>
        </w:rPr>
      </w:pPr>
      <w:r w:rsidRPr="003C2AD4">
        <w:rPr>
          <w:i/>
          <w:sz w:val="20"/>
        </w:rPr>
        <w:t xml:space="preserve">Notes: </w:t>
      </w:r>
      <w:r>
        <w:rPr>
          <w:sz w:val="20"/>
        </w:rPr>
        <w:t>Net present value calculated assuming a device life of 12 years and a discount rate of 0.05.</w:t>
      </w:r>
    </w:p>
    <w:p w:rsidR="000F3F3D" w:rsidRDefault="000F3F3D" w:rsidP="000F3F3D"/>
    <w:p w:rsidR="00F3589B" w:rsidRDefault="00F3589B" w:rsidP="00634809">
      <w:pPr>
        <w:spacing w:line="300" w:lineRule="auto"/>
        <w:ind w:firstLine="426"/>
      </w:pPr>
    </w:p>
    <w:p w:rsidR="00AF58D7" w:rsidRDefault="00B334B8" w:rsidP="00634809">
      <w:pPr>
        <w:spacing w:line="300" w:lineRule="auto"/>
        <w:ind w:firstLine="426"/>
      </w:pPr>
      <w:r>
        <w:t>One implication of finding</w:t>
      </w:r>
      <w:r w:rsidR="00694113">
        <w:t xml:space="preserve"> </w:t>
      </w:r>
      <w:r w:rsidR="00411BBA">
        <w:t>a</w:t>
      </w:r>
      <w:r>
        <w:t xml:space="preserve"> willingness to pay for these devices </w:t>
      </w:r>
      <w:r w:rsidR="00411BBA">
        <w:t xml:space="preserve">that </w:t>
      </w:r>
      <w:r>
        <w:t xml:space="preserve">approximately equals their </w:t>
      </w:r>
      <w:r w:rsidR="00694113">
        <w:t>average cost</w:t>
      </w:r>
      <w:r>
        <w:t xml:space="preserve"> is that</w:t>
      </w:r>
      <w:r w:rsidR="00694113">
        <w:t>,</w:t>
      </w:r>
      <w:r>
        <w:t xml:space="preserve"> </w:t>
      </w:r>
      <w:r w:rsidR="00694113">
        <w:t>absent</w:t>
      </w:r>
      <w:r>
        <w:t xml:space="preserve"> concern over the distri</w:t>
      </w:r>
      <w:r w:rsidR="00694113">
        <w:t>bution of benefits, schemes to</w:t>
      </w:r>
      <w:r>
        <w:t xml:space="preserve"> subsidize or </w:t>
      </w:r>
      <w:r w:rsidR="00694113">
        <w:t xml:space="preserve">freely provide </w:t>
      </w:r>
      <w:r>
        <w:t xml:space="preserve">these devices </w:t>
      </w:r>
      <w:r w:rsidR="00411BBA">
        <w:t xml:space="preserve">are not necessarily wasteful in the sense of giving people something that costs </w:t>
      </w:r>
      <w:r w:rsidR="000C7D11">
        <w:t xml:space="preserve">much </w:t>
      </w:r>
      <w:r w:rsidR="00411BBA">
        <w:t>more than the value they place on it.</w:t>
      </w:r>
      <w:r w:rsidR="00C73E27">
        <w:t xml:space="preserve"> </w:t>
      </w:r>
      <w:r w:rsidR="00694113">
        <w:t xml:space="preserve">Our results contrast sharply with those reported by </w:t>
      </w:r>
      <w:proofErr w:type="spellStart"/>
      <w:r w:rsidR="00694113">
        <w:t>Vu</w:t>
      </w:r>
      <w:r w:rsidR="0080727D">
        <w:t>j</w:t>
      </w:r>
      <w:r w:rsidR="00694113">
        <w:t>cich</w:t>
      </w:r>
      <w:proofErr w:type="spellEnd"/>
      <w:r w:rsidR="00694113">
        <w:t xml:space="preserve"> (2008)</w:t>
      </w:r>
      <w:r w:rsidR="0080727D">
        <w:t>,</w:t>
      </w:r>
      <w:r w:rsidR="00694113">
        <w:t xml:space="preserve"> who analyzed contingent valuation data produced by the Housing, Heating and Health Study (HHHS)</w:t>
      </w:r>
      <w:r w:rsidR="0080727D">
        <w:t xml:space="preserve">, which is the same study used in the cost-benefit analysis of </w:t>
      </w:r>
      <w:proofErr w:type="spellStart"/>
      <w:r w:rsidR="0080727D">
        <w:t>Preval</w:t>
      </w:r>
      <w:proofErr w:type="spellEnd"/>
      <w:r w:rsidR="0080727D">
        <w:t xml:space="preserve"> </w:t>
      </w:r>
      <w:r w:rsidR="0080727D" w:rsidRPr="00F94614">
        <w:rPr>
          <w:i/>
        </w:rPr>
        <w:t>et al</w:t>
      </w:r>
      <w:r w:rsidR="00155BE3" w:rsidRPr="00F94614">
        <w:rPr>
          <w:i/>
        </w:rPr>
        <w:t>.</w:t>
      </w:r>
      <w:r w:rsidR="0080727D">
        <w:t xml:space="preserve"> (2010). The participants in the HHHS were reported to place an average value on heat pumps which was only one-half of actual cost, and a valuation on wood burners which was less than one-fifth of the actual cost. But there are reasons to doubt these valuations, since the HHHS simply asked respondents how much they would pay for their new heater, with six interval values available (including zero and an open-ended interval above $5000) rather than deriving thes</w:t>
      </w:r>
      <w:r w:rsidR="0080727D" w:rsidRPr="00FC008F">
        <w:t>e values from a robust choice experiment.</w:t>
      </w:r>
      <w:r w:rsidR="00FC008F" w:rsidRPr="00FC008F">
        <w:t xml:space="preserve"> Moreover, the questions </w:t>
      </w:r>
      <w:r w:rsidR="00F95BF4">
        <w:t xml:space="preserve">that were </w:t>
      </w:r>
      <w:r w:rsidR="00FC008F" w:rsidRPr="00FC008F">
        <w:t xml:space="preserve">asked </w:t>
      </w:r>
      <w:r w:rsidR="00F95BF4">
        <w:t xml:space="preserve">by the HHHS </w:t>
      </w:r>
      <w:r w:rsidR="00FC008F" w:rsidRPr="00FC008F">
        <w:t>emphasized that the heaters would be given away for free, stating</w:t>
      </w:r>
      <w:r w:rsidR="0080727D" w:rsidRPr="00FC008F">
        <w:t xml:space="preserve"> </w:t>
      </w:r>
      <w:r w:rsidR="00FC008F" w:rsidRPr="00FC008F">
        <w:t xml:space="preserve">that: </w:t>
      </w:r>
      <w:r w:rsidR="000D4AC5">
        <w:t>‘</w:t>
      </w:r>
      <w:r w:rsidR="00AF58D7" w:rsidRPr="00FC008F">
        <w:rPr>
          <w:rFonts w:ascii="Times-Roman" w:hAnsi="Times-Roman" w:cs="Times-Roman"/>
          <w:lang w:bidi="ar-SA"/>
        </w:rPr>
        <w:t>In fact, the heater will be free to you – you will not be asked to pay</w:t>
      </w:r>
      <w:r w:rsidR="000D4AC5">
        <w:rPr>
          <w:rFonts w:ascii="Times-Roman" w:hAnsi="Times-Roman" w:cs="Times-Roman"/>
          <w:lang w:bidi="ar-SA"/>
        </w:rPr>
        <w:t>’</w:t>
      </w:r>
      <w:r w:rsidR="00AF58D7" w:rsidRPr="00FC008F">
        <w:rPr>
          <w:rFonts w:ascii="Times-Roman" w:hAnsi="Times-Roman" w:cs="Times-Roman"/>
          <w:lang w:bidi="ar-SA"/>
        </w:rPr>
        <w:t xml:space="preserve">, which </w:t>
      </w:r>
      <w:r w:rsidR="00FC008F" w:rsidRPr="00FC008F">
        <w:rPr>
          <w:rFonts w:ascii="Times-Roman" w:hAnsi="Times-Roman" w:cs="Times-Roman"/>
          <w:lang w:bidi="ar-SA"/>
        </w:rPr>
        <w:t xml:space="preserve">may be likely to lead to a </w:t>
      </w:r>
      <w:r w:rsidR="00AF58D7" w:rsidRPr="00FC008F">
        <w:t>systematic under-reporting of value</w:t>
      </w:r>
      <w:r w:rsidR="00FC008F" w:rsidRPr="00FC008F">
        <w:t>, compared with what is found from a carefully conducted choice experiment.</w:t>
      </w:r>
    </w:p>
    <w:p w:rsidR="00FF7EA4" w:rsidRPr="00AF58D7" w:rsidRDefault="00FF7EA4" w:rsidP="00FF7EA4">
      <w:pPr>
        <w:spacing w:line="300" w:lineRule="auto"/>
        <w:ind w:firstLine="720"/>
      </w:pPr>
    </w:p>
    <w:p w:rsidR="00694113" w:rsidRDefault="00F95BF4" w:rsidP="000F3F3D">
      <w:pPr>
        <w:tabs>
          <w:tab w:val="left" w:pos="426"/>
        </w:tabs>
        <w:spacing w:line="300" w:lineRule="auto"/>
      </w:pPr>
      <w:r>
        <w:tab/>
        <w:t xml:space="preserve">Finally, it is interesting to contrast the revealed preferences for these devices with their availability in the dwellings that the respondents either rent or own. The most preferred device, the HRV ventilation system, is available to only </w:t>
      </w:r>
      <w:r w:rsidR="006536FC">
        <w:t xml:space="preserve">three percent of the respondents. The </w:t>
      </w:r>
      <w:r w:rsidR="006536FC">
        <w:lastRenderedPageBreak/>
        <w:t xml:space="preserve">next most preferred devices – the enclosed wood burner and the heat pump – are available to just 1.5 percent and 7.8 percent of renters (but 30 percent of the owner-occupiers have a wood burner). </w:t>
      </w:r>
      <w:r w:rsidR="00EF2C53">
        <w:t xml:space="preserve">Conversely, the most common devices available to renters are the electric heater and the gas heater, both of which had a willingness-to-pay that was not statistically significantly different from zero. The </w:t>
      </w:r>
      <w:proofErr w:type="spellStart"/>
      <w:r w:rsidR="00EF2C53">
        <w:t>mis</w:t>
      </w:r>
      <w:proofErr w:type="spellEnd"/>
      <w:r w:rsidR="00EF2C53">
        <w:t xml:space="preserve">-match between what is supplied in rental dwellings and what is preferred by tenants suggests that </w:t>
      </w:r>
      <w:r w:rsidR="00946498">
        <w:t xml:space="preserve">some </w:t>
      </w:r>
      <w:r w:rsidR="00EF2C53">
        <w:t>improvement in indoor air quality might come just from information interventions</w:t>
      </w:r>
      <w:r w:rsidR="00946498">
        <w:t xml:space="preserve"> to show</w:t>
      </w:r>
      <w:r w:rsidR="00EF2C53">
        <w:t xml:space="preserve"> </w:t>
      </w:r>
      <w:r w:rsidR="000C7D11">
        <w:t xml:space="preserve">that </w:t>
      </w:r>
      <w:r w:rsidR="00EF2C53">
        <w:t xml:space="preserve">the willingness of tenants to pay higher rent for dwellings with improved devices </w:t>
      </w:r>
      <w:r w:rsidR="00946498">
        <w:t xml:space="preserve">may be </w:t>
      </w:r>
      <w:r w:rsidR="00EF2C53">
        <w:t>sufficient for landlords to cover the cost</w:t>
      </w:r>
      <w:r w:rsidR="00946498">
        <w:t xml:space="preserve"> of at least some of these devices</w:t>
      </w:r>
      <w:r w:rsidR="00EF2C53">
        <w:t>.</w:t>
      </w:r>
    </w:p>
    <w:p w:rsidR="00F95BF4" w:rsidRDefault="00F95BF4" w:rsidP="00FF7EA4">
      <w:pPr>
        <w:spacing w:line="300" w:lineRule="auto"/>
        <w:rPr>
          <w:b/>
        </w:rPr>
      </w:pPr>
    </w:p>
    <w:p w:rsidR="0048171D" w:rsidRDefault="00675C52" w:rsidP="00FF7EA4">
      <w:pPr>
        <w:spacing w:line="300" w:lineRule="auto"/>
        <w:rPr>
          <w:b/>
        </w:rPr>
      </w:pPr>
      <w:r>
        <w:rPr>
          <w:b/>
        </w:rPr>
        <w:t xml:space="preserve">5. </w:t>
      </w:r>
      <w:r w:rsidR="00F3589B">
        <w:rPr>
          <w:b/>
        </w:rPr>
        <w:t xml:space="preserve"> </w:t>
      </w:r>
      <w:r>
        <w:rPr>
          <w:b/>
        </w:rPr>
        <w:t>Conclusions</w:t>
      </w:r>
    </w:p>
    <w:p w:rsidR="00155BE3" w:rsidRPr="00155BE3" w:rsidRDefault="00155BE3" w:rsidP="00FF7EA4">
      <w:pPr>
        <w:spacing w:line="300" w:lineRule="auto"/>
        <w:rPr>
          <w:sz w:val="12"/>
          <w:szCs w:val="12"/>
        </w:rPr>
      </w:pPr>
    </w:p>
    <w:p w:rsidR="003A451F" w:rsidRDefault="003A451F" w:rsidP="00FF7EA4">
      <w:pPr>
        <w:spacing w:line="300" w:lineRule="auto"/>
      </w:pPr>
      <w:r>
        <w:t xml:space="preserve">Respiratory disorders impose a high </w:t>
      </w:r>
      <w:r w:rsidR="00EF5032">
        <w:t xml:space="preserve">disease </w:t>
      </w:r>
      <w:r>
        <w:t xml:space="preserve">burden in New Zealand that is unequally </w:t>
      </w:r>
      <w:r w:rsidR="00EF5032">
        <w:t xml:space="preserve">borne </w:t>
      </w:r>
      <w:r w:rsidR="00751A3E">
        <w:t xml:space="preserve">over </w:t>
      </w:r>
      <w:r>
        <w:t>ethnic groups, with the indigenous</w:t>
      </w:r>
      <w:r w:rsidR="00751A3E">
        <w:t xml:space="preserve"> Maori and the immigrant-origin Pacific Islands</w:t>
      </w:r>
      <w:r>
        <w:t xml:space="preserve"> populations suffering the most. Previous research has shown that the poor quality of indoor air, which is both too cold and too damp, is an important contributor to </w:t>
      </w:r>
      <w:r w:rsidR="00070F0E">
        <w:t xml:space="preserve">these </w:t>
      </w:r>
      <w:r>
        <w:t xml:space="preserve">respiratory </w:t>
      </w:r>
      <w:r w:rsidR="00070F0E">
        <w:t>disorders</w:t>
      </w:r>
      <w:r>
        <w:t xml:space="preserve">. These air quality problems reflect the poor standard of </w:t>
      </w:r>
      <w:r w:rsidR="0069747D">
        <w:t xml:space="preserve">construction </w:t>
      </w:r>
      <w:r w:rsidR="000C7D11">
        <w:t>and insulation of New Zealand dwellings</w:t>
      </w:r>
      <w:r>
        <w:t xml:space="preserve">, </w:t>
      </w:r>
      <w:r w:rsidR="000C7D11">
        <w:t xml:space="preserve">which is exacerbated by the damp and humid climate and by </w:t>
      </w:r>
      <w:r>
        <w:t xml:space="preserve">traditions of </w:t>
      </w:r>
      <w:r w:rsidR="0069747D">
        <w:t xml:space="preserve">relying on ineffective and polluting </w:t>
      </w:r>
      <w:r w:rsidR="00CF13C0">
        <w:t>devices to heat</w:t>
      </w:r>
      <w:r>
        <w:t xml:space="preserve"> a single r</w:t>
      </w:r>
      <w:r w:rsidR="0069747D">
        <w:t xml:space="preserve">oom </w:t>
      </w:r>
      <w:r w:rsidR="000C7D11">
        <w:t>(</w:t>
      </w:r>
      <w:r w:rsidR="007276B5">
        <w:t>for example,</w:t>
      </w:r>
      <w:r w:rsidR="000C7D11">
        <w:t xml:space="preserve"> an open fireplace) </w:t>
      </w:r>
      <w:r w:rsidR="0069747D">
        <w:t xml:space="preserve">rather than </w:t>
      </w:r>
      <w:r w:rsidR="000C7D11">
        <w:t xml:space="preserve">on </w:t>
      </w:r>
      <w:r w:rsidR="0069747D">
        <w:t>clean and effective heating of the whole house</w:t>
      </w:r>
      <w:r>
        <w:t xml:space="preserve">. These </w:t>
      </w:r>
      <w:r w:rsidR="00CF13C0">
        <w:t xml:space="preserve">indoor air </w:t>
      </w:r>
      <w:r w:rsidR="000C7D11">
        <w:t xml:space="preserve">quality </w:t>
      </w:r>
      <w:r>
        <w:t xml:space="preserve">problems are </w:t>
      </w:r>
      <w:r w:rsidR="000C7D11">
        <w:t xml:space="preserve">likely to be even more serious </w:t>
      </w:r>
      <w:r>
        <w:t>for Pacific Islanders, who often live in over-crowded rental dwellings that they</w:t>
      </w:r>
      <w:r w:rsidR="00BC2CC8">
        <w:t xml:space="preserve"> find difficult to keep warm. Moreover, recent </w:t>
      </w:r>
      <w:r w:rsidR="00CF13C0">
        <w:t xml:space="preserve">Pacific </w:t>
      </w:r>
      <w:r w:rsidR="00BC2CC8">
        <w:t xml:space="preserve">immigrants are unlikely to be familiar </w:t>
      </w:r>
      <w:r>
        <w:t>with housing-related</w:t>
      </w:r>
      <w:r w:rsidR="00BC2CC8">
        <w:t xml:space="preserve"> causes of respiratory disease, since homes are much warmer and better ventilated</w:t>
      </w:r>
      <w:r>
        <w:t xml:space="preserve"> in their</w:t>
      </w:r>
      <w:r w:rsidR="00BC2CC8">
        <w:t xml:space="preserve"> home</w:t>
      </w:r>
      <w:r>
        <w:t xml:space="preserve"> countries.</w:t>
      </w:r>
    </w:p>
    <w:p w:rsidR="00FF7EA4" w:rsidRDefault="00FF7EA4" w:rsidP="00FF7EA4">
      <w:pPr>
        <w:spacing w:line="300" w:lineRule="auto"/>
      </w:pPr>
    </w:p>
    <w:p w:rsidR="000C7D11" w:rsidRDefault="000C7D11" w:rsidP="007276B5">
      <w:pPr>
        <w:tabs>
          <w:tab w:val="left" w:pos="426"/>
        </w:tabs>
        <w:spacing w:line="300" w:lineRule="auto"/>
        <w:rPr>
          <w:lang w:bidi="ar-SA"/>
        </w:rPr>
      </w:pPr>
      <w:r>
        <w:tab/>
        <w:t>To deal with some of these housing-related health problems, the New Z</w:t>
      </w:r>
      <w:r w:rsidR="005D487B">
        <w:t>ealand Government recently funded a</w:t>
      </w:r>
      <w:r>
        <w:t xml:space="preserve"> NZ$350 million four-year program to subsidize the cost of retro-fitting insulation and installing clean heat sources in 1</w:t>
      </w:r>
      <w:r w:rsidR="00751A3E">
        <w:t>90</w:t>
      </w:r>
      <w:r>
        <w:t xml:space="preserve">,000 </w:t>
      </w:r>
      <w:r w:rsidR="00DF3B46">
        <w:t>houses</w:t>
      </w:r>
      <w:r>
        <w:t>.</w:t>
      </w:r>
      <w:r w:rsidR="00DF3B46">
        <w:t xml:space="preserve"> </w:t>
      </w:r>
      <w:r w:rsidR="00946498">
        <w:t xml:space="preserve">Similar schemes also have been launched in other countries. </w:t>
      </w:r>
      <w:r w:rsidR="00DF3B46">
        <w:t xml:space="preserve">Initial evaluations </w:t>
      </w:r>
      <w:r w:rsidR="00070F0E">
        <w:t xml:space="preserve">show </w:t>
      </w:r>
      <w:r w:rsidR="00946498">
        <w:t xml:space="preserve">that </w:t>
      </w:r>
      <w:r w:rsidR="00DF3B46">
        <w:t xml:space="preserve">the insulation component </w:t>
      </w:r>
      <w:r w:rsidR="00B918D6">
        <w:t>contribute</w:t>
      </w:r>
      <w:r w:rsidR="00070F0E">
        <w:t>s</w:t>
      </w:r>
      <w:r w:rsidR="00B918D6">
        <w:t xml:space="preserve"> most</w:t>
      </w:r>
      <w:r w:rsidR="00833069">
        <w:t xml:space="preserve"> to the </w:t>
      </w:r>
      <w:r w:rsidR="000E202F">
        <w:t xml:space="preserve">positive cost-benefit ratio </w:t>
      </w:r>
      <w:r w:rsidR="00946498">
        <w:t xml:space="preserve">of the New Zealand scheme </w:t>
      </w:r>
      <w:r w:rsidR="000E202F">
        <w:t xml:space="preserve">(Grimes </w:t>
      </w:r>
      <w:r w:rsidR="000E202F" w:rsidRPr="000F3F3D">
        <w:rPr>
          <w:i/>
        </w:rPr>
        <w:t>et al</w:t>
      </w:r>
      <w:r w:rsidR="00155BE3" w:rsidRPr="000F3F3D">
        <w:rPr>
          <w:i/>
        </w:rPr>
        <w:t>.</w:t>
      </w:r>
      <w:r w:rsidR="000E202F">
        <w:t xml:space="preserve"> 2012), but </w:t>
      </w:r>
      <w:r w:rsidR="00833069">
        <w:t xml:space="preserve">there has been little analysis of </w:t>
      </w:r>
      <w:r w:rsidR="00070F0E">
        <w:t xml:space="preserve">whether </w:t>
      </w:r>
      <w:r w:rsidR="00833069">
        <w:t xml:space="preserve">some of the subsidized </w:t>
      </w:r>
      <w:r w:rsidR="00B918D6">
        <w:t xml:space="preserve">investment </w:t>
      </w:r>
      <w:r w:rsidR="00833069">
        <w:t>might have occurred</w:t>
      </w:r>
      <w:r w:rsidR="00070F0E">
        <w:t xml:space="preserve"> anyway</w:t>
      </w:r>
      <w:r w:rsidR="00CD22ED">
        <w:t>,</w:t>
      </w:r>
      <w:r w:rsidR="00070F0E">
        <w:t xml:space="preserve"> and</w:t>
      </w:r>
      <w:r w:rsidR="00833069">
        <w:t xml:space="preserve"> of the value that </w:t>
      </w:r>
      <w:r w:rsidR="00B918D6">
        <w:t>the affected population</w:t>
      </w:r>
      <w:r w:rsidR="00070F0E">
        <w:t>s</w:t>
      </w:r>
      <w:r w:rsidR="00B918D6">
        <w:t xml:space="preserve"> </w:t>
      </w:r>
      <w:r w:rsidR="00833069">
        <w:t xml:space="preserve">themselves place on </w:t>
      </w:r>
      <w:r w:rsidR="00CD22ED">
        <w:t xml:space="preserve">improved </w:t>
      </w:r>
      <w:r w:rsidR="00070F0E">
        <w:t xml:space="preserve">devices that allow </w:t>
      </w:r>
      <w:r w:rsidR="00833069">
        <w:t xml:space="preserve">warmer and drier homes. Therefore in this paper we </w:t>
      </w:r>
      <w:r w:rsidR="00B918D6">
        <w:t xml:space="preserve">report on an investigation into </w:t>
      </w:r>
      <w:r w:rsidR="00B918D6">
        <w:rPr>
          <w:lang w:bidi="ar-SA"/>
        </w:rPr>
        <w:t>preferences for household devices that affect indoor air quality, dampness</w:t>
      </w:r>
      <w:r w:rsidR="00CD22ED">
        <w:rPr>
          <w:lang w:bidi="ar-SA"/>
        </w:rPr>
        <w:t>,</w:t>
      </w:r>
      <w:r w:rsidR="00B918D6">
        <w:rPr>
          <w:lang w:bidi="ar-SA"/>
        </w:rPr>
        <w:t xml:space="preserve"> and warmth</w:t>
      </w:r>
      <w:r w:rsidR="00946498">
        <w:rPr>
          <w:lang w:bidi="ar-SA"/>
        </w:rPr>
        <w:t xml:space="preserve">. The analysis is </w:t>
      </w:r>
      <w:r w:rsidR="00070F0E">
        <w:rPr>
          <w:lang w:bidi="ar-SA"/>
        </w:rPr>
        <w:t xml:space="preserve">based on </w:t>
      </w:r>
      <w:r w:rsidR="00B918D6">
        <w:rPr>
          <w:lang w:bidi="ar-SA"/>
        </w:rPr>
        <w:t>choice experiment data collected from a sample of Pacific Island immigrants</w:t>
      </w:r>
      <w:r w:rsidR="00946498">
        <w:rPr>
          <w:lang w:bidi="ar-SA"/>
        </w:rPr>
        <w:t>, who are an at-risk group for respiratory disorders and who have a poor standard of housing</w:t>
      </w:r>
      <w:r w:rsidR="00B918D6">
        <w:rPr>
          <w:lang w:bidi="ar-SA"/>
        </w:rPr>
        <w:t xml:space="preserve">. </w:t>
      </w:r>
      <w:r w:rsidR="00CD22ED">
        <w:rPr>
          <w:lang w:bidi="ar-SA"/>
        </w:rPr>
        <w:t xml:space="preserve">Most </w:t>
      </w:r>
      <w:r w:rsidR="00070F0E">
        <w:rPr>
          <w:lang w:bidi="ar-SA"/>
        </w:rPr>
        <w:t xml:space="preserve">of this sample rent, </w:t>
      </w:r>
      <w:r w:rsidR="00CD22ED">
        <w:rPr>
          <w:lang w:bidi="ar-SA"/>
        </w:rPr>
        <w:t xml:space="preserve">and </w:t>
      </w:r>
      <w:r w:rsidR="00070F0E">
        <w:rPr>
          <w:lang w:bidi="ar-SA"/>
        </w:rPr>
        <w:t xml:space="preserve">therefore </w:t>
      </w:r>
      <w:r w:rsidR="00CD22ED">
        <w:rPr>
          <w:lang w:bidi="ar-SA"/>
        </w:rPr>
        <w:t xml:space="preserve">have </w:t>
      </w:r>
      <w:r w:rsidR="00070F0E">
        <w:rPr>
          <w:lang w:bidi="ar-SA"/>
        </w:rPr>
        <w:t>little day-to-day choice over the heating and humidity control devices that they can use. Amongst these renters, around two-thirds had major problems with cold, damp, moldy houses and more than one-half of them exhibited symptoms of respiratory dis</w:t>
      </w:r>
      <w:r w:rsidR="00946498">
        <w:rPr>
          <w:lang w:bidi="ar-SA"/>
        </w:rPr>
        <w:t>ease</w:t>
      </w:r>
      <w:r w:rsidR="00070F0E">
        <w:rPr>
          <w:lang w:bidi="ar-SA"/>
        </w:rPr>
        <w:t>.</w:t>
      </w:r>
    </w:p>
    <w:p w:rsidR="00FF7EA4" w:rsidRDefault="00FF7EA4" w:rsidP="00FF7EA4">
      <w:pPr>
        <w:spacing w:line="300" w:lineRule="auto"/>
        <w:rPr>
          <w:lang w:bidi="ar-SA"/>
        </w:rPr>
      </w:pPr>
    </w:p>
    <w:p w:rsidR="00070F0E" w:rsidRDefault="00070F0E" w:rsidP="000F3F3D">
      <w:pPr>
        <w:tabs>
          <w:tab w:val="left" w:pos="426"/>
        </w:tabs>
        <w:spacing w:line="300" w:lineRule="auto"/>
      </w:pPr>
      <w:r>
        <w:rPr>
          <w:lang w:bidi="ar-SA"/>
        </w:rPr>
        <w:lastRenderedPageBreak/>
        <w:tab/>
      </w:r>
      <w:r w:rsidR="00CD22ED">
        <w:rPr>
          <w:lang w:bidi="ar-SA"/>
        </w:rPr>
        <w:t xml:space="preserve">The efficient design of the choice experiment meant that even a small sample </w:t>
      </w:r>
      <w:r w:rsidR="00EB289F">
        <w:rPr>
          <w:lang w:bidi="ar-SA"/>
        </w:rPr>
        <w:t>(</w:t>
      </w:r>
      <w:r w:rsidR="00EB289F" w:rsidRPr="00EB289F">
        <w:rPr>
          <w:i/>
          <w:lang w:bidi="ar-SA"/>
        </w:rPr>
        <w:t>n</w:t>
      </w:r>
      <w:r w:rsidR="00EB289F">
        <w:rPr>
          <w:lang w:bidi="ar-SA"/>
        </w:rPr>
        <w:t>=</w:t>
      </w:r>
      <w:r w:rsidR="00CD22ED">
        <w:rPr>
          <w:lang w:bidi="ar-SA"/>
        </w:rPr>
        <w:t>249</w:t>
      </w:r>
      <w:r w:rsidR="00EB289F">
        <w:rPr>
          <w:lang w:bidi="ar-SA"/>
        </w:rPr>
        <w:t xml:space="preserve">) yielded </w:t>
      </w:r>
      <w:r w:rsidR="00CD22ED">
        <w:rPr>
          <w:lang w:bidi="ar-SA"/>
        </w:rPr>
        <w:t xml:space="preserve">reasonably precise estimates of the willingness to pay for four improved heating and </w:t>
      </w:r>
      <w:r w:rsidR="00080720">
        <w:rPr>
          <w:lang w:bidi="ar-SA"/>
        </w:rPr>
        <w:t xml:space="preserve">humidity </w:t>
      </w:r>
      <w:r w:rsidR="00CD22ED">
        <w:rPr>
          <w:lang w:bidi="ar-SA"/>
        </w:rPr>
        <w:t>control devices</w:t>
      </w:r>
      <w:r w:rsidR="00EB289F">
        <w:rPr>
          <w:lang w:bidi="ar-SA"/>
        </w:rPr>
        <w:t xml:space="preserve">, which ranged from NZ$2.10 to $10.60 per week in extra rent that respondents would pay for a dwelling with one of these devices. </w:t>
      </w:r>
      <w:r w:rsidR="00141F23">
        <w:rPr>
          <w:lang w:bidi="ar-SA"/>
        </w:rPr>
        <w:t>For two of the</w:t>
      </w:r>
      <w:r w:rsidR="002F3591">
        <w:rPr>
          <w:lang w:bidi="ar-SA"/>
        </w:rPr>
        <w:t xml:space="preserve"> devices</w:t>
      </w:r>
      <w:r w:rsidR="00141F23">
        <w:rPr>
          <w:lang w:bidi="ar-SA"/>
        </w:rPr>
        <w:t xml:space="preserve"> under consideration</w:t>
      </w:r>
      <w:r w:rsidR="002F3591">
        <w:rPr>
          <w:lang w:bidi="ar-SA"/>
        </w:rPr>
        <w:t xml:space="preserve">, this extra rent would be enough to cover the capital cost of installing the device, while for the other two the willingness to pay was equivalent to between two-thirds and three-quarters of the capital cost. Despite this, very few of the dwellings that were rented had any of these preferred devices, although around 30 percent of owner-occupiers had one of the preferred devices – the enclosed wood burner. </w:t>
      </w:r>
      <w:r w:rsidR="00141F23">
        <w:rPr>
          <w:lang w:bidi="ar-SA"/>
        </w:rPr>
        <w:t xml:space="preserve">Our findings contrast with an earlier study which found much lower valuations on improved heating devices, but which used a less reliable </w:t>
      </w:r>
      <w:r w:rsidR="00484FFB">
        <w:rPr>
          <w:lang w:bidi="ar-SA"/>
        </w:rPr>
        <w:t xml:space="preserve">contingent valuation </w:t>
      </w:r>
      <w:r w:rsidR="00141F23">
        <w:rPr>
          <w:lang w:bidi="ar-SA"/>
        </w:rPr>
        <w:t xml:space="preserve">method </w:t>
      </w:r>
      <w:r w:rsidR="00484FFB">
        <w:rPr>
          <w:lang w:bidi="ar-SA"/>
        </w:rPr>
        <w:t xml:space="preserve">than the </w:t>
      </w:r>
      <w:r w:rsidR="00141F23">
        <w:rPr>
          <w:lang w:bidi="ar-SA"/>
        </w:rPr>
        <w:t xml:space="preserve">estimates </w:t>
      </w:r>
      <w:r w:rsidR="00484FFB">
        <w:rPr>
          <w:lang w:bidi="ar-SA"/>
        </w:rPr>
        <w:t xml:space="preserve">here which come </w:t>
      </w:r>
      <w:r w:rsidR="00141F23">
        <w:rPr>
          <w:lang w:bidi="ar-SA"/>
        </w:rPr>
        <w:t>from stated binary choices between experimentally designed alternatives.</w:t>
      </w:r>
      <w:r w:rsidR="00484FFB">
        <w:rPr>
          <w:lang w:bidi="ar-SA"/>
        </w:rPr>
        <w:t xml:space="preserve"> Health-related interventions are made in many sectors other than just housing so more widespread use of efficiently designed choice experiments may be useful for eliciting valuations from amongst the affected populations.</w:t>
      </w:r>
    </w:p>
    <w:p w:rsidR="00FF7EA4" w:rsidRDefault="00FF7EA4" w:rsidP="00FF7EA4">
      <w:pPr>
        <w:spacing w:line="300" w:lineRule="auto"/>
        <w:rPr>
          <w:b/>
        </w:rPr>
      </w:pPr>
    </w:p>
    <w:p w:rsidR="0048171D" w:rsidRPr="0084313F" w:rsidRDefault="0048171D" w:rsidP="00FF7EA4">
      <w:pPr>
        <w:spacing w:line="300" w:lineRule="auto"/>
        <w:rPr>
          <w:b/>
        </w:rPr>
      </w:pPr>
      <w:r w:rsidRPr="0084313F">
        <w:rPr>
          <w:b/>
        </w:rPr>
        <w:t>References</w:t>
      </w:r>
    </w:p>
    <w:p w:rsidR="00880E2A" w:rsidRPr="00FF7EA4" w:rsidRDefault="00414F59" w:rsidP="000F3F3D">
      <w:pPr>
        <w:ind w:left="425" w:hanging="425"/>
        <w:rPr>
          <w:rFonts w:eastAsia="Times New Roman"/>
          <w:sz w:val="22"/>
          <w:szCs w:val="22"/>
          <w:lang w:val="en-NZ" w:eastAsia="en-NZ" w:bidi="ar-SA"/>
        </w:rPr>
      </w:pPr>
      <w:proofErr w:type="spellStart"/>
      <w:r w:rsidRPr="00FF7EA4">
        <w:rPr>
          <w:sz w:val="22"/>
          <w:szCs w:val="22"/>
          <w:lang w:bidi="ar-SA"/>
        </w:rPr>
        <w:t>Adamowicz</w:t>
      </w:r>
      <w:proofErr w:type="spellEnd"/>
      <w:r w:rsidRPr="00FF7EA4">
        <w:rPr>
          <w:sz w:val="22"/>
          <w:szCs w:val="22"/>
          <w:lang w:bidi="ar-SA"/>
        </w:rPr>
        <w:t xml:space="preserve">, W., </w:t>
      </w:r>
      <w:proofErr w:type="spellStart"/>
      <w:r w:rsidRPr="00FF7EA4">
        <w:rPr>
          <w:sz w:val="22"/>
          <w:szCs w:val="22"/>
          <w:lang w:bidi="ar-SA"/>
        </w:rPr>
        <w:t>Boxall</w:t>
      </w:r>
      <w:proofErr w:type="spellEnd"/>
      <w:r w:rsidRPr="00FF7EA4">
        <w:rPr>
          <w:sz w:val="22"/>
          <w:szCs w:val="22"/>
          <w:lang w:bidi="ar-SA"/>
        </w:rPr>
        <w:t>, P.,</w:t>
      </w:r>
      <w:r w:rsidR="00880E2A" w:rsidRPr="00FF7EA4">
        <w:rPr>
          <w:sz w:val="22"/>
          <w:szCs w:val="22"/>
          <w:lang w:bidi="ar-SA"/>
        </w:rPr>
        <w:t xml:space="preserve"> Williams, M.</w:t>
      </w:r>
      <w:r w:rsidRPr="00FF7EA4">
        <w:rPr>
          <w:sz w:val="22"/>
          <w:szCs w:val="22"/>
          <w:lang w:bidi="ar-SA"/>
        </w:rPr>
        <w:t xml:space="preserve">, and Louviere, J. 1998. </w:t>
      </w:r>
      <w:r w:rsidR="000D4AC5">
        <w:rPr>
          <w:sz w:val="22"/>
          <w:szCs w:val="22"/>
          <w:lang w:bidi="ar-SA"/>
        </w:rPr>
        <w:t>‘</w:t>
      </w:r>
      <w:r w:rsidRPr="00FF7EA4">
        <w:rPr>
          <w:sz w:val="22"/>
          <w:szCs w:val="22"/>
          <w:lang w:bidi="ar-SA"/>
        </w:rPr>
        <w:t>Stated preference approaches for measuring passive use values: choice experiments and contingent valuation</w:t>
      </w:r>
      <w:r w:rsidR="000D4AC5">
        <w:rPr>
          <w:sz w:val="22"/>
          <w:szCs w:val="22"/>
          <w:lang w:bidi="ar-SA"/>
        </w:rPr>
        <w:t>’</w:t>
      </w:r>
      <w:r w:rsidR="001A7C72">
        <w:rPr>
          <w:sz w:val="22"/>
          <w:szCs w:val="22"/>
          <w:lang w:bidi="ar-SA"/>
        </w:rPr>
        <w:t xml:space="preserve"> </w:t>
      </w:r>
      <w:r w:rsidR="00880E2A" w:rsidRPr="00FF7EA4">
        <w:rPr>
          <w:i/>
          <w:iCs/>
          <w:sz w:val="22"/>
          <w:szCs w:val="22"/>
          <w:lang w:bidi="ar-SA"/>
        </w:rPr>
        <w:t>American Journal of Agricultural Economics</w:t>
      </w:r>
      <w:r w:rsidR="00880E2A" w:rsidRPr="00FF7EA4">
        <w:rPr>
          <w:sz w:val="22"/>
          <w:szCs w:val="22"/>
          <w:lang w:bidi="ar-SA"/>
        </w:rPr>
        <w:t xml:space="preserve"> </w:t>
      </w:r>
      <w:r w:rsidR="00880E2A" w:rsidRPr="00FF7EA4">
        <w:rPr>
          <w:bCs/>
          <w:sz w:val="22"/>
          <w:szCs w:val="22"/>
          <w:lang w:bidi="ar-SA"/>
        </w:rPr>
        <w:t>80</w:t>
      </w:r>
      <w:r w:rsidRPr="00FF7EA4">
        <w:rPr>
          <w:sz w:val="22"/>
          <w:szCs w:val="22"/>
          <w:lang w:bidi="ar-SA"/>
        </w:rPr>
        <w:t>(1):</w:t>
      </w:r>
      <w:r w:rsidR="00880E2A" w:rsidRPr="00FF7EA4">
        <w:rPr>
          <w:sz w:val="22"/>
          <w:szCs w:val="22"/>
          <w:lang w:bidi="ar-SA"/>
        </w:rPr>
        <w:t xml:space="preserve"> 64-75.</w:t>
      </w:r>
      <w:r w:rsidR="00880E2A" w:rsidRPr="00FF7EA4">
        <w:rPr>
          <w:rFonts w:eastAsia="Times New Roman"/>
          <w:sz w:val="22"/>
          <w:szCs w:val="22"/>
          <w:lang w:val="en-NZ" w:eastAsia="en-NZ" w:bidi="ar-SA"/>
        </w:rPr>
        <w:t xml:space="preserve"> </w:t>
      </w:r>
    </w:p>
    <w:p w:rsidR="00880E2A" w:rsidRPr="00FF7EA4" w:rsidRDefault="00880E2A" w:rsidP="000F3F3D">
      <w:pPr>
        <w:ind w:left="425" w:hanging="425"/>
        <w:rPr>
          <w:rFonts w:eastAsia="Times New Roman"/>
          <w:sz w:val="22"/>
          <w:szCs w:val="22"/>
          <w:lang w:val="en-NZ" w:eastAsia="en-NZ" w:bidi="ar-SA"/>
        </w:rPr>
      </w:pPr>
      <w:proofErr w:type="spellStart"/>
      <w:r w:rsidRPr="00FF7EA4">
        <w:rPr>
          <w:sz w:val="22"/>
          <w:szCs w:val="22"/>
          <w:lang w:bidi="ar-SA"/>
        </w:rPr>
        <w:t>Baiocchi</w:t>
      </w:r>
      <w:proofErr w:type="spellEnd"/>
      <w:r w:rsidR="00414F59" w:rsidRPr="00FF7EA4">
        <w:rPr>
          <w:sz w:val="22"/>
          <w:szCs w:val="22"/>
          <w:lang w:bidi="ar-SA"/>
        </w:rPr>
        <w:t>, G. 2005.</w:t>
      </w:r>
      <w:r w:rsidRPr="00FF7EA4">
        <w:rPr>
          <w:sz w:val="22"/>
          <w:szCs w:val="22"/>
          <w:lang w:bidi="ar-SA"/>
        </w:rPr>
        <w:t xml:space="preserve"> </w:t>
      </w:r>
      <w:r w:rsidR="000D4AC5">
        <w:rPr>
          <w:sz w:val="22"/>
          <w:szCs w:val="22"/>
          <w:lang w:bidi="ar-SA"/>
        </w:rPr>
        <w:t>‘</w:t>
      </w:r>
      <w:r w:rsidRPr="00FF7EA4">
        <w:rPr>
          <w:sz w:val="22"/>
          <w:szCs w:val="22"/>
          <w:lang w:bidi="ar-SA"/>
        </w:rPr>
        <w:t>Monte Carlo Methods in Environmental Economics</w:t>
      </w:r>
      <w:r w:rsidR="000D4AC5">
        <w:rPr>
          <w:sz w:val="22"/>
          <w:szCs w:val="22"/>
          <w:lang w:bidi="ar-SA"/>
        </w:rPr>
        <w:t>’</w:t>
      </w:r>
      <w:r w:rsidR="001A7C72">
        <w:rPr>
          <w:sz w:val="22"/>
          <w:szCs w:val="22"/>
          <w:lang w:bidi="ar-SA"/>
        </w:rPr>
        <w:t xml:space="preserve"> </w:t>
      </w:r>
      <w:r w:rsidRPr="00FF7EA4">
        <w:rPr>
          <w:i/>
          <w:iCs/>
          <w:sz w:val="22"/>
          <w:szCs w:val="22"/>
          <w:lang w:bidi="ar-SA"/>
        </w:rPr>
        <w:t xml:space="preserve">in </w:t>
      </w:r>
      <w:r w:rsidR="00414F59" w:rsidRPr="00FF7EA4">
        <w:rPr>
          <w:sz w:val="22"/>
          <w:szCs w:val="22"/>
          <w:lang w:bidi="ar-SA"/>
        </w:rPr>
        <w:t>R. Scarpa and</w:t>
      </w:r>
      <w:r w:rsidRPr="00FF7EA4">
        <w:rPr>
          <w:sz w:val="22"/>
          <w:szCs w:val="22"/>
          <w:lang w:bidi="ar-SA"/>
        </w:rPr>
        <w:t xml:space="preserve"> A. </w:t>
      </w:r>
      <w:proofErr w:type="spellStart"/>
      <w:r w:rsidRPr="00FF7EA4">
        <w:rPr>
          <w:sz w:val="22"/>
          <w:szCs w:val="22"/>
          <w:lang w:bidi="ar-SA"/>
        </w:rPr>
        <w:t>Alberini</w:t>
      </w:r>
      <w:proofErr w:type="spellEnd"/>
      <w:r w:rsidRPr="00FF7EA4">
        <w:rPr>
          <w:sz w:val="22"/>
          <w:szCs w:val="22"/>
          <w:lang w:bidi="ar-SA"/>
        </w:rPr>
        <w:t>, ed</w:t>
      </w:r>
      <w:r w:rsidR="00414F59" w:rsidRPr="00FF7EA4">
        <w:rPr>
          <w:sz w:val="22"/>
          <w:szCs w:val="22"/>
          <w:lang w:bidi="ar-SA"/>
        </w:rPr>
        <w:t>s.</w:t>
      </w:r>
      <w:r w:rsidR="001A7C72">
        <w:rPr>
          <w:sz w:val="22"/>
          <w:szCs w:val="22"/>
          <w:lang w:bidi="ar-SA"/>
        </w:rPr>
        <w:t xml:space="preserve"> </w:t>
      </w:r>
      <w:r w:rsidR="00414F59" w:rsidRPr="00FF7EA4">
        <w:rPr>
          <w:i/>
          <w:sz w:val="22"/>
          <w:szCs w:val="22"/>
          <w:lang w:bidi="ar-SA"/>
        </w:rPr>
        <w:t>Applications of Simulation Methods in Environmental and Resource E</w:t>
      </w:r>
      <w:r w:rsidRPr="00FF7EA4">
        <w:rPr>
          <w:i/>
          <w:sz w:val="22"/>
          <w:szCs w:val="22"/>
          <w:lang w:bidi="ar-SA"/>
        </w:rPr>
        <w:t>conomics</w:t>
      </w:r>
      <w:r w:rsidRPr="00FF7EA4">
        <w:rPr>
          <w:sz w:val="22"/>
          <w:szCs w:val="22"/>
          <w:lang w:bidi="ar-SA"/>
        </w:rPr>
        <w:t xml:space="preserve"> Springer Publisher, Dordrecht, The Netherlands, pp. 317-340.</w:t>
      </w:r>
      <w:r w:rsidRPr="00FF7EA4">
        <w:rPr>
          <w:rFonts w:eastAsia="Times New Roman"/>
          <w:sz w:val="22"/>
          <w:szCs w:val="22"/>
          <w:lang w:val="en-NZ" w:eastAsia="en-NZ" w:bidi="ar-SA"/>
        </w:rPr>
        <w:t xml:space="preserve"> </w:t>
      </w:r>
    </w:p>
    <w:p w:rsidR="00880E2A" w:rsidRPr="00FF7EA4" w:rsidRDefault="00880E2A" w:rsidP="000F3F3D">
      <w:pPr>
        <w:ind w:left="425" w:hanging="425"/>
        <w:rPr>
          <w:rFonts w:eastAsia="Times New Roman"/>
          <w:sz w:val="22"/>
          <w:szCs w:val="22"/>
          <w:lang w:val="en-NZ" w:eastAsia="en-NZ"/>
        </w:rPr>
      </w:pPr>
      <w:proofErr w:type="spellStart"/>
      <w:r w:rsidRPr="00FF7EA4">
        <w:rPr>
          <w:sz w:val="22"/>
          <w:szCs w:val="22"/>
          <w:lang w:val="en-NZ"/>
        </w:rPr>
        <w:t>Ballin</w:t>
      </w:r>
      <w:proofErr w:type="spellEnd"/>
      <w:r w:rsidRPr="00FF7EA4">
        <w:rPr>
          <w:sz w:val="22"/>
          <w:szCs w:val="22"/>
          <w:lang w:val="en-NZ"/>
        </w:rPr>
        <w:t xml:space="preserve">, A., </w:t>
      </w:r>
      <w:proofErr w:type="spellStart"/>
      <w:r w:rsidRPr="00FF7EA4">
        <w:rPr>
          <w:sz w:val="22"/>
          <w:szCs w:val="22"/>
          <w:lang w:val="en-NZ"/>
        </w:rPr>
        <w:t>Somekh</w:t>
      </w:r>
      <w:proofErr w:type="spellEnd"/>
      <w:r w:rsidRPr="00FF7EA4">
        <w:rPr>
          <w:sz w:val="22"/>
          <w:szCs w:val="22"/>
          <w:lang w:val="en-NZ"/>
        </w:rPr>
        <w:t xml:space="preserve">, E., </w:t>
      </w:r>
      <w:proofErr w:type="spellStart"/>
      <w:r w:rsidRPr="00FF7EA4">
        <w:rPr>
          <w:sz w:val="22"/>
          <w:szCs w:val="22"/>
          <w:lang w:val="en-NZ"/>
        </w:rPr>
        <w:t>Geva</w:t>
      </w:r>
      <w:proofErr w:type="spellEnd"/>
      <w:r w:rsidRPr="00FF7EA4">
        <w:rPr>
          <w:sz w:val="22"/>
          <w:szCs w:val="22"/>
          <w:lang w:val="en-NZ"/>
        </w:rPr>
        <w:t xml:space="preserve">, D., </w:t>
      </w:r>
      <w:proofErr w:type="spellStart"/>
      <w:r w:rsidRPr="00FF7EA4">
        <w:rPr>
          <w:sz w:val="22"/>
          <w:szCs w:val="22"/>
          <w:lang w:val="en-NZ"/>
        </w:rPr>
        <w:t>Meytes</w:t>
      </w:r>
      <w:proofErr w:type="spellEnd"/>
      <w:r w:rsidRPr="00FF7EA4">
        <w:rPr>
          <w:sz w:val="22"/>
          <w:szCs w:val="22"/>
          <w:lang w:val="en-NZ"/>
        </w:rPr>
        <w:t>, D. 1</w:t>
      </w:r>
      <w:r w:rsidR="00414F59" w:rsidRPr="00FF7EA4">
        <w:rPr>
          <w:sz w:val="22"/>
          <w:szCs w:val="22"/>
          <w:lang w:val="en-NZ"/>
        </w:rPr>
        <w:t xml:space="preserve">998. </w:t>
      </w:r>
      <w:r w:rsidR="000D4AC5">
        <w:rPr>
          <w:sz w:val="22"/>
          <w:szCs w:val="22"/>
          <w:lang w:val="en-NZ"/>
        </w:rPr>
        <w:t>‘</w:t>
      </w:r>
      <w:r w:rsidR="00414F59" w:rsidRPr="00FF7EA4">
        <w:rPr>
          <w:sz w:val="22"/>
          <w:szCs w:val="22"/>
          <w:lang w:val="en-NZ"/>
        </w:rPr>
        <w:t xml:space="preserve">High rate of asthma among </w:t>
      </w:r>
      <w:r w:rsidRPr="00FF7EA4">
        <w:rPr>
          <w:sz w:val="22"/>
          <w:szCs w:val="22"/>
          <w:lang w:val="en-NZ"/>
        </w:rPr>
        <w:t>immigrants</w:t>
      </w:r>
      <w:r w:rsidR="000D4AC5">
        <w:rPr>
          <w:sz w:val="22"/>
          <w:szCs w:val="22"/>
          <w:lang w:val="en-NZ"/>
        </w:rPr>
        <w:t>’</w:t>
      </w:r>
      <w:r w:rsidRPr="00FF7EA4">
        <w:rPr>
          <w:sz w:val="22"/>
          <w:szCs w:val="22"/>
          <w:lang w:val="en-NZ"/>
        </w:rPr>
        <w:t xml:space="preserve">, </w:t>
      </w:r>
      <w:r w:rsidRPr="00FF7EA4">
        <w:rPr>
          <w:i/>
          <w:iCs/>
          <w:sz w:val="22"/>
          <w:szCs w:val="22"/>
          <w:lang w:val="en-NZ"/>
        </w:rPr>
        <w:t xml:space="preserve">Medical Hypotheses </w:t>
      </w:r>
      <w:r w:rsidRPr="00FF7EA4">
        <w:rPr>
          <w:sz w:val="22"/>
          <w:szCs w:val="22"/>
          <w:lang w:val="en-NZ"/>
        </w:rPr>
        <w:t>51(1): 281-284.</w:t>
      </w:r>
    </w:p>
    <w:p w:rsidR="00880E2A" w:rsidRPr="00FF7EA4" w:rsidRDefault="00414F59" w:rsidP="000F3F3D">
      <w:pPr>
        <w:ind w:left="425" w:hanging="425"/>
        <w:rPr>
          <w:rFonts w:eastAsia="Times New Roman"/>
          <w:sz w:val="22"/>
          <w:szCs w:val="22"/>
          <w:lang w:val="en-NZ" w:eastAsia="en-NZ" w:bidi="ar-SA"/>
        </w:rPr>
      </w:pPr>
      <w:proofErr w:type="spellStart"/>
      <w:proofErr w:type="gramStart"/>
      <w:r w:rsidRPr="00FF7EA4">
        <w:rPr>
          <w:sz w:val="22"/>
          <w:szCs w:val="22"/>
          <w:lang w:bidi="ar-SA"/>
        </w:rPr>
        <w:t>Bliemer</w:t>
      </w:r>
      <w:proofErr w:type="spellEnd"/>
      <w:r w:rsidRPr="00FF7EA4">
        <w:rPr>
          <w:sz w:val="22"/>
          <w:szCs w:val="22"/>
          <w:lang w:bidi="ar-SA"/>
        </w:rPr>
        <w:t>, M.,</w:t>
      </w:r>
      <w:r w:rsidR="00880E2A" w:rsidRPr="00FF7EA4">
        <w:rPr>
          <w:sz w:val="22"/>
          <w:szCs w:val="22"/>
          <w:lang w:bidi="ar-SA"/>
        </w:rPr>
        <w:t xml:space="preserve"> Rose, J.</w:t>
      </w:r>
      <w:r w:rsidRPr="00FF7EA4">
        <w:rPr>
          <w:sz w:val="22"/>
          <w:szCs w:val="22"/>
          <w:lang w:bidi="ar-SA"/>
        </w:rPr>
        <w:t xml:space="preserve">, and </w:t>
      </w:r>
      <w:proofErr w:type="spellStart"/>
      <w:r w:rsidRPr="00FF7EA4">
        <w:rPr>
          <w:sz w:val="22"/>
          <w:szCs w:val="22"/>
          <w:lang w:bidi="ar-SA"/>
        </w:rPr>
        <w:t>Hensher</w:t>
      </w:r>
      <w:proofErr w:type="spellEnd"/>
      <w:r w:rsidRPr="00FF7EA4">
        <w:rPr>
          <w:sz w:val="22"/>
          <w:szCs w:val="22"/>
          <w:lang w:bidi="ar-SA"/>
        </w:rPr>
        <w:t>, D. 2009.</w:t>
      </w:r>
      <w:proofErr w:type="gramEnd"/>
      <w:r w:rsidRPr="00FF7EA4">
        <w:rPr>
          <w:sz w:val="22"/>
          <w:szCs w:val="22"/>
          <w:lang w:bidi="ar-SA"/>
        </w:rPr>
        <w:t xml:space="preserve"> </w:t>
      </w:r>
      <w:r w:rsidR="000D4AC5">
        <w:rPr>
          <w:sz w:val="22"/>
          <w:szCs w:val="22"/>
          <w:lang w:bidi="ar-SA"/>
        </w:rPr>
        <w:t>‘</w:t>
      </w:r>
      <w:r w:rsidR="00880E2A" w:rsidRPr="00FF7EA4">
        <w:rPr>
          <w:sz w:val="22"/>
          <w:szCs w:val="22"/>
          <w:lang w:bidi="ar-SA"/>
        </w:rPr>
        <w:t>Efficient stated choice experiments for</w:t>
      </w:r>
      <w:r w:rsidRPr="00FF7EA4">
        <w:rPr>
          <w:sz w:val="22"/>
          <w:szCs w:val="22"/>
          <w:lang w:bidi="ar-SA"/>
        </w:rPr>
        <w:t xml:space="preserve"> estimating nested logit models</w:t>
      </w:r>
      <w:r w:rsidR="000D4AC5">
        <w:rPr>
          <w:sz w:val="22"/>
          <w:szCs w:val="22"/>
          <w:lang w:bidi="ar-SA"/>
        </w:rPr>
        <w:t>’</w:t>
      </w:r>
      <w:r w:rsidR="00880E2A" w:rsidRPr="00FF7EA4">
        <w:rPr>
          <w:sz w:val="22"/>
          <w:szCs w:val="22"/>
          <w:lang w:bidi="ar-SA"/>
        </w:rPr>
        <w:t xml:space="preserve"> </w:t>
      </w:r>
      <w:r w:rsidR="00880E2A" w:rsidRPr="00FF7EA4">
        <w:rPr>
          <w:i/>
          <w:iCs/>
          <w:sz w:val="22"/>
          <w:szCs w:val="22"/>
          <w:lang w:bidi="ar-SA"/>
        </w:rPr>
        <w:t>Transportation Research B</w:t>
      </w:r>
      <w:r w:rsidR="00880E2A" w:rsidRPr="00FF7EA4">
        <w:rPr>
          <w:sz w:val="22"/>
          <w:szCs w:val="22"/>
          <w:lang w:bidi="ar-SA"/>
        </w:rPr>
        <w:t xml:space="preserve"> </w:t>
      </w:r>
      <w:r w:rsidR="00880E2A" w:rsidRPr="00FF7EA4">
        <w:rPr>
          <w:bCs/>
          <w:sz w:val="22"/>
          <w:szCs w:val="22"/>
          <w:lang w:bidi="ar-SA"/>
        </w:rPr>
        <w:t>43</w:t>
      </w:r>
      <w:r w:rsidRPr="00FF7EA4">
        <w:rPr>
          <w:sz w:val="22"/>
          <w:szCs w:val="22"/>
          <w:lang w:bidi="ar-SA"/>
        </w:rPr>
        <w:t>(1):</w:t>
      </w:r>
      <w:r w:rsidR="00880E2A" w:rsidRPr="00FF7EA4">
        <w:rPr>
          <w:sz w:val="22"/>
          <w:szCs w:val="22"/>
          <w:lang w:bidi="ar-SA"/>
        </w:rPr>
        <w:t xml:space="preserve"> 19-35.</w:t>
      </w:r>
      <w:r w:rsidR="00880E2A" w:rsidRPr="00FF7EA4">
        <w:rPr>
          <w:rFonts w:eastAsia="Times New Roman"/>
          <w:sz w:val="22"/>
          <w:szCs w:val="22"/>
          <w:lang w:val="en-NZ" w:eastAsia="en-NZ" w:bidi="ar-SA"/>
        </w:rPr>
        <w:t xml:space="preserve"> </w:t>
      </w:r>
    </w:p>
    <w:p w:rsidR="00F27C70" w:rsidRPr="00FF7EA4" w:rsidRDefault="00F27C70" w:rsidP="000F3F3D">
      <w:pPr>
        <w:ind w:left="425" w:hanging="425"/>
        <w:rPr>
          <w:rFonts w:eastAsia="Times New Roman"/>
          <w:sz w:val="22"/>
          <w:szCs w:val="22"/>
          <w:lang w:val="en-NZ" w:eastAsia="en-NZ" w:bidi="ar-SA"/>
        </w:rPr>
      </w:pPr>
      <w:bookmarkStart w:id="0" w:name="_GoBack"/>
      <w:bookmarkEnd w:id="0"/>
      <w:r w:rsidRPr="00FF7EA4">
        <w:rPr>
          <w:rFonts w:eastAsia="Times New Roman"/>
          <w:sz w:val="22"/>
          <w:szCs w:val="22"/>
          <w:lang w:val="de-DE" w:eastAsia="en-NZ" w:bidi="ar-SA"/>
        </w:rPr>
        <w:t xml:space="preserve">Dobel, C., G. Diesendruck, and J. Bölte. </w:t>
      </w:r>
      <w:r w:rsidRPr="00FF7EA4">
        <w:rPr>
          <w:rFonts w:eastAsia="Times New Roman"/>
          <w:sz w:val="22"/>
          <w:szCs w:val="22"/>
          <w:lang w:val="en-NZ" w:eastAsia="en-NZ" w:bidi="ar-SA"/>
        </w:rPr>
        <w:t xml:space="preserve">2007. </w:t>
      </w:r>
      <w:r w:rsidR="000D4AC5">
        <w:rPr>
          <w:rFonts w:eastAsia="Times New Roman"/>
          <w:sz w:val="22"/>
          <w:szCs w:val="22"/>
          <w:lang w:val="en-NZ" w:eastAsia="en-NZ" w:bidi="ar-SA"/>
        </w:rPr>
        <w:t>‘</w:t>
      </w:r>
      <w:r w:rsidRPr="00FF7EA4">
        <w:rPr>
          <w:rFonts w:eastAsia="Times New Roman"/>
          <w:sz w:val="22"/>
          <w:szCs w:val="22"/>
          <w:lang w:val="en-NZ" w:eastAsia="en-NZ" w:bidi="ar-SA"/>
        </w:rPr>
        <w:t>How Writing System and Age Influence Spatial Representations of Actions: A Develo</w:t>
      </w:r>
      <w:r w:rsidR="001A7C72">
        <w:rPr>
          <w:rFonts w:eastAsia="Times New Roman"/>
          <w:sz w:val="22"/>
          <w:szCs w:val="22"/>
          <w:lang w:val="en-NZ" w:eastAsia="en-NZ" w:bidi="ar-SA"/>
        </w:rPr>
        <w:t>pmental, Cross-Linguistic Study</w:t>
      </w:r>
      <w:r w:rsidR="000D4AC5">
        <w:rPr>
          <w:rFonts w:eastAsia="Times New Roman"/>
          <w:sz w:val="22"/>
          <w:szCs w:val="22"/>
          <w:lang w:val="en-NZ" w:eastAsia="en-NZ" w:bidi="ar-SA"/>
        </w:rPr>
        <w:t>’</w:t>
      </w:r>
      <w:r w:rsidRPr="00FF7EA4">
        <w:rPr>
          <w:rFonts w:eastAsia="Times New Roman"/>
          <w:sz w:val="22"/>
          <w:szCs w:val="22"/>
          <w:lang w:val="en-NZ" w:eastAsia="en-NZ" w:bidi="ar-SA"/>
        </w:rPr>
        <w:t xml:space="preserve"> </w:t>
      </w:r>
      <w:r w:rsidRPr="00FF7EA4">
        <w:rPr>
          <w:rFonts w:eastAsia="Times New Roman"/>
          <w:i/>
          <w:sz w:val="22"/>
          <w:szCs w:val="22"/>
          <w:lang w:val="en-NZ" w:eastAsia="en-NZ" w:bidi="ar-SA"/>
        </w:rPr>
        <w:t>Psychological Science</w:t>
      </w:r>
      <w:r w:rsidRPr="00FF7EA4">
        <w:rPr>
          <w:rFonts w:eastAsia="Times New Roman"/>
          <w:sz w:val="22"/>
          <w:szCs w:val="22"/>
          <w:lang w:val="en-NZ" w:eastAsia="en-NZ" w:bidi="ar-SA"/>
        </w:rPr>
        <w:t xml:space="preserve"> 18(6): 487–491.</w:t>
      </w:r>
    </w:p>
    <w:p w:rsidR="00880E2A" w:rsidRPr="00FF7EA4" w:rsidRDefault="00414F59" w:rsidP="000F3F3D">
      <w:pPr>
        <w:ind w:left="425" w:hanging="425"/>
        <w:rPr>
          <w:rFonts w:eastAsia="Times New Roman"/>
          <w:sz w:val="22"/>
          <w:szCs w:val="22"/>
          <w:lang w:val="en-NZ" w:eastAsia="en-NZ" w:bidi="ar-SA"/>
        </w:rPr>
      </w:pPr>
      <w:proofErr w:type="spellStart"/>
      <w:proofErr w:type="gramStart"/>
      <w:r w:rsidRPr="00FF7EA4">
        <w:rPr>
          <w:sz w:val="22"/>
          <w:szCs w:val="22"/>
          <w:lang w:bidi="ar-SA"/>
        </w:rPr>
        <w:t>Ferrini</w:t>
      </w:r>
      <w:proofErr w:type="spellEnd"/>
      <w:r w:rsidRPr="00FF7EA4">
        <w:rPr>
          <w:sz w:val="22"/>
          <w:szCs w:val="22"/>
          <w:lang w:bidi="ar-SA"/>
        </w:rPr>
        <w:t>, S., and Scarpa, R. 2007.</w:t>
      </w:r>
      <w:proofErr w:type="gramEnd"/>
      <w:r w:rsidRPr="00FF7EA4">
        <w:rPr>
          <w:sz w:val="22"/>
          <w:szCs w:val="22"/>
          <w:lang w:bidi="ar-SA"/>
        </w:rPr>
        <w:t xml:space="preserve"> </w:t>
      </w:r>
      <w:r w:rsidR="000D4AC5">
        <w:rPr>
          <w:sz w:val="22"/>
          <w:szCs w:val="22"/>
          <w:lang w:bidi="ar-SA"/>
        </w:rPr>
        <w:t>‘</w:t>
      </w:r>
      <w:r w:rsidR="00880E2A" w:rsidRPr="00FF7EA4">
        <w:rPr>
          <w:sz w:val="22"/>
          <w:szCs w:val="22"/>
          <w:lang w:bidi="ar-SA"/>
        </w:rPr>
        <w:t>Designs with a-priori information for nonmarket valuation with choice-e</w:t>
      </w:r>
      <w:r w:rsidRPr="00FF7EA4">
        <w:rPr>
          <w:sz w:val="22"/>
          <w:szCs w:val="22"/>
          <w:lang w:bidi="ar-SA"/>
        </w:rPr>
        <w:t>xperiments: a Monte Carlo study</w:t>
      </w:r>
      <w:r w:rsidR="000D4AC5">
        <w:rPr>
          <w:sz w:val="22"/>
          <w:szCs w:val="22"/>
          <w:lang w:bidi="ar-SA"/>
        </w:rPr>
        <w:t>’</w:t>
      </w:r>
      <w:r w:rsidR="001A7C72">
        <w:rPr>
          <w:sz w:val="22"/>
          <w:szCs w:val="22"/>
          <w:lang w:bidi="ar-SA"/>
        </w:rPr>
        <w:t xml:space="preserve"> </w:t>
      </w:r>
      <w:r w:rsidR="00880E2A" w:rsidRPr="00FF7EA4">
        <w:rPr>
          <w:i/>
          <w:iCs/>
          <w:sz w:val="22"/>
          <w:szCs w:val="22"/>
          <w:lang w:bidi="ar-SA"/>
        </w:rPr>
        <w:t>Journal of Environmental Economics and Management</w:t>
      </w:r>
      <w:r w:rsidR="00880E2A" w:rsidRPr="00FF7EA4">
        <w:rPr>
          <w:sz w:val="22"/>
          <w:szCs w:val="22"/>
          <w:lang w:bidi="ar-SA"/>
        </w:rPr>
        <w:t xml:space="preserve"> </w:t>
      </w:r>
      <w:r w:rsidR="00880E2A" w:rsidRPr="00FF7EA4">
        <w:rPr>
          <w:bCs/>
          <w:sz w:val="22"/>
          <w:szCs w:val="22"/>
          <w:lang w:bidi="ar-SA"/>
        </w:rPr>
        <w:t>53</w:t>
      </w:r>
      <w:r w:rsidRPr="00FF7EA4">
        <w:rPr>
          <w:sz w:val="22"/>
          <w:szCs w:val="22"/>
          <w:lang w:bidi="ar-SA"/>
        </w:rPr>
        <w:t>(3):</w:t>
      </w:r>
      <w:r w:rsidR="00880E2A" w:rsidRPr="00FF7EA4">
        <w:rPr>
          <w:sz w:val="22"/>
          <w:szCs w:val="22"/>
          <w:lang w:bidi="ar-SA"/>
        </w:rPr>
        <w:t xml:space="preserve"> 342-363.</w:t>
      </w:r>
      <w:r w:rsidR="00880E2A" w:rsidRPr="00FF7EA4">
        <w:rPr>
          <w:rFonts w:eastAsia="Times New Roman"/>
          <w:sz w:val="22"/>
          <w:szCs w:val="22"/>
          <w:lang w:val="en-NZ" w:eastAsia="en-NZ" w:bidi="ar-SA"/>
        </w:rPr>
        <w:t xml:space="preserve"> </w:t>
      </w:r>
    </w:p>
    <w:p w:rsidR="00880E2A" w:rsidRPr="00FF7EA4" w:rsidRDefault="00880E2A" w:rsidP="000F3F3D">
      <w:pPr>
        <w:ind w:left="425" w:hanging="425"/>
        <w:rPr>
          <w:rFonts w:eastAsia="Times New Roman"/>
          <w:sz w:val="22"/>
          <w:szCs w:val="22"/>
          <w:lang w:val="en-NZ" w:eastAsia="en-NZ"/>
        </w:rPr>
      </w:pPr>
      <w:r w:rsidRPr="00FF7EA4">
        <w:rPr>
          <w:rFonts w:eastAsia="Times New Roman"/>
          <w:sz w:val="22"/>
          <w:szCs w:val="22"/>
          <w:lang w:val="de-DE" w:eastAsia="en-NZ"/>
        </w:rPr>
        <w:t>Gibson, J., McKenzie, D., and</w:t>
      </w:r>
      <w:r w:rsidRPr="00FF7EA4">
        <w:rPr>
          <w:sz w:val="22"/>
          <w:szCs w:val="22"/>
          <w:lang w:val="de-DE"/>
        </w:rPr>
        <w:t xml:space="preserve"> Zia, B. 2013. </w:t>
      </w:r>
      <w:proofErr w:type="gramStart"/>
      <w:r w:rsidR="000D4AC5">
        <w:rPr>
          <w:rFonts w:eastAsia="Calibri"/>
          <w:sz w:val="22"/>
          <w:szCs w:val="22"/>
        </w:rPr>
        <w:t>‘</w:t>
      </w:r>
      <w:r w:rsidRPr="00FF7EA4">
        <w:rPr>
          <w:rFonts w:eastAsia="Calibri"/>
          <w:sz w:val="22"/>
          <w:szCs w:val="22"/>
        </w:rPr>
        <w:t>The impact of financial literacy training for migrants</w:t>
      </w:r>
      <w:r w:rsidR="000D4AC5">
        <w:rPr>
          <w:rFonts w:eastAsia="Calibri"/>
          <w:sz w:val="22"/>
          <w:szCs w:val="22"/>
        </w:rPr>
        <w:t>’</w:t>
      </w:r>
      <w:r w:rsidRPr="00FF7EA4">
        <w:rPr>
          <w:rFonts w:eastAsia="Calibri"/>
          <w:sz w:val="22"/>
          <w:szCs w:val="22"/>
        </w:rPr>
        <w:t xml:space="preserve"> </w:t>
      </w:r>
      <w:r w:rsidRPr="00FF7EA4">
        <w:rPr>
          <w:rFonts w:eastAsia="Calibri"/>
          <w:i/>
          <w:sz w:val="22"/>
          <w:szCs w:val="22"/>
        </w:rPr>
        <w:t>World Bank Economic Review</w:t>
      </w:r>
      <w:r w:rsidR="001B2780" w:rsidRPr="00FF7EA4">
        <w:rPr>
          <w:sz w:val="22"/>
          <w:szCs w:val="22"/>
        </w:rPr>
        <w:t xml:space="preserve"> 27(3), forthcoming</w:t>
      </w:r>
      <w:r w:rsidRPr="00FF7EA4">
        <w:rPr>
          <w:sz w:val="22"/>
          <w:szCs w:val="22"/>
        </w:rPr>
        <w:t>.</w:t>
      </w:r>
      <w:proofErr w:type="gramEnd"/>
    </w:p>
    <w:p w:rsidR="00880E2A" w:rsidRPr="00FF7EA4" w:rsidRDefault="00880E2A" w:rsidP="000F3F3D">
      <w:pPr>
        <w:ind w:left="425" w:hanging="425"/>
        <w:rPr>
          <w:sz w:val="22"/>
          <w:szCs w:val="22"/>
        </w:rPr>
      </w:pPr>
      <w:r w:rsidRPr="00FF7EA4">
        <w:rPr>
          <w:rFonts w:eastAsia="Times New Roman"/>
          <w:sz w:val="22"/>
          <w:szCs w:val="22"/>
          <w:lang w:val="de-DE" w:eastAsia="en-NZ"/>
        </w:rPr>
        <w:t xml:space="preserve">Gibson, J., Stillman, S., McKenzie, D., and Rohorua, H. 2013. </w:t>
      </w:r>
      <w:r w:rsidR="000D4AC5">
        <w:rPr>
          <w:rFonts w:eastAsia="Calibri"/>
          <w:sz w:val="22"/>
          <w:szCs w:val="22"/>
        </w:rPr>
        <w:t>‘</w:t>
      </w:r>
      <w:r w:rsidRPr="00FF7EA4">
        <w:rPr>
          <w:rFonts w:eastAsia="Calibri"/>
          <w:sz w:val="22"/>
          <w:szCs w:val="22"/>
        </w:rPr>
        <w:t>Natural experiment evidence on the effect of migration on blood pressure and hypertension</w:t>
      </w:r>
      <w:r w:rsidR="000D4AC5">
        <w:rPr>
          <w:rFonts w:eastAsia="Calibri"/>
          <w:sz w:val="22"/>
          <w:szCs w:val="22"/>
        </w:rPr>
        <w:t>’</w:t>
      </w:r>
      <w:r w:rsidR="001A7C72">
        <w:rPr>
          <w:sz w:val="22"/>
          <w:szCs w:val="22"/>
        </w:rPr>
        <w:t xml:space="preserve"> </w:t>
      </w:r>
      <w:r w:rsidRPr="00FF7EA4">
        <w:rPr>
          <w:rFonts w:eastAsia="Calibri"/>
          <w:i/>
          <w:sz w:val="22"/>
          <w:szCs w:val="22"/>
        </w:rPr>
        <w:t>Health Economics</w:t>
      </w:r>
      <w:r w:rsidRPr="00FF7EA4">
        <w:rPr>
          <w:rFonts w:eastAsia="Calibri"/>
          <w:sz w:val="22"/>
          <w:szCs w:val="22"/>
        </w:rPr>
        <w:t xml:space="preserve"> 22(6): 655-672</w:t>
      </w:r>
      <w:r w:rsidRPr="00FF7EA4">
        <w:rPr>
          <w:sz w:val="22"/>
          <w:szCs w:val="22"/>
        </w:rPr>
        <w:t>.</w:t>
      </w:r>
    </w:p>
    <w:p w:rsidR="00880E2A" w:rsidRPr="00FF7EA4" w:rsidRDefault="00880E2A" w:rsidP="000F3F3D">
      <w:pPr>
        <w:ind w:left="425" w:hanging="425"/>
        <w:rPr>
          <w:sz w:val="22"/>
          <w:szCs w:val="22"/>
          <w:lang w:val="en-NZ"/>
        </w:rPr>
      </w:pPr>
      <w:proofErr w:type="gramStart"/>
      <w:r w:rsidRPr="00FF7EA4">
        <w:rPr>
          <w:sz w:val="22"/>
          <w:szCs w:val="22"/>
          <w:lang w:val="en-NZ"/>
        </w:rPr>
        <w:t>Gibson, P., Henry, R., Shah, S., Powell, H., Wang, H. 2003.</w:t>
      </w:r>
      <w:proofErr w:type="gramEnd"/>
      <w:r w:rsidRPr="00FF7EA4">
        <w:rPr>
          <w:sz w:val="22"/>
          <w:szCs w:val="22"/>
          <w:lang w:val="en-NZ"/>
        </w:rPr>
        <w:t xml:space="preserve"> </w:t>
      </w:r>
      <w:r w:rsidR="000D4AC5">
        <w:rPr>
          <w:sz w:val="22"/>
          <w:szCs w:val="22"/>
          <w:lang w:val="en-NZ"/>
        </w:rPr>
        <w:t>‘</w:t>
      </w:r>
      <w:r w:rsidRPr="00FF7EA4">
        <w:rPr>
          <w:sz w:val="22"/>
          <w:szCs w:val="22"/>
          <w:lang w:val="en-NZ"/>
        </w:rPr>
        <w:t xml:space="preserve">Migration to a western country increases asthma symptoms but not </w:t>
      </w:r>
      <w:proofErr w:type="spellStart"/>
      <w:r w:rsidRPr="00FF7EA4">
        <w:rPr>
          <w:sz w:val="22"/>
          <w:szCs w:val="22"/>
          <w:lang w:val="en-NZ"/>
        </w:rPr>
        <w:t>eosinophilic</w:t>
      </w:r>
      <w:proofErr w:type="spellEnd"/>
      <w:r w:rsidRPr="00FF7EA4">
        <w:rPr>
          <w:sz w:val="22"/>
          <w:szCs w:val="22"/>
          <w:lang w:val="en-NZ"/>
        </w:rPr>
        <w:t xml:space="preserve"> airway inflammation</w:t>
      </w:r>
      <w:r w:rsidR="000D4AC5">
        <w:rPr>
          <w:sz w:val="22"/>
          <w:szCs w:val="22"/>
          <w:lang w:val="en-NZ"/>
        </w:rPr>
        <w:t>’</w:t>
      </w:r>
      <w:r w:rsidRPr="00FF7EA4">
        <w:rPr>
          <w:sz w:val="22"/>
          <w:szCs w:val="22"/>
          <w:lang w:val="en-NZ"/>
        </w:rPr>
        <w:t xml:space="preserve"> </w:t>
      </w:r>
      <w:proofErr w:type="spellStart"/>
      <w:r w:rsidRPr="00FF7EA4">
        <w:rPr>
          <w:i/>
          <w:iCs/>
          <w:sz w:val="22"/>
          <w:szCs w:val="22"/>
          <w:lang w:val="en-NZ"/>
        </w:rPr>
        <w:t>Pediatric</w:t>
      </w:r>
      <w:proofErr w:type="spellEnd"/>
      <w:r w:rsidRPr="00FF7EA4">
        <w:rPr>
          <w:i/>
          <w:iCs/>
          <w:sz w:val="22"/>
          <w:szCs w:val="22"/>
          <w:lang w:val="en-NZ"/>
        </w:rPr>
        <w:t xml:space="preserve"> </w:t>
      </w:r>
      <w:proofErr w:type="spellStart"/>
      <w:r w:rsidRPr="00FF7EA4">
        <w:rPr>
          <w:i/>
          <w:iCs/>
          <w:sz w:val="22"/>
          <w:szCs w:val="22"/>
          <w:lang w:val="en-NZ"/>
        </w:rPr>
        <w:t>Pulmonology</w:t>
      </w:r>
      <w:proofErr w:type="spellEnd"/>
      <w:r w:rsidRPr="00FF7EA4">
        <w:rPr>
          <w:i/>
          <w:iCs/>
          <w:sz w:val="22"/>
          <w:szCs w:val="22"/>
          <w:lang w:val="en-NZ"/>
        </w:rPr>
        <w:t xml:space="preserve"> </w:t>
      </w:r>
      <w:r w:rsidRPr="00FF7EA4">
        <w:rPr>
          <w:sz w:val="22"/>
          <w:szCs w:val="22"/>
          <w:lang w:val="en-NZ"/>
        </w:rPr>
        <w:t xml:space="preserve">36(1): </w:t>
      </w:r>
      <w:r w:rsidR="000F3F3D">
        <w:rPr>
          <w:sz w:val="22"/>
          <w:szCs w:val="22"/>
          <w:lang w:val="en-NZ"/>
        </w:rPr>
        <w:br/>
      </w:r>
      <w:r w:rsidRPr="00FF7EA4">
        <w:rPr>
          <w:sz w:val="22"/>
          <w:szCs w:val="22"/>
          <w:lang w:val="en-NZ"/>
        </w:rPr>
        <w:t>209-215.</w:t>
      </w:r>
    </w:p>
    <w:p w:rsidR="000E202F" w:rsidRPr="00FF7EA4" w:rsidRDefault="00880E2A" w:rsidP="000F3F3D">
      <w:pPr>
        <w:ind w:left="425" w:hanging="425"/>
        <w:rPr>
          <w:rFonts w:eastAsia="Calibri"/>
          <w:sz w:val="22"/>
          <w:szCs w:val="22"/>
          <w:lang w:val="en-NZ"/>
        </w:rPr>
      </w:pPr>
      <w:r w:rsidRPr="00FF7EA4">
        <w:rPr>
          <w:rFonts w:eastAsia="Calibri"/>
          <w:sz w:val="22"/>
          <w:szCs w:val="22"/>
          <w:lang w:val="en-NZ"/>
        </w:rPr>
        <w:t xml:space="preserve">Gorman, B., </w:t>
      </w:r>
      <w:proofErr w:type="spellStart"/>
      <w:r w:rsidRPr="00FF7EA4">
        <w:rPr>
          <w:rFonts w:eastAsia="Calibri"/>
          <w:sz w:val="22"/>
          <w:szCs w:val="22"/>
          <w:lang w:val="en-NZ"/>
        </w:rPr>
        <w:t>Asaithambi</w:t>
      </w:r>
      <w:proofErr w:type="spellEnd"/>
      <w:r w:rsidRPr="00FF7EA4">
        <w:rPr>
          <w:rFonts w:eastAsia="Calibri"/>
          <w:sz w:val="22"/>
          <w:szCs w:val="22"/>
          <w:lang w:val="en-NZ"/>
        </w:rPr>
        <w:t xml:space="preserve">, R. 2008. </w:t>
      </w:r>
      <w:r w:rsidR="000D4AC5">
        <w:rPr>
          <w:sz w:val="22"/>
          <w:szCs w:val="22"/>
          <w:lang w:val="en-NZ"/>
        </w:rPr>
        <w:t>‘</w:t>
      </w:r>
      <w:r w:rsidRPr="00FF7EA4">
        <w:rPr>
          <w:rFonts w:eastAsia="Calibri"/>
          <w:sz w:val="22"/>
          <w:szCs w:val="22"/>
          <w:lang w:val="en-NZ"/>
        </w:rPr>
        <w:t>Biology, social environment, and health: How family history and social</w:t>
      </w:r>
      <w:r w:rsidRPr="00FF7EA4">
        <w:rPr>
          <w:sz w:val="22"/>
          <w:szCs w:val="22"/>
          <w:lang w:val="en-NZ"/>
        </w:rPr>
        <w:t xml:space="preserve"> conditions affect adult asthma</w:t>
      </w:r>
      <w:r w:rsidR="000D4AC5">
        <w:rPr>
          <w:sz w:val="22"/>
          <w:szCs w:val="22"/>
          <w:lang w:val="en-NZ"/>
        </w:rPr>
        <w:t>’</w:t>
      </w:r>
      <w:r w:rsidR="001A7C72">
        <w:rPr>
          <w:sz w:val="22"/>
          <w:szCs w:val="22"/>
          <w:lang w:val="en-NZ"/>
        </w:rPr>
        <w:t xml:space="preserve"> </w:t>
      </w:r>
      <w:r w:rsidRPr="00FF7EA4">
        <w:rPr>
          <w:rFonts w:eastAsia="Calibri"/>
          <w:i/>
          <w:iCs/>
          <w:sz w:val="22"/>
          <w:szCs w:val="22"/>
          <w:lang w:val="en-NZ"/>
        </w:rPr>
        <w:t xml:space="preserve">Social Science Quarterly </w:t>
      </w:r>
      <w:r w:rsidRPr="00FF7EA4">
        <w:rPr>
          <w:sz w:val="22"/>
          <w:szCs w:val="22"/>
          <w:lang w:val="en-NZ"/>
        </w:rPr>
        <w:t>89: 728</w:t>
      </w:r>
      <w:r w:rsidRPr="00FF7EA4">
        <w:rPr>
          <w:sz w:val="22"/>
          <w:szCs w:val="22"/>
          <w:lang w:val="en-NZ"/>
        </w:rPr>
        <w:noBreakHyphen/>
      </w:r>
      <w:r w:rsidRPr="00FF7EA4">
        <w:rPr>
          <w:rFonts w:eastAsia="Calibri"/>
          <w:sz w:val="22"/>
          <w:szCs w:val="22"/>
          <w:lang w:val="en-NZ"/>
        </w:rPr>
        <w:t>750.</w:t>
      </w:r>
    </w:p>
    <w:p w:rsidR="000E202F" w:rsidRPr="00FF7EA4" w:rsidRDefault="000E202F" w:rsidP="000F3F3D">
      <w:pPr>
        <w:ind w:left="425" w:hanging="425"/>
        <w:rPr>
          <w:rFonts w:eastAsia="Calibri"/>
          <w:sz w:val="22"/>
          <w:szCs w:val="22"/>
          <w:lang w:val="en-NZ"/>
        </w:rPr>
      </w:pPr>
      <w:proofErr w:type="gramStart"/>
      <w:r w:rsidRPr="00FF7EA4">
        <w:rPr>
          <w:rFonts w:eastAsia="Times New Roman"/>
          <w:sz w:val="22"/>
          <w:szCs w:val="22"/>
          <w:lang w:val="en-NZ" w:eastAsia="en-NZ" w:bidi="ar-SA"/>
        </w:rPr>
        <w:t xml:space="preserve">Grimes, A., </w:t>
      </w:r>
      <w:proofErr w:type="spellStart"/>
      <w:r w:rsidRPr="00FF7EA4">
        <w:rPr>
          <w:rFonts w:eastAsia="Times New Roman"/>
          <w:sz w:val="22"/>
          <w:szCs w:val="22"/>
          <w:lang w:val="en-NZ" w:eastAsia="en-NZ" w:bidi="ar-SA"/>
        </w:rPr>
        <w:t>Denne</w:t>
      </w:r>
      <w:proofErr w:type="spellEnd"/>
      <w:r w:rsidRPr="00FF7EA4">
        <w:rPr>
          <w:rFonts w:eastAsia="Times New Roman"/>
          <w:sz w:val="22"/>
          <w:szCs w:val="22"/>
          <w:lang w:val="en-NZ" w:eastAsia="en-NZ" w:bidi="ar-SA"/>
        </w:rPr>
        <w:t xml:space="preserve">, T., Howden-Chapman, P., Arnold, R., </w:t>
      </w:r>
      <w:proofErr w:type="spellStart"/>
      <w:r w:rsidRPr="00FF7EA4">
        <w:rPr>
          <w:rFonts w:eastAsia="Times New Roman"/>
          <w:sz w:val="22"/>
          <w:szCs w:val="22"/>
          <w:lang w:val="en-NZ" w:eastAsia="en-NZ" w:bidi="ar-SA"/>
        </w:rPr>
        <w:t>Telfar</w:t>
      </w:r>
      <w:proofErr w:type="spellEnd"/>
      <w:r w:rsidRPr="00FF7EA4">
        <w:rPr>
          <w:rFonts w:eastAsia="Times New Roman"/>
          <w:sz w:val="22"/>
          <w:szCs w:val="22"/>
          <w:lang w:val="en-NZ" w:eastAsia="en-NZ" w:bidi="ar-SA"/>
        </w:rPr>
        <w:t xml:space="preserve">-Barnard, L., </w:t>
      </w:r>
      <w:proofErr w:type="spellStart"/>
      <w:r w:rsidRPr="00FF7EA4">
        <w:rPr>
          <w:rFonts w:eastAsia="Times New Roman"/>
          <w:sz w:val="22"/>
          <w:szCs w:val="22"/>
          <w:lang w:val="en-NZ" w:eastAsia="en-NZ" w:bidi="ar-SA"/>
        </w:rPr>
        <w:t>Preval</w:t>
      </w:r>
      <w:proofErr w:type="spellEnd"/>
      <w:r w:rsidRPr="00FF7EA4">
        <w:rPr>
          <w:rFonts w:eastAsia="Times New Roman"/>
          <w:sz w:val="22"/>
          <w:szCs w:val="22"/>
          <w:lang w:val="en-NZ" w:eastAsia="en-NZ" w:bidi="ar-SA"/>
        </w:rPr>
        <w:t>, N., and Young, C. 2012.</w:t>
      </w:r>
      <w:proofErr w:type="gramEnd"/>
      <w:r w:rsidRPr="00FF7EA4">
        <w:rPr>
          <w:rFonts w:eastAsia="Times New Roman"/>
          <w:sz w:val="22"/>
          <w:szCs w:val="22"/>
          <w:lang w:val="en-NZ" w:eastAsia="en-NZ" w:bidi="ar-SA"/>
        </w:rPr>
        <w:t xml:space="preserve"> </w:t>
      </w:r>
      <w:r w:rsidRPr="00FF7EA4">
        <w:rPr>
          <w:rFonts w:eastAsia="Times New Roman"/>
          <w:i/>
          <w:sz w:val="22"/>
          <w:szCs w:val="22"/>
          <w:lang w:val="en-NZ" w:eastAsia="en-NZ" w:bidi="ar-SA"/>
        </w:rPr>
        <w:t xml:space="preserve">Cost Benefit Analysis of the Warm </w:t>
      </w:r>
      <w:proofErr w:type="gramStart"/>
      <w:r w:rsidRPr="00FF7EA4">
        <w:rPr>
          <w:rFonts w:eastAsia="Times New Roman"/>
          <w:i/>
          <w:sz w:val="22"/>
          <w:szCs w:val="22"/>
          <w:lang w:val="en-NZ" w:eastAsia="en-NZ" w:bidi="ar-SA"/>
        </w:rPr>
        <w:t>Up</w:t>
      </w:r>
      <w:proofErr w:type="gramEnd"/>
      <w:r w:rsidRPr="00FF7EA4">
        <w:rPr>
          <w:rFonts w:eastAsia="Times New Roman"/>
          <w:i/>
          <w:sz w:val="22"/>
          <w:szCs w:val="22"/>
          <w:lang w:val="en-NZ" w:eastAsia="en-NZ" w:bidi="ar-SA"/>
        </w:rPr>
        <w:t xml:space="preserve"> New Zealand: Heat Smart Programme</w:t>
      </w:r>
      <w:r w:rsidRPr="00FF7EA4">
        <w:rPr>
          <w:rFonts w:eastAsia="Times New Roman"/>
          <w:sz w:val="22"/>
          <w:szCs w:val="22"/>
          <w:lang w:val="en-NZ" w:eastAsia="en-NZ" w:bidi="ar-SA"/>
        </w:rPr>
        <w:t xml:space="preserve">. </w:t>
      </w:r>
      <w:proofErr w:type="gramStart"/>
      <w:r w:rsidRPr="00FF7EA4">
        <w:rPr>
          <w:rFonts w:eastAsia="Times New Roman"/>
          <w:sz w:val="22"/>
          <w:szCs w:val="22"/>
          <w:lang w:val="en-NZ" w:eastAsia="en-NZ" w:bidi="ar-SA"/>
        </w:rPr>
        <w:t xml:space="preserve">A </w:t>
      </w:r>
      <w:r w:rsidRPr="00FF7EA4">
        <w:rPr>
          <w:rFonts w:eastAsia="Times New Roman"/>
          <w:iCs/>
          <w:sz w:val="22"/>
          <w:szCs w:val="22"/>
          <w:lang w:val="en-NZ" w:eastAsia="en-NZ" w:bidi="ar-SA"/>
        </w:rPr>
        <w:t>Report to the Ministry of Economic Development</w:t>
      </w:r>
      <w:r w:rsidRPr="00FF7EA4">
        <w:rPr>
          <w:rFonts w:eastAsia="Times New Roman"/>
          <w:sz w:val="22"/>
          <w:szCs w:val="22"/>
          <w:lang w:val="en-NZ" w:eastAsia="en-NZ" w:bidi="ar-SA"/>
        </w:rPr>
        <w:t>, Wellington.</w:t>
      </w:r>
      <w:proofErr w:type="gramEnd"/>
    </w:p>
    <w:p w:rsidR="00880E2A" w:rsidRPr="00FF7EA4" w:rsidRDefault="00880E2A" w:rsidP="000F3F3D">
      <w:pPr>
        <w:ind w:left="425" w:hanging="425"/>
        <w:rPr>
          <w:rFonts w:eastAsia="Times New Roman"/>
          <w:sz w:val="22"/>
          <w:szCs w:val="22"/>
          <w:lang w:val="en-NZ" w:eastAsia="en-NZ" w:bidi="ar-SA"/>
        </w:rPr>
      </w:pPr>
      <w:r w:rsidRPr="00FF7EA4">
        <w:rPr>
          <w:sz w:val="22"/>
          <w:szCs w:val="22"/>
          <w:lang w:val="en-NZ"/>
        </w:rPr>
        <w:t xml:space="preserve">Holt S., Beasley R. 2001. </w:t>
      </w:r>
      <w:proofErr w:type="gramStart"/>
      <w:r w:rsidRPr="00FF7EA4">
        <w:rPr>
          <w:i/>
          <w:iCs/>
          <w:sz w:val="22"/>
          <w:szCs w:val="22"/>
          <w:lang w:val="en-NZ"/>
        </w:rPr>
        <w:t>The Burden of Asthma in New Zealand</w:t>
      </w:r>
      <w:r w:rsidRPr="00FF7EA4">
        <w:rPr>
          <w:sz w:val="22"/>
          <w:szCs w:val="22"/>
          <w:lang w:val="en-NZ"/>
        </w:rPr>
        <w:t>.</w:t>
      </w:r>
      <w:proofErr w:type="gramEnd"/>
      <w:r w:rsidRPr="00FF7EA4">
        <w:rPr>
          <w:sz w:val="22"/>
          <w:szCs w:val="22"/>
          <w:lang w:val="en-NZ"/>
        </w:rPr>
        <w:t xml:space="preserve"> Report produced for the Asthma and Respiratory Foundation of New Zealand, December 2001.</w:t>
      </w:r>
    </w:p>
    <w:p w:rsidR="00880E2A" w:rsidRPr="00FF7EA4" w:rsidRDefault="00880E2A" w:rsidP="000F3F3D">
      <w:pPr>
        <w:ind w:left="425" w:hanging="425"/>
        <w:rPr>
          <w:rFonts w:eastAsia="Times New Roman"/>
          <w:sz w:val="22"/>
          <w:szCs w:val="22"/>
          <w:lang w:val="en-NZ" w:eastAsia="en-NZ"/>
        </w:rPr>
      </w:pPr>
      <w:r w:rsidRPr="00FF7EA4">
        <w:rPr>
          <w:sz w:val="22"/>
          <w:szCs w:val="22"/>
          <w:lang w:val="de-DE"/>
        </w:rPr>
        <w:t xml:space="preserve">Howden-Chapman, P., Bennett, J. 2010. </w:t>
      </w:r>
      <w:r w:rsidRPr="00FF7EA4">
        <w:rPr>
          <w:i/>
          <w:sz w:val="22"/>
          <w:szCs w:val="22"/>
        </w:rPr>
        <w:t xml:space="preserve">Do Damp and Mould Matter? </w:t>
      </w:r>
      <w:proofErr w:type="gramStart"/>
      <w:r w:rsidRPr="00FF7EA4">
        <w:rPr>
          <w:i/>
          <w:sz w:val="22"/>
          <w:szCs w:val="22"/>
        </w:rPr>
        <w:t>Health Impacts of Leaky Homes</w:t>
      </w:r>
      <w:r w:rsidRPr="00FF7EA4">
        <w:rPr>
          <w:sz w:val="22"/>
          <w:szCs w:val="22"/>
        </w:rPr>
        <w:t xml:space="preserve"> Steele Roberts Publishers, Wellington.</w:t>
      </w:r>
      <w:proofErr w:type="gramEnd"/>
    </w:p>
    <w:p w:rsidR="00880E2A" w:rsidRPr="00FF7EA4" w:rsidRDefault="00880E2A" w:rsidP="000F3F3D">
      <w:pPr>
        <w:ind w:left="425" w:hanging="425"/>
        <w:rPr>
          <w:sz w:val="22"/>
          <w:szCs w:val="22"/>
        </w:rPr>
      </w:pPr>
      <w:proofErr w:type="gramStart"/>
      <w:r w:rsidRPr="00FF7EA4">
        <w:rPr>
          <w:rFonts w:eastAsia="Times New Roman"/>
          <w:sz w:val="22"/>
          <w:szCs w:val="22"/>
          <w:lang w:val="en-NZ" w:eastAsia="en-NZ" w:bidi="ar-SA"/>
        </w:rPr>
        <w:lastRenderedPageBreak/>
        <w:t xml:space="preserve">Howden-Chapman, P., </w:t>
      </w:r>
      <w:proofErr w:type="spellStart"/>
      <w:r w:rsidRPr="00FF7EA4">
        <w:rPr>
          <w:rFonts w:eastAsia="Times New Roman"/>
          <w:sz w:val="22"/>
          <w:szCs w:val="22"/>
          <w:lang w:val="en-NZ" w:eastAsia="en-NZ" w:bidi="ar-SA"/>
        </w:rPr>
        <w:t>Pierse</w:t>
      </w:r>
      <w:proofErr w:type="spellEnd"/>
      <w:r w:rsidRPr="00FF7EA4">
        <w:rPr>
          <w:rFonts w:eastAsia="Times New Roman"/>
          <w:sz w:val="22"/>
          <w:szCs w:val="22"/>
          <w:lang w:val="en-NZ" w:eastAsia="en-NZ" w:bidi="ar-SA"/>
        </w:rPr>
        <w:t xml:space="preserve">, N., Nicholls, S., Gillespie-Bennett, J., </w:t>
      </w:r>
      <w:proofErr w:type="spellStart"/>
      <w:r w:rsidRPr="00FF7EA4">
        <w:rPr>
          <w:rFonts w:eastAsia="Times New Roman"/>
          <w:sz w:val="22"/>
          <w:szCs w:val="22"/>
          <w:lang w:val="en-NZ" w:eastAsia="en-NZ" w:bidi="ar-SA"/>
        </w:rPr>
        <w:t>Viggers</w:t>
      </w:r>
      <w:proofErr w:type="spellEnd"/>
      <w:r w:rsidRPr="00FF7EA4">
        <w:rPr>
          <w:rFonts w:eastAsia="Times New Roman"/>
          <w:sz w:val="22"/>
          <w:szCs w:val="22"/>
          <w:lang w:val="en-NZ" w:eastAsia="en-NZ" w:bidi="ar-SA"/>
        </w:rPr>
        <w:t xml:space="preserve">, H., Cunningham, M., Phipps, R., </w:t>
      </w:r>
      <w:proofErr w:type="spellStart"/>
      <w:r w:rsidRPr="00FF7EA4">
        <w:rPr>
          <w:rFonts w:eastAsia="Times New Roman"/>
          <w:sz w:val="22"/>
          <w:szCs w:val="22"/>
          <w:lang w:val="en-NZ" w:eastAsia="en-NZ" w:bidi="ar-SA"/>
        </w:rPr>
        <w:t>Boulic</w:t>
      </w:r>
      <w:proofErr w:type="spellEnd"/>
      <w:r w:rsidRPr="00FF7EA4">
        <w:rPr>
          <w:rFonts w:eastAsia="Times New Roman"/>
          <w:sz w:val="22"/>
          <w:szCs w:val="22"/>
          <w:lang w:val="en-NZ" w:eastAsia="en-NZ" w:bidi="ar-SA"/>
        </w:rPr>
        <w:t xml:space="preserve">, M., </w:t>
      </w:r>
      <w:proofErr w:type="spellStart"/>
      <w:r w:rsidRPr="00FF7EA4">
        <w:rPr>
          <w:rFonts w:eastAsia="Times New Roman"/>
          <w:sz w:val="22"/>
          <w:szCs w:val="22"/>
          <w:lang w:val="en-NZ" w:eastAsia="en-NZ" w:bidi="ar-SA"/>
        </w:rPr>
        <w:t>Fjallstrom</w:t>
      </w:r>
      <w:proofErr w:type="spellEnd"/>
      <w:r w:rsidRPr="00FF7EA4">
        <w:rPr>
          <w:rFonts w:eastAsia="Times New Roman"/>
          <w:sz w:val="22"/>
          <w:szCs w:val="22"/>
          <w:lang w:val="en-NZ" w:eastAsia="en-NZ" w:bidi="ar-SA"/>
        </w:rPr>
        <w:t xml:space="preserve">, P, Free, S., Chapman, R., Lloyd, B., </w:t>
      </w:r>
      <w:proofErr w:type="spellStart"/>
      <w:r w:rsidRPr="00FF7EA4">
        <w:rPr>
          <w:rFonts w:eastAsia="Times New Roman"/>
          <w:sz w:val="22"/>
          <w:szCs w:val="22"/>
          <w:lang w:val="en-NZ" w:eastAsia="en-NZ" w:bidi="ar-SA"/>
        </w:rPr>
        <w:t>Wickens</w:t>
      </w:r>
      <w:proofErr w:type="spellEnd"/>
      <w:r w:rsidRPr="00FF7EA4">
        <w:rPr>
          <w:rFonts w:eastAsia="Times New Roman"/>
          <w:sz w:val="22"/>
          <w:szCs w:val="22"/>
          <w:lang w:val="en-NZ" w:eastAsia="en-NZ" w:bidi="ar-SA"/>
        </w:rPr>
        <w:t xml:space="preserve">, K., Shields, D., Baker, M., Cunningham, C., Woodward, A., </w:t>
      </w:r>
      <w:proofErr w:type="spellStart"/>
      <w:r w:rsidRPr="00FF7EA4">
        <w:rPr>
          <w:rFonts w:eastAsia="Times New Roman"/>
          <w:sz w:val="22"/>
          <w:szCs w:val="22"/>
          <w:lang w:val="en-NZ" w:eastAsia="en-NZ" w:bidi="ar-SA"/>
        </w:rPr>
        <w:t>Bullen</w:t>
      </w:r>
      <w:proofErr w:type="spellEnd"/>
      <w:r w:rsidRPr="00FF7EA4">
        <w:rPr>
          <w:rFonts w:eastAsia="Times New Roman"/>
          <w:sz w:val="22"/>
          <w:szCs w:val="22"/>
          <w:lang w:val="en-NZ" w:eastAsia="en-NZ" w:bidi="ar-SA"/>
        </w:rPr>
        <w:t>, C., and Crane, J. 2008.</w:t>
      </w:r>
      <w:proofErr w:type="gramEnd"/>
      <w:r w:rsidRPr="00FF7EA4">
        <w:rPr>
          <w:rFonts w:eastAsia="Times New Roman"/>
          <w:sz w:val="22"/>
          <w:szCs w:val="22"/>
          <w:lang w:val="en-NZ" w:eastAsia="en-NZ" w:bidi="ar-SA"/>
        </w:rPr>
        <w:t xml:space="preserve"> </w:t>
      </w:r>
      <w:r w:rsidR="000D4AC5">
        <w:rPr>
          <w:rFonts w:eastAsia="Times New Roman"/>
          <w:sz w:val="22"/>
          <w:szCs w:val="22"/>
          <w:lang w:val="en-NZ" w:eastAsia="en-NZ" w:bidi="ar-SA"/>
        </w:rPr>
        <w:t>‘</w:t>
      </w:r>
      <w:r w:rsidRPr="00FF7EA4">
        <w:rPr>
          <w:rFonts w:eastAsia="Times New Roman"/>
          <w:sz w:val="22"/>
          <w:szCs w:val="22"/>
          <w:lang w:val="en-NZ" w:eastAsia="en-NZ" w:bidi="ar-SA"/>
        </w:rPr>
        <w:t>Effects of improved home heating on asthma in community dwelling children: randomised controlled trial</w:t>
      </w:r>
      <w:r w:rsidR="000D4AC5">
        <w:rPr>
          <w:rFonts w:eastAsia="Times New Roman"/>
          <w:sz w:val="22"/>
          <w:szCs w:val="22"/>
          <w:lang w:val="en-NZ" w:eastAsia="en-NZ" w:bidi="ar-SA"/>
        </w:rPr>
        <w:t>’</w:t>
      </w:r>
      <w:r w:rsidR="001A7C72">
        <w:rPr>
          <w:rFonts w:eastAsia="Times New Roman"/>
          <w:sz w:val="22"/>
          <w:szCs w:val="22"/>
          <w:lang w:val="en-NZ" w:eastAsia="en-NZ" w:bidi="ar-SA"/>
        </w:rPr>
        <w:t xml:space="preserve"> </w:t>
      </w:r>
      <w:r w:rsidRPr="00FF7EA4">
        <w:rPr>
          <w:rFonts w:eastAsia="Times New Roman"/>
          <w:i/>
          <w:iCs/>
          <w:sz w:val="22"/>
          <w:szCs w:val="22"/>
          <w:lang w:val="en-NZ" w:eastAsia="en-NZ" w:bidi="ar-SA"/>
        </w:rPr>
        <w:t>British Medical Journal</w:t>
      </w:r>
      <w:r w:rsidRPr="00FF7EA4">
        <w:rPr>
          <w:rFonts w:eastAsia="Times New Roman"/>
          <w:sz w:val="22"/>
          <w:szCs w:val="22"/>
          <w:lang w:val="en-NZ" w:eastAsia="en-NZ" w:bidi="ar-SA"/>
        </w:rPr>
        <w:t xml:space="preserve"> 337(7674): 852-855.</w:t>
      </w:r>
    </w:p>
    <w:p w:rsidR="00880E2A" w:rsidRPr="00FF7EA4" w:rsidRDefault="00880E2A" w:rsidP="000F3F3D">
      <w:pPr>
        <w:ind w:left="425" w:hanging="425"/>
        <w:rPr>
          <w:rFonts w:eastAsia="Times New Roman"/>
          <w:sz w:val="22"/>
          <w:szCs w:val="22"/>
          <w:lang w:val="en-NZ" w:eastAsia="en-NZ"/>
        </w:rPr>
      </w:pPr>
      <w:proofErr w:type="gramStart"/>
      <w:r w:rsidRPr="00FF7EA4">
        <w:rPr>
          <w:rFonts w:eastAsia="Times New Roman"/>
          <w:sz w:val="22"/>
          <w:szCs w:val="22"/>
          <w:lang w:val="en-NZ" w:eastAsia="en-NZ"/>
        </w:rPr>
        <w:t xml:space="preserve">Howden-Chapman, P., </w:t>
      </w:r>
      <w:proofErr w:type="spellStart"/>
      <w:r w:rsidRPr="00FF7EA4">
        <w:rPr>
          <w:rFonts w:eastAsia="Times New Roman"/>
          <w:sz w:val="22"/>
          <w:szCs w:val="22"/>
          <w:lang w:val="en-NZ" w:eastAsia="en-NZ"/>
        </w:rPr>
        <w:t>Viggers</w:t>
      </w:r>
      <w:proofErr w:type="spellEnd"/>
      <w:r w:rsidRPr="00FF7EA4">
        <w:rPr>
          <w:rFonts w:eastAsia="Times New Roman"/>
          <w:sz w:val="22"/>
          <w:szCs w:val="22"/>
          <w:lang w:val="en-NZ" w:eastAsia="en-NZ"/>
        </w:rPr>
        <w:t xml:space="preserve">, H., Chapman, R., O’Sullivan, K., </w:t>
      </w:r>
      <w:proofErr w:type="spellStart"/>
      <w:r w:rsidRPr="00FF7EA4">
        <w:rPr>
          <w:rFonts w:eastAsia="Times New Roman"/>
          <w:sz w:val="22"/>
          <w:szCs w:val="22"/>
          <w:lang w:val="en-NZ" w:eastAsia="en-NZ"/>
        </w:rPr>
        <w:t>Telfar</w:t>
      </w:r>
      <w:proofErr w:type="spellEnd"/>
      <w:r w:rsidRPr="00FF7EA4">
        <w:rPr>
          <w:rFonts w:eastAsia="Times New Roman"/>
          <w:sz w:val="22"/>
          <w:szCs w:val="22"/>
          <w:lang w:val="en-NZ" w:eastAsia="en-NZ"/>
        </w:rPr>
        <w:t xml:space="preserve"> Barnard, L., and Lloyd, B. 2012.</w:t>
      </w:r>
      <w:proofErr w:type="gramEnd"/>
      <w:r w:rsidRPr="00FF7EA4">
        <w:rPr>
          <w:rFonts w:eastAsia="Times New Roman"/>
          <w:sz w:val="22"/>
          <w:szCs w:val="22"/>
          <w:lang w:val="en-NZ" w:eastAsia="en-NZ"/>
        </w:rPr>
        <w:t xml:space="preserve"> </w:t>
      </w:r>
      <w:proofErr w:type="gramStart"/>
      <w:r w:rsidR="000D4AC5">
        <w:rPr>
          <w:rFonts w:eastAsia="Times New Roman"/>
          <w:sz w:val="22"/>
          <w:szCs w:val="22"/>
          <w:lang w:val="en-NZ" w:eastAsia="en-NZ"/>
        </w:rPr>
        <w:t>‘</w:t>
      </w:r>
      <w:r w:rsidRPr="00FF7EA4">
        <w:rPr>
          <w:rFonts w:eastAsia="Times New Roman"/>
          <w:sz w:val="22"/>
          <w:szCs w:val="22"/>
          <w:lang w:val="en-NZ" w:eastAsia="en-NZ"/>
        </w:rPr>
        <w:t>Tackling cold housing and fuel poverty in New Zealand: a review of policies, research, and health impacts</w:t>
      </w:r>
      <w:r w:rsidR="000D4AC5">
        <w:rPr>
          <w:rFonts w:eastAsia="Times New Roman"/>
          <w:sz w:val="22"/>
          <w:szCs w:val="22"/>
          <w:lang w:val="en-NZ" w:eastAsia="en-NZ"/>
        </w:rPr>
        <w:t>’</w:t>
      </w:r>
      <w:r w:rsidRPr="00FF7EA4">
        <w:rPr>
          <w:rFonts w:eastAsia="Times New Roman"/>
          <w:sz w:val="22"/>
          <w:szCs w:val="22"/>
          <w:lang w:val="en-NZ" w:eastAsia="en-NZ"/>
        </w:rPr>
        <w:t xml:space="preserve"> </w:t>
      </w:r>
      <w:r w:rsidRPr="00FF7EA4">
        <w:rPr>
          <w:rFonts w:eastAsia="Times New Roman"/>
          <w:i/>
          <w:iCs/>
          <w:sz w:val="22"/>
          <w:szCs w:val="22"/>
          <w:lang w:val="en-NZ" w:eastAsia="en-NZ"/>
        </w:rPr>
        <w:t>Energy Policy</w:t>
      </w:r>
      <w:r w:rsidRPr="00FF7EA4">
        <w:rPr>
          <w:rFonts w:eastAsia="Times New Roman"/>
          <w:sz w:val="22"/>
          <w:szCs w:val="22"/>
          <w:lang w:val="en-NZ" w:eastAsia="en-NZ"/>
        </w:rPr>
        <w:t xml:space="preserve"> </w:t>
      </w:r>
      <w:r w:rsidRPr="00FF7EA4">
        <w:rPr>
          <w:rFonts w:eastAsia="Times New Roman"/>
          <w:iCs/>
          <w:sz w:val="22"/>
          <w:szCs w:val="22"/>
          <w:lang w:val="en-NZ" w:eastAsia="en-NZ"/>
        </w:rPr>
        <w:t>49</w:t>
      </w:r>
      <w:r w:rsidRPr="00FF7EA4">
        <w:rPr>
          <w:rFonts w:eastAsia="Times New Roman"/>
          <w:sz w:val="22"/>
          <w:szCs w:val="22"/>
          <w:lang w:val="en-NZ" w:eastAsia="en-NZ"/>
        </w:rPr>
        <w:t>(1): 134-142.</w:t>
      </w:r>
      <w:proofErr w:type="gramEnd"/>
    </w:p>
    <w:p w:rsidR="00880E2A" w:rsidRPr="00FF7EA4" w:rsidRDefault="00A15AD3" w:rsidP="000F3F3D">
      <w:pPr>
        <w:ind w:left="425" w:hanging="425"/>
        <w:rPr>
          <w:rFonts w:eastAsia="Times New Roman"/>
          <w:sz w:val="22"/>
          <w:szCs w:val="22"/>
          <w:lang w:val="en-NZ" w:eastAsia="en-NZ" w:bidi="ar-SA"/>
        </w:rPr>
      </w:pPr>
      <w:r w:rsidRPr="00FF7EA4">
        <w:rPr>
          <w:sz w:val="22"/>
          <w:szCs w:val="22"/>
          <w:lang w:val="nl-NL" w:bidi="ar-SA"/>
        </w:rPr>
        <w:t>Kessels, R., Jones, B.,</w:t>
      </w:r>
      <w:r w:rsidR="00880E2A" w:rsidRPr="00FF7EA4">
        <w:rPr>
          <w:sz w:val="22"/>
          <w:szCs w:val="22"/>
          <w:lang w:val="nl-NL" w:bidi="ar-SA"/>
        </w:rPr>
        <w:t xml:space="preserve"> Goos, P.</w:t>
      </w:r>
      <w:r w:rsidRPr="00FF7EA4">
        <w:rPr>
          <w:sz w:val="22"/>
          <w:szCs w:val="22"/>
          <w:lang w:val="nl-NL" w:bidi="ar-SA"/>
        </w:rPr>
        <w:t xml:space="preserve">, and Vandebroek, M. 2011. </w:t>
      </w:r>
      <w:r w:rsidR="000D4AC5">
        <w:rPr>
          <w:sz w:val="22"/>
          <w:szCs w:val="22"/>
          <w:lang w:bidi="ar-SA"/>
        </w:rPr>
        <w:t>‘</w:t>
      </w:r>
      <w:r w:rsidR="00880E2A" w:rsidRPr="00FF7EA4">
        <w:rPr>
          <w:sz w:val="22"/>
          <w:szCs w:val="22"/>
          <w:lang w:bidi="ar-SA"/>
        </w:rPr>
        <w:t xml:space="preserve">The usefulness of Bayesian optimal designs </w:t>
      </w:r>
      <w:r w:rsidRPr="00FF7EA4">
        <w:rPr>
          <w:sz w:val="22"/>
          <w:szCs w:val="22"/>
          <w:lang w:bidi="ar-SA"/>
        </w:rPr>
        <w:t>for discrete choice experiments</w:t>
      </w:r>
      <w:r w:rsidR="000D4AC5">
        <w:rPr>
          <w:sz w:val="22"/>
          <w:szCs w:val="22"/>
          <w:lang w:bidi="ar-SA"/>
        </w:rPr>
        <w:t>’</w:t>
      </w:r>
      <w:r w:rsidR="00880E2A" w:rsidRPr="00FF7EA4">
        <w:rPr>
          <w:sz w:val="22"/>
          <w:szCs w:val="22"/>
          <w:lang w:bidi="ar-SA"/>
        </w:rPr>
        <w:t xml:space="preserve"> </w:t>
      </w:r>
      <w:r w:rsidR="00880E2A" w:rsidRPr="00FF7EA4">
        <w:rPr>
          <w:i/>
          <w:iCs/>
          <w:sz w:val="22"/>
          <w:szCs w:val="22"/>
          <w:lang w:bidi="ar-SA"/>
        </w:rPr>
        <w:t>Applied Stochastic Models in Business and Industry</w:t>
      </w:r>
      <w:r w:rsidR="00880E2A" w:rsidRPr="00FF7EA4">
        <w:rPr>
          <w:sz w:val="22"/>
          <w:szCs w:val="22"/>
          <w:lang w:bidi="ar-SA"/>
        </w:rPr>
        <w:t xml:space="preserve"> </w:t>
      </w:r>
      <w:r w:rsidR="00880E2A" w:rsidRPr="00FF7EA4">
        <w:rPr>
          <w:bCs/>
          <w:sz w:val="22"/>
          <w:szCs w:val="22"/>
          <w:lang w:bidi="ar-SA"/>
        </w:rPr>
        <w:t>27</w:t>
      </w:r>
      <w:r w:rsidRPr="00FF7EA4">
        <w:rPr>
          <w:sz w:val="22"/>
          <w:szCs w:val="22"/>
          <w:lang w:bidi="ar-SA"/>
        </w:rPr>
        <w:t>(3):</w:t>
      </w:r>
      <w:r w:rsidR="00880E2A" w:rsidRPr="00FF7EA4">
        <w:rPr>
          <w:sz w:val="22"/>
          <w:szCs w:val="22"/>
          <w:lang w:bidi="ar-SA"/>
        </w:rPr>
        <w:t xml:space="preserve"> 173--188.</w:t>
      </w:r>
      <w:r w:rsidR="00880E2A" w:rsidRPr="00FF7EA4">
        <w:rPr>
          <w:rFonts w:eastAsia="Times New Roman"/>
          <w:sz w:val="22"/>
          <w:szCs w:val="22"/>
          <w:lang w:val="en-NZ" w:eastAsia="en-NZ" w:bidi="ar-SA"/>
        </w:rPr>
        <w:t xml:space="preserve"> </w:t>
      </w:r>
    </w:p>
    <w:p w:rsidR="00880E2A" w:rsidRPr="00FF7EA4" w:rsidRDefault="00880E2A" w:rsidP="000F3F3D">
      <w:pPr>
        <w:ind w:left="425" w:hanging="425"/>
        <w:contextualSpacing/>
        <w:outlineLvl w:val="0"/>
        <w:rPr>
          <w:sz w:val="22"/>
          <w:szCs w:val="22"/>
        </w:rPr>
      </w:pPr>
      <w:r w:rsidRPr="00FF7EA4">
        <w:rPr>
          <w:sz w:val="22"/>
          <w:szCs w:val="22"/>
        </w:rPr>
        <w:t xml:space="preserve">Lee, H. 2003. </w:t>
      </w:r>
      <w:r w:rsidRPr="00FF7EA4">
        <w:rPr>
          <w:i/>
          <w:sz w:val="22"/>
          <w:szCs w:val="22"/>
        </w:rPr>
        <w:t xml:space="preserve">Tongans Overseas: Between two shores. </w:t>
      </w:r>
      <w:r w:rsidRPr="00FF7EA4">
        <w:rPr>
          <w:sz w:val="22"/>
          <w:szCs w:val="22"/>
        </w:rPr>
        <w:t>University of Hawaii Press, Honolulu.</w:t>
      </w:r>
    </w:p>
    <w:p w:rsidR="00880E2A" w:rsidRPr="00FF7EA4" w:rsidRDefault="00880E2A" w:rsidP="000F3F3D">
      <w:pPr>
        <w:ind w:left="425" w:hanging="425"/>
        <w:contextualSpacing/>
        <w:outlineLvl w:val="0"/>
        <w:rPr>
          <w:sz w:val="22"/>
          <w:szCs w:val="22"/>
        </w:rPr>
      </w:pPr>
      <w:r w:rsidRPr="00FF7EA4">
        <w:rPr>
          <w:sz w:val="22"/>
          <w:szCs w:val="22"/>
        </w:rPr>
        <w:t xml:space="preserve">McKenzie, D. and </w:t>
      </w:r>
      <w:proofErr w:type="spellStart"/>
      <w:r w:rsidRPr="00FF7EA4">
        <w:rPr>
          <w:sz w:val="22"/>
          <w:szCs w:val="22"/>
        </w:rPr>
        <w:t>Mistiaen</w:t>
      </w:r>
      <w:proofErr w:type="spellEnd"/>
      <w:r w:rsidRPr="00FF7EA4">
        <w:rPr>
          <w:sz w:val="22"/>
          <w:szCs w:val="22"/>
        </w:rPr>
        <w:t xml:space="preserve">, J. 2009. </w:t>
      </w:r>
      <w:r w:rsidR="000D4AC5">
        <w:rPr>
          <w:sz w:val="22"/>
          <w:szCs w:val="22"/>
        </w:rPr>
        <w:t>‘</w:t>
      </w:r>
      <w:r w:rsidRPr="00FF7EA4">
        <w:rPr>
          <w:sz w:val="22"/>
          <w:szCs w:val="22"/>
        </w:rPr>
        <w:t xml:space="preserve">Surveying migrant households: </w:t>
      </w:r>
      <w:proofErr w:type="gramStart"/>
      <w:r w:rsidRPr="00FF7EA4">
        <w:rPr>
          <w:sz w:val="22"/>
          <w:szCs w:val="22"/>
        </w:rPr>
        <w:t>A comparison of Census-based, snowball</w:t>
      </w:r>
      <w:proofErr w:type="gramEnd"/>
      <w:r w:rsidRPr="00FF7EA4">
        <w:rPr>
          <w:sz w:val="22"/>
          <w:szCs w:val="22"/>
        </w:rPr>
        <w:t>, and intercept surveys</w:t>
      </w:r>
      <w:r w:rsidR="000D4AC5">
        <w:rPr>
          <w:i/>
          <w:sz w:val="22"/>
          <w:szCs w:val="22"/>
        </w:rPr>
        <w:t>’</w:t>
      </w:r>
      <w:r w:rsidR="001A7C72">
        <w:rPr>
          <w:i/>
          <w:sz w:val="22"/>
          <w:szCs w:val="22"/>
        </w:rPr>
        <w:t xml:space="preserve"> </w:t>
      </w:r>
      <w:r w:rsidRPr="00FF7EA4">
        <w:rPr>
          <w:i/>
          <w:sz w:val="22"/>
          <w:szCs w:val="22"/>
        </w:rPr>
        <w:t>Journal of the Royal Statistical Society, Series A</w:t>
      </w:r>
      <w:r w:rsidRPr="00FF7EA4">
        <w:rPr>
          <w:sz w:val="22"/>
          <w:szCs w:val="22"/>
        </w:rPr>
        <w:t xml:space="preserve"> 172(2): </w:t>
      </w:r>
      <w:r w:rsidR="001A7C72">
        <w:rPr>
          <w:sz w:val="22"/>
          <w:szCs w:val="22"/>
        </w:rPr>
        <w:br/>
      </w:r>
      <w:r w:rsidRPr="00FF7EA4">
        <w:rPr>
          <w:sz w:val="22"/>
          <w:szCs w:val="22"/>
        </w:rPr>
        <w:t>339-60.</w:t>
      </w:r>
    </w:p>
    <w:p w:rsidR="00880E2A" w:rsidRPr="00FF7EA4" w:rsidRDefault="00880E2A" w:rsidP="000F3F3D">
      <w:pPr>
        <w:ind w:left="425" w:hanging="425"/>
        <w:contextualSpacing/>
        <w:outlineLvl w:val="0"/>
        <w:rPr>
          <w:sz w:val="22"/>
          <w:szCs w:val="22"/>
        </w:rPr>
      </w:pPr>
      <w:proofErr w:type="spellStart"/>
      <w:r w:rsidRPr="00FF7EA4">
        <w:rPr>
          <w:rFonts w:eastAsia="Times New Roman"/>
          <w:sz w:val="22"/>
          <w:szCs w:val="22"/>
          <w:lang w:val="en-NZ" w:eastAsia="en-NZ" w:bidi="ar-SA"/>
        </w:rPr>
        <w:t>Pattemore</w:t>
      </w:r>
      <w:proofErr w:type="spellEnd"/>
      <w:r w:rsidRPr="00FF7EA4">
        <w:rPr>
          <w:rFonts w:eastAsia="Times New Roman"/>
          <w:sz w:val="22"/>
          <w:szCs w:val="22"/>
          <w:lang w:val="en-NZ" w:eastAsia="en-NZ" w:bidi="ar-SA"/>
        </w:rPr>
        <w:t>, P., Ellison</w:t>
      </w:r>
      <w:r w:rsidRPr="00FF7EA4">
        <w:rPr>
          <w:rFonts w:ascii="Cambria Math" w:eastAsia="Times New Roman" w:hAnsi="Cambria Math" w:cs="Cambria Math"/>
          <w:sz w:val="22"/>
          <w:szCs w:val="22"/>
          <w:lang w:val="en-NZ" w:eastAsia="en-NZ" w:bidi="ar-SA"/>
        </w:rPr>
        <w:t>‐</w:t>
      </w:r>
      <w:proofErr w:type="spellStart"/>
      <w:r w:rsidRPr="00FF7EA4">
        <w:rPr>
          <w:rFonts w:eastAsia="Times New Roman"/>
          <w:sz w:val="22"/>
          <w:szCs w:val="22"/>
          <w:lang w:val="en-NZ" w:eastAsia="en-NZ" w:bidi="ar-SA"/>
        </w:rPr>
        <w:t>Loschmann</w:t>
      </w:r>
      <w:proofErr w:type="spellEnd"/>
      <w:r w:rsidRPr="00FF7EA4">
        <w:rPr>
          <w:rFonts w:eastAsia="Times New Roman"/>
          <w:sz w:val="22"/>
          <w:szCs w:val="22"/>
          <w:lang w:val="en-NZ" w:eastAsia="en-NZ" w:bidi="ar-SA"/>
        </w:rPr>
        <w:t xml:space="preserve">, L., Asher, M., Barry, D., Clayton, T., Crane, J., D’Souza, W., Ellwood, P., Ford, R., Mackay, R., Mitchell, E., </w:t>
      </w:r>
      <w:proofErr w:type="spellStart"/>
      <w:r w:rsidRPr="00FF7EA4">
        <w:rPr>
          <w:rFonts w:eastAsia="Times New Roman"/>
          <w:sz w:val="22"/>
          <w:szCs w:val="22"/>
          <w:lang w:val="en-NZ" w:eastAsia="en-NZ" w:bidi="ar-SA"/>
        </w:rPr>
        <w:t>Moyes</w:t>
      </w:r>
      <w:proofErr w:type="spellEnd"/>
      <w:r w:rsidRPr="00FF7EA4">
        <w:rPr>
          <w:rFonts w:eastAsia="Times New Roman"/>
          <w:sz w:val="22"/>
          <w:szCs w:val="22"/>
          <w:lang w:val="en-NZ" w:eastAsia="en-NZ" w:bidi="ar-SA"/>
        </w:rPr>
        <w:t xml:space="preserve">, C., Pearce, N., and Stewart, A. 2004. </w:t>
      </w:r>
      <w:r w:rsidR="000D4AC5">
        <w:rPr>
          <w:rFonts w:eastAsia="Times New Roman"/>
          <w:sz w:val="22"/>
          <w:szCs w:val="22"/>
          <w:lang w:val="en-NZ" w:eastAsia="en-NZ" w:bidi="ar-SA"/>
        </w:rPr>
        <w:t>‘</w:t>
      </w:r>
      <w:r w:rsidRPr="00FF7EA4">
        <w:rPr>
          <w:rFonts w:eastAsia="Times New Roman"/>
          <w:sz w:val="22"/>
          <w:szCs w:val="22"/>
          <w:lang w:val="en-NZ" w:eastAsia="en-NZ" w:bidi="ar-SA"/>
        </w:rPr>
        <w:t>Asthma prevalence in European, Maori, and Pacific children in New Zealand: ISAAC study</w:t>
      </w:r>
      <w:r w:rsidR="000D4AC5">
        <w:rPr>
          <w:rFonts w:eastAsia="Times New Roman"/>
          <w:sz w:val="22"/>
          <w:szCs w:val="22"/>
          <w:lang w:val="en-NZ" w:eastAsia="en-NZ" w:bidi="ar-SA"/>
        </w:rPr>
        <w:t>’</w:t>
      </w:r>
      <w:r w:rsidRPr="00FF7EA4">
        <w:rPr>
          <w:rFonts w:eastAsia="Times New Roman"/>
          <w:sz w:val="22"/>
          <w:szCs w:val="22"/>
          <w:lang w:val="en-NZ" w:eastAsia="en-NZ" w:bidi="ar-SA"/>
        </w:rPr>
        <w:t xml:space="preserve"> </w:t>
      </w:r>
      <w:proofErr w:type="spellStart"/>
      <w:r w:rsidRPr="00FF7EA4">
        <w:rPr>
          <w:rFonts w:eastAsia="Times New Roman"/>
          <w:i/>
          <w:iCs/>
          <w:sz w:val="22"/>
          <w:szCs w:val="22"/>
          <w:lang w:val="en-NZ" w:eastAsia="en-NZ" w:bidi="ar-SA"/>
        </w:rPr>
        <w:t>Pediatric</w:t>
      </w:r>
      <w:proofErr w:type="spellEnd"/>
      <w:r w:rsidRPr="00FF7EA4">
        <w:rPr>
          <w:rFonts w:eastAsia="Times New Roman"/>
          <w:i/>
          <w:iCs/>
          <w:sz w:val="22"/>
          <w:szCs w:val="22"/>
          <w:lang w:val="en-NZ" w:eastAsia="en-NZ" w:bidi="ar-SA"/>
        </w:rPr>
        <w:t xml:space="preserve"> </w:t>
      </w:r>
      <w:proofErr w:type="spellStart"/>
      <w:r w:rsidRPr="00FF7EA4">
        <w:rPr>
          <w:rFonts w:eastAsia="Times New Roman"/>
          <w:i/>
          <w:iCs/>
          <w:sz w:val="22"/>
          <w:szCs w:val="22"/>
          <w:lang w:val="en-NZ" w:eastAsia="en-NZ" w:bidi="ar-SA"/>
        </w:rPr>
        <w:t>Pulmonology</w:t>
      </w:r>
      <w:proofErr w:type="spellEnd"/>
      <w:r w:rsidRPr="00FF7EA4">
        <w:rPr>
          <w:rFonts w:eastAsia="Times New Roman"/>
          <w:sz w:val="22"/>
          <w:szCs w:val="22"/>
          <w:lang w:val="en-NZ" w:eastAsia="en-NZ" w:bidi="ar-SA"/>
        </w:rPr>
        <w:t xml:space="preserve"> </w:t>
      </w:r>
      <w:r w:rsidRPr="00FF7EA4">
        <w:rPr>
          <w:rFonts w:eastAsia="Times New Roman"/>
          <w:iCs/>
          <w:sz w:val="22"/>
          <w:szCs w:val="22"/>
          <w:lang w:val="en-NZ" w:eastAsia="en-NZ" w:bidi="ar-SA"/>
        </w:rPr>
        <w:t>37</w:t>
      </w:r>
      <w:r w:rsidRPr="00FF7EA4">
        <w:rPr>
          <w:rFonts w:eastAsia="Times New Roman"/>
          <w:sz w:val="22"/>
          <w:szCs w:val="22"/>
          <w:lang w:val="en-NZ" w:eastAsia="en-NZ" w:bidi="ar-SA"/>
        </w:rPr>
        <w:t>(5): 433-442</w:t>
      </w:r>
    </w:p>
    <w:p w:rsidR="00880E2A" w:rsidRPr="00FF7EA4" w:rsidRDefault="00880E2A" w:rsidP="000F3F3D">
      <w:pPr>
        <w:ind w:left="425" w:hanging="425"/>
        <w:contextualSpacing/>
        <w:outlineLvl w:val="0"/>
        <w:rPr>
          <w:sz w:val="22"/>
          <w:szCs w:val="22"/>
        </w:rPr>
      </w:pPr>
      <w:proofErr w:type="spellStart"/>
      <w:r w:rsidRPr="00FF7EA4">
        <w:rPr>
          <w:sz w:val="22"/>
          <w:szCs w:val="22"/>
        </w:rPr>
        <w:t>Preval</w:t>
      </w:r>
      <w:proofErr w:type="spellEnd"/>
      <w:r w:rsidRPr="00FF7EA4">
        <w:rPr>
          <w:sz w:val="22"/>
          <w:szCs w:val="22"/>
        </w:rPr>
        <w:t xml:space="preserve"> N, Chapman R, </w:t>
      </w:r>
      <w:proofErr w:type="spellStart"/>
      <w:r w:rsidRPr="00FF7EA4">
        <w:rPr>
          <w:sz w:val="22"/>
          <w:szCs w:val="22"/>
        </w:rPr>
        <w:t>Pierse</w:t>
      </w:r>
      <w:proofErr w:type="spellEnd"/>
      <w:r w:rsidRPr="00FF7EA4">
        <w:rPr>
          <w:sz w:val="22"/>
          <w:szCs w:val="22"/>
        </w:rPr>
        <w:t xml:space="preserve"> N, </w:t>
      </w:r>
      <w:proofErr w:type="spellStart"/>
      <w:r w:rsidRPr="00FF7EA4">
        <w:rPr>
          <w:sz w:val="22"/>
          <w:szCs w:val="22"/>
        </w:rPr>
        <w:t>Howden</w:t>
      </w:r>
      <w:proofErr w:type="spellEnd"/>
      <w:r w:rsidRPr="00FF7EA4">
        <w:rPr>
          <w:sz w:val="22"/>
          <w:szCs w:val="22"/>
        </w:rPr>
        <w:t xml:space="preserve">-Chapman P. 2010. </w:t>
      </w:r>
      <w:r w:rsidR="000D4AC5">
        <w:rPr>
          <w:sz w:val="22"/>
          <w:szCs w:val="22"/>
        </w:rPr>
        <w:t>‘</w:t>
      </w:r>
      <w:r w:rsidRPr="00FF7EA4">
        <w:rPr>
          <w:sz w:val="22"/>
          <w:szCs w:val="22"/>
        </w:rPr>
        <w:t xml:space="preserve">Evaluating energy, health and carbon co-benefits from improved domestic space heating: A </w:t>
      </w:r>
      <w:proofErr w:type="spellStart"/>
      <w:r w:rsidRPr="00FF7EA4">
        <w:rPr>
          <w:sz w:val="22"/>
          <w:szCs w:val="22"/>
        </w:rPr>
        <w:t>randomised</w:t>
      </w:r>
      <w:proofErr w:type="spellEnd"/>
      <w:r w:rsidRPr="00FF7EA4">
        <w:rPr>
          <w:sz w:val="22"/>
          <w:szCs w:val="22"/>
        </w:rPr>
        <w:t xml:space="preserve"> community trial</w:t>
      </w:r>
      <w:r w:rsidR="000D4AC5">
        <w:rPr>
          <w:sz w:val="22"/>
          <w:szCs w:val="22"/>
        </w:rPr>
        <w:t>’</w:t>
      </w:r>
      <w:r w:rsidRPr="00FF7EA4">
        <w:rPr>
          <w:sz w:val="22"/>
          <w:szCs w:val="22"/>
        </w:rPr>
        <w:t xml:space="preserve"> </w:t>
      </w:r>
      <w:r w:rsidRPr="00FF7EA4">
        <w:rPr>
          <w:i/>
          <w:sz w:val="22"/>
          <w:szCs w:val="22"/>
        </w:rPr>
        <w:t>Energy Policy</w:t>
      </w:r>
      <w:r w:rsidRPr="00FF7EA4">
        <w:rPr>
          <w:sz w:val="22"/>
          <w:szCs w:val="22"/>
        </w:rPr>
        <w:t xml:space="preserve"> 38(8): 3965-3972. </w:t>
      </w:r>
    </w:p>
    <w:p w:rsidR="00880E2A" w:rsidRPr="00FF7EA4" w:rsidRDefault="00A15AD3" w:rsidP="000F3F3D">
      <w:pPr>
        <w:ind w:left="425" w:hanging="425"/>
        <w:rPr>
          <w:rFonts w:eastAsia="Times New Roman"/>
          <w:sz w:val="22"/>
          <w:szCs w:val="22"/>
          <w:lang w:val="en-NZ" w:eastAsia="en-NZ" w:bidi="ar-SA"/>
        </w:rPr>
      </w:pPr>
      <w:proofErr w:type="spellStart"/>
      <w:r w:rsidRPr="00FF7EA4">
        <w:rPr>
          <w:sz w:val="22"/>
          <w:szCs w:val="22"/>
          <w:lang w:bidi="ar-SA"/>
        </w:rPr>
        <w:t>Revelt</w:t>
      </w:r>
      <w:proofErr w:type="spellEnd"/>
      <w:r w:rsidRPr="00FF7EA4">
        <w:rPr>
          <w:sz w:val="22"/>
          <w:szCs w:val="22"/>
          <w:lang w:bidi="ar-SA"/>
        </w:rPr>
        <w:t xml:space="preserve">, D., and Train, K. 1998. </w:t>
      </w:r>
      <w:proofErr w:type="gramStart"/>
      <w:r w:rsidR="000D4AC5">
        <w:rPr>
          <w:sz w:val="22"/>
          <w:szCs w:val="22"/>
          <w:lang w:bidi="ar-SA"/>
        </w:rPr>
        <w:t>‘</w:t>
      </w:r>
      <w:r w:rsidRPr="00FF7EA4">
        <w:rPr>
          <w:sz w:val="22"/>
          <w:szCs w:val="22"/>
          <w:lang w:bidi="ar-SA"/>
        </w:rPr>
        <w:t>Mixed logit with repeated choices</w:t>
      </w:r>
      <w:r w:rsidR="000D4AC5">
        <w:rPr>
          <w:sz w:val="22"/>
          <w:szCs w:val="22"/>
          <w:lang w:bidi="ar-SA"/>
        </w:rPr>
        <w:t>’</w:t>
      </w:r>
      <w:r w:rsidR="001A7C72">
        <w:rPr>
          <w:sz w:val="22"/>
          <w:szCs w:val="22"/>
          <w:lang w:bidi="ar-SA"/>
        </w:rPr>
        <w:t xml:space="preserve"> </w:t>
      </w:r>
      <w:r w:rsidR="00880E2A" w:rsidRPr="00FF7EA4">
        <w:rPr>
          <w:i/>
          <w:iCs/>
          <w:sz w:val="22"/>
          <w:szCs w:val="22"/>
          <w:lang w:bidi="ar-SA"/>
        </w:rPr>
        <w:t>Review of Economics and Statistics</w:t>
      </w:r>
      <w:r w:rsidR="00880E2A" w:rsidRPr="00FF7EA4">
        <w:rPr>
          <w:sz w:val="22"/>
          <w:szCs w:val="22"/>
          <w:lang w:bidi="ar-SA"/>
        </w:rPr>
        <w:t xml:space="preserve"> </w:t>
      </w:r>
      <w:r w:rsidR="00880E2A" w:rsidRPr="00FF7EA4">
        <w:rPr>
          <w:bCs/>
          <w:sz w:val="22"/>
          <w:szCs w:val="22"/>
          <w:lang w:bidi="ar-SA"/>
        </w:rPr>
        <w:t>80</w:t>
      </w:r>
      <w:r w:rsidRPr="00FF7EA4">
        <w:rPr>
          <w:sz w:val="22"/>
          <w:szCs w:val="22"/>
          <w:lang w:bidi="ar-SA"/>
        </w:rPr>
        <w:t>(4):</w:t>
      </w:r>
      <w:r w:rsidR="00880E2A" w:rsidRPr="00FF7EA4">
        <w:rPr>
          <w:sz w:val="22"/>
          <w:szCs w:val="22"/>
          <w:lang w:bidi="ar-SA"/>
        </w:rPr>
        <w:t xml:space="preserve"> 647-657.</w:t>
      </w:r>
      <w:proofErr w:type="gramEnd"/>
      <w:r w:rsidR="00880E2A" w:rsidRPr="00FF7EA4">
        <w:rPr>
          <w:rFonts w:eastAsia="Times New Roman"/>
          <w:sz w:val="22"/>
          <w:szCs w:val="22"/>
          <w:lang w:val="en-NZ" w:eastAsia="en-NZ" w:bidi="ar-SA"/>
        </w:rPr>
        <w:t xml:space="preserve"> </w:t>
      </w:r>
    </w:p>
    <w:p w:rsidR="00880E2A" w:rsidRPr="00FF7EA4" w:rsidRDefault="00A15AD3" w:rsidP="000F3F3D">
      <w:pPr>
        <w:ind w:left="425" w:hanging="425"/>
        <w:rPr>
          <w:rFonts w:eastAsia="Times New Roman"/>
          <w:sz w:val="22"/>
          <w:szCs w:val="22"/>
          <w:lang w:val="en-NZ" w:eastAsia="en-NZ" w:bidi="ar-SA"/>
        </w:rPr>
      </w:pPr>
      <w:proofErr w:type="spellStart"/>
      <w:r w:rsidRPr="00FF7EA4">
        <w:rPr>
          <w:sz w:val="22"/>
          <w:szCs w:val="22"/>
          <w:lang w:bidi="ar-SA"/>
        </w:rPr>
        <w:t>Sándor</w:t>
      </w:r>
      <w:proofErr w:type="spellEnd"/>
      <w:r w:rsidRPr="00FF7EA4">
        <w:rPr>
          <w:sz w:val="22"/>
          <w:szCs w:val="22"/>
          <w:lang w:bidi="ar-SA"/>
        </w:rPr>
        <w:t xml:space="preserve">, Z., and Wedel, M. 2001. </w:t>
      </w:r>
      <w:proofErr w:type="gramStart"/>
      <w:r w:rsidR="000D4AC5">
        <w:rPr>
          <w:sz w:val="22"/>
          <w:szCs w:val="22"/>
          <w:lang w:bidi="ar-SA"/>
        </w:rPr>
        <w:t>‘</w:t>
      </w:r>
      <w:r w:rsidRPr="00FF7EA4">
        <w:rPr>
          <w:sz w:val="22"/>
          <w:szCs w:val="22"/>
          <w:lang w:bidi="ar-SA"/>
        </w:rPr>
        <w:t>Designing conjoint choice experiments using managers' prior beliefs</w:t>
      </w:r>
      <w:r w:rsidR="000D4AC5">
        <w:rPr>
          <w:sz w:val="22"/>
          <w:szCs w:val="22"/>
          <w:lang w:bidi="ar-SA"/>
        </w:rPr>
        <w:t>’</w:t>
      </w:r>
      <w:r w:rsidR="001A7C72">
        <w:rPr>
          <w:sz w:val="22"/>
          <w:szCs w:val="22"/>
          <w:lang w:bidi="ar-SA"/>
        </w:rPr>
        <w:t xml:space="preserve"> </w:t>
      </w:r>
      <w:r w:rsidR="00880E2A" w:rsidRPr="00FF7EA4">
        <w:rPr>
          <w:i/>
          <w:iCs/>
          <w:sz w:val="22"/>
          <w:szCs w:val="22"/>
          <w:lang w:bidi="ar-SA"/>
        </w:rPr>
        <w:t>Journal of Marketing Research</w:t>
      </w:r>
      <w:r w:rsidR="00880E2A" w:rsidRPr="00FF7EA4">
        <w:rPr>
          <w:sz w:val="22"/>
          <w:szCs w:val="22"/>
          <w:lang w:bidi="ar-SA"/>
        </w:rPr>
        <w:t xml:space="preserve"> </w:t>
      </w:r>
      <w:r w:rsidR="00880E2A" w:rsidRPr="00FF7EA4">
        <w:rPr>
          <w:bCs/>
          <w:sz w:val="22"/>
          <w:szCs w:val="22"/>
          <w:lang w:bidi="ar-SA"/>
        </w:rPr>
        <w:t>38</w:t>
      </w:r>
      <w:r w:rsidRPr="00FF7EA4">
        <w:rPr>
          <w:bCs/>
          <w:sz w:val="22"/>
          <w:szCs w:val="22"/>
          <w:lang w:bidi="ar-SA"/>
        </w:rPr>
        <w:t>(3)</w:t>
      </w:r>
      <w:r w:rsidRPr="00FF7EA4">
        <w:rPr>
          <w:sz w:val="22"/>
          <w:szCs w:val="22"/>
          <w:lang w:bidi="ar-SA"/>
        </w:rPr>
        <w:t>:</w:t>
      </w:r>
      <w:r w:rsidR="00880E2A" w:rsidRPr="00FF7EA4">
        <w:rPr>
          <w:sz w:val="22"/>
          <w:szCs w:val="22"/>
          <w:lang w:bidi="ar-SA"/>
        </w:rPr>
        <w:t xml:space="preserve"> 430-444.</w:t>
      </w:r>
      <w:proofErr w:type="gramEnd"/>
      <w:r w:rsidR="00880E2A" w:rsidRPr="00FF7EA4">
        <w:rPr>
          <w:rFonts w:eastAsia="Times New Roman"/>
          <w:sz w:val="22"/>
          <w:szCs w:val="22"/>
          <w:lang w:val="en-NZ" w:eastAsia="en-NZ" w:bidi="ar-SA"/>
        </w:rPr>
        <w:t xml:space="preserve"> </w:t>
      </w:r>
    </w:p>
    <w:p w:rsidR="00880E2A" w:rsidRPr="00FF7EA4" w:rsidRDefault="00A15AD3" w:rsidP="000F3F3D">
      <w:pPr>
        <w:ind w:left="425" w:hanging="425"/>
        <w:rPr>
          <w:rFonts w:eastAsia="Times New Roman"/>
          <w:sz w:val="22"/>
          <w:szCs w:val="22"/>
          <w:lang w:val="en-NZ" w:eastAsia="en-NZ" w:bidi="ar-SA"/>
        </w:rPr>
      </w:pPr>
      <w:proofErr w:type="gramStart"/>
      <w:r w:rsidRPr="00FF7EA4">
        <w:rPr>
          <w:sz w:val="22"/>
          <w:szCs w:val="22"/>
          <w:lang w:bidi="ar-SA"/>
        </w:rPr>
        <w:t>Scarpa, R.,</w:t>
      </w:r>
      <w:r w:rsidR="00880E2A" w:rsidRPr="00FF7EA4">
        <w:rPr>
          <w:sz w:val="22"/>
          <w:szCs w:val="22"/>
          <w:lang w:bidi="ar-SA"/>
        </w:rPr>
        <w:t xml:space="preserve"> Campbell, D.</w:t>
      </w:r>
      <w:r w:rsidRPr="00FF7EA4">
        <w:rPr>
          <w:sz w:val="22"/>
          <w:szCs w:val="22"/>
          <w:lang w:bidi="ar-SA"/>
        </w:rPr>
        <w:t>, and Hutchinson, W. 2007.</w:t>
      </w:r>
      <w:proofErr w:type="gramEnd"/>
      <w:r w:rsidRPr="00FF7EA4">
        <w:rPr>
          <w:sz w:val="22"/>
          <w:szCs w:val="22"/>
          <w:lang w:bidi="ar-SA"/>
        </w:rPr>
        <w:t xml:space="preserve"> </w:t>
      </w:r>
      <w:r w:rsidR="000D4AC5">
        <w:rPr>
          <w:sz w:val="22"/>
          <w:szCs w:val="22"/>
          <w:lang w:bidi="ar-SA"/>
        </w:rPr>
        <w:t>‘</w:t>
      </w:r>
      <w:r w:rsidR="00880E2A" w:rsidRPr="00FF7EA4">
        <w:rPr>
          <w:sz w:val="22"/>
          <w:szCs w:val="22"/>
          <w:lang w:bidi="ar-SA"/>
        </w:rPr>
        <w:t>Benefit estimates for landscape improvements: sequential Bayesian design and respondents’ rationali</w:t>
      </w:r>
      <w:r w:rsidRPr="00FF7EA4">
        <w:rPr>
          <w:sz w:val="22"/>
          <w:szCs w:val="22"/>
          <w:lang w:bidi="ar-SA"/>
        </w:rPr>
        <w:t>ty in a choice experiment study</w:t>
      </w:r>
      <w:r w:rsidR="000D4AC5">
        <w:rPr>
          <w:sz w:val="22"/>
          <w:szCs w:val="22"/>
          <w:lang w:bidi="ar-SA"/>
        </w:rPr>
        <w:t>’</w:t>
      </w:r>
      <w:r w:rsidR="001A7C72">
        <w:rPr>
          <w:sz w:val="22"/>
          <w:szCs w:val="22"/>
          <w:lang w:bidi="ar-SA"/>
        </w:rPr>
        <w:t xml:space="preserve"> </w:t>
      </w:r>
      <w:r w:rsidR="00880E2A" w:rsidRPr="00FF7EA4">
        <w:rPr>
          <w:i/>
          <w:iCs/>
          <w:sz w:val="22"/>
          <w:szCs w:val="22"/>
          <w:lang w:bidi="ar-SA"/>
        </w:rPr>
        <w:t>Land Economics</w:t>
      </w:r>
      <w:r w:rsidR="00880E2A" w:rsidRPr="00FF7EA4">
        <w:rPr>
          <w:sz w:val="22"/>
          <w:szCs w:val="22"/>
          <w:lang w:bidi="ar-SA"/>
        </w:rPr>
        <w:t xml:space="preserve"> </w:t>
      </w:r>
      <w:r w:rsidR="00880E2A" w:rsidRPr="00FF7EA4">
        <w:rPr>
          <w:bCs/>
          <w:sz w:val="22"/>
          <w:szCs w:val="22"/>
          <w:lang w:bidi="ar-SA"/>
        </w:rPr>
        <w:t>83</w:t>
      </w:r>
      <w:r w:rsidRPr="00FF7EA4">
        <w:rPr>
          <w:sz w:val="22"/>
          <w:szCs w:val="22"/>
          <w:lang w:bidi="ar-SA"/>
        </w:rPr>
        <w:t>(4):</w:t>
      </w:r>
      <w:r w:rsidR="00880E2A" w:rsidRPr="00FF7EA4">
        <w:rPr>
          <w:sz w:val="22"/>
          <w:szCs w:val="22"/>
          <w:lang w:bidi="ar-SA"/>
        </w:rPr>
        <w:t xml:space="preserve"> 617-634.</w:t>
      </w:r>
      <w:r w:rsidR="00880E2A" w:rsidRPr="00FF7EA4">
        <w:rPr>
          <w:rFonts w:eastAsia="Times New Roman"/>
          <w:sz w:val="22"/>
          <w:szCs w:val="22"/>
          <w:lang w:val="en-NZ" w:eastAsia="en-NZ" w:bidi="ar-SA"/>
        </w:rPr>
        <w:t xml:space="preserve"> </w:t>
      </w:r>
    </w:p>
    <w:p w:rsidR="00880E2A" w:rsidRPr="00FF7EA4" w:rsidRDefault="00880E2A" w:rsidP="000F3F3D">
      <w:pPr>
        <w:ind w:left="425" w:hanging="425"/>
        <w:contextualSpacing/>
        <w:outlineLvl w:val="0"/>
        <w:rPr>
          <w:sz w:val="22"/>
          <w:szCs w:val="22"/>
        </w:rPr>
      </w:pPr>
      <w:proofErr w:type="gramStart"/>
      <w:r w:rsidRPr="00FF7EA4">
        <w:rPr>
          <w:rFonts w:eastAsia="Times New Roman"/>
          <w:sz w:val="22"/>
          <w:szCs w:val="22"/>
          <w:lang w:val="en-NZ" w:eastAsia="en-NZ"/>
        </w:rPr>
        <w:t xml:space="preserve">Simmons, D., </w:t>
      </w:r>
      <w:proofErr w:type="spellStart"/>
      <w:r w:rsidRPr="00FF7EA4">
        <w:rPr>
          <w:rFonts w:eastAsia="Times New Roman"/>
          <w:sz w:val="22"/>
          <w:szCs w:val="22"/>
          <w:lang w:val="en-NZ" w:eastAsia="en-NZ"/>
        </w:rPr>
        <w:t>Voyle</w:t>
      </w:r>
      <w:proofErr w:type="spellEnd"/>
      <w:r w:rsidRPr="00FF7EA4">
        <w:rPr>
          <w:rFonts w:eastAsia="Times New Roman"/>
          <w:sz w:val="22"/>
          <w:szCs w:val="22"/>
          <w:lang w:val="en-NZ" w:eastAsia="en-NZ"/>
        </w:rPr>
        <w:t xml:space="preserve">, J. A., </w:t>
      </w:r>
      <w:proofErr w:type="spellStart"/>
      <w:r w:rsidRPr="00FF7EA4">
        <w:rPr>
          <w:rFonts w:eastAsia="Times New Roman"/>
          <w:sz w:val="22"/>
          <w:szCs w:val="22"/>
          <w:lang w:val="en-NZ" w:eastAsia="en-NZ"/>
        </w:rPr>
        <w:t>Fou</w:t>
      </w:r>
      <w:proofErr w:type="spellEnd"/>
      <w:r w:rsidRPr="00FF7EA4">
        <w:rPr>
          <w:rFonts w:eastAsia="Times New Roman"/>
          <w:sz w:val="22"/>
          <w:szCs w:val="22"/>
          <w:lang w:val="en-NZ" w:eastAsia="en-NZ"/>
        </w:rPr>
        <w:t xml:space="preserve">, F., </w:t>
      </w:r>
      <w:proofErr w:type="spellStart"/>
      <w:r w:rsidRPr="00FF7EA4">
        <w:rPr>
          <w:rFonts w:eastAsia="Times New Roman"/>
          <w:sz w:val="22"/>
          <w:szCs w:val="22"/>
          <w:lang w:val="en-NZ" w:eastAsia="en-NZ"/>
        </w:rPr>
        <w:t>Feo</w:t>
      </w:r>
      <w:proofErr w:type="spellEnd"/>
      <w:r w:rsidRPr="00FF7EA4">
        <w:rPr>
          <w:rFonts w:eastAsia="Times New Roman"/>
          <w:sz w:val="22"/>
          <w:szCs w:val="22"/>
          <w:lang w:val="en-NZ" w:eastAsia="en-NZ"/>
        </w:rPr>
        <w:t xml:space="preserve">, S., and </w:t>
      </w:r>
      <w:proofErr w:type="spellStart"/>
      <w:r w:rsidRPr="00FF7EA4">
        <w:rPr>
          <w:rFonts w:eastAsia="Times New Roman"/>
          <w:sz w:val="22"/>
          <w:szCs w:val="22"/>
          <w:lang w:val="en-NZ" w:eastAsia="en-NZ"/>
        </w:rPr>
        <w:t>Leakehe</w:t>
      </w:r>
      <w:proofErr w:type="spellEnd"/>
      <w:r w:rsidRPr="00FF7EA4">
        <w:rPr>
          <w:rFonts w:eastAsia="Times New Roman"/>
          <w:sz w:val="22"/>
          <w:szCs w:val="22"/>
          <w:lang w:val="en-NZ" w:eastAsia="en-NZ"/>
        </w:rPr>
        <w:t>, L. 2004.</w:t>
      </w:r>
      <w:proofErr w:type="gramEnd"/>
      <w:r w:rsidRPr="00FF7EA4">
        <w:rPr>
          <w:rFonts w:eastAsia="Times New Roman"/>
          <w:sz w:val="22"/>
          <w:szCs w:val="22"/>
          <w:lang w:val="en-NZ" w:eastAsia="en-NZ"/>
        </w:rPr>
        <w:t xml:space="preserve"> </w:t>
      </w:r>
      <w:r w:rsidR="000D4AC5">
        <w:rPr>
          <w:rFonts w:eastAsia="Times New Roman"/>
          <w:sz w:val="22"/>
          <w:szCs w:val="22"/>
          <w:lang w:val="en-NZ" w:eastAsia="en-NZ"/>
        </w:rPr>
        <w:t>‘</w:t>
      </w:r>
      <w:r w:rsidRPr="00FF7EA4">
        <w:rPr>
          <w:rFonts w:eastAsia="Times New Roman"/>
          <w:sz w:val="22"/>
          <w:szCs w:val="22"/>
          <w:lang w:val="en-NZ" w:eastAsia="en-NZ"/>
        </w:rPr>
        <w:t>Tale of two churches: differential impact of a church</w:t>
      </w:r>
      <w:r w:rsidRPr="00FF7EA4">
        <w:rPr>
          <w:rFonts w:ascii="Cambria Math" w:eastAsia="Times New Roman" w:hAnsi="Cambria Math" w:cs="Cambria Math"/>
          <w:sz w:val="22"/>
          <w:szCs w:val="22"/>
          <w:lang w:val="en-NZ" w:eastAsia="en-NZ"/>
        </w:rPr>
        <w:t>‐</w:t>
      </w:r>
      <w:r w:rsidRPr="00FF7EA4">
        <w:rPr>
          <w:rFonts w:eastAsia="Times New Roman"/>
          <w:sz w:val="22"/>
          <w:szCs w:val="22"/>
          <w:lang w:val="en-NZ" w:eastAsia="en-NZ"/>
        </w:rPr>
        <w:t xml:space="preserve">based diabetes control programme among </w:t>
      </w:r>
      <w:proofErr w:type="gramStart"/>
      <w:r w:rsidRPr="00FF7EA4">
        <w:rPr>
          <w:rFonts w:eastAsia="Times New Roman"/>
          <w:sz w:val="22"/>
          <w:szCs w:val="22"/>
          <w:lang w:val="en-NZ" w:eastAsia="en-NZ"/>
        </w:rPr>
        <w:t>Pacific Islands</w:t>
      </w:r>
      <w:proofErr w:type="gramEnd"/>
      <w:r w:rsidRPr="00FF7EA4">
        <w:rPr>
          <w:rFonts w:eastAsia="Times New Roman"/>
          <w:sz w:val="22"/>
          <w:szCs w:val="22"/>
          <w:lang w:val="en-NZ" w:eastAsia="en-NZ"/>
        </w:rPr>
        <w:t xml:space="preserve"> people in New Zealand</w:t>
      </w:r>
      <w:r w:rsidR="000D4AC5">
        <w:rPr>
          <w:rFonts w:eastAsia="Times New Roman"/>
          <w:sz w:val="22"/>
          <w:szCs w:val="22"/>
          <w:lang w:val="en-NZ" w:eastAsia="en-NZ"/>
        </w:rPr>
        <w:t>’</w:t>
      </w:r>
      <w:r w:rsidR="001A7C72">
        <w:rPr>
          <w:rFonts w:eastAsia="Times New Roman"/>
          <w:sz w:val="22"/>
          <w:szCs w:val="22"/>
          <w:lang w:val="en-NZ" w:eastAsia="en-NZ"/>
        </w:rPr>
        <w:t xml:space="preserve"> </w:t>
      </w:r>
      <w:r w:rsidRPr="00FF7EA4">
        <w:rPr>
          <w:rFonts w:eastAsia="Times New Roman"/>
          <w:i/>
          <w:iCs/>
          <w:sz w:val="22"/>
          <w:szCs w:val="22"/>
          <w:lang w:val="en-NZ" w:eastAsia="en-NZ"/>
        </w:rPr>
        <w:t>Diabetic Medicine</w:t>
      </w:r>
      <w:r w:rsidRPr="00FF7EA4">
        <w:rPr>
          <w:rFonts w:eastAsia="Times New Roman"/>
          <w:sz w:val="22"/>
          <w:szCs w:val="22"/>
          <w:lang w:val="en-NZ" w:eastAsia="en-NZ"/>
        </w:rPr>
        <w:t xml:space="preserve"> </w:t>
      </w:r>
      <w:r w:rsidRPr="00FF7EA4">
        <w:rPr>
          <w:rFonts w:eastAsia="Times New Roman"/>
          <w:iCs/>
          <w:sz w:val="22"/>
          <w:szCs w:val="22"/>
          <w:lang w:val="en-NZ" w:eastAsia="en-NZ"/>
        </w:rPr>
        <w:t>21</w:t>
      </w:r>
      <w:r w:rsidRPr="00FF7EA4">
        <w:rPr>
          <w:rFonts w:eastAsia="Times New Roman"/>
          <w:sz w:val="22"/>
          <w:szCs w:val="22"/>
          <w:lang w:val="en-NZ" w:eastAsia="en-NZ"/>
        </w:rPr>
        <w:t>(2): 122-128.</w:t>
      </w:r>
    </w:p>
    <w:p w:rsidR="00880E2A" w:rsidRPr="00FF7EA4" w:rsidRDefault="00880E2A" w:rsidP="000F3F3D">
      <w:pPr>
        <w:ind w:left="425" w:hanging="425"/>
        <w:rPr>
          <w:rFonts w:eastAsia="Times New Roman"/>
          <w:sz w:val="22"/>
          <w:szCs w:val="22"/>
          <w:lang w:val="en-NZ" w:eastAsia="en-NZ"/>
        </w:rPr>
      </w:pPr>
      <w:proofErr w:type="gramStart"/>
      <w:r w:rsidRPr="00FF7EA4">
        <w:rPr>
          <w:sz w:val="22"/>
          <w:szCs w:val="22"/>
        </w:rPr>
        <w:t>Statistics New Z</w:t>
      </w:r>
      <w:proofErr w:type="spellStart"/>
      <w:r w:rsidRPr="00FF7EA4">
        <w:rPr>
          <w:rFonts w:eastAsia="Times New Roman"/>
          <w:sz w:val="22"/>
          <w:szCs w:val="22"/>
          <w:lang w:val="en-NZ" w:eastAsia="en-NZ"/>
        </w:rPr>
        <w:t>ealand</w:t>
      </w:r>
      <w:proofErr w:type="spellEnd"/>
      <w:r w:rsidRPr="00FF7EA4">
        <w:rPr>
          <w:rFonts w:eastAsia="Times New Roman"/>
          <w:sz w:val="22"/>
          <w:szCs w:val="22"/>
          <w:lang w:val="en-NZ" w:eastAsia="en-NZ"/>
        </w:rPr>
        <w:t xml:space="preserve"> [SNZ] 2012.</w:t>
      </w:r>
      <w:proofErr w:type="gramEnd"/>
      <w:r w:rsidRPr="00FF7EA4">
        <w:rPr>
          <w:rFonts w:eastAsia="Times New Roman"/>
          <w:sz w:val="22"/>
          <w:szCs w:val="22"/>
          <w:lang w:val="en-NZ" w:eastAsia="en-NZ"/>
        </w:rPr>
        <w:t xml:space="preserve"> </w:t>
      </w:r>
      <w:r w:rsidRPr="00FF7EA4">
        <w:rPr>
          <w:rFonts w:eastAsia="Times New Roman"/>
          <w:i/>
          <w:sz w:val="22"/>
          <w:szCs w:val="22"/>
          <w:lang w:val="en-NZ" w:eastAsia="en-NZ"/>
        </w:rPr>
        <w:t>Ethnicity and crowding: A detailed examination of crowding among ethnic groups in New Zealand 1986–2006</w:t>
      </w:r>
      <w:r w:rsidRPr="00FF7EA4">
        <w:rPr>
          <w:rFonts w:eastAsia="Times New Roman"/>
          <w:sz w:val="22"/>
          <w:szCs w:val="22"/>
          <w:lang w:val="en-NZ" w:eastAsia="en-NZ"/>
        </w:rPr>
        <w:t>. Wellington: Statistics New Zealand.</w:t>
      </w:r>
    </w:p>
    <w:p w:rsidR="00880E2A" w:rsidRPr="00FF7EA4" w:rsidRDefault="00880E2A" w:rsidP="000F3F3D">
      <w:pPr>
        <w:ind w:left="425" w:hanging="425"/>
        <w:rPr>
          <w:rFonts w:eastAsia="Times New Roman"/>
          <w:sz w:val="22"/>
          <w:szCs w:val="22"/>
          <w:lang w:val="en-NZ" w:eastAsia="en-NZ"/>
        </w:rPr>
      </w:pPr>
      <w:proofErr w:type="gramStart"/>
      <w:r w:rsidRPr="00FF7EA4">
        <w:rPr>
          <w:sz w:val="22"/>
          <w:szCs w:val="22"/>
        </w:rPr>
        <w:t>Statistics New Zealand [SNZ] 2013.</w:t>
      </w:r>
      <w:proofErr w:type="gramEnd"/>
      <w:r w:rsidRPr="00FF7EA4">
        <w:rPr>
          <w:sz w:val="22"/>
          <w:szCs w:val="22"/>
        </w:rPr>
        <w:t xml:space="preserve"> </w:t>
      </w:r>
      <w:r w:rsidRPr="00FF7EA4">
        <w:rPr>
          <w:i/>
          <w:iCs/>
          <w:sz w:val="22"/>
          <w:szCs w:val="22"/>
        </w:rPr>
        <w:t>Perceptions of housing quality in 2010/11: Exploratory findings from the New Zealand General Social Survey</w:t>
      </w:r>
      <w:r w:rsidRPr="00FF7EA4">
        <w:rPr>
          <w:sz w:val="22"/>
          <w:szCs w:val="22"/>
        </w:rPr>
        <w:t xml:space="preserve">. </w:t>
      </w:r>
      <w:r w:rsidRPr="00FF7EA4">
        <w:rPr>
          <w:rFonts w:eastAsia="Times New Roman"/>
          <w:sz w:val="22"/>
          <w:szCs w:val="22"/>
          <w:lang w:val="en-NZ" w:eastAsia="en-NZ"/>
        </w:rPr>
        <w:t>Wellington: Statistics New Zealand.</w:t>
      </w:r>
    </w:p>
    <w:p w:rsidR="00880E2A" w:rsidRPr="00FF7EA4" w:rsidRDefault="00880E2A" w:rsidP="000F3F3D">
      <w:pPr>
        <w:ind w:left="425" w:hanging="425"/>
        <w:rPr>
          <w:rFonts w:eastAsia="Times New Roman"/>
          <w:sz w:val="22"/>
          <w:szCs w:val="22"/>
          <w:lang w:val="en-NZ" w:eastAsia="en-NZ" w:bidi="ar-SA"/>
        </w:rPr>
      </w:pPr>
      <w:r w:rsidRPr="00FF7EA4">
        <w:rPr>
          <w:rFonts w:eastAsia="Times New Roman"/>
          <w:sz w:val="22"/>
          <w:szCs w:val="22"/>
          <w:lang w:val="en-NZ" w:eastAsia="en-NZ" w:bidi="ar-SA"/>
        </w:rPr>
        <w:t xml:space="preserve">Tobias, M., </w:t>
      </w:r>
      <w:proofErr w:type="spellStart"/>
      <w:r w:rsidRPr="00FF7EA4">
        <w:rPr>
          <w:rFonts w:eastAsia="Times New Roman"/>
          <w:sz w:val="22"/>
          <w:szCs w:val="22"/>
          <w:lang w:val="en-NZ" w:eastAsia="en-NZ" w:bidi="ar-SA"/>
        </w:rPr>
        <w:t>Borman</w:t>
      </w:r>
      <w:proofErr w:type="spellEnd"/>
      <w:r w:rsidRPr="00FF7EA4">
        <w:rPr>
          <w:rFonts w:eastAsia="Times New Roman"/>
          <w:sz w:val="22"/>
          <w:szCs w:val="22"/>
          <w:lang w:val="en-NZ" w:eastAsia="en-NZ" w:bidi="ar-SA"/>
        </w:rPr>
        <w:t xml:space="preserve">, B., Forbes, G., and </w:t>
      </w:r>
      <w:proofErr w:type="spellStart"/>
      <w:r w:rsidRPr="00FF7EA4">
        <w:rPr>
          <w:rFonts w:eastAsia="Times New Roman"/>
          <w:sz w:val="22"/>
          <w:szCs w:val="22"/>
          <w:lang w:val="en-NZ" w:eastAsia="en-NZ" w:bidi="ar-SA"/>
        </w:rPr>
        <w:t>Hemona</w:t>
      </w:r>
      <w:proofErr w:type="spellEnd"/>
      <w:r w:rsidRPr="00FF7EA4">
        <w:rPr>
          <w:rFonts w:eastAsia="Times New Roman"/>
          <w:sz w:val="22"/>
          <w:szCs w:val="22"/>
          <w:lang w:val="en-NZ" w:eastAsia="en-NZ" w:bidi="ar-SA"/>
        </w:rPr>
        <w:t xml:space="preserve">, P. 2001. </w:t>
      </w:r>
      <w:proofErr w:type="gramStart"/>
      <w:r w:rsidRPr="00FF7EA4">
        <w:rPr>
          <w:rFonts w:eastAsia="Times New Roman"/>
          <w:i/>
          <w:sz w:val="22"/>
          <w:szCs w:val="22"/>
          <w:lang w:val="en-NZ" w:eastAsia="en-NZ" w:bidi="ar-SA"/>
        </w:rPr>
        <w:t>The Burden of Disease and Injury in New Zealand</w:t>
      </w:r>
      <w:r w:rsidRPr="00FF7EA4">
        <w:rPr>
          <w:rFonts w:eastAsia="Times New Roman"/>
          <w:sz w:val="22"/>
          <w:szCs w:val="22"/>
          <w:lang w:val="en-NZ" w:eastAsia="en-NZ" w:bidi="ar-SA"/>
        </w:rPr>
        <w:t>.</w:t>
      </w:r>
      <w:proofErr w:type="gramEnd"/>
      <w:r w:rsidRPr="00FF7EA4">
        <w:rPr>
          <w:rFonts w:eastAsia="Times New Roman"/>
          <w:sz w:val="22"/>
          <w:szCs w:val="22"/>
          <w:lang w:val="en-NZ" w:eastAsia="en-NZ" w:bidi="ar-SA"/>
        </w:rPr>
        <w:t xml:space="preserve"> </w:t>
      </w:r>
      <w:r w:rsidRPr="00FF7EA4">
        <w:rPr>
          <w:rFonts w:eastAsia="Times New Roman"/>
          <w:iCs/>
          <w:sz w:val="22"/>
          <w:szCs w:val="22"/>
          <w:lang w:val="en-NZ" w:eastAsia="en-NZ" w:bidi="ar-SA"/>
        </w:rPr>
        <w:t>Wellington: Ministry of Health</w:t>
      </w:r>
      <w:r w:rsidRPr="00FF7EA4">
        <w:rPr>
          <w:rFonts w:eastAsia="Times New Roman"/>
          <w:sz w:val="22"/>
          <w:szCs w:val="22"/>
          <w:lang w:val="en-NZ" w:eastAsia="en-NZ" w:bidi="ar-SA"/>
        </w:rPr>
        <w:t>.</w:t>
      </w:r>
    </w:p>
    <w:p w:rsidR="00880E2A" w:rsidRPr="00FF7EA4" w:rsidRDefault="00A15AD3" w:rsidP="000F3F3D">
      <w:pPr>
        <w:ind w:left="425" w:hanging="425"/>
        <w:rPr>
          <w:rFonts w:eastAsia="Times New Roman"/>
          <w:sz w:val="22"/>
          <w:szCs w:val="22"/>
          <w:lang w:val="en-NZ" w:eastAsia="en-NZ" w:bidi="ar-SA"/>
        </w:rPr>
      </w:pPr>
      <w:proofErr w:type="gramStart"/>
      <w:r w:rsidRPr="00FF7EA4">
        <w:rPr>
          <w:sz w:val="22"/>
          <w:szCs w:val="22"/>
          <w:lang w:bidi="ar-SA"/>
        </w:rPr>
        <w:t>Train, K. 1998.</w:t>
      </w:r>
      <w:proofErr w:type="gramEnd"/>
      <w:r w:rsidRPr="00FF7EA4">
        <w:rPr>
          <w:sz w:val="22"/>
          <w:szCs w:val="22"/>
          <w:lang w:bidi="ar-SA"/>
        </w:rPr>
        <w:t xml:space="preserve"> </w:t>
      </w:r>
      <w:r w:rsidR="000D4AC5">
        <w:rPr>
          <w:sz w:val="22"/>
          <w:szCs w:val="22"/>
          <w:lang w:bidi="ar-SA"/>
        </w:rPr>
        <w:t>‘</w:t>
      </w:r>
      <w:r w:rsidR="00880E2A" w:rsidRPr="00FF7EA4">
        <w:rPr>
          <w:sz w:val="22"/>
          <w:szCs w:val="22"/>
          <w:lang w:bidi="ar-SA"/>
        </w:rPr>
        <w:t>Recreation demand models wit</w:t>
      </w:r>
      <w:r w:rsidRPr="00FF7EA4">
        <w:rPr>
          <w:sz w:val="22"/>
          <w:szCs w:val="22"/>
          <w:lang w:bidi="ar-SA"/>
        </w:rPr>
        <w:t>h taste differences over people</w:t>
      </w:r>
      <w:r w:rsidR="000D4AC5">
        <w:rPr>
          <w:sz w:val="22"/>
          <w:szCs w:val="22"/>
          <w:lang w:bidi="ar-SA"/>
        </w:rPr>
        <w:t>’</w:t>
      </w:r>
      <w:r w:rsidR="00880E2A" w:rsidRPr="00FF7EA4">
        <w:rPr>
          <w:sz w:val="22"/>
          <w:szCs w:val="22"/>
          <w:lang w:bidi="ar-SA"/>
        </w:rPr>
        <w:t xml:space="preserve">, </w:t>
      </w:r>
      <w:r w:rsidR="00880E2A" w:rsidRPr="00FF7EA4">
        <w:rPr>
          <w:i/>
          <w:iCs/>
          <w:sz w:val="22"/>
          <w:szCs w:val="22"/>
          <w:lang w:bidi="ar-SA"/>
        </w:rPr>
        <w:t>Land Economics</w:t>
      </w:r>
      <w:r w:rsidR="00880E2A" w:rsidRPr="00FF7EA4">
        <w:rPr>
          <w:sz w:val="22"/>
          <w:szCs w:val="22"/>
          <w:lang w:bidi="ar-SA"/>
        </w:rPr>
        <w:t xml:space="preserve"> </w:t>
      </w:r>
      <w:r w:rsidRPr="00FF7EA4">
        <w:rPr>
          <w:bCs/>
          <w:sz w:val="22"/>
          <w:szCs w:val="22"/>
          <w:lang w:bidi="ar-SA"/>
        </w:rPr>
        <w:t>74(2):</w:t>
      </w:r>
      <w:r w:rsidR="00880E2A" w:rsidRPr="00FF7EA4">
        <w:rPr>
          <w:sz w:val="22"/>
          <w:szCs w:val="22"/>
          <w:lang w:bidi="ar-SA"/>
        </w:rPr>
        <w:t xml:space="preserve"> 230--239.</w:t>
      </w:r>
      <w:r w:rsidR="00880E2A" w:rsidRPr="00FF7EA4">
        <w:rPr>
          <w:rFonts w:eastAsia="Times New Roman"/>
          <w:sz w:val="22"/>
          <w:szCs w:val="22"/>
          <w:lang w:val="en-NZ" w:eastAsia="en-NZ" w:bidi="ar-SA"/>
        </w:rPr>
        <w:t xml:space="preserve"> </w:t>
      </w:r>
    </w:p>
    <w:p w:rsidR="00880E2A" w:rsidRPr="00FF7EA4" w:rsidRDefault="00A15AD3" w:rsidP="000F3F3D">
      <w:pPr>
        <w:ind w:left="425" w:hanging="425"/>
        <w:rPr>
          <w:rFonts w:eastAsia="Times New Roman"/>
          <w:sz w:val="22"/>
          <w:szCs w:val="22"/>
          <w:lang w:val="en-NZ" w:eastAsia="en-NZ" w:bidi="ar-SA"/>
        </w:rPr>
      </w:pPr>
      <w:proofErr w:type="gramStart"/>
      <w:r w:rsidRPr="00FF7EA4">
        <w:rPr>
          <w:sz w:val="22"/>
          <w:szCs w:val="22"/>
          <w:lang w:bidi="ar-SA"/>
        </w:rPr>
        <w:t>Train, K. 2000.</w:t>
      </w:r>
      <w:proofErr w:type="gramEnd"/>
      <w:r w:rsidRPr="00FF7EA4">
        <w:rPr>
          <w:sz w:val="22"/>
          <w:szCs w:val="22"/>
          <w:lang w:bidi="ar-SA"/>
        </w:rPr>
        <w:t xml:space="preserve"> </w:t>
      </w:r>
      <w:r w:rsidR="000D4AC5">
        <w:rPr>
          <w:sz w:val="22"/>
          <w:szCs w:val="22"/>
          <w:lang w:bidi="ar-SA"/>
        </w:rPr>
        <w:t>‘</w:t>
      </w:r>
      <w:proofErr w:type="spellStart"/>
      <w:r w:rsidR="00880E2A" w:rsidRPr="00FF7EA4">
        <w:rPr>
          <w:sz w:val="22"/>
          <w:szCs w:val="22"/>
          <w:lang w:bidi="ar-SA"/>
        </w:rPr>
        <w:t>H</w:t>
      </w:r>
      <w:r w:rsidRPr="00FF7EA4">
        <w:rPr>
          <w:sz w:val="22"/>
          <w:szCs w:val="22"/>
          <w:lang w:bidi="ar-SA"/>
        </w:rPr>
        <w:t>alton</w:t>
      </w:r>
      <w:proofErr w:type="spellEnd"/>
      <w:r w:rsidRPr="00FF7EA4">
        <w:rPr>
          <w:sz w:val="22"/>
          <w:szCs w:val="22"/>
          <w:lang w:bidi="ar-SA"/>
        </w:rPr>
        <w:t xml:space="preserve"> Sequences for Mixed Logit</w:t>
      </w:r>
      <w:r w:rsidR="000D4AC5">
        <w:rPr>
          <w:sz w:val="22"/>
          <w:szCs w:val="22"/>
          <w:lang w:bidi="ar-SA"/>
        </w:rPr>
        <w:t>’</w:t>
      </w:r>
      <w:r w:rsidR="00880E2A" w:rsidRPr="00FF7EA4">
        <w:rPr>
          <w:sz w:val="22"/>
          <w:szCs w:val="22"/>
          <w:lang w:bidi="ar-SA"/>
        </w:rPr>
        <w:t xml:space="preserve"> </w:t>
      </w:r>
      <w:r w:rsidR="00880E2A" w:rsidRPr="00FF7EA4">
        <w:rPr>
          <w:i/>
          <w:sz w:val="22"/>
          <w:szCs w:val="22"/>
          <w:lang w:bidi="ar-SA"/>
        </w:rPr>
        <w:t>Working Paper</w:t>
      </w:r>
      <w:r w:rsidR="00880E2A" w:rsidRPr="00FF7EA4">
        <w:rPr>
          <w:sz w:val="22"/>
          <w:szCs w:val="22"/>
          <w:lang w:bidi="ar-SA"/>
        </w:rPr>
        <w:t xml:space="preserve"> No. </w:t>
      </w:r>
      <w:proofErr w:type="gramStart"/>
      <w:r w:rsidR="00880E2A" w:rsidRPr="00FF7EA4">
        <w:rPr>
          <w:sz w:val="22"/>
          <w:szCs w:val="22"/>
          <w:lang w:bidi="ar-SA"/>
        </w:rPr>
        <w:t>E00-278, Department of Economics, University of California,</w:t>
      </w:r>
      <w:r w:rsidRPr="00FF7EA4">
        <w:rPr>
          <w:sz w:val="22"/>
          <w:szCs w:val="22"/>
          <w:lang w:bidi="ar-SA"/>
        </w:rPr>
        <w:t xml:space="preserve"> </w:t>
      </w:r>
      <w:r w:rsidR="00880E2A" w:rsidRPr="00FF7EA4">
        <w:rPr>
          <w:sz w:val="22"/>
          <w:szCs w:val="22"/>
          <w:lang w:bidi="ar-SA"/>
        </w:rPr>
        <w:t>Berkeley.</w:t>
      </w:r>
      <w:proofErr w:type="gramEnd"/>
      <w:r w:rsidR="00880E2A" w:rsidRPr="00FF7EA4">
        <w:rPr>
          <w:rFonts w:eastAsia="Times New Roman"/>
          <w:sz w:val="22"/>
          <w:szCs w:val="22"/>
          <w:lang w:val="en-NZ" w:eastAsia="en-NZ" w:bidi="ar-SA"/>
        </w:rPr>
        <w:t xml:space="preserve"> </w:t>
      </w:r>
    </w:p>
    <w:p w:rsidR="00880E2A" w:rsidRPr="00FF7EA4" w:rsidRDefault="00A15AD3" w:rsidP="000F3F3D">
      <w:pPr>
        <w:ind w:left="425" w:hanging="425"/>
        <w:rPr>
          <w:rFonts w:eastAsia="Times New Roman"/>
          <w:sz w:val="22"/>
          <w:szCs w:val="22"/>
          <w:lang w:val="en-NZ" w:eastAsia="en-NZ" w:bidi="ar-SA"/>
        </w:rPr>
      </w:pPr>
      <w:proofErr w:type="gramStart"/>
      <w:r w:rsidRPr="00FF7EA4">
        <w:rPr>
          <w:sz w:val="22"/>
          <w:szCs w:val="22"/>
          <w:lang w:bidi="ar-SA"/>
        </w:rPr>
        <w:t>Train, K. 2003.</w:t>
      </w:r>
      <w:proofErr w:type="gramEnd"/>
      <w:r w:rsidR="00880E2A" w:rsidRPr="00FF7EA4">
        <w:rPr>
          <w:sz w:val="22"/>
          <w:szCs w:val="22"/>
          <w:lang w:bidi="ar-SA"/>
        </w:rPr>
        <w:t xml:space="preserve"> </w:t>
      </w:r>
      <w:proofErr w:type="gramStart"/>
      <w:r w:rsidR="00880E2A" w:rsidRPr="00FF7EA4">
        <w:rPr>
          <w:i/>
          <w:iCs/>
          <w:sz w:val="22"/>
          <w:szCs w:val="22"/>
          <w:lang w:bidi="ar-SA"/>
        </w:rPr>
        <w:t>Discrete Choice Methods with Simulation</w:t>
      </w:r>
      <w:r w:rsidR="00880E2A" w:rsidRPr="00FF7EA4">
        <w:rPr>
          <w:sz w:val="22"/>
          <w:szCs w:val="22"/>
          <w:lang w:bidi="ar-SA"/>
        </w:rPr>
        <w:t>, Cambridge University Press, New York.</w:t>
      </w:r>
      <w:proofErr w:type="gramEnd"/>
      <w:r w:rsidR="00880E2A" w:rsidRPr="00FF7EA4">
        <w:rPr>
          <w:rFonts w:eastAsia="Times New Roman"/>
          <w:sz w:val="22"/>
          <w:szCs w:val="22"/>
          <w:lang w:val="en-NZ" w:eastAsia="en-NZ" w:bidi="ar-SA"/>
        </w:rPr>
        <w:t xml:space="preserve"> </w:t>
      </w:r>
    </w:p>
    <w:p w:rsidR="00880E2A" w:rsidRPr="00FF7EA4" w:rsidRDefault="00A15AD3" w:rsidP="000F3F3D">
      <w:pPr>
        <w:ind w:left="425" w:hanging="425"/>
        <w:rPr>
          <w:rFonts w:eastAsia="Times New Roman"/>
          <w:sz w:val="22"/>
          <w:szCs w:val="22"/>
          <w:lang w:val="en-NZ" w:eastAsia="en-NZ" w:bidi="ar-SA"/>
        </w:rPr>
      </w:pPr>
      <w:r w:rsidRPr="00FF7EA4">
        <w:rPr>
          <w:sz w:val="22"/>
          <w:szCs w:val="22"/>
          <w:lang w:val="nl-NL" w:bidi="ar-SA"/>
        </w:rPr>
        <w:t>Vermeulen, B., Goos, P.,</w:t>
      </w:r>
      <w:r w:rsidR="00880E2A" w:rsidRPr="00FF7EA4">
        <w:rPr>
          <w:sz w:val="22"/>
          <w:szCs w:val="22"/>
          <w:lang w:val="nl-NL" w:bidi="ar-SA"/>
        </w:rPr>
        <w:t xml:space="preserve"> Scarpa, R.</w:t>
      </w:r>
      <w:r w:rsidRPr="00FF7EA4">
        <w:rPr>
          <w:sz w:val="22"/>
          <w:szCs w:val="22"/>
          <w:lang w:val="nl-NL" w:bidi="ar-SA"/>
        </w:rPr>
        <w:t xml:space="preserve">, and Vandebroek, M. 2011. </w:t>
      </w:r>
      <w:r w:rsidR="000D4AC5">
        <w:rPr>
          <w:sz w:val="22"/>
          <w:szCs w:val="22"/>
          <w:lang w:bidi="ar-SA"/>
        </w:rPr>
        <w:t>‘</w:t>
      </w:r>
      <w:r w:rsidR="00880E2A" w:rsidRPr="00FF7EA4">
        <w:rPr>
          <w:sz w:val="22"/>
          <w:szCs w:val="22"/>
          <w:lang w:bidi="ar-SA"/>
        </w:rPr>
        <w:t>Bayesian conjoint choice designs f</w:t>
      </w:r>
      <w:r w:rsidRPr="00FF7EA4">
        <w:rPr>
          <w:sz w:val="22"/>
          <w:szCs w:val="22"/>
          <w:lang w:bidi="ar-SA"/>
        </w:rPr>
        <w:t>or measuring willingness to pay</w:t>
      </w:r>
      <w:r w:rsidR="000D4AC5">
        <w:rPr>
          <w:sz w:val="22"/>
          <w:szCs w:val="22"/>
          <w:lang w:bidi="ar-SA"/>
        </w:rPr>
        <w:t>’</w:t>
      </w:r>
      <w:r w:rsidR="00880E2A" w:rsidRPr="00FF7EA4">
        <w:rPr>
          <w:sz w:val="22"/>
          <w:szCs w:val="22"/>
          <w:lang w:bidi="ar-SA"/>
        </w:rPr>
        <w:t xml:space="preserve">, </w:t>
      </w:r>
      <w:r w:rsidR="00880E2A" w:rsidRPr="00FF7EA4">
        <w:rPr>
          <w:i/>
          <w:iCs/>
          <w:sz w:val="22"/>
          <w:szCs w:val="22"/>
          <w:lang w:bidi="ar-SA"/>
        </w:rPr>
        <w:t>Environmental and Resource Economics</w:t>
      </w:r>
      <w:r w:rsidR="00880E2A" w:rsidRPr="00FF7EA4">
        <w:rPr>
          <w:sz w:val="22"/>
          <w:szCs w:val="22"/>
          <w:lang w:bidi="ar-SA"/>
        </w:rPr>
        <w:t xml:space="preserve"> </w:t>
      </w:r>
      <w:r w:rsidR="00880E2A" w:rsidRPr="00FF7EA4">
        <w:rPr>
          <w:bCs/>
          <w:sz w:val="22"/>
          <w:szCs w:val="22"/>
          <w:lang w:bidi="ar-SA"/>
        </w:rPr>
        <w:t>48</w:t>
      </w:r>
      <w:r w:rsidRPr="00FF7EA4">
        <w:rPr>
          <w:sz w:val="22"/>
          <w:szCs w:val="22"/>
          <w:lang w:bidi="ar-SA"/>
        </w:rPr>
        <w:t xml:space="preserve">(1): </w:t>
      </w:r>
      <w:r w:rsidR="00880E2A" w:rsidRPr="00FF7EA4">
        <w:rPr>
          <w:sz w:val="22"/>
          <w:szCs w:val="22"/>
          <w:lang w:bidi="ar-SA"/>
        </w:rPr>
        <w:t>129-149.</w:t>
      </w:r>
      <w:r w:rsidR="00880E2A" w:rsidRPr="00FF7EA4">
        <w:rPr>
          <w:rFonts w:eastAsia="Times New Roman"/>
          <w:sz w:val="22"/>
          <w:szCs w:val="22"/>
          <w:lang w:val="en-NZ" w:eastAsia="en-NZ" w:bidi="ar-SA"/>
        </w:rPr>
        <w:t xml:space="preserve"> </w:t>
      </w:r>
    </w:p>
    <w:p w:rsidR="00870F67" w:rsidRPr="00FF7EA4" w:rsidRDefault="00870F67" w:rsidP="000F3F3D">
      <w:pPr>
        <w:ind w:left="425" w:hanging="425"/>
        <w:rPr>
          <w:rFonts w:eastAsia="Times New Roman"/>
          <w:sz w:val="22"/>
          <w:szCs w:val="22"/>
          <w:lang w:val="en-NZ" w:eastAsia="en-NZ" w:bidi="ar-SA"/>
        </w:rPr>
      </w:pPr>
      <w:proofErr w:type="spellStart"/>
      <w:r w:rsidRPr="00FF7EA4">
        <w:rPr>
          <w:rFonts w:eastAsia="Times New Roman"/>
          <w:sz w:val="22"/>
          <w:szCs w:val="22"/>
          <w:lang w:val="en-NZ" w:eastAsia="en-NZ" w:bidi="ar-SA"/>
        </w:rPr>
        <w:t>Vujcich</w:t>
      </w:r>
      <w:proofErr w:type="spellEnd"/>
      <w:r w:rsidRPr="00FF7EA4">
        <w:rPr>
          <w:rFonts w:eastAsia="Times New Roman"/>
          <w:sz w:val="22"/>
          <w:szCs w:val="22"/>
          <w:lang w:val="en-NZ" w:eastAsia="en-NZ" w:bidi="ar-SA"/>
        </w:rPr>
        <w:t xml:space="preserve">, H. 2008. </w:t>
      </w:r>
      <w:proofErr w:type="gramStart"/>
      <w:r w:rsidRPr="00FF7EA4">
        <w:rPr>
          <w:i/>
          <w:iCs/>
          <w:sz w:val="22"/>
          <w:szCs w:val="22"/>
          <w:lang w:bidi="ar-SA"/>
        </w:rPr>
        <w:t>Valuing Warm Homes – Exploring New Zealanders’ Home Heating Choices</w:t>
      </w:r>
      <w:r w:rsidRPr="00FF7EA4">
        <w:rPr>
          <w:iCs/>
          <w:sz w:val="22"/>
          <w:szCs w:val="22"/>
          <w:lang w:bidi="ar-SA"/>
        </w:rPr>
        <w:t xml:space="preserve"> Master of Environmental Studies Thesis, School of Geography, Environment and Earth Sciences, Victoria University of Wellington.</w:t>
      </w:r>
      <w:proofErr w:type="gramEnd"/>
      <w:r w:rsidRPr="00FF7EA4">
        <w:rPr>
          <w:iCs/>
          <w:sz w:val="22"/>
          <w:szCs w:val="22"/>
          <w:lang w:bidi="ar-SA"/>
        </w:rPr>
        <w:t xml:space="preserve"> </w:t>
      </w:r>
    </w:p>
    <w:p w:rsidR="00880E2A" w:rsidRPr="00830E7B" w:rsidRDefault="00880E2A" w:rsidP="000F3F3D">
      <w:pPr>
        <w:spacing w:line="300" w:lineRule="auto"/>
        <w:ind w:left="720" w:hanging="720"/>
        <w:rPr>
          <w:rFonts w:eastAsia="Times New Roman"/>
          <w:lang w:val="en-NZ" w:eastAsia="en-NZ"/>
        </w:rPr>
      </w:pPr>
    </w:p>
    <w:sectPr w:rsidR="00880E2A" w:rsidRPr="00830E7B" w:rsidSect="00F94614">
      <w:footerReference w:type="default" r:id="rId8"/>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AB" w:rsidRDefault="00C049AB" w:rsidP="00B67F1F">
      <w:r>
        <w:separator/>
      </w:r>
    </w:p>
  </w:endnote>
  <w:endnote w:type="continuationSeparator" w:id="0">
    <w:p w:rsidR="00C049AB" w:rsidRDefault="00C049AB" w:rsidP="00B67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197107"/>
      <w:docPartObj>
        <w:docPartGallery w:val="Page Numbers (Bottom of Page)"/>
        <w:docPartUnique/>
      </w:docPartObj>
    </w:sdtPr>
    <w:sdtEndPr>
      <w:rPr>
        <w:sz w:val="20"/>
      </w:rPr>
    </w:sdtEndPr>
    <w:sdtContent>
      <w:p w:rsidR="00C10F63" w:rsidRPr="000B5E1B" w:rsidRDefault="006827E6">
        <w:pPr>
          <w:pStyle w:val="Footer"/>
          <w:jc w:val="right"/>
          <w:rPr>
            <w:sz w:val="20"/>
          </w:rPr>
        </w:pPr>
        <w:r w:rsidRPr="000B5E1B">
          <w:rPr>
            <w:sz w:val="20"/>
          </w:rPr>
          <w:fldChar w:fldCharType="begin"/>
        </w:r>
        <w:r w:rsidR="00C10F63" w:rsidRPr="000B5E1B">
          <w:rPr>
            <w:sz w:val="20"/>
          </w:rPr>
          <w:instrText xml:space="preserve"> PAGE   \* MERGEFORMAT </w:instrText>
        </w:r>
        <w:r w:rsidRPr="000B5E1B">
          <w:rPr>
            <w:sz w:val="20"/>
          </w:rPr>
          <w:fldChar w:fldCharType="separate"/>
        </w:r>
        <w:r w:rsidR="001A7C72">
          <w:rPr>
            <w:noProof/>
            <w:sz w:val="20"/>
          </w:rPr>
          <w:t>17</w:t>
        </w:r>
        <w:r w:rsidRPr="000B5E1B">
          <w:rPr>
            <w:sz w:val="20"/>
          </w:rPr>
          <w:fldChar w:fldCharType="end"/>
        </w:r>
      </w:p>
    </w:sdtContent>
  </w:sdt>
  <w:p w:rsidR="00C10F63" w:rsidRDefault="00C10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AB" w:rsidRDefault="00C049AB" w:rsidP="00B67F1F">
      <w:r>
        <w:separator/>
      </w:r>
    </w:p>
  </w:footnote>
  <w:footnote w:type="continuationSeparator" w:id="0">
    <w:p w:rsidR="00C049AB" w:rsidRDefault="00C049AB" w:rsidP="00B67F1F">
      <w:r>
        <w:continuationSeparator/>
      </w:r>
    </w:p>
  </w:footnote>
  <w:footnote w:id="1">
    <w:p w:rsidR="007276B5" w:rsidRDefault="002656F8" w:rsidP="007276B5">
      <w:pPr>
        <w:pStyle w:val="FootnoteText"/>
        <w:ind w:left="284" w:hanging="284"/>
        <w:rPr>
          <w:sz w:val="22"/>
          <w:szCs w:val="22"/>
          <w:lang w:val="en-NZ"/>
        </w:rPr>
      </w:pPr>
      <w:r w:rsidRPr="007276B5">
        <w:rPr>
          <w:rStyle w:val="FootnoteReference"/>
          <w:sz w:val="22"/>
          <w:szCs w:val="22"/>
        </w:rPr>
        <w:footnoteRef/>
      </w:r>
      <w:r w:rsidRPr="007276B5">
        <w:rPr>
          <w:sz w:val="22"/>
          <w:szCs w:val="22"/>
        </w:rPr>
        <w:t xml:space="preserve"> </w:t>
      </w:r>
      <w:r w:rsidRPr="007276B5">
        <w:rPr>
          <w:sz w:val="22"/>
          <w:szCs w:val="22"/>
        </w:rPr>
        <w:tab/>
      </w:r>
      <w:r w:rsidRPr="007276B5">
        <w:rPr>
          <w:sz w:val="22"/>
          <w:szCs w:val="22"/>
          <w:lang w:val="en-NZ"/>
        </w:rPr>
        <w:t xml:space="preserve">The assumption of immobility is particularly ill-suited to New Zealand (the context of the study by </w:t>
      </w:r>
      <w:proofErr w:type="spellStart"/>
      <w:proofErr w:type="gramStart"/>
      <w:r w:rsidRPr="007276B5">
        <w:rPr>
          <w:sz w:val="22"/>
          <w:szCs w:val="22"/>
          <w:lang w:val="en-NZ"/>
        </w:rPr>
        <w:t>Preval</w:t>
      </w:r>
      <w:proofErr w:type="spellEnd"/>
      <w:r w:rsidRPr="007276B5">
        <w:rPr>
          <w:sz w:val="22"/>
          <w:szCs w:val="22"/>
          <w:lang w:val="en-NZ"/>
        </w:rPr>
        <w:t xml:space="preserve"> </w:t>
      </w:r>
      <w:r w:rsidR="007276B5">
        <w:rPr>
          <w:sz w:val="22"/>
          <w:szCs w:val="22"/>
          <w:lang w:val="en-NZ"/>
        </w:rPr>
        <w:t xml:space="preserve"> </w:t>
      </w:r>
      <w:r w:rsidRPr="007276B5">
        <w:rPr>
          <w:i/>
          <w:sz w:val="22"/>
          <w:szCs w:val="22"/>
        </w:rPr>
        <w:t>et</w:t>
      </w:r>
      <w:proofErr w:type="gramEnd"/>
      <w:r w:rsidRPr="007276B5">
        <w:rPr>
          <w:i/>
          <w:sz w:val="22"/>
          <w:szCs w:val="22"/>
        </w:rPr>
        <w:t xml:space="preserve"> al.</w:t>
      </w:r>
      <w:r w:rsidRPr="007276B5">
        <w:rPr>
          <w:sz w:val="22"/>
          <w:szCs w:val="22"/>
        </w:rPr>
        <w:t xml:space="preserve"> </w:t>
      </w:r>
      <w:r w:rsidRPr="007276B5">
        <w:rPr>
          <w:sz w:val="22"/>
          <w:szCs w:val="22"/>
          <w:lang w:val="en-NZ"/>
        </w:rPr>
        <w:t>2010) since 2006 Census data reveal that 55 percent of the population changed their usual residence from five years earlier</w:t>
      </w:r>
      <w:r w:rsidR="007276B5" w:rsidRPr="007276B5">
        <w:rPr>
          <w:sz w:val="22"/>
          <w:szCs w:val="22"/>
          <w:lang w:val="en-NZ"/>
        </w:rPr>
        <w:t>.</w:t>
      </w:r>
    </w:p>
    <w:p w:rsidR="002656F8" w:rsidRPr="007276B5" w:rsidRDefault="007276B5" w:rsidP="007276B5">
      <w:pPr>
        <w:pStyle w:val="FootnoteText"/>
        <w:ind w:left="284" w:hanging="284"/>
        <w:rPr>
          <w:sz w:val="22"/>
          <w:szCs w:val="22"/>
          <w:lang w:val="en-NZ"/>
        </w:rPr>
      </w:pPr>
      <w:r>
        <w:rPr>
          <w:sz w:val="22"/>
          <w:szCs w:val="22"/>
          <w:lang w:val="en-NZ"/>
        </w:rPr>
        <w:tab/>
      </w:r>
      <w:r w:rsidR="002656F8" w:rsidRPr="007276B5">
        <w:rPr>
          <w:sz w:val="22"/>
          <w:szCs w:val="22"/>
          <w:lang w:val="en-NZ"/>
        </w:rPr>
        <w:t>(</w:t>
      </w:r>
      <w:hyperlink r:id="rId1" w:history="1">
        <w:r w:rsidR="002656F8" w:rsidRPr="007276B5">
          <w:rPr>
            <w:rStyle w:val="Hyperlink"/>
            <w:color w:val="auto"/>
            <w:sz w:val="22"/>
            <w:szCs w:val="22"/>
            <w:lang w:val="en-NZ"/>
          </w:rPr>
          <w:t>http://www.stats.govt.nz/browse_for_stats/population/Migration/internal-migration/are-nzs-moving-longer-distances.aspx</w:t>
        </w:r>
      </w:hyperlink>
      <w:r w:rsidR="002656F8" w:rsidRPr="007276B5">
        <w:rPr>
          <w:sz w:val="22"/>
          <w:szCs w:val="22"/>
          <w:lang w:val="en-NZ"/>
        </w:rPr>
        <w:t>).</w:t>
      </w:r>
    </w:p>
  </w:footnote>
  <w:footnote w:id="2">
    <w:p w:rsidR="002656F8" w:rsidRPr="002656F8" w:rsidRDefault="002656F8" w:rsidP="007276B5">
      <w:pPr>
        <w:pStyle w:val="FootnoteText"/>
        <w:ind w:left="284" w:hanging="284"/>
        <w:rPr>
          <w:sz w:val="22"/>
          <w:szCs w:val="22"/>
          <w:lang w:val="en-NZ"/>
        </w:rPr>
      </w:pPr>
      <w:r w:rsidRPr="002656F8">
        <w:rPr>
          <w:rStyle w:val="FootnoteReference"/>
          <w:sz w:val="22"/>
          <w:szCs w:val="22"/>
        </w:rPr>
        <w:footnoteRef/>
      </w:r>
      <w:r w:rsidRPr="002656F8">
        <w:rPr>
          <w:sz w:val="22"/>
          <w:szCs w:val="22"/>
        </w:rPr>
        <w:t xml:space="preserve"> </w:t>
      </w:r>
      <w:r w:rsidRPr="002656F8">
        <w:rPr>
          <w:sz w:val="22"/>
          <w:szCs w:val="22"/>
        </w:rPr>
        <w:tab/>
        <w:t xml:space="preserve">Specifically, 73,800 DALYs lost due to </w:t>
      </w:r>
      <w:proofErr w:type="spellStart"/>
      <w:r w:rsidRPr="002656F8">
        <w:rPr>
          <w:sz w:val="22"/>
          <w:szCs w:val="22"/>
        </w:rPr>
        <w:t>ischaemic</w:t>
      </w:r>
      <w:proofErr w:type="spellEnd"/>
      <w:r w:rsidRPr="002656F8">
        <w:rPr>
          <w:sz w:val="22"/>
          <w:szCs w:val="22"/>
        </w:rPr>
        <w:t xml:space="preserve"> heart disease, 30,100 to stroke (so 104,000 to cardiovascular diseases), 27,800 to COPD and 18,800 to asthma (so 47,000 to respiratory diseases). </w:t>
      </w:r>
    </w:p>
  </w:footnote>
  <w:footnote w:id="3">
    <w:p w:rsidR="002656F8" w:rsidRPr="002656F8" w:rsidRDefault="002656F8" w:rsidP="00A55156">
      <w:pPr>
        <w:pStyle w:val="FootnoteText"/>
        <w:ind w:left="284" w:hanging="284"/>
        <w:contextualSpacing/>
        <w:rPr>
          <w:sz w:val="22"/>
          <w:szCs w:val="22"/>
          <w:lang w:val="en-NZ"/>
        </w:rPr>
      </w:pPr>
      <w:r w:rsidRPr="002656F8">
        <w:rPr>
          <w:rStyle w:val="FootnoteReference"/>
          <w:sz w:val="22"/>
          <w:szCs w:val="22"/>
        </w:rPr>
        <w:footnoteRef/>
      </w:r>
      <w:r w:rsidRPr="002656F8">
        <w:rPr>
          <w:rStyle w:val="FootnoteReference"/>
          <w:sz w:val="22"/>
          <w:szCs w:val="22"/>
        </w:rPr>
        <w:t xml:space="preserve"> </w:t>
      </w:r>
      <w:r>
        <w:rPr>
          <w:sz w:val="22"/>
          <w:szCs w:val="22"/>
        </w:rPr>
        <w:tab/>
      </w:r>
      <w:r w:rsidRPr="002656F8">
        <w:rPr>
          <w:sz w:val="22"/>
          <w:szCs w:val="22"/>
        </w:rPr>
        <w:t>Based on the June 2012 New Zealand Income Survey, which is an income survey supplement to the quarterly Household Labour Force Survey (so is similar to the March Current Population Survey in the United States).</w:t>
      </w:r>
      <w:r w:rsidRPr="002656F8">
        <w:rPr>
          <w:sz w:val="22"/>
          <w:szCs w:val="22"/>
          <w:lang w:val="en-NZ"/>
        </w:rPr>
        <w:t xml:space="preserve"> </w:t>
      </w:r>
    </w:p>
  </w:footnote>
  <w:footnote w:id="4">
    <w:p w:rsidR="002656F8" w:rsidRPr="002656F8" w:rsidRDefault="002656F8" w:rsidP="00A55156">
      <w:pPr>
        <w:pStyle w:val="FootnoteText"/>
        <w:ind w:left="284" w:hanging="284"/>
        <w:rPr>
          <w:sz w:val="22"/>
          <w:szCs w:val="22"/>
        </w:rPr>
      </w:pPr>
      <w:r w:rsidRPr="002656F8">
        <w:rPr>
          <w:sz w:val="22"/>
          <w:szCs w:val="22"/>
          <w:vertAlign w:val="superscript"/>
        </w:rPr>
        <w:footnoteRef/>
      </w:r>
      <w:r w:rsidRPr="002656F8">
        <w:rPr>
          <w:sz w:val="22"/>
          <w:szCs w:val="22"/>
          <w:vertAlign w:val="superscript"/>
        </w:rPr>
        <w:t xml:space="preserve"> </w:t>
      </w:r>
      <w:r>
        <w:rPr>
          <w:sz w:val="22"/>
          <w:szCs w:val="22"/>
          <w:vertAlign w:val="superscript"/>
        </w:rPr>
        <w:tab/>
      </w:r>
      <w:r w:rsidRPr="002656F8">
        <w:rPr>
          <w:sz w:val="22"/>
          <w:szCs w:val="22"/>
        </w:rPr>
        <w:t>At the time of the survey, NZ$1=US$0.83, so weekly rents were approximately US$260.</w:t>
      </w:r>
    </w:p>
  </w:footnote>
  <w:footnote w:id="5">
    <w:p w:rsidR="002656F8" w:rsidRPr="007276B5" w:rsidRDefault="002656F8" w:rsidP="007276B5">
      <w:pPr>
        <w:pStyle w:val="FootnoteText"/>
        <w:ind w:left="284" w:hanging="284"/>
        <w:rPr>
          <w:sz w:val="22"/>
          <w:szCs w:val="22"/>
          <w:lang w:val="en-NZ"/>
        </w:rPr>
      </w:pPr>
      <w:r w:rsidRPr="007276B5">
        <w:rPr>
          <w:rStyle w:val="FootnoteReference"/>
          <w:sz w:val="22"/>
          <w:szCs w:val="22"/>
        </w:rPr>
        <w:footnoteRef/>
      </w:r>
      <w:r w:rsidRPr="007276B5">
        <w:rPr>
          <w:sz w:val="22"/>
          <w:szCs w:val="22"/>
        </w:rPr>
        <w:t xml:space="preserve"> </w:t>
      </w:r>
      <w:r w:rsidR="006314CD" w:rsidRPr="007276B5">
        <w:rPr>
          <w:sz w:val="22"/>
          <w:szCs w:val="22"/>
        </w:rPr>
        <w:tab/>
      </w:r>
      <w:r w:rsidRPr="007276B5">
        <w:rPr>
          <w:sz w:val="22"/>
          <w:szCs w:val="22"/>
        </w:rPr>
        <w:t xml:space="preserve">In a study of a different health problem on a similar population, Gibson </w:t>
      </w:r>
      <w:r w:rsidRPr="007276B5">
        <w:rPr>
          <w:i/>
          <w:sz w:val="22"/>
          <w:szCs w:val="22"/>
        </w:rPr>
        <w:t>et al</w:t>
      </w:r>
      <w:r w:rsidR="006314CD" w:rsidRPr="007276B5">
        <w:rPr>
          <w:sz w:val="22"/>
          <w:szCs w:val="22"/>
        </w:rPr>
        <w:t>.</w:t>
      </w:r>
      <w:r w:rsidRPr="007276B5">
        <w:rPr>
          <w:sz w:val="22"/>
          <w:szCs w:val="22"/>
        </w:rPr>
        <w:t xml:space="preserve"> (2013) find a similar result; while 35 percent of a sample of Tongan immigrants in New Zealand had measured hypertension just four percent of them reported that they had ever had a diagnosis of high blood pressure.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75E76"/>
    <w:multiLevelType w:val="multilevel"/>
    <w:tmpl w:val="3AD8B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154563"/>
    <w:rsid w:val="00001768"/>
    <w:rsid w:val="00004467"/>
    <w:rsid w:val="000068B6"/>
    <w:rsid w:val="0001279B"/>
    <w:rsid w:val="000268E1"/>
    <w:rsid w:val="000321E5"/>
    <w:rsid w:val="00034C6E"/>
    <w:rsid w:val="00037E9A"/>
    <w:rsid w:val="00041111"/>
    <w:rsid w:val="00050A05"/>
    <w:rsid w:val="000533AA"/>
    <w:rsid w:val="00055DDE"/>
    <w:rsid w:val="000604DF"/>
    <w:rsid w:val="000609C1"/>
    <w:rsid w:val="00060C9A"/>
    <w:rsid w:val="00064C57"/>
    <w:rsid w:val="00067729"/>
    <w:rsid w:val="000708B1"/>
    <w:rsid w:val="00070F0E"/>
    <w:rsid w:val="00073A68"/>
    <w:rsid w:val="00076DA0"/>
    <w:rsid w:val="0007746B"/>
    <w:rsid w:val="000803A9"/>
    <w:rsid w:val="000806B5"/>
    <w:rsid w:val="00080720"/>
    <w:rsid w:val="00082707"/>
    <w:rsid w:val="00083F69"/>
    <w:rsid w:val="00084C0B"/>
    <w:rsid w:val="000A39D9"/>
    <w:rsid w:val="000A58C2"/>
    <w:rsid w:val="000A6C46"/>
    <w:rsid w:val="000B1EF8"/>
    <w:rsid w:val="000B3267"/>
    <w:rsid w:val="000B5E1B"/>
    <w:rsid w:val="000C1141"/>
    <w:rsid w:val="000C2A29"/>
    <w:rsid w:val="000C4BCA"/>
    <w:rsid w:val="000C629C"/>
    <w:rsid w:val="000C7D11"/>
    <w:rsid w:val="000D4AC5"/>
    <w:rsid w:val="000E202F"/>
    <w:rsid w:val="000F22CE"/>
    <w:rsid w:val="000F3F3D"/>
    <w:rsid w:val="001074AB"/>
    <w:rsid w:val="00137F1A"/>
    <w:rsid w:val="001414B3"/>
    <w:rsid w:val="00141F23"/>
    <w:rsid w:val="0014521C"/>
    <w:rsid w:val="00153308"/>
    <w:rsid w:val="00154563"/>
    <w:rsid w:val="00155BE3"/>
    <w:rsid w:val="00156478"/>
    <w:rsid w:val="001605EB"/>
    <w:rsid w:val="00164F0E"/>
    <w:rsid w:val="00171723"/>
    <w:rsid w:val="00171C74"/>
    <w:rsid w:val="0017456C"/>
    <w:rsid w:val="00174767"/>
    <w:rsid w:val="001770F2"/>
    <w:rsid w:val="00180F7F"/>
    <w:rsid w:val="00181C80"/>
    <w:rsid w:val="001847B1"/>
    <w:rsid w:val="00184EF5"/>
    <w:rsid w:val="001865F6"/>
    <w:rsid w:val="00191439"/>
    <w:rsid w:val="00192253"/>
    <w:rsid w:val="0019638D"/>
    <w:rsid w:val="00197B8B"/>
    <w:rsid w:val="001A683E"/>
    <w:rsid w:val="001A7C72"/>
    <w:rsid w:val="001B2090"/>
    <w:rsid w:val="001B2780"/>
    <w:rsid w:val="001C2071"/>
    <w:rsid w:val="001D690E"/>
    <w:rsid w:val="001E04EE"/>
    <w:rsid w:val="001E19E7"/>
    <w:rsid w:val="001E22E1"/>
    <w:rsid w:val="001E5117"/>
    <w:rsid w:val="001F21AA"/>
    <w:rsid w:val="0021383A"/>
    <w:rsid w:val="00223EF6"/>
    <w:rsid w:val="002245ED"/>
    <w:rsid w:val="00224EF6"/>
    <w:rsid w:val="00245623"/>
    <w:rsid w:val="002514DF"/>
    <w:rsid w:val="0025385C"/>
    <w:rsid w:val="002569EB"/>
    <w:rsid w:val="00260B24"/>
    <w:rsid w:val="00261F57"/>
    <w:rsid w:val="00262D2D"/>
    <w:rsid w:val="002636F9"/>
    <w:rsid w:val="002656F8"/>
    <w:rsid w:val="002A69F5"/>
    <w:rsid w:val="002A7C46"/>
    <w:rsid w:val="002B0476"/>
    <w:rsid w:val="002B4D84"/>
    <w:rsid w:val="002B687C"/>
    <w:rsid w:val="002C0128"/>
    <w:rsid w:val="002D2DDB"/>
    <w:rsid w:val="002D77A9"/>
    <w:rsid w:val="002E34EF"/>
    <w:rsid w:val="002E5F30"/>
    <w:rsid w:val="002E705A"/>
    <w:rsid w:val="002F085C"/>
    <w:rsid w:val="002F3591"/>
    <w:rsid w:val="00300E9B"/>
    <w:rsid w:val="00311537"/>
    <w:rsid w:val="00311795"/>
    <w:rsid w:val="0032120A"/>
    <w:rsid w:val="00346A2C"/>
    <w:rsid w:val="003542C8"/>
    <w:rsid w:val="00356759"/>
    <w:rsid w:val="00382686"/>
    <w:rsid w:val="0039108A"/>
    <w:rsid w:val="00394006"/>
    <w:rsid w:val="00395726"/>
    <w:rsid w:val="003A19B4"/>
    <w:rsid w:val="003A451F"/>
    <w:rsid w:val="003A4D3A"/>
    <w:rsid w:val="003A7B81"/>
    <w:rsid w:val="003C1ACE"/>
    <w:rsid w:val="003D048E"/>
    <w:rsid w:val="003E1475"/>
    <w:rsid w:val="003E7883"/>
    <w:rsid w:val="00400C97"/>
    <w:rsid w:val="00400FBE"/>
    <w:rsid w:val="00411BBA"/>
    <w:rsid w:val="00412FBC"/>
    <w:rsid w:val="004139E0"/>
    <w:rsid w:val="00414F59"/>
    <w:rsid w:val="00416F3F"/>
    <w:rsid w:val="004300A4"/>
    <w:rsid w:val="004306AE"/>
    <w:rsid w:val="004402EC"/>
    <w:rsid w:val="00442E32"/>
    <w:rsid w:val="00451FC6"/>
    <w:rsid w:val="00464AAB"/>
    <w:rsid w:val="004720DF"/>
    <w:rsid w:val="004752F7"/>
    <w:rsid w:val="0048171D"/>
    <w:rsid w:val="00484FFB"/>
    <w:rsid w:val="00492825"/>
    <w:rsid w:val="00496894"/>
    <w:rsid w:val="004A7E4D"/>
    <w:rsid w:val="004B27F2"/>
    <w:rsid w:val="004B3202"/>
    <w:rsid w:val="004B5288"/>
    <w:rsid w:val="004B79D4"/>
    <w:rsid w:val="004C402B"/>
    <w:rsid w:val="004D26F0"/>
    <w:rsid w:val="004D4074"/>
    <w:rsid w:val="004D7649"/>
    <w:rsid w:val="004E71A0"/>
    <w:rsid w:val="004E736E"/>
    <w:rsid w:val="004F7D27"/>
    <w:rsid w:val="00500485"/>
    <w:rsid w:val="005061DC"/>
    <w:rsid w:val="00507E0B"/>
    <w:rsid w:val="005119C4"/>
    <w:rsid w:val="00512513"/>
    <w:rsid w:val="00517809"/>
    <w:rsid w:val="00521C7C"/>
    <w:rsid w:val="005315BB"/>
    <w:rsid w:val="00532F65"/>
    <w:rsid w:val="00542A89"/>
    <w:rsid w:val="0055258B"/>
    <w:rsid w:val="00571020"/>
    <w:rsid w:val="00571CA6"/>
    <w:rsid w:val="005948C0"/>
    <w:rsid w:val="00597726"/>
    <w:rsid w:val="005B4301"/>
    <w:rsid w:val="005C7573"/>
    <w:rsid w:val="005D0035"/>
    <w:rsid w:val="005D3611"/>
    <w:rsid w:val="005D3D97"/>
    <w:rsid w:val="005D487B"/>
    <w:rsid w:val="005D5E82"/>
    <w:rsid w:val="00602C2F"/>
    <w:rsid w:val="006114D6"/>
    <w:rsid w:val="00615737"/>
    <w:rsid w:val="00621AC6"/>
    <w:rsid w:val="00622C47"/>
    <w:rsid w:val="006255D6"/>
    <w:rsid w:val="00631461"/>
    <w:rsid w:val="006314CD"/>
    <w:rsid w:val="00634809"/>
    <w:rsid w:val="00634A54"/>
    <w:rsid w:val="00636858"/>
    <w:rsid w:val="00641EA2"/>
    <w:rsid w:val="00650AF5"/>
    <w:rsid w:val="00650B94"/>
    <w:rsid w:val="006536FC"/>
    <w:rsid w:val="00655C51"/>
    <w:rsid w:val="00662FF7"/>
    <w:rsid w:val="00664A55"/>
    <w:rsid w:val="0067174B"/>
    <w:rsid w:val="00675C52"/>
    <w:rsid w:val="00676E33"/>
    <w:rsid w:val="006827E6"/>
    <w:rsid w:val="0068552A"/>
    <w:rsid w:val="006901C5"/>
    <w:rsid w:val="00694113"/>
    <w:rsid w:val="00695350"/>
    <w:rsid w:val="0069747D"/>
    <w:rsid w:val="006B0257"/>
    <w:rsid w:val="006B0AC4"/>
    <w:rsid w:val="006B6DA1"/>
    <w:rsid w:val="006C0677"/>
    <w:rsid w:val="006C48BE"/>
    <w:rsid w:val="006E2F54"/>
    <w:rsid w:val="006E5D4D"/>
    <w:rsid w:val="006E6491"/>
    <w:rsid w:val="00702964"/>
    <w:rsid w:val="00716347"/>
    <w:rsid w:val="0072582E"/>
    <w:rsid w:val="0072680C"/>
    <w:rsid w:val="00726F61"/>
    <w:rsid w:val="007276B5"/>
    <w:rsid w:val="007453DD"/>
    <w:rsid w:val="00745F04"/>
    <w:rsid w:val="00751A3E"/>
    <w:rsid w:val="0075206D"/>
    <w:rsid w:val="00754494"/>
    <w:rsid w:val="007603C6"/>
    <w:rsid w:val="00774D65"/>
    <w:rsid w:val="00782AFA"/>
    <w:rsid w:val="00782BA0"/>
    <w:rsid w:val="00793425"/>
    <w:rsid w:val="00794C2D"/>
    <w:rsid w:val="007A628C"/>
    <w:rsid w:val="007B40CF"/>
    <w:rsid w:val="007C1B17"/>
    <w:rsid w:val="007C5CE4"/>
    <w:rsid w:val="007C6B71"/>
    <w:rsid w:val="007C73A3"/>
    <w:rsid w:val="007C7953"/>
    <w:rsid w:val="007D4379"/>
    <w:rsid w:val="007D4554"/>
    <w:rsid w:val="007D5148"/>
    <w:rsid w:val="007D5FA2"/>
    <w:rsid w:val="007E3567"/>
    <w:rsid w:val="007E7628"/>
    <w:rsid w:val="007F5690"/>
    <w:rsid w:val="007F5A9E"/>
    <w:rsid w:val="007F616A"/>
    <w:rsid w:val="0080727D"/>
    <w:rsid w:val="008155F9"/>
    <w:rsid w:val="0081714C"/>
    <w:rsid w:val="008173F7"/>
    <w:rsid w:val="00830E7B"/>
    <w:rsid w:val="00831055"/>
    <w:rsid w:val="00833069"/>
    <w:rsid w:val="00833FF8"/>
    <w:rsid w:val="00841C6C"/>
    <w:rsid w:val="0084308E"/>
    <w:rsid w:val="00844241"/>
    <w:rsid w:val="00850C11"/>
    <w:rsid w:val="0085281C"/>
    <w:rsid w:val="008541E7"/>
    <w:rsid w:val="00870F67"/>
    <w:rsid w:val="00880A33"/>
    <w:rsid w:val="00880E2A"/>
    <w:rsid w:val="008934B2"/>
    <w:rsid w:val="008968E3"/>
    <w:rsid w:val="008A0157"/>
    <w:rsid w:val="008A01E1"/>
    <w:rsid w:val="008A2B12"/>
    <w:rsid w:val="008A2D65"/>
    <w:rsid w:val="008A5740"/>
    <w:rsid w:val="008B110D"/>
    <w:rsid w:val="008B7617"/>
    <w:rsid w:val="008C2040"/>
    <w:rsid w:val="008C5FF1"/>
    <w:rsid w:val="008C6535"/>
    <w:rsid w:val="008D2F7B"/>
    <w:rsid w:val="008D77FD"/>
    <w:rsid w:val="008E230A"/>
    <w:rsid w:val="008E5451"/>
    <w:rsid w:val="008F49C0"/>
    <w:rsid w:val="009042D5"/>
    <w:rsid w:val="00905412"/>
    <w:rsid w:val="009142EF"/>
    <w:rsid w:val="009164B0"/>
    <w:rsid w:val="00931515"/>
    <w:rsid w:val="00933344"/>
    <w:rsid w:val="00933E0B"/>
    <w:rsid w:val="00946498"/>
    <w:rsid w:val="00956CB3"/>
    <w:rsid w:val="009577B0"/>
    <w:rsid w:val="00961A97"/>
    <w:rsid w:val="00963A96"/>
    <w:rsid w:val="009669B2"/>
    <w:rsid w:val="00984009"/>
    <w:rsid w:val="00984EF8"/>
    <w:rsid w:val="00991F4B"/>
    <w:rsid w:val="0099668E"/>
    <w:rsid w:val="009967F6"/>
    <w:rsid w:val="009B646A"/>
    <w:rsid w:val="009B7BA9"/>
    <w:rsid w:val="009F0ADC"/>
    <w:rsid w:val="00A0404F"/>
    <w:rsid w:val="00A07CDA"/>
    <w:rsid w:val="00A15AD3"/>
    <w:rsid w:val="00A218D3"/>
    <w:rsid w:val="00A21B06"/>
    <w:rsid w:val="00A35A15"/>
    <w:rsid w:val="00A41486"/>
    <w:rsid w:val="00A41BD6"/>
    <w:rsid w:val="00A44F0D"/>
    <w:rsid w:val="00A45316"/>
    <w:rsid w:val="00A45498"/>
    <w:rsid w:val="00A517E6"/>
    <w:rsid w:val="00A52C1E"/>
    <w:rsid w:val="00A55156"/>
    <w:rsid w:val="00A57043"/>
    <w:rsid w:val="00A601CF"/>
    <w:rsid w:val="00A618C5"/>
    <w:rsid w:val="00A62DE6"/>
    <w:rsid w:val="00A64760"/>
    <w:rsid w:val="00A65913"/>
    <w:rsid w:val="00A816CA"/>
    <w:rsid w:val="00A83BBB"/>
    <w:rsid w:val="00A92B3C"/>
    <w:rsid w:val="00AA0AF9"/>
    <w:rsid w:val="00AA4D88"/>
    <w:rsid w:val="00AB6F89"/>
    <w:rsid w:val="00AC248A"/>
    <w:rsid w:val="00AD54D0"/>
    <w:rsid w:val="00AD5EB5"/>
    <w:rsid w:val="00AD6110"/>
    <w:rsid w:val="00AF1BBF"/>
    <w:rsid w:val="00AF58D7"/>
    <w:rsid w:val="00B046C5"/>
    <w:rsid w:val="00B04834"/>
    <w:rsid w:val="00B1252A"/>
    <w:rsid w:val="00B25E3B"/>
    <w:rsid w:val="00B3306E"/>
    <w:rsid w:val="00B33279"/>
    <w:rsid w:val="00B334B8"/>
    <w:rsid w:val="00B377CC"/>
    <w:rsid w:val="00B43CD9"/>
    <w:rsid w:val="00B45551"/>
    <w:rsid w:val="00B467CB"/>
    <w:rsid w:val="00B51A50"/>
    <w:rsid w:val="00B60280"/>
    <w:rsid w:val="00B6214A"/>
    <w:rsid w:val="00B6219C"/>
    <w:rsid w:val="00B633AD"/>
    <w:rsid w:val="00B661BE"/>
    <w:rsid w:val="00B67F1F"/>
    <w:rsid w:val="00B7243B"/>
    <w:rsid w:val="00B7279D"/>
    <w:rsid w:val="00B778BC"/>
    <w:rsid w:val="00B77BA0"/>
    <w:rsid w:val="00B83CDD"/>
    <w:rsid w:val="00B83F48"/>
    <w:rsid w:val="00B844BD"/>
    <w:rsid w:val="00B856C2"/>
    <w:rsid w:val="00B8591E"/>
    <w:rsid w:val="00B918D6"/>
    <w:rsid w:val="00B945BB"/>
    <w:rsid w:val="00B97D25"/>
    <w:rsid w:val="00BA00BC"/>
    <w:rsid w:val="00BA02AE"/>
    <w:rsid w:val="00BA576D"/>
    <w:rsid w:val="00BB0782"/>
    <w:rsid w:val="00BB1990"/>
    <w:rsid w:val="00BC02EB"/>
    <w:rsid w:val="00BC097D"/>
    <w:rsid w:val="00BC2CC8"/>
    <w:rsid w:val="00BD18C2"/>
    <w:rsid w:val="00BE0590"/>
    <w:rsid w:val="00BE08E0"/>
    <w:rsid w:val="00BE63B1"/>
    <w:rsid w:val="00C0369C"/>
    <w:rsid w:val="00C040BF"/>
    <w:rsid w:val="00C049AB"/>
    <w:rsid w:val="00C10F63"/>
    <w:rsid w:val="00C11F87"/>
    <w:rsid w:val="00C34E92"/>
    <w:rsid w:val="00C36C71"/>
    <w:rsid w:val="00C43A9D"/>
    <w:rsid w:val="00C46278"/>
    <w:rsid w:val="00C57565"/>
    <w:rsid w:val="00C63E04"/>
    <w:rsid w:val="00C647D0"/>
    <w:rsid w:val="00C731C8"/>
    <w:rsid w:val="00C73E27"/>
    <w:rsid w:val="00C9547B"/>
    <w:rsid w:val="00C959E6"/>
    <w:rsid w:val="00CA09AD"/>
    <w:rsid w:val="00CB321C"/>
    <w:rsid w:val="00CB3940"/>
    <w:rsid w:val="00CB7F54"/>
    <w:rsid w:val="00CC3391"/>
    <w:rsid w:val="00CC721B"/>
    <w:rsid w:val="00CD22ED"/>
    <w:rsid w:val="00CD6272"/>
    <w:rsid w:val="00CD6DFC"/>
    <w:rsid w:val="00CD7F7A"/>
    <w:rsid w:val="00CE0C47"/>
    <w:rsid w:val="00CF13C0"/>
    <w:rsid w:val="00CF34B3"/>
    <w:rsid w:val="00D03CCF"/>
    <w:rsid w:val="00D0516A"/>
    <w:rsid w:val="00D06D17"/>
    <w:rsid w:val="00D1074A"/>
    <w:rsid w:val="00D16C8A"/>
    <w:rsid w:val="00D36EDC"/>
    <w:rsid w:val="00D42B3E"/>
    <w:rsid w:val="00D52169"/>
    <w:rsid w:val="00D52BD9"/>
    <w:rsid w:val="00D562F1"/>
    <w:rsid w:val="00D63A2A"/>
    <w:rsid w:val="00D64725"/>
    <w:rsid w:val="00D70274"/>
    <w:rsid w:val="00D838CB"/>
    <w:rsid w:val="00D83DBC"/>
    <w:rsid w:val="00D841C9"/>
    <w:rsid w:val="00D851F3"/>
    <w:rsid w:val="00D86CCD"/>
    <w:rsid w:val="00D91CF6"/>
    <w:rsid w:val="00D91E6C"/>
    <w:rsid w:val="00D92AA4"/>
    <w:rsid w:val="00D935B6"/>
    <w:rsid w:val="00DA164B"/>
    <w:rsid w:val="00DA16D7"/>
    <w:rsid w:val="00DA5F52"/>
    <w:rsid w:val="00DB3DCB"/>
    <w:rsid w:val="00DC2181"/>
    <w:rsid w:val="00DD15BF"/>
    <w:rsid w:val="00DE37C7"/>
    <w:rsid w:val="00DF3B46"/>
    <w:rsid w:val="00DF4007"/>
    <w:rsid w:val="00E11E14"/>
    <w:rsid w:val="00E14A45"/>
    <w:rsid w:val="00E15B1E"/>
    <w:rsid w:val="00E24725"/>
    <w:rsid w:val="00E30F7E"/>
    <w:rsid w:val="00E42899"/>
    <w:rsid w:val="00E439AC"/>
    <w:rsid w:val="00E452D8"/>
    <w:rsid w:val="00E45C9E"/>
    <w:rsid w:val="00E4661F"/>
    <w:rsid w:val="00E51FC6"/>
    <w:rsid w:val="00E54752"/>
    <w:rsid w:val="00E56223"/>
    <w:rsid w:val="00E70042"/>
    <w:rsid w:val="00E809F7"/>
    <w:rsid w:val="00E81473"/>
    <w:rsid w:val="00E840F0"/>
    <w:rsid w:val="00E869AF"/>
    <w:rsid w:val="00E877F3"/>
    <w:rsid w:val="00E945AD"/>
    <w:rsid w:val="00E9533E"/>
    <w:rsid w:val="00EA16D3"/>
    <w:rsid w:val="00EA3F8F"/>
    <w:rsid w:val="00EA628B"/>
    <w:rsid w:val="00EB289F"/>
    <w:rsid w:val="00EB4306"/>
    <w:rsid w:val="00EC2A14"/>
    <w:rsid w:val="00ED1059"/>
    <w:rsid w:val="00EE6DCB"/>
    <w:rsid w:val="00EE6FAB"/>
    <w:rsid w:val="00EF165B"/>
    <w:rsid w:val="00EF2472"/>
    <w:rsid w:val="00EF2C53"/>
    <w:rsid w:val="00EF4F47"/>
    <w:rsid w:val="00EF5032"/>
    <w:rsid w:val="00F02F08"/>
    <w:rsid w:val="00F06D17"/>
    <w:rsid w:val="00F14FDA"/>
    <w:rsid w:val="00F20109"/>
    <w:rsid w:val="00F22993"/>
    <w:rsid w:val="00F22DFC"/>
    <w:rsid w:val="00F26F33"/>
    <w:rsid w:val="00F27250"/>
    <w:rsid w:val="00F27C70"/>
    <w:rsid w:val="00F31F2C"/>
    <w:rsid w:val="00F32D30"/>
    <w:rsid w:val="00F32E94"/>
    <w:rsid w:val="00F3589B"/>
    <w:rsid w:val="00F35E1C"/>
    <w:rsid w:val="00F42AF1"/>
    <w:rsid w:val="00F446BE"/>
    <w:rsid w:val="00F44E56"/>
    <w:rsid w:val="00F477B4"/>
    <w:rsid w:val="00F6230B"/>
    <w:rsid w:val="00F663AC"/>
    <w:rsid w:val="00F6718F"/>
    <w:rsid w:val="00F70CE6"/>
    <w:rsid w:val="00F75851"/>
    <w:rsid w:val="00F775E4"/>
    <w:rsid w:val="00F94614"/>
    <w:rsid w:val="00F95BF4"/>
    <w:rsid w:val="00FA05DC"/>
    <w:rsid w:val="00FA21EE"/>
    <w:rsid w:val="00FB2F2C"/>
    <w:rsid w:val="00FB3CFD"/>
    <w:rsid w:val="00FC008F"/>
    <w:rsid w:val="00FD0ABF"/>
    <w:rsid w:val="00FE0C50"/>
    <w:rsid w:val="00FE256D"/>
    <w:rsid w:val="00FE27A1"/>
    <w:rsid w:val="00FF4E31"/>
    <w:rsid w:val="00FF7EA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uiPriority w:val="10"/>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basedOn w:val="Normal"/>
    <w:link w:val="FootnoteTextChar"/>
    <w:semiHidden/>
    <w:unhideWhenUsed/>
    <w:rsid w:val="00B67F1F"/>
    <w:rPr>
      <w:sz w:val="20"/>
      <w:szCs w:val="20"/>
    </w:rPr>
  </w:style>
  <w:style w:type="character" w:customStyle="1" w:styleId="FootnoteTextChar">
    <w:name w:val="Footnote Text Char"/>
    <w:basedOn w:val="DefaultParagraphFont"/>
    <w:link w:val="FootnoteText"/>
    <w:semiHidden/>
    <w:rsid w:val="00B67F1F"/>
    <w:rPr>
      <w:sz w:val="20"/>
      <w:szCs w:val="20"/>
    </w:rPr>
  </w:style>
  <w:style w:type="character" w:styleId="FootnoteReference">
    <w:name w:val="footnote reference"/>
    <w:basedOn w:val="DefaultParagraphFont"/>
    <w:semiHidden/>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semiHidden/>
    <w:unhideWhenUsed/>
    <w:rsid w:val="000B5E1B"/>
    <w:pPr>
      <w:tabs>
        <w:tab w:val="center" w:pos="4513"/>
        <w:tab w:val="right" w:pos="9026"/>
      </w:tabs>
    </w:pPr>
  </w:style>
  <w:style w:type="character" w:customStyle="1" w:styleId="HeaderChar">
    <w:name w:val="Header Char"/>
    <w:basedOn w:val="DefaultParagraphFont"/>
    <w:link w:val="Header"/>
    <w:uiPriority w:val="99"/>
    <w:semiHidden/>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uiPriority w:val="99"/>
    <w:rsid w:val="007603C6"/>
    <w:rPr>
      <w:color w:val="0000FF"/>
      <w:u w:val="single"/>
    </w:rPr>
  </w:style>
  <w:style w:type="character" w:styleId="PageNumber">
    <w:name w:val="page number"/>
    <w:basedOn w:val="DefaultParagraphFont"/>
    <w:rsid w:val="007603C6"/>
  </w:style>
  <w:style w:type="paragraph" w:styleId="EndnoteText">
    <w:name w:val="endnote text"/>
    <w:basedOn w:val="Normal"/>
    <w:link w:val="EndnoteTextChar"/>
    <w:uiPriority w:val="99"/>
    <w:semiHidden/>
    <w:unhideWhenUsed/>
    <w:rsid w:val="0048171D"/>
    <w:pPr>
      <w:jc w:val="left"/>
    </w:pPr>
    <w:rPr>
      <w:rFonts w:asciiTheme="minorHAnsi"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48171D"/>
    <w:rPr>
      <w:rFonts w:cstheme="minorBidi"/>
      <w:sz w:val="20"/>
      <w:szCs w:val="20"/>
      <w:lang w:bidi="ar-SA"/>
    </w:rPr>
  </w:style>
  <w:style w:type="character" w:styleId="EndnoteReference">
    <w:name w:val="endnote reference"/>
    <w:basedOn w:val="DefaultParagraphFont"/>
    <w:uiPriority w:val="99"/>
    <w:semiHidden/>
    <w:unhideWhenUsed/>
    <w:rsid w:val="0048171D"/>
    <w:rPr>
      <w:vertAlign w:val="superscript"/>
    </w:rPr>
  </w:style>
  <w:style w:type="paragraph" w:customStyle="1" w:styleId="Default">
    <w:name w:val="Default"/>
    <w:rsid w:val="00AA0AF9"/>
    <w:pPr>
      <w:autoSpaceDE w:val="0"/>
      <w:autoSpaceDN w:val="0"/>
      <w:adjustRightInd w:val="0"/>
      <w:spacing w:after="0" w:line="240" w:lineRule="auto"/>
    </w:pPr>
    <w:rPr>
      <w:rFonts w:ascii="Arial" w:hAnsi="Arial" w:cs="Arial"/>
      <w:color w:val="000000"/>
      <w:sz w:val="24"/>
      <w:szCs w:val="24"/>
      <w:lang w:val="en-NZ" w:bidi="ar-SA"/>
    </w:rPr>
  </w:style>
  <w:style w:type="table" w:styleId="TableGrid">
    <w:name w:val="Table Grid"/>
    <w:basedOn w:val="TableNormal"/>
    <w:uiPriority w:val="59"/>
    <w:rsid w:val="001B2090"/>
    <w:pPr>
      <w:spacing w:after="0" w:line="240" w:lineRule="auto"/>
    </w:pPr>
    <w:rPr>
      <w:rFonts w:cstheme="minorBidi"/>
      <w:lang w:val="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71723"/>
    <w:pPr>
      <w:jc w:val="left"/>
    </w:pPr>
    <w:rPr>
      <w:rFonts w:ascii="Courier New" w:eastAsia="Batang" w:hAnsi="Courier New" w:cs="Courier New"/>
      <w:sz w:val="20"/>
      <w:szCs w:val="20"/>
      <w:lang w:eastAsia="ko-KR" w:bidi="ar-SA"/>
    </w:rPr>
  </w:style>
  <w:style w:type="character" w:customStyle="1" w:styleId="PlainTextChar">
    <w:name w:val="Plain Text Char"/>
    <w:basedOn w:val="DefaultParagraphFont"/>
    <w:link w:val="PlainText"/>
    <w:rsid w:val="00171723"/>
    <w:rPr>
      <w:rFonts w:ascii="Courier New" w:eastAsia="Batang" w:hAnsi="Courier New" w:cs="Courier New"/>
      <w:sz w:val="20"/>
      <w:szCs w:val="20"/>
      <w:lang w:eastAsia="ko-KR" w:bidi="ar-SA"/>
    </w:rPr>
  </w:style>
  <w:style w:type="paragraph" w:styleId="BodyText">
    <w:name w:val="Body Text"/>
    <w:basedOn w:val="Normal"/>
    <w:link w:val="BodyTextChar"/>
    <w:rsid w:val="00171723"/>
    <w:pPr>
      <w:spacing w:after="120"/>
      <w:jc w:val="left"/>
    </w:pPr>
    <w:rPr>
      <w:rFonts w:eastAsia="Batang"/>
      <w:lang w:eastAsia="ko-KR" w:bidi="ar-SA"/>
    </w:rPr>
  </w:style>
  <w:style w:type="character" w:customStyle="1" w:styleId="BodyTextChar">
    <w:name w:val="Body Text Char"/>
    <w:basedOn w:val="DefaultParagraphFont"/>
    <w:link w:val="BodyText"/>
    <w:rsid w:val="00171723"/>
    <w:rPr>
      <w:rFonts w:ascii="Times New Roman" w:eastAsia="Batang" w:hAnsi="Times New Roman"/>
      <w:sz w:val="24"/>
      <w:szCs w:val="24"/>
      <w:lang w:eastAsia="ko-KR" w:bidi="ar-SA"/>
    </w:rPr>
  </w:style>
  <w:style w:type="paragraph" w:customStyle="1" w:styleId="TitlePage">
    <w:name w:val="Title Page"/>
    <w:basedOn w:val="Normal"/>
    <w:rsid w:val="00171723"/>
    <w:pPr>
      <w:widowControl w:val="0"/>
      <w:ind w:firstLine="432"/>
      <w:jc w:val="center"/>
    </w:pPr>
    <w:rPr>
      <w:rFonts w:eastAsia="Times New Roman"/>
      <w:lang w:bidi="ar-SA"/>
    </w:rPr>
  </w:style>
  <w:style w:type="paragraph" w:customStyle="1" w:styleId="CM3">
    <w:name w:val="CM3"/>
    <w:basedOn w:val="Default"/>
    <w:next w:val="Default"/>
    <w:rsid w:val="00171723"/>
    <w:pPr>
      <w:widowControl w:val="0"/>
    </w:pPr>
    <w:rPr>
      <w:rFonts w:ascii="Times New Roman" w:eastAsia="Times New Roman" w:hAnsi="Times New Roman" w:cs="Times New Roman"/>
      <w:color w:val="auto"/>
      <w:lang w:val="en-US"/>
    </w:rPr>
  </w:style>
  <w:style w:type="paragraph" w:customStyle="1" w:styleId="CM4">
    <w:name w:val="CM4"/>
    <w:basedOn w:val="Default"/>
    <w:next w:val="Default"/>
    <w:rsid w:val="00171723"/>
    <w:pPr>
      <w:widowControl w:val="0"/>
      <w:spacing w:line="253" w:lineRule="atLeast"/>
    </w:pPr>
    <w:rPr>
      <w:rFonts w:ascii="Times New Roman" w:eastAsia="Times New Roman" w:hAnsi="Times New Roman" w:cs="Times New Roman"/>
      <w:color w:val="auto"/>
      <w:lang w:val="en-US"/>
    </w:rPr>
  </w:style>
  <w:style w:type="paragraph" w:customStyle="1" w:styleId="CM23">
    <w:name w:val="CM23"/>
    <w:basedOn w:val="Default"/>
    <w:next w:val="Default"/>
    <w:rsid w:val="00171723"/>
    <w:pPr>
      <w:widowControl w:val="0"/>
      <w:spacing w:after="233"/>
    </w:pPr>
    <w:rPr>
      <w:rFonts w:ascii="Times New Roman" w:eastAsia="Times New Roman" w:hAnsi="Times New Roman" w:cs="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uiPriority w:val="10"/>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basedOn w:val="Normal"/>
    <w:link w:val="FootnoteTextChar"/>
    <w:semiHidden/>
    <w:unhideWhenUsed/>
    <w:rsid w:val="00B67F1F"/>
    <w:rPr>
      <w:sz w:val="20"/>
      <w:szCs w:val="20"/>
    </w:rPr>
  </w:style>
  <w:style w:type="character" w:customStyle="1" w:styleId="FootnoteTextChar">
    <w:name w:val="Footnote Text Char"/>
    <w:basedOn w:val="DefaultParagraphFont"/>
    <w:link w:val="FootnoteText"/>
    <w:semiHidden/>
    <w:rsid w:val="00B67F1F"/>
    <w:rPr>
      <w:sz w:val="20"/>
      <w:szCs w:val="20"/>
    </w:rPr>
  </w:style>
  <w:style w:type="character" w:styleId="FootnoteReference">
    <w:name w:val="footnote reference"/>
    <w:basedOn w:val="DefaultParagraphFont"/>
    <w:semiHidden/>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semiHidden/>
    <w:unhideWhenUsed/>
    <w:rsid w:val="000B5E1B"/>
    <w:pPr>
      <w:tabs>
        <w:tab w:val="center" w:pos="4513"/>
        <w:tab w:val="right" w:pos="9026"/>
      </w:tabs>
    </w:pPr>
  </w:style>
  <w:style w:type="character" w:customStyle="1" w:styleId="HeaderChar">
    <w:name w:val="Header Char"/>
    <w:basedOn w:val="DefaultParagraphFont"/>
    <w:link w:val="Header"/>
    <w:uiPriority w:val="99"/>
    <w:semiHidden/>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uiPriority w:val="99"/>
    <w:rsid w:val="007603C6"/>
    <w:rPr>
      <w:color w:val="0000FF"/>
      <w:u w:val="single"/>
    </w:rPr>
  </w:style>
  <w:style w:type="character" w:styleId="PageNumber">
    <w:name w:val="page number"/>
    <w:basedOn w:val="DefaultParagraphFont"/>
    <w:rsid w:val="007603C6"/>
  </w:style>
  <w:style w:type="paragraph" w:styleId="EndnoteText">
    <w:name w:val="endnote text"/>
    <w:basedOn w:val="Normal"/>
    <w:link w:val="EndnoteTextChar"/>
    <w:uiPriority w:val="99"/>
    <w:semiHidden/>
    <w:unhideWhenUsed/>
    <w:rsid w:val="0048171D"/>
    <w:pPr>
      <w:jc w:val="left"/>
    </w:pPr>
    <w:rPr>
      <w:rFonts w:asciiTheme="minorHAnsi"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48171D"/>
    <w:rPr>
      <w:rFonts w:cstheme="minorBidi"/>
      <w:sz w:val="20"/>
      <w:szCs w:val="20"/>
      <w:lang w:bidi="ar-SA"/>
    </w:rPr>
  </w:style>
  <w:style w:type="character" w:styleId="EndnoteReference">
    <w:name w:val="endnote reference"/>
    <w:basedOn w:val="DefaultParagraphFont"/>
    <w:uiPriority w:val="99"/>
    <w:semiHidden/>
    <w:unhideWhenUsed/>
    <w:rsid w:val="0048171D"/>
    <w:rPr>
      <w:vertAlign w:val="superscript"/>
    </w:rPr>
  </w:style>
  <w:style w:type="paragraph" w:customStyle="1" w:styleId="Default">
    <w:name w:val="Default"/>
    <w:rsid w:val="00AA0AF9"/>
    <w:pPr>
      <w:autoSpaceDE w:val="0"/>
      <w:autoSpaceDN w:val="0"/>
      <w:adjustRightInd w:val="0"/>
      <w:spacing w:after="0" w:line="240" w:lineRule="auto"/>
    </w:pPr>
    <w:rPr>
      <w:rFonts w:ascii="Arial" w:hAnsi="Arial" w:cs="Arial"/>
      <w:color w:val="000000"/>
      <w:sz w:val="24"/>
      <w:szCs w:val="24"/>
      <w:lang w:val="en-NZ" w:bidi="ar-SA"/>
    </w:rPr>
  </w:style>
</w:styles>
</file>

<file path=word/webSettings.xml><?xml version="1.0" encoding="utf-8"?>
<w:webSettings xmlns:r="http://schemas.openxmlformats.org/officeDocument/2006/relationships" xmlns:w="http://schemas.openxmlformats.org/wordprocessingml/2006/main">
  <w:divs>
    <w:div w:id="101802124">
      <w:bodyDiv w:val="1"/>
      <w:marLeft w:val="0"/>
      <w:marRight w:val="0"/>
      <w:marTop w:val="0"/>
      <w:marBottom w:val="0"/>
      <w:divBdr>
        <w:top w:val="none" w:sz="0" w:space="0" w:color="auto"/>
        <w:left w:val="none" w:sz="0" w:space="0" w:color="auto"/>
        <w:bottom w:val="none" w:sz="0" w:space="0" w:color="auto"/>
        <w:right w:val="none" w:sz="0" w:space="0" w:color="auto"/>
      </w:divBdr>
      <w:divsChild>
        <w:div w:id="896404054">
          <w:marLeft w:val="0"/>
          <w:marRight w:val="0"/>
          <w:marTop w:val="0"/>
          <w:marBottom w:val="0"/>
          <w:divBdr>
            <w:top w:val="none" w:sz="0" w:space="0" w:color="auto"/>
            <w:left w:val="none" w:sz="0" w:space="0" w:color="auto"/>
            <w:bottom w:val="none" w:sz="0" w:space="0" w:color="auto"/>
            <w:right w:val="none" w:sz="0" w:space="0" w:color="auto"/>
          </w:divBdr>
        </w:div>
      </w:divsChild>
    </w:div>
    <w:div w:id="143396890">
      <w:bodyDiv w:val="1"/>
      <w:marLeft w:val="0"/>
      <w:marRight w:val="0"/>
      <w:marTop w:val="0"/>
      <w:marBottom w:val="0"/>
      <w:divBdr>
        <w:top w:val="none" w:sz="0" w:space="0" w:color="auto"/>
        <w:left w:val="none" w:sz="0" w:space="0" w:color="auto"/>
        <w:bottom w:val="none" w:sz="0" w:space="0" w:color="auto"/>
        <w:right w:val="none" w:sz="0" w:space="0" w:color="auto"/>
      </w:divBdr>
      <w:divsChild>
        <w:div w:id="236865655">
          <w:marLeft w:val="0"/>
          <w:marRight w:val="0"/>
          <w:marTop w:val="0"/>
          <w:marBottom w:val="0"/>
          <w:divBdr>
            <w:top w:val="none" w:sz="0" w:space="0" w:color="auto"/>
            <w:left w:val="none" w:sz="0" w:space="0" w:color="auto"/>
            <w:bottom w:val="none" w:sz="0" w:space="0" w:color="auto"/>
            <w:right w:val="none" w:sz="0" w:space="0" w:color="auto"/>
          </w:divBdr>
        </w:div>
      </w:divsChild>
    </w:div>
    <w:div w:id="152062580">
      <w:bodyDiv w:val="1"/>
      <w:marLeft w:val="0"/>
      <w:marRight w:val="0"/>
      <w:marTop w:val="0"/>
      <w:marBottom w:val="0"/>
      <w:divBdr>
        <w:top w:val="none" w:sz="0" w:space="0" w:color="auto"/>
        <w:left w:val="none" w:sz="0" w:space="0" w:color="auto"/>
        <w:bottom w:val="none" w:sz="0" w:space="0" w:color="auto"/>
        <w:right w:val="none" w:sz="0" w:space="0" w:color="auto"/>
      </w:divBdr>
    </w:div>
    <w:div w:id="230502903">
      <w:bodyDiv w:val="1"/>
      <w:marLeft w:val="0"/>
      <w:marRight w:val="0"/>
      <w:marTop w:val="0"/>
      <w:marBottom w:val="0"/>
      <w:divBdr>
        <w:top w:val="none" w:sz="0" w:space="0" w:color="auto"/>
        <w:left w:val="none" w:sz="0" w:space="0" w:color="auto"/>
        <w:bottom w:val="none" w:sz="0" w:space="0" w:color="auto"/>
        <w:right w:val="none" w:sz="0" w:space="0" w:color="auto"/>
      </w:divBdr>
      <w:divsChild>
        <w:div w:id="968127560">
          <w:marLeft w:val="0"/>
          <w:marRight w:val="0"/>
          <w:marTop w:val="0"/>
          <w:marBottom w:val="0"/>
          <w:divBdr>
            <w:top w:val="none" w:sz="0" w:space="0" w:color="auto"/>
            <w:left w:val="none" w:sz="0" w:space="0" w:color="auto"/>
            <w:bottom w:val="none" w:sz="0" w:space="0" w:color="auto"/>
            <w:right w:val="none" w:sz="0" w:space="0" w:color="auto"/>
          </w:divBdr>
        </w:div>
      </w:divsChild>
    </w:div>
    <w:div w:id="305744770">
      <w:bodyDiv w:val="1"/>
      <w:marLeft w:val="0"/>
      <w:marRight w:val="0"/>
      <w:marTop w:val="0"/>
      <w:marBottom w:val="0"/>
      <w:divBdr>
        <w:top w:val="none" w:sz="0" w:space="0" w:color="auto"/>
        <w:left w:val="none" w:sz="0" w:space="0" w:color="auto"/>
        <w:bottom w:val="none" w:sz="0" w:space="0" w:color="auto"/>
        <w:right w:val="none" w:sz="0" w:space="0" w:color="auto"/>
      </w:divBdr>
      <w:divsChild>
        <w:div w:id="1713730688">
          <w:marLeft w:val="0"/>
          <w:marRight w:val="0"/>
          <w:marTop w:val="0"/>
          <w:marBottom w:val="0"/>
          <w:divBdr>
            <w:top w:val="none" w:sz="0" w:space="0" w:color="auto"/>
            <w:left w:val="none" w:sz="0" w:space="0" w:color="auto"/>
            <w:bottom w:val="none" w:sz="0" w:space="0" w:color="auto"/>
            <w:right w:val="none" w:sz="0" w:space="0" w:color="auto"/>
          </w:divBdr>
        </w:div>
        <w:div w:id="1814982935">
          <w:marLeft w:val="0"/>
          <w:marRight w:val="0"/>
          <w:marTop w:val="0"/>
          <w:marBottom w:val="0"/>
          <w:divBdr>
            <w:top w:val="none" w:sz="0" w:space="0" w:color="auto"/>
            <w:left w:val="none" w:sz="0" w:space="0" w:color="auto"/>
            <w:bottom w:val="none" w:sz="0" w:space="0" w:color="auto"/>
            <w:right w:val="none" w:sz="0" w:space="0" w:color="auto"/>
          </w:divBdr>
        </w:div>
        <w:div w:id="467628591">
          <w:marLeft w:val="0"/>
          <w:marRight w:val="0"/>
          <w:marTop w:val="0"/>
          <w:marBottom w:val="0"/>
          <w:divBdr>
            <w:top w:val="none" w:sz="0" w:space="0" w:color="auto"/>
            <w:left w:val="none" w:sz="0" w:space="0" w:color="auto"/>
            <w:bottom w:val="none" w:sz="0" w:space="0" w:color="auto"/>
            <w:right w:val="none" w:sz="0" w:space="0" w:color="auto"/>
          </w:divBdr>
        </w:div>
      </w:divsChild>
    </w:div>
    <w:div w:id="634455273">
      <w:bodyDiv w:val="1"/>
      <w:marLeft w:val="0"/>
      <w:marRight w:val="0"/>
      <w:marTop w:val="0"/>
      <w:marBottom w:val="0"/>
      <w:divBdr>
        <w:top w:val="none" w:sz="0" w:space="0" w:color="auto"/>
        <w:left w:val="none" w:sz="0" w:space="0" w:color="auto"/>
        <w:bottom w:val="none" w:sz="0" w:space="0" w:color="auto"/>
        <w:right w:val="none" w:sz="0" w:space="0" w:color="auto"/>
      </w:divBdr>
      <w:divsChild>
        <w:div w:id="360084496">
          <w:marLeft w:val="0"/>
          <w:marRight w:val="0"/>
          <w:marTop w:val="0"/>
          <w:marBottom w:val="0"/>
          <w:divBdr>
            <w:top w:val="none" w:sz="0" w:space="0" w:color="auto"/>
            <w:left w:val="none" w:sz="0" w:space="0" w:color="auto"/>
            <w:bottom w:val="none" w:sz="0" w:space="0" w:color="auto"/>
            <w:right w:val="none" w:sz="0" w:space="0" w:color="auto"/>
          </w:divBdr>
        </w:div>
      </w:divsChild>
    </w:div>
    <w:div w:id="804196117">
      <w:bodyDiv w:val="1"/>
      <w:marLeft w:val="0"/>
      <w:marRight w:val="0"/>
      <w:marTop w:val="0"/>
      <w:marBottom w:val="0"/>
      <w:divBdr>
        <w:top w:val="none" w:sz="0" w:space="0" w:color="auto"/>
        <w:left w:val="none" w:sz="0" w:space="0" w:color="auto"/>
        <w:bottom w:val="none" w:sz="0" w:space="0" w:color="auto"/>
        <w:right w:val="none" w:sz="0" w:space="0" w:color="auto"/>
      </w:divBdr>
    </w:div>
    <w:div w:id="898438548">
      <w:bodyDiv w:val="1"/>
      <w:marLeft w:val="0"/>
      <w:marRight w:val="0"/>
      <w:marTop w:val="0"/>
      <w:marBottom w:val="0"/>
      <w:divBdr>
        <w:top w:val="none" w:sz="0" w:space="0" w:color="auto"/>
        <w:left w:val="none" w:sz="0" w:space="0" w:color="auto"/>
        <w:bottom w:val="none" w:sz="0" w:space="0" w:color="auto"/>
        <w:right w:val="none" w:sz="0" w:space="0" w:color="auto"/>
      </w:divBdr>
    </w:div>
    <w:div w:id="1190026919">
      <w:bodyDiv w:val="1"/>
      <w:marLeft w:val="0"/>
      <w:marRight w:val="0"/>
      <w:marTop w:val="0"/>
      <w:marBottom w:val="0"/>
      <w:divBdr>
        <w:top w:val="none" w:sz="0" w:space="0" w:color="auto"/>
        <w:left w:val="none" w:sz="0" w:space="0" w:color="auto"/>
        <w:bottom w:val="none" w:sz="0" w:space="0" w:color="auto"/>
        <w:right w:val="none" w:sz="0" w:space="0" w:color="auto"/>
      </w:divBdr>
    </w:div>
    <w:div w:id="1347514438">
      <w:bodyDiv w:val="1"/>
      <w:marLeft w:val="0"/>
      <w:marRight w:val="0"/>
      <w:marTop w:val="0"/>
      <w:marBottom w:val="0"/>
      <w:divBdr>
        <w:top w:val="none" w:sz="0" w:space="0" w:color="auto"/>
        <w:left w:val="none" w:sz="0" w:space="0" w:color="auto"/>
        <w:bottom w:val="none" w:sz="0" w:space="0" w:color="auto"/>
        <w:right w:val="none" w:sz="0" w:space="0" w:color="auto"/>
      </w:divBdr>
    </w:div>
    <w:div w:id="19162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browse_for_stats/population/Migration/internal-migration/are-nzs-moving-longer-distan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C90B-4E4E-451C-A25A-37A2D45B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7349</Words>
  <Characters>41894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CGD</Company>
  <LinksUpToDate>false</LinksUpToDate>
  <CharactersWithSpaces>49145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Waikato Management School</dc:creator>
  <cp:lastModifiedBy>Brian Silverstone</cp:lastModifiedBy>
  <cp:revision>29</cp:revision>
  <cp:lastPrinted>2013-06-13T23:38:00Z</cp:lastPrinted>
  <dcterms:created xsi:type="dcterms:W3CDTF">2013-07-04T04:02:00Z</dcterms:created>
  <dcterms:modified xsi:type="dcterms:W3CDTF">2013-07-04T22:49:00Z</dcterms:modified>
</cp:coreProperties>
</file>