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0C" w:rsidRDefault="00FC4A0C" w:rsidP="007E4B5E">
      <w:pPr>
        <w:pStyle w:val="PlainText"/>
        <w:tabs>
          <w:tab w:val="left" w:pos="426"/>
          <w:tab w:val="right" w:pos="8931"/>
        </w:tabs>
        <w:jc w:val="center"/>
        <w:rPr>
          <w:rFonts w:ascii="Times New Roman" w:hAnsi="Times New Roman"/>
          <w:b/>
          <w:sz w:val="28"/>
        </w:rPr>
      </w:pPr>
    </w:p>
    <w:p w:rsidR="00FC4A0C" w:rsidRDefault="00FC4A0C" w:rsidP="007E4B5E">
      <w:pPr>
        <w:pStyle w:val="PlainText"/>
        <w:tabs>
          <w:tab w:val="left" w:pos="426"/>
          <w:tab w:val="right" w:pos="8931"/>
        </w:tabs>
        <w:jc w:val="center"/>
        <w:rPr>
          <w:rFonts w:ascii="Times New Roman" w:hAnsi="Times New Roman"/>
          <w:b/>
          <w:sz w:val="28"/>
        </w:rPr>
      </w:pPr>
    </w:p>
    <w:p w:rsidR="00FC4A0C" w:rsidRDefault="00FC4A0C" w:rsidP="007E4B5E">
      <w:pPr>
        <w:pStyle w:val="PlainText"/>
        <w:tabs>
          <w:tab w:val="left" w:pos="426"/>
          <w:tab w:val="right" w:pos="8931"/>
        </w:tabs>
        <w:jc w:val="center"/>
        <w:rPr>
          <w:rFonts w:ascii="Times New Roman" w:hAnsi="Times New Roman"/>
          <w:b/>
          <w:sz w:val="28"/>
        </w:rPr>
      </w:pPr>
    </w:p>
    <w:p w:rsidR="00FC4A0C" w:rsidRDefault="00FC4A0C" w:rsidP="007E4B5E">
      <w:pPr>
        <w:pStyle w:val="PlainText"/>
        <w:tabs>
          <w:tab w:val="left" w:pos="426"/>
          <w:tab w:val="right" w:pos="8931"/>
        </w:tabs>
        <w:jc w:val="center"/>
        <w:rPr>
          <w:rFonts w:ascii="Times New Roman" w:hAnsi="Times New Roman"/>
          <w:b/>
          <w:sz w:val="28"/>
        </w:rPr>
      </w:pPr>
    </w:p>
    <w:p w:rsidR="00FC4A0C" w:rsidRDefault="00FC4A0C" w:rsidP="007E4B5E">
      <w:pPr>
        <w:pStyle w:val="PlainText"/>
        <w:tabs>
          <w:tab w:val="left" w:pos="426"/>
          <w:tab w:val="right" w:pos="8931"/>
        </w:tabs>
        <w:jc w:val="center"/>
        <w:rPr>
          <w:rFonts w:ascii="Times New Roman" w:hAnsi="Times New Roman"/>
          <w:b/>
          <w:sz w:val="28"/>
        </w:rPr>
      </w:pPr>
    </w:p>
    <w:p w:rsidR="00902F9F" w:rsidRDefault="00902F9F" w:rsidP="007E4B5E">
      <w:pPr>
        <w:pStyle w:val="PlainText"/>
        <w:tabs>
          <w:tab w:val="left" w:pos="426"/>
          <w:tab w:val="right" w:pos="8931"/>
        </w:tabs>
        <w:jc w:val="center"/>
        <w:rPr>
          <w:rFonts w:ascii="Times New Roman" w:hAnsi="Times New Roman"/>
          <w:b/>
          <w:sz w:val="28"/>
        </w:rPr>
      </w:pPr>
      <w:r>
        <w:rPr>
          <w:rFonts w:ascii="Times New Roman" w:hAnsi="Times New Roman"/>
          <w:b/>
          <w:sz w:val="28"/>
        </w:rPr>
        <w:t>UNIVERSITY OF WAIKATO</w:t>
      </w:r>
    </w:p>
    <w:p w:rsidR="00902F9F" w:rsidRDefault="00902F9F" w:rsidP="007E4B5E">
      <w:pPr>
        <w:pStyle w:val="PlainText"/>
        <w:tabs>
          <w:tab w:val="left" w:pos="426"/>
          <w:tab w:val="right" w:pos="8931"/>
        </w:tabs>
        <w:jc w:val="center"/>
        <w:rPr>
          <w:rFonts w:ascii="Times New Roman" w:hAnsi="Times New Roman"/>
          <w:b/>
          <w:sz w:val="28"/>
        </w:rPr>
      </w:pPr>
    </w:p>
    <w:p w:rsidR="00902F9F" w:rsidRDefault="00902F9F" w:rsidP="007E4B5E">
      <w:pPr>
        <w:pStyle w:val="PlainText"/>
        <w:tabs>
          <w:tab w:val="left" w:pos="426"/>
          <w:tab w:val="right" w:pos="8931"/>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902F9F" w:rsidRDefault="00902F9F" w:rsidP="007E4B5E">
      <w:pPr>
        <w:pStyle w:val="PlainText"/>
        <w:tabs>
          <w:tab w:val="left" w:pos="426"/>
          <w:tab w:val="right" w:pos="8931"/>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902F9F" w:rsidRDefault="00902F9F" w:rsidP="007E4B5E">
      <w:pPr>
        <w:pStyle w:val="PlainText"/>
        <w:tabs>
          <w:tab w:val="left" w:pos="426"/>
          <w:tab w:val="right" w:pos="8931"/>
        </w:tabs>
        <w:jc w:val="center"/>
        <w:rPr>
          <w:rFonts w:ascii="Times New Roman" w:hAnsi="Times New Roman"/>
          <w:b/>
          <w:sz w:val="28"/>
        </w:rPr>
      </w:pPr>
    </w:p>
    <w:p w:rsidR="00902F9F" w:rsidRDefault="00902F9F" w:rsidP="007E4B5E">
      <w:pPr>
        <w:pStyle w:val="PlainText"/>
        <w:tabs>
          <w:tab w:val="left" w:pos="426"/>
          <w:tab w:val="right" w:pos="8931"/>
        </w:tabs>
        <w:jc w:val="center"/>
        <w:rPr>
          <w:rFonts w:ascii="Times New Roman" w:hAnsi="Times New Roman"/>
          <w:b/>
          <w:sz w:val="28"/>
        </w:rPr>
      </w:pPr>
    </w:p>
    <w:p w:rsidR="00902F9F" w:rsidRPr="005804D1" w:rsidRDefault="00902F9F" w:rsidP="007E4B5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right" w:pos="8931"/>
        </w:tabs>
        <w:spacing w:line="360" w:lineRule="auto"/>
        <w:jc w:val="center"/>
        <w:rPr>
          <w:rFonts w:ascii="Times New Roman" w:hAnsi="Times New Roman"/>
          <w:b/>
          <w:sz w:val="24"/>
          <w:szCs w:val="24"/>
        </w:rPr>
      </w:pPr>
    </w:p>
    <w:p w:rsidR="00902F9F" w:rsidRDefault="00902F9F" w:rsidP="007E4B5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right" w:pos="8931"/>
        </w:tabs>
        <w:spacing w:line="360" w:lineRule="auto"/>
        <w:jc w:val="center"/>
        <w:rPr>
          <w:rFonts w:ascii="Times New Roman" w:hAnsi="Times New Roman"/>
          <w:b/>
          <w:sz w:val="28"/>
          <w:szCs w:val="28"/>
        </w:rPr>
      </w:pPr>
      <w:r>
        <w:rPr>
          <w:rFonts w:ascii="Times New Roman" w:hAnsi="Times New Roman"/>
          <w:b/>
          <w:sz w:val="28"/>
          <w:szCs w:val="28"/>
        </w:rPr>
        <w:t>Growth Effects of Remittances:</w:t>
      </w:r>
    </w:p>
    <w:p w:rsidR="00902F9F" w:rsidRDefault="00902F9F" w:rsidP="007E4B5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right" w:pos="8931"/>
        </w:tabs>
        <w:spacing w:line="360" w:lineRule="auto"/>
        <w:jc w:val="center"/>
        <w:rPr>
          <w:rFonts w:ascii="Times New Roman" w:hAnsi="Times New Roman"/>
          <w:b/>
          <w:sz w:val="28"/>
          <w:szCs w:val="28"/>
        </w:rPr>
      </w:pPr>
      <w:r>
        <w:rPr>
          <w:rFonts w:ascii="Times New Roman" w:hAnsi="Times New Roman"/>
          <w:b/>
          <w:sz w:val="28"/>
          <w:szCs w:val="28"/>
        </w:rPr>
        <w:t>Is there a U-Shaped Relationship?</w:t>
      </w:r>
    </w:p>
    <w:p w:rsidR="00902F9F" w:rsidRPr="00CD7DEF" w:rsidRDefault="00902F9F" w:rsidP="007E4B5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right" w:pos="8931"/>
        </w:tabs>
        <w:spacing w:line="360" w:lineRule="auto"/>
        <w:jc w:val="center"/>
        <w:rPr>
          <w:rFonts w:ascii="Times New Roman" w:hAnsi="Times New Roman"/>
          <w:b/>
          <w:sz w:val="14"/>
          <w:szCs w:val="14"/>
        </w:rPr>
      </w:pPr>
    </w:p>
    <w:p w:rsidR="00902F9F" w:rsidRDefault="00902F9F" w:rsidP="007E4B5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right" w:pos="8931"/>
        </w:tabs>
        <w:spacing w:line="360" w:lineRule="auto"/>
        <w:jc w:val="center"/>
        <w:rPr>
          <w:rFonts w:ascii="Times New Roman" w:hAnsi="Times New Roman"/>
          <w:sz w:val="28"/>
        </w:rPr>
      </w:pPr>
      <w:r>
        <w:rPr>
          <w:rFonts w:ascii="Times New Roman" w:hAnsi="Times New Roman"/>
          <w:sz w:val="28"/>
        </w:rPr>
        <w:t xml:space="preserve">Gazi </w:t>
      </w:r>
      <w:proofErr w:type="spellStart"/>
      <w:r>
        <w:rPr>
          <w:rFonts w:ascii="Times New Roman" w:hAnsi="Times New Roman"/>
          <w:sz w:val="28"/>
        </w:rPr>
        <w:t>Mainul</w:t>
      </w:r>
      <w:proofErr w:type="spellEnd"/>
      <w:r>
        <w:rPr>
          <w:rFonts w:ascii="Times New Roman" w:hAnsi="Times New Roman"/>
          <w:sz w:val="28"/>
        </w:rPr>
        <w:t xml:space="preserve"> </w:t>
      </w:r>
      <w:proofErr w:type="gramStart"/>
      <w:r>
        <w:rPr>
          <w:rFonts w:ascii="Times New Roman" w:hAnsi="Times New Roman"/>
          <w:sz w:val="28"/>
        </w:rPr>
        <w:t>Hassan  and</w:t>
      </w:r>
      <w:proofErr w:type="gramEnd"/>
      <w:r>
        <w:rPr>
          <w:rFonts w:ascii="Times New Roman" w:hAnsi="Times New Roman"/>
          <w:sz w:val="28"/>
        </w:rPr>
        <w:t xml:space="preserve">  </w:t>
      </w:r>
      <w:r w:rsidR="00132279">
        <w:rPr>
          <w:rFonts w:ascii="Times New Roman" w:hAnsi="Times New Roman"/>
          <w:sz w:val="28"/>
        </w:rPr>
        <w:t xml:space="preserve">Mohammed S. </w:t>
      </w:r>
      <w:proofErr w:type="spellStart"/>
      <w:r w:rsidR="00132279">
        <w:rPr>
          <w:rFonts w:ascii="Times New Roman" w:hAnsi="Times New Roman"/>
          <w:sz w:val="28"/>
        </w:rPr>
        <w:t>Bhuyan</w:t>
      </w:r>
      <w:proofErr w:type="spellEnd"/>
    </w:p>
    <w:p w:rsidR="00902F9F" w:rsidRDefault="00902F9F" w:rsidP="007E4B5E">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right" w:pos="8931"/>
        </w:tabs>
        <w:spacing w:line="360" w:lineRule="auto"/>
        <w:jc w:val="center"/>
        <w:rPr>
          <w:rFonts w:ascii="Times New Roman" w:hAnsi="Times New Roman"/>
          <w:b/>
          <w:sz w:val="8"/>
        </w:rPr>
      </w:pPr>
    </w:p>
    <w:p w:rsidR="00902F9F" w:rsidRDefault="00902F9F" w:rsidP="007E4B5E">
      <w:pPr>
        <w:pStyle w:val="PlainText"/>
        <w:tabs>
          <w:tab w:val="left" w:pos="426"/>
          <w:tab w:val="right" w:pos="8931"/>
        </w:tabs>
        <w:jc w:val="both"/>
        <w:rPr>
          <w:rFonts w:ascii="Times New Roman" w:hAnsi="Times New Roman"/>
          <w:b/>
          <w:sz w:val="28"/>
        </w:rPr>
      </w:pPr>
    </w:p>
    <w:p w:rsidR="00902F9F" w:rsidRDefault="00902F9F" w:rsidP="007E4B5E">
      <w:pPr>
        <w:pStyle w:val="PlainText"/>
        <w:tabs>
          <w:tab w:val="left" w:pos="426"/>
          <w:tab w:val="right" w:pos="8931"/>
        </w:tabs>
        <w:jc w:val="both"/>
        <w:rPr>
          <w:rFonts w:ascii="Times New Roman" w:hAnsi="Times New Roman"/>
          <w:b/>
          <w:sz w:val="28"/>
        </w:rPr>
      </w:pPr>
    </w:p>
    <w:p w:rsidR="00902F9F" w:rsidRDefault="00902F9F" w:rsidP="007E4B5E">
      <w:pPr>
        <w:pStyle w:val="PlainText"/>
        <w:tabs>
          <w:tab w:val="left" w:pos="426"/>
          <w:tab w:val="right" w:pos="8931"/>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902F9F" w:rsidRDefault="00902F9F" w:rsidP="007E4B5E">
      <w:pPr>
        <w:pStyle w:val="PlainText"/>
        <w:tabs>
          <w:tab w:val="left" w:pos="426"/>
          <w:tab w:val="right" w:pos="8931"/>
        </w:tabs>
        <w:spacing w:before="100" w:line="360" w:lineRule="auto"/>
        <w:jc w:val="center"/>
        <w:rPr>
          <w:rFonts w:ascii="Times New Roman" w:hAnsi="Times New Roman"/>
          <w:b/>
          <w:bCs/>
          <w:sz w:val="28"/>
        </w:rPr>
      </w:pPr>
      <w:r>
        <w:rPr>
          <w:rFonts w:ascii="Times New Roman" w:hAnsi="Times New Roman"/>
          <w:b/>
          <w:bCs/>
          <w:sz w:val="28"/>
        </w:rPr>
        <w:t>Working Paper in Economics 16/13</w:t>
      </w:r>
    </w:p>
    <w:p w:rsidR="00902F9F" w:rsidRDefault="00902F9F" w:rsidP="007E4B5E">
      <w:pPr>
        <w:pStyle w:val="PlainText"/>
        <w:tabs>
          <w:tab w:val="left" w:pos="426"/>
          <w:tab w:val="right" w:pos="8931"/>
        </w:tabs>
        <w:spacing w:before="100" w:line="360" w:lineRule="auto"/>
        <w:jc w:val="center"/>
        <w:rPr>
          <w:rFonts w:ascii="Times New Roman" w:hAnsi="Times New Roman"/>
          <w:sz w:val="28"/>
        </w:rPr>
      </w:pPr>
      <w:r>
        <w:rPr>
          <w:rFonts w:ascii="Times New Roman" w:hAnsi="Times New Roman"/>
          <w:sz w:val="28"/>
        </w:rPr>
        <w:t>November 2013</w:t>
      </w:r>
    </w:p>
    <w:p w:rsidR="00902F9F" w:rsidRDefault="00902F9F" w:rsidP="007E4B5E">
      <w:pPr>
        <w:pStyle w:val="PlainText"/>
        <w:tabs>
          <w:tab w:val="left" w:pos="426"/>
          <w:tab w:val="right" w:pos="8931"/>
        </w:tabs>
        <w:spacing w:before="100" w:line="360" w:lineRule="auto"/>
        <w:jc w:val="center"/>
        <w:rPr>
          <w:rFonts w:ascii="Times New Roman" w:hAnsi="Times New Roman"/>
          <w:sz w:val="28"/>
        </w:rPr>
      </w:pPr>
    </w:p>
    <w:p w:rsidR="00902F9F" w:rsidRDefault="00902F9F" w:rsidP="007E4B5E">
      <w:pPr>
        <w:pStyle w:val="PlainText"/>
        <w:tabs>
          <w:tab w:val="left" w:pos="426"/>
          <w:tab w:val="right" w:pos="8931"/>
        </w:tabs>
        <w:spacing w:before="100" w:line="360" w:lineRule="auto"/>
        <w:jc w:val="center"/>
        <w:rPr>
          <w:rFonts w:ascii="Times New Roman" w:hAnsi="Times New Roman"/>
          <w:sz w:val="28"/>
        </w:rPr>
      </w:pPr>
    </w:p>
    <w:tbl>
      <w:tblPr>
        <w:tblW w:w="0" w:type="auto"/>
        <w:tblLook w:val="04A0"/>
      </w:tblPr>
      <w:tblGrid>
        <w:gridCol w:w="4621"/>
        <w:gridCol w:w="4621"/>
      </w:tblGrid>
      <w:tr w:rsidR="00902F9F" w:rsidRPr="00AF2BCD" w:rsidTr="002A5215">
        <w:tc>
          <w:tcPr>
            <w:tcW w:w="4621" w:type="dxa"/>
          </w:tcPr>
          <w:p w:rsidR="00902F9F" w:rsidRPr="00462022" w:rsidRDefault="00902F9F" w:rsidP="007E4B5E">
            <w:pPr>
              <w:pStyle w:val="CM4"/>
              <w:tabs>
                <w:tab w:val="left" w:pos="426"/>
                <w:tab w:val="right" w:pos="8931"/>
              </w:tabs>
              <w:spacing w:line="240" w:lineRule="auto"/>
              <w:jc w:val="center"/>
              <w:rPr>
                <w:bCs/>
                <w:i/>
                <w:sz w:val="22"/>
                <w:szCs w:val="22"/>
              </w:rPr>
            </w:pPr>
            <w:r w:rsidRPr="00462022">
              <w:rPr>
                <w:bCs/>
                <w:i/>
                <w:sz w:val="22"/>
                <w:szCs w:val="22"/>
              </w:rPr>
              <w:t>Corresponding Author</w:t>
            </w:r>
          </w:p>
          <w:p w:rsidR="00902F9F" w:rsidRPr="00F11504" w:rsidRDefault="00902F9F" w:rsidP="007E4B5E">
            <w:pPr>
              <w:pStyle w:val="CM4"/>
              <w:tabs>
                <w:tab w:val="left" w:pos="426"/>
                <w:tab w:val="right" w:pos="8931"/>
              </w:tabs>
              <w:spacing w:line="240" w:lineRule="auto"/>
              <w:jc w:val="center"/>
              <w:rPr>
                <w:b/>
                <w:bCs/>
                <w:sz w:val="8"/>
                <w:szCs w:val="8"/>
              </w:rPr>
            </w:pPr>
          </w:p>
          <w:p w:rsidR="00902F9F" w:rsidRPr="005633E1" w:rsidRDefault="00902F9F" w:rsidP="007E4B5E">
            <w:pPr>
              <w:tabs>
                <w:tab w:val="left" w:pos="426"/>
                <w:tab w:val="right" w:pos="8931"/>
              </w:tabs>
              <w:spacing w:after="0" w:line="288" w:lineRule="auto"/>
              <w:jc w:val="center"/>
              <w:rPr>
                <w:rFonts w:eastAsia="Calibri"/>
                <w:b/>
              </w:rPr>
            </w:pPr>
            <w:r w:rsidRPr="005633E1">
              <w:rPr>
                <w:rFonts w:eastAsia="Calibri"/>
                <w:b/>
              </w:rPr>
              <w:t xml:space="preserve">Gazi </w:t>
            </w:r>
            <w:proofErr w:type="spellStart"/>
            <w:r w:rsidRPr="005633E1">
              <w:rPr>
                <w:rFonts w:eastAsia="Calibri"/>
                <w:b/>
              </w:rPr>
              <w:t>Mainul</w:t>
            </w:r>
            <w:proofErr w:type="spellEnd"/>
            <w:r w:rsidRPr="005633E1">
              <w:rPr>
                <w:rFonts w:eastAsia="Calibri"/>
                <w:b/>
              </w:rPr>
              <w:t xml:space="preserve"> Hassan</w:t>
            </w:r>
          </w:p>
          <w:p w:rsidR="00902F9F" w:rsidRPr="00F11504" w:rsidRDefault="00902F9F" w:rsidP="007E4B5E">
            <w:pPr>
              <w:pStyle w:val="CM23"/>
              <w:tabs>
                <w:tab w:val="left" w:pos="426"/>
                <w:tab w:val="right" w:pos="8931"/>
              </w:tabs>
              <w:spacing w:after="0"/>
              <w:jc w:val="center"/>
              <w:rPr>
                <w:sz w:val="12"/>
                <w:szCs w:val="12"/>
              </w:rPr>
            </w:pPr>
          </w:p>
          <w:p w:rsidR="00902F9F" w:rsidRPr="00976543" w:rsidRDefault="00902F9F" w:rsidP="007E4B5E">
            <w:pPr>
              <w:pStyle w:val="CM23"/>
              <w:tabs>
                <w:tab w:val="left" w:pos="426"/>
                <w:tab w:val="right" w:pos="8931"/>
              </w:tabs>
              <w:spacing w:after="0"/>
              <w:jc w:val="center"/>
            </w:pPr>
            <w:r>
              <w:t>Economics Department</w:t>
            </w:r>
          </w:p>
          <w:p w:rsidR="00902F9F" w:rsidRDefault="00902F9F" w:rsidP="007E4B5E">
            <w:pPr>
              <w:pStyle w:val="CM23"/>
              <w:tabs>
                <w:tab w:val="left" w:pos="426"/>
                <w:tab w:val="right" w:pos="8931"/>
              </w:tabs>
              <w:spacing w:after="0"/>
              <w:jc w:val="center"/>
            </w:pPr>
            <w:r w:rsidRPr="00976543">
              <w:t>University of Waikato</w:t>
            </w:r>
          </w:p>
          <w:p w:rsidR="00902F9F" w:rsidRDefault="00902F9F" w:rsidP="007E4B5E">
            <w:pPr>
              <w:pStyle w:val="CM23"/>
              <w:tabs>
                <w:tab w:val="left" w:pos="426"/>
                <w:tab w:val="right" w:pos="8931"/>
              </w:tabs>
              <w:spacing w:after="0"/>
              <w:jc w:val="center"/>
            </w:pPr>
            <w:r w:rsidRPr="00976543">
              <w:t>Private Bag 3105</w:t>
            </w:r>
          </w:p>
          <w:p w:rsidR="00902F9F" w:rsidRDefault="00902F9F" w:rsidP="007E4B5E">
            <w:pPr>
              <w:pStyle w:val="CM23"/>
              <w:tabs>
                <w:tab w:val="left" w:pos="426"/>
                <w:tab w:val="right" w:pos="8931"/>
              </w:tabs>
              <w:spacing w:after="0"/>
              <w:jc w:val="center"/>
            </w:pPr>
            <w:r>
              <w:t>Hamilton, 3240</w:t>
            </w:r>
          </w:p>
          <w:p w:rsidR="00902F9F" w:rsidRPr="00976543" w:rsidRDefault="00902F9F" w:rsidP="007E4B5E">
            <w:pPr>
              <w:pStyle w:val="CM23"/>
              <w:tabs>
                <w:tab w:val="left" w:pos="426"/>
                <w:tab w:val="right" w:pos="8931"/>
              </w:tabs>
              <w:spacing w:after="0"/>
              <w:jc w:val="center"/>
            </w:pPr>
            <w:r>
              <w:t>NEW ZEALAND</w:t>
            </w:r>
          </w:p>
          <w:p w:rsidR="00902F9F" w:rsidRPr="007966DF" w:rsidRDefault="00902F9F" w:rsidP="007E4B5E">
            <w:pPr>
              <w:pStyle w:val="Default"/>
              <w:tabs>
                <w:tab w:val="left" w:pos="426"/>
                <w:tab w:val="right" w:pos="8931"/>
              </w:tabs>
              <w:jc w:val="center"/>
              <w:rPr>
                <w:sz w:val="12"/>
                <w:szCs w:val="12"/>
              </w:rPr>
            </w:pPr>
          </w:p>
          <w:p w:rsidR="00902F9F" w:rsidRDefault="00902F9F" w:rsidP="007E4B5E">
            <w:pPr>
              <w:pStyle w:val="CM3"/>
              <w:tabs>
                <w:tab w:val="left" w:pos="426"/>
                <w:tab w:val="right" w:pos="8931"/>
              </w:tabs>
              <w:jc w:val="center"/>
              <w:rPr>
                <w:bCs/>
              </w:rPr>
            </w:pPr>
            <w:r>
              <w:rPr>
                <w:bCs/>
              </w:rPr>
              <w:t xml:space="preserve">Email: </w:t>
            </w:r>
            <w:r w:rsidR="007E3A0B" w:rsidRPr="007E3A0B">
              <w:rPr>
                <w:bCs/>
              </w:rPr>
              <w:t>gmhassan@waikato.ac.nz</w:t>
            </w:r>
          </w:p>
          <w:p w:rsidR="007E3A0B" w:rsidRPr="007E3A0B" w:rsidRDefault="007E3A0B" w:rsidP="007E4B5E">
            <w:pPr>
              <w:pStyle w:val="Default"/>
              <w:tabs>
                <w:tab w:val="right" w:pos="8931"/>
              </w:tabs>
              <w:rPr>
                <w:sz w:val="12"/>
                <w:szCs w:val="12"/>
                <w:lang w:val="en-US" w:eastAsia="en-US"/>
              </w:rPr>
            </w:pPr>
          </w:p>
          <w:p w:rsidR="00EE61E6" w:rsidRPr="005633E1" w:rsidRDefault="00EE61E6" w:rsidP="007E4B5E">
            <w:pPr>
              <w:tabs>
                <w:tab w:val="left" w:pos="426"/>
                <w:tab w:val="right" w:pos="8931"/>
              </w:tabs>
              <w:spacing w:after="0" w:line="288" w:lineRule="auto"/>
              <w:jc w:val="center"/>
            </w:pPr>
            <w:r w:rsidRPr="00DF3E75">
              <w:rPr>
                <w:lang w:val="fr-FR"/>
              </w:rPr>
              <w:t>Ph</w:t>
            </w:r>
            <w:r w:rsidR="007E3A0B">
              <w:rPr>
                <w:lang w:val="fr-FR"/>
              </w:rPr>
              <w:t>one</w:t>
            </w:r>
            <w:r w:rsidRPr="00DF3E75">
              <w:rPr>
                <w:lang w:val="fr-FR"/>
              </w:rPr>
              <w:t>: +64 7 858 5164; Fax: +64 7 838 4331</w:t>
            </w:r>
          </w:p>
          <w:p w:rsidR="00EE61E6" w:rsidRPr="00EE61E6" w:rsidRDefault="00EE61E6" w:rsidP="007E4B5E">
            <w:pPr>
              <w:pStyle w:val="Default"/>
              <w:tabs>
                <w:tab w:val="right" w:pos="8931"/>
              </w:tabs>
              <w:jc w:val="center"/>
              <w:rPr>
                <w:lang w:val="en-US" w:eastAsia="en-US"/>
              </w:rPr>
            </w:pPr>
          </w:p>
          <w:p w:rsidR="00902F9F" w:rsidRDefault="00902F9F" w:rsidP="007E4B5E">
            <w:pPr>
              <w:pStyle w:val="Default"/>
              <w:tabs>
                <w:tab w:val="left" w:pos="426"/>
                <w:tab w:val="right" w:pos="8931"/>
              </w:tabs>
              <w:jc w:val="center"/>
            </w:pPr>
          </w:p>
        </w:tc>
        <w:tc>
          <w:tcPr>
            <w:tcW w:w="4621" w:type="dxa"/>
          </w:tcPr>
          <w:p w:rsidR="00902F9F" w:rsidRPr="00F11504" w:rsidRDefault="00902F9F" w:rsidP="007E4B5E">
            <w:pPr>
              <w:pStyle w:val="Default"/>
              <w:tabs>
                <w:tab w:val="left" w:pos="426"/>
                <w:tab w:val="right" w:pos="8931"/>
              </w:tabs>
              <w:jc w:val="center"/>
              <w:rPr>
                <w:b/>
              </w:rPr>
            </w:pPr>
          </w:p>
          <w:p w:rsidR="00902F9F" w:rsidRPr="005633E1" w:rsidRDefault="00902F9F" w:rsidP="007E4B5E">
            <w:pPr>
              <w:tabs>
                <w:tab w:val="left" w:pos="426"/>
                <w:tab w:val="right" w:pos="8931"/>
              </w:tabs>
              <w:spacing w:before="60" w:after="0" w:line="288" w:lineRule="auto"/>
              <w:jc w:val="center"/>
              <w:rPr>
                <w:b/>
              </w:rPr>
            </w:pPr>
            <w:r>
              <w:rPr>
                <w:b/>
              </w:rPr>
              <w:t xml:space="preserve">Mohammed S. </w:t>
            </w:r>
            <w:proofErr w:type="spellStart"/>
            <w:r>
              <w:rPr>
                <w:b/>
              </w:rPr>
              <w:t>Bhuyan</w:t>
            </w:r>
            <w:proofErr w:type="spellEnd"/>
          </w:p>
          <w:p w:rsidR="00902F9F" w:rsidRPr="007E3A0B" w:rsidRDefault="00902F9F" w:rsidP="007E4B5E">
            <w:pPr>
              <w:pStyle w:val="CM23"/>
              <w:tabs>
                <w:tab w:val="left" w:pos="426"/>
                <w:tab w:val="right" w:pos="8931"/>
              </w:tabs>
              <w:spacing w:after="0"/>
              <w:jc w:val="center"/>
              <w:rPr>
                <w:sz w:val="16"/>
                <w:szCs w:val="16"/>
              </w:rPr>
            </w:pPr>
          </w:p>
          <w:p w:rsidR="00902F9F" w:rsidRDefault="00902F9F" w:rsidP="007E4B5E">
            <w:pPr>
              <w:pStyle w:val="CM23"/>
              <w:tabs>
                <w:tab w:val="left" w:pos="426"/>
                <w:tab w:val="right" w:pos="8931"/>
              </w:tabs>
              <w:spacing w:after="0"/>
              <w:jc w:val="center"/>
            </w:pPr>
            <w:r>
              <w:t>School of Accounting and Finance</w:t>
            </w:r>
          </w:p>
          <w:p w:rsidR="00902F9F" w:rsidRDefault="00902F9F" w:rsidP="007E4B5E">
            <w:pPr>
              <w:pStyle w:val="CM23"/>
              <w:tabs>
                <w:tab w:val="left" w:pos="426"/>
                <w:tab w:val="right" w:pos="8931"/>
              </w:tabs>
              <w:spacing w:after="0"/>
              <w:jc w:val="center"/>
            </w:pPr>
            <w:r>
              <w:t>University of Wollongong</w:t>
            </w:r>
          </w:p>
          <w:p w:rsidR="00EE61E6" w:rsidRDefault="00EE61E6" w:rsidP="007E4B5E">
            <w:pPr>
              <w:pStyle w:val="Default"/>
              <w:tabs>
                <w:tab w:val="right" w:pos="8931"/>
              </w:tabs>
              <w:jc w:val="center"/>
              <w:rPr>
                <w:lang w:val="en-US" w:eastAsia="en-US"/>
              </w:rPr>
            </w:pPr>
            <w:r>
              <w:rPr>
                <w:lang w:val="en-US" w:eastAsia="en-US"/>
              </w:rPr>
              <w:t>Wollongong</w:t>
            </w:r>
          </w:p>
          <w:p w:rsidR="007E3A0B" w:rsidRPr="00EE61E6" w:rsidRDefault="007E3A0B" w:rsidP="007E4B5E">
            <w:pPr>
              <w:pStyle w:val="Default"/>
              <w:tabs>
                <w:tab w:val="right" w:pos="8931"/>
              </w:tabs>
              <w:jc w:val="center"/>
              <w:rPr>
                <w:lang w:val="en-US" w:eastAsia="en-US"/>
              </w:rPr>
            </w:pPr>
            <w:r>
              <w:rPr>
                <w:lang w:val="en-US" w:eastAsia="en-US"/>
              </w:rPr>
              <w:t>New South Wales, 2522</w:t>
            </w:r>
          </w:p>
          <w:p w:rsidR="00902F9F" w:rsidRDefault="00902F9F" w:rsidP="007E4B5E">
            <w:pPr>
              <w:pStyle w:val="CM23"/>
              <w:tabs>
                <w:tab w:val="left" w:pos="426"/>
                <w:tab w:val="right" w:pos="8931"/>
              </w:tabs>
              <w:spacing w:after="0"/>
              <w:jc w:val="center"/>
            </w:pPr>
            <w:r>
              <w:t>AUSTRALIA</w:t>
            </w:r>
          </w:p>
          <w:p w:rsidR="007E3A0B" w:rsidRPr="007E3A0B" w:rsidRDefault="007E3A0B" w:rsidP="007E4B5E">
            <w:pPr>
              <w:pStyle w:val="Default"/>
              <w:tabs>
                <w:tab w:val="right" w:pos="8931"/>
              </w:tabs>
              <w:rPr>
                <w:sz w:val="12"/>
                <w:szCs w:val="12"/>
                <w:lang w:val="en-US" w:eastAsia="en-US"/>
              </w:rPr>
            </w:pPr>
          </w:p>
          <w:p w:rsidR="007E3A0B" w:rsidRPr="00147850" w:rsidRDefault="007E3A0B" w:rsidP="007E4B5E">
            <w:pPr>
              <w:pStyle w:val="CM3"/>
              <w:tabs>
                <w:tab w:val="left" w:pos="426"/>
                <w:tab w:val="right" w:pos="8931"/>
              </w:tabs>
              <w:jc w:val="center"/>
              <w:rPr>
                <w:bCs/>
                <w:color w:val="000000" w:themeColor="text1"/>
              </w:rPr>
            </w:pPr>
            <w:r>
              <w:rPr>
                <w:bCs/>
              </w:rPr>
              <w:t xml:space="preserve">Email: </w:t>
            </w:r>
            <w:r>
              <w:t>mssb771@uowmail.edu.au</w:t>
            </w:r>
          </w:p>
          <w:p w:rsidR="00902F9F" w:rsidRPr="00544CAB" w:rsidRDefault="00902F9F" w:rsidP="007E4B5E">
            <w:pPr>
              <w:pStyle w:val="CM3"/>
              <w:tabs>
                <w:tab w:val="left" w:pos="426"/>
                <w:tab w:val="right" w:pos="8931"/>
              </w:tabs>
              <w:jc w:val="center"/>
              <w:rPr>
                <w:bCs/>
              </w:rPr>
            </w:pPr>
          </w:p>
          <w:p w:rsidR="00902F9F" w:rsidRPr="007966DF" w:rsidRDefault="00902F9F" w:rsidP="007E4B5E">
            <w:pPr>
              <w:pStyle w:val="CM3"/>
              <w:tabs>
                <w:tab w:val="left" w:pos="426"/>
                <w:tab w:val="right" w:pos="8931"/>
              </w:tabs>
              <w:jc w:val="center"/>
              <w:rPr>
                <w:bCs/>
                <w:sz w:val="20"/>
                <w:szCs w:val="20"/>
              </w:rPr>
            </w:pPr>
          </w:p>
          <w:p w:rsidR="00902F9F" w:rsidRPr="00F11504" w:rsidRDefault="00902F9F" w:rsidP="007E4B5E">
            <w:pPr>
              <w:pStyle w:val="CM3"/>
              <w:tabs>
                <w:tab w:val="left" w:pos="426"/>
                <w:tab w:val="right" w:pos="8931"/>
              </w:tabs>
              <w:jc w:val="center"/>
              <w:rPr>
                <w:b/>
              </w:rPr>
            </w:pPr>
          </w:p>
        </w:tc>
      </w:tr>
    </w:tbl>
    <w:p w:rsidR="00902F9F" w:rsidRPr="00DF3E75" w:rsidRDefault="00902F9F" w:rsidP="007E4B5E">
      <w:pPr>
        <w:tabs>
          <w:tab w:val="left" w:pos="426"/>
          <w:tab w:val="right" w:pos="8931"/>
        </w:tabs>
        <w:spacing w:after="0" w:line="288" w:lineRule="auto"/>
        <w:rPr>
          <w:rFonts w:eastAsia="SimSun" w:cs="Arial"/>
          <w:szCs w:val="24"/>
        </w:rPr>
      </w:pPr>
    </w:p>
    <w:p w:rsidR="00902F9F" w:rsidRDefault="00902F9F" w:rsidP="007E4B5E">
      <w:pPr>
        <w:tabs>
          <w:tab w:val="left" w:pos="426"/>
          <w:tab w:val="right" w:pos="8931"/>
        </w:tabs>
        <w:rPr>
          <w:b/>
        </w:rPr>
      </w:pPr>
    </w:p>
    <w:p w:rsidR="00902F9F" w:rsidRDefault="00902F9F" w:rsidP="007E4B5E">
      <w:pPr>
        <w:tabs>
          <w:tab w:val="left" w:pos="426"/>
          <w:tab w:val="right" w:pos="8931"/>
        </w:tabs>
        <w:spacing w:line="300" w:lineRule="auto"/>
        <w:jc w:val="center"/>
        <w:rPr>
          <w:b/>
        </w:rPr>
      </w:pPr>
    </w:p>
    <w:p w:rsidR="00902F9F" w:rsidRDefault="00902F9F" w:rsidP="007E4B5E">
      <w:pPr>
        <w:tabs>
          <w:tab w:val="left" w:pos="426"/>
          <w:tab w:val="right" w:pos="8931"/>
        </w:tabs>
        <w:rPr>
          <w:b/>
        </w:rPr>
      </w:pPr>
    </w:p>
    <w:p w:rsidR="00902F9F" w:rsidRDefault="00902F9F" w:rsidP="007E4B5E">
      <w:pPr>
        <w:tabs>
          <w:tab w:val="left" w:pos="426"/>
          <w:tab w:val="right" w:pos="8931"/>
        </w:tabs>
        <w:spacing w:line="300" w:lineRule="auto"/>
        <w:jc w:val="center"/>
        <w:rPr>
          <w:b/>
        </w:rPr>
      </w:pPr>
    </w:p>
    <w:p w:rsidR="00902F9F" w:rsidRDefault="00902F9F" w:rsidP="007E4B5E">
      <w:pPr>
        <w:tabs>
          <w:tab w:val="left" w:pos="426"/>
          <w:tab w:val="right" w:pos="8931"/>
        </w:tabs>
        <w:spacing w:line="300" w:lineRule="auto"/>
        <w:jc w:val="center"/>
        <w:rPr>
          <w:b/>
        </w:rPr>
      </w:pPr>
    </w:p>
    <w:p w:rsidR="00902F9F" w:rsidRDefault="00902F9F" w:rsidP="007E4B5E">
      <w:pPr>
        <w:tabs>
          <w:tab w:val="left" w:pos="426"/>
          <w:tab w:val="right" w:pos="8931"/>
        </w:tabs>
        <w:spacing w:line="300" w:lineRule="auto"/>
        <w:jc w:val="center"/>
        <w:rPr>
          <w:b/>
        </w:rPr>
      </w:pPr>
    </w:p>
    <w:p w:rsidR="001620C4" w:rsidRDefault="001620C4" w:rsidP="007E4B5E">
      <w:pPr>
        <w:tabs>
          <w:tab w:val="left" w:pos="426"/>
          <w:tab w:val="right" w:pos="8931"/>
        </w:tabs>
        <w:spacing w:line="300" w:lineRule="auto"/>
        <w:jc w:val="center"/>
        <w:rPr>
          <w:b/>
        </w:rPr>
      </w:pPr>
    </w:p>
    <w:p w:rsidR="00902F9F" w:rsidRPr="00370890" w:rsidRDefault="00902F9F" w:rsidP="007E4B5E">
      <w:pPr>
        <w:tabs>
          <w:tab w:val="left" w:pos="426"/>
          <w:tab w:val="right" w:pos="8931"/>
        </w:tabs>
        <w:spacing w:line="300" w:lineRule="auto"/>
        <w:jc w:val="center"/>
        <w:rPr>
          <w:b/>
        </w:rPr>
      </w:pPr>
      <w:r w:rsidRPr="00370890">
        <w:rPr>
          <w:b/>
        </w:rPr>
        <w:t>Abstract</w:t>
      </w:r>
    </w:p>
    <w:p w:rsidR="00D629D9" w:rsidRPr="0090593D" w:rsidRDefault="00D629D9" w:rsidP="007E4B5E">
      <w:pPr>
        <w:tabs>
          <w:tab w:val="left" w:pos="426"/>
          <w:tab w:val="right" w:pos="8931"/>
        </w:tabs>
        <w:spacing w:after="0" w:line="360" w:lineRule="auto"/>
        <w:jc w:val="both"/>
        <w:rPr>
          <w:iCs/>
        </w:rPr>
      </w:pPr>
      <w:r w:rsidRPr="0090593D">
        <w:rPr>
          <w:iCs/>
        </w:rPr>
        <w:t>This paper shows that the effect of remittances on economic growth entails a U-shaped pattern where it is negative in the beginning but becomes positive later on. The analysis is based on the argument that recipient household savings out of remittances income is negligible or even negative in the initial periods but turns positive in the later part. Using time series data from Bangladesh and single-equation cointegration methods, we find that remittances’ effect on long-run growth is negative and falling until remittances-to-GDP ratio is roughly 9 percent and it starts to become positive when the ratio exceeds 17 percent.</w:t>
      </w:r>
    </w:p>
    <w:p w:rsidR="00902F9F" w:rsidRDefault="00902F9F" w:rsidP="007E4B5E">
      <w:pPr>
        <w:tabs>
          <w:tab w:val="left" w:pos="426"/>
          <w:tab w:val="right" w:pos="8931"/>
        </w:tabs>
        <w:spacing w:after="0" w:line="288" w:lineRule="auto"/>
        <w:jc w:val="lowKashida"/>
      </w:pPr>
    </w:p>
    <w:p w:rsidR="00902F9F" w:rsidRDefault="00902F9F" w:rsidP="007E4B5E">
      <w:pPr>
        <w:tabs>
          <w:tab w:val="left" w:pos="426"/>
          <w:tab w:val="right" w:pos="8931"/>
        </w:tabs>
        <w:spacing w:after="0" w:line="288" w:lineRule="auto"/>
        <w:jc w:val="lowKashida"/>
      </w:pPr>
    </w:p>
    <w:p w:rsidR="00902F9F" w:rsidRPr="00F85690" w:rsidRDefault="00902F9F" w:rsidP="007E4B5E">
      <w:pPr>
        <w:tabs>
          <w:tab w:val="left" w:pos="426"/>
          <w:tab w:val="right" w:pos="8931"/>
        </w:tabs>
        <w:spacing w:after="0" w:line="288" w:lineRule="auto"/>
        <w:jc w:val="lowKashida"/>
      </w:pPr>
    </w:p>
    <w:p w:rsidR="00902F9F" w:rsidRDefault="00902F9F" w:rsidP="007E4B5E">
      <w:pPr>
        <w:tabs>
          <w:tab w:val="left" w:pos="426"/>
          <w:tab w:val="right" w:pos="8931"/>
        </w:tabs>
        <w:spacing w:after="0" w:line="288" w:lineRule="auto"/>
        <w:jc w:val="center"/>
        <w:rPr>
          <w:b/>
        </w:rPr>
      </w:pPr>
      <w:r w:rsidRPr="00F85690">
        <w:rPr>
          <w:b/>
        </w:rPr>
        <w:t>Keywords</w:t>
      </w:r>
    </w:p>
    <w:p w:rsidR="00902F9F" w:rsidRPr="008E4619" w:rsidRDefault="00902F9F" w:rsidP="007E4B5E">
      <w:pPr>
        <w:tabs>
          <w:tab w:val="left" w:pos="426"/>
          <w:tab w:val="right" w:pos="8931"/>
        </w:tabs>
        <w:spacing w:after="0" w:line="288" w:lineRule="auto"/>
        <w:jc w:val="center"/>
        <w:rPr>
          <w:b/>
          <w:sz w:val="12"/>
          <w:szCs w:val="12"/>
        </w:rPr>
      </w:pPr>
    </w:p>
    <w:p w:rsidR="00D629D9" w:rsidRDefault="00D629D9" w:rsidP="007E4B5E">
      <w:pPr>
        <w:tabs>
          <w:tab w:val="left" w:pos="426"/>
          <w:tab w:val="right" w:pos="8931"/>
        </w:tabs>
        <w:spacing w:after="0" w:line="288" w:lineRule="auto"/>
        <w:jc w:val="center"/>
        <w:rPr>
          <w:lang w:val="en-AU"/>
        </w:rPr>
      </w:pPr>
      <w:proofErr w:type="gramStart"/>
      <w:r>
        <w:rPr>
          <w:lang w:val="en-AU"/>
        </w:rPr>
        <w:t>r</w:t>
      </w:r>
      <w:r w:rsidRPr="007D4B4B">
        <w:rPr>
          <w:lang w:val="en-AU"/>
        </w:rPr>
        <w:t>emittances</w:t>
      </w:r>
      <w:proofErr w:type="gramEnd"/>
      <w:r w:rsidRPr="007D4B4B">
        <w:rPr>
          <w:lang w:val="en-AU"/>
        </w:rPr>
        <w:t xml:space="preserve"> and </w:t>
      </w:r>
      <w:r>
        <w:rPr>
          <w:lang w:val="en-AU"/>
        </w:rPr>
        <w:t>growth</w:t>
      </w:r>
    </w:p>
    <w:p w:rsidR="00D629D9" w:rsidRDefault="00D629D9" w:rsidP="007E4B5E">
      <w:pPr>
        <w:tabs>
          <w:tab w:val="left" w:pos="426"/>
          <w:tab w:val="right" w:pos="8931"/>
        </w:tabs>
        <w:spacing w:after="0" w:line="288" w:lineRule="auto"/>
        <w:jc w:val="center"/>
        <w:rPr>
          <w:lang w:val="en-AU"/>
        </w:rPr>
      </w:pPr>
      <w:proofErr w:type="gramStart"/>
      <w:r>
        <w:rPr>
          <w:lang w:val="en-AU"/>
        </w:rPr>
        <w:t>remittances</w:t>
      </w:r>
      <w:proofErr w:type="gramEnd"/>
      <w:r>
        <w:rPr>
          <w:lang w:val="en-AU"/>
        </w:rPr>
        <w:t xml:space="preserve"> utilisation</w:t>
      </w:r>
    </w:p>
    <w:p w:rsidR="00D629D9" w:rsidRDefault="00D629D9" w:rsidP="007E4B5E">
      <w:pPr>
        <w:tabs>
          <w:tab w:val="left" w:pos="426"/>
          <w:tab w:val="right" w:pos="8931"/>
        </w:tabs>
        <w:spacing w:after="0" w:line="288" w:lineRule="auto"/>
        <w:jc w:val="center"/>
        <w:rPr>
          <w:lang w:val="en-AU"/>
        </w:rPr>
      </w:pPr>
      <w:proofErr w:type="gramStart"/>
      <w:r>
        <w:rPr>
          <w:lang w:val="en-AU"/>
        </w:rPr>
        <w:t>total</w:t>
      </w:r>
      <w:proofErr w:type="gramEnd"/>
      <w:r>
        <w:rPr>
          <w:lang w:val="en-AU"/>
        </w:rPr>
        <w:t xml:space="preserve"> factor productivity (TFP)</w:t>
      </w:r>
    </w:p>
    <w:p w:rsidR="00D629D9" w:rsidRDefault="00D629D9" w:rsidP="007E4B5E">
      <w:pPr>
        <w:tabs>
          <w:tab w:val="left" w:pos="426"/>
          <w:tab w:val="right" w:pos="8931"/>
        </w:tabs>
        <w:spacing w:after="0" w:line="288" w:lineRule="auto"/>
        <w:jc w:val="center"/>
        <w:rPr>
          <w:lang w:val="en-AU"/>
        </w:rPr>
      </w:pPr>
      <w:proofErr w:type="gramStart"/>
      <w:r>
        <w:rPr>
          <w:lang w:val="en-AU"/>
        </w:rPr>
        <w:t>cointegration</w:t>
      </w:r>
      <w:proofErr w:type="gramEnd"/>
    </w:p>
    <w:p w:rsidR="00D629D9" w:rsidRPr="007D4B4B" w:rsidRDefault="00D629D9" w:rsidP="007E4B5E">
      <w:pPr>
        <w:tabs>
          <w:tab w:val="left" w:pos="426"/>
          <w:tab w:val="right" w:pos="8931"/>
        </w:tabs>
        <w:spacing w:after="0" w:line="288" w:lineRule="auto"/>
        <w:jc w:val="center"/>
        <w:rPr>
          <w:lang w:val="en-AU"/>
        </w:rPr>
      </w:pPr>
      <w:r>
        <w:rPr>
          <w:lang w:val="en-AU"/>
        </w:rPr>
        <w:t>Bangladesh</w:t>
      </w:r>
    </w:p>
    <w:p w:rsidR="00902F9F" w:rsidRDefault="00902F9F" w:rsidP="007E4B5E">
      <w:pPr>
        <w:tabs>
          <w:tab w:val="left" w:pos="426"/>
          <w:tab w:val="right" w:pos="8931"/>
        </w:tabs>
        <w:spacing w:after="0" w:line="288" w:lineRule="auto"/>
        <w:rPr>
          <w:rFonts w:eastAsia="SimSun" w:cs="Arial"/>
          <w:sz w:val="44"/>
          <w:szCs w:val="44"/>
          <w:lang w:val="en-US"/>
        </w:rPr>
      </w:pPr>
    </w:p>
    <w:p w:rsidR="00902F9F" w:rsidRDefault="00902F9F" w:rsidP="007E4B5E">
      <w:pPr>
        <w:pStyle w:val="BodyText"/>
        <w:tabs>
          <w:tab w:val="left" w:pos="426"/>
          <w:tab w:val="right" w:pos="8931"/>
        </w:tabs>
        <w:spacing w:line="288" w:lineRule="auto"/>
        <w:jc w:val="center"/>
        <w:rPr>
          <w:b/>
        </w:rPr>
      </w:pPr>
    </w:p>
    <w:p w:rsidR="00902F9F" w:rsidRDefault="00902F9F" w:rsidP="007E4B5E">
      <w:pPr>
        <w:pStyle w:val="BodyText"/>
        <w:tabs>
          <w:tab w:val="left" w:pos="426"/>
          <w:tab w:val="right" w:pos="8931"/>
        </w:tabs>
        <w:spacing w:line="288" w:lineRule="auto"/>
        <w:jc w:val="center"/>
        <w:rPr>
          <w:b/>
        </w:rPr>
      </w:pPr>
    </w:p>
    <w:p w:rsidR="00902F9F" w:rsidRPr="00E05565" w:rsidRDefault="00902F9F" w:rsidP="007E4B5E">
      <w:pPr>
        <w:pStyle w:val="BodyText"/>
        <w:tabs>
          <w:tab w:val="left" w:pos="426"/>
          <w:tab w:val="right" w:pos="8931"/>
        </w:tabs>
        <w:spacing w:line="288" w:lineRule="auto"/>
        <w:jc w:val="center"/>
        <w:rPr>
          <w:b/>
        </w:rPr>
      </w:pPr>
    </w:p>
    <w:p w:rsidR="00902F9F" w:rsidRDefault="00902F9F" w:rsidP="007E4B5E">
      <w:pPr>
        <w:pStyle w:val="BodyText"/>
        <w:tabs>
          <w:tab w:val="left" w:pos="426"/>
          <w:tab w:val="right" w:pos="8931"/>
        </w:tabs>
        <w:spacing w:line="288" w:lineRule="auto"/>
        <w:jc w:val="center"/>
        <w:rPr>
          <w:b/>
        </w:rPr>
      </w:pPr>
      <w:r w:rsidRPr="00E05565">
        <w:rPr>
          <w:b/>
        </w:rPr>
        <w:t>JEL Classification</w:t>
      </w:r>
    </w:p>
    <w:p w:rsidR="00902F9F" w:rsidRPr="008E4619" w:rsidRDefault="00902F9F" w:rsidP="007E4B5E">
      <w:pPr>
        <w:pStyle w:val="BodyText"/>
        <w:tabs>
          <w:tab w:val="left" w:pos="426"/>
          <w:tab w:val="right" w:pos="8931"/>
        </w:tabs>
        <w:spacing w:line="288" w:lineRule="auto"/>
        <w:jc w:val="center"/>
        <w:rPr>
          <w:b/>
          <w:sz w:val="12"/>
          <w:szCs w:val="12"/>
        </w:rPr>
      </w:pPr>
    </w:p>
    <w:p w:rsidR="00B706F7" w:rsidRDefault="00D629D9" w:rsidP="007E4B5E">
      <w:pPr>
        <w:tabs>
          <w:tab w:val="left" w:pos="426"/>
          <w:tab w:val="right" w:pos="8931"/>
        </w:tabs>
        <w:spacing w:after="0" w:line="288" w:lineRule="auto"/>
        <w:jc w:val="center"/>
        <w:rPr>
          <w:b/>
        </w:rPr>
      </w:pPr>
      <w:r>
        <w:rPr>
          <w:lang w:val="it-IT"/>
        </w:rPr>
        <w:t>O10;  O15;  F22;  F24</w:t>
      </w:r>
    </w:p>
    <w:p w:rsidR="00B706F7" w:rsidRDefault="00B706F7" w:rsidP="007E4B5E">
      <w:pPr>
        <w:tabs>
          <w:tab w:val="left" w:pos="426"/>
          <w:tab w:val="right" w:pos="8931"/>
        </w:tabs>
        <w:spacing w:after="0" w:line="288" w:lineRule="auto"/>
        <w:rPr>
          <w:lang w:val="en-AU"/>
        </w:rPr>
      </w:pPr>
    </w:p>
    <w:p w:rsidR="00B706F7" w:rsidRDefault="00B706F7" w:rsidP="007E4B5E">
      <w:pPr>
        <w:tabs>
          <w:tab w:val="left" w:pos="426"/>
          <w:tab w:val="right" w:pos="8931"/>
        </w:tabs>
        <w:spacing w:after="0" w:line="288" w:lineRule="auto"/>
        <w:rPr>
          <w:lang w:val="en-AU"/>
        </w:rPr>
      </w:pPr>
    </w:p>
    <w:p w:rsidR="00B706F7" w:rsidRDefault="00B706F7" w:rsidP="007E4B5E">
      <w:pPr>
        <w:tabs>
          <w:tab w:val="left" w:pos="426"/>
          <w:tab w:val="right" w:pos="8931"/>
        </w:tabs>
        <w:spacing w:after="0" w:line="288" w:lineRule="auto"/>
        <w:rPr>
          <w:lang w:val="en-AU"/>
        </w:rPr>
      </w:pPr>
    </w:p>
    <w:p w:rsidR="00B706F7" w:rsidRDefault="00B706F7" w:rsidP="007E4B5E">
      <w:pPr>
        <w:tabs>
          <w:tab w:val="left" w:pos="426"/>
          <w:tab w:val="right" w:pos="8931"/>
        </w:tabs>
        <w:spacing w:after="0" w:line="288" w:lineRule="auto"/>
        <w:rPr>
          <w:lang w:val="en-AU"/>
        </w:rPr>
      </w:pPr>
    </w:p>
    <w:p w:rsidR="00B706F7" w:rsidRPr="007D4B4B" w:rsidRDefault="00B706F7" w:rsidP="007E4B5E">
      <w:pPr>
        <w:tabs>
          <w:tab w:val="left" w:pos="426"/>
          <w:tab w:val="right" w:pos="8931"/>
        </w:tabs>
        <w:spacing w:after="0" w:line="288" w:lineRule="auto"/>
        <w:rPr>
          <w:lang w:val="en-AU"/>
        </w:rPr>
      </w:pPr>
    </w:p>
    <w:p w:rsidR="00B706F7" w:rsidRPr="008256E2" w:rsidRDefault="00B706F7" w:rsidP="007E4B5E">
      <w:pPr>
        <w:tabs>
          <w:tab w:val="left" w:pos="426"/>
          <w:tab w:val="right" w:pos="8931"/>
        </w:tabs>
        <w:spacing w:after="0" w:line="288" w:lineRule="auto"/>
        <w:jc w:val="center"/>
        <w:rPr>
          <w:b/>
          <w:sz w:val="2"/>
          <w:szCs w:val="2"/>
          <w:lang w:val="it-IT"/>
        </w:rPr>
      </w:pPr>
    </w:p>
    <w:p w:rsidR="0029107A" w:rsidRDefault="0029107A" w:rsidP="007E4B5E">
      <w:pPr>
        <w:pStyle w:val="ListParagraph"/>
        <w:numPr>
          <w:ilvl w:val="0"/>
          <w:numId w:val="1"/>
        </w:numPr>
        <w:tabs>
          <w:tab w:val="left" w:pos="426"/>
          <w:tab w:val="right" w:pos="8931"/>
        </w:tabs>
        <w:spacing w:after="0" w:line="288" w:lineRule="auto"/>
        <w:ind w:left="0" w:firstLine="0"/>
        <w:jc w:val="mediumKashida"/>
        <w:rPr>
          <w:b/>
          <w:bCs/>
        </w:rPr>
      </w:pPr>
      <w:r w:rsidRPr="0029107A">
        <w:rPr>
          <w:b/>
          <w:bCs/>
        </w:rPr>
        <w:lastRenderedPageBreak/>
        <w:t>Introduction</w:t>
      </w:r>
    </w:p>
    <w:p w:rsidR="006C625D" w:rsidRPr="006C625D" w:rsidRDefault="006C625D" w:rsidP="007E4B5E">
      <w:pPr>
        <w:pStyle w:val="ListParagraph"/>
        <w:tabs>
          <w:tab w:val="left" w:pos="426"/>
          <w:tab w:val="right" w:pos="8931"/>
        </w:tabs>
        <w:spacing w:after="0" w:line="288" w:lineRule="auto"/>
        <w:ind w:left="0"/>
        <w:jc w:val="mediumKashida"/>
        <w:rPr>
          <w:b/>
          <w:bCs/>
          <w:sz w:val="12"/>
          <w:szCs w:val="12"/>
        </w:rPr>
      </w:pPr>
    </w:p>
    <w:p w:rsidR="00281F4A" w:rsidRDefault="00281F4A" w:rsidP="007E4B5E">
      <w:pPr>
        <w:tabs>
          <w:tab w:val="left" w:pos="426"/>
          <w:tab w:val="right" w:pos="8931"/>
        </w:tabs>
        <w:spacing w:after="0" w:line="288" w:lineRule="auto"/>
        <w:jc w:val="mediumKashida"/>
      </w:pPr>
      <w:r w:rsidRPr="00BE02E9">
        <w:t>Remittances by immigrant workers are an important source of funds for many developing countries and their inflows have been rapidly growing. Analyses of World Bank data have confirmed a number of broad generalisations based on statistical calculations: During 2007 and 2008, the growth rate in remittances was 15 percent</w:t>
      </w:r>
      <w:r w:rsidRPr="00BE02E9">
        <w:rPr>
          <w:rStyle w:val="FootnoteReference"/>
        </w:rPr>
        <w:footnoteReference w:id="1"/>
      </w:r>
      <w:r w:rsidR="0029107A">
        <w:t>. The magnitude of w</w:t>
      </w:r>
      <w:r w:rsidR="0029107A" w:rsidRPr="0029107A">
        <w:t xml:space="preserve">orkers' remittances </w:t>
      </w:r>
      <w:r w:rsidR="0029107A">
        <w:t xml:space="preserve">is </w:t>
      </w:r>
      <w:r w:rsidR="0029107A" w:rsidRPr="0029107A">
        <w:t>more than three times the value of Official Development Assistance (ODA)</w:t>
      </w:r>
      <w:r w:rsidR="0029107A">
        <w:t xml:space="preserve"> worldwide</w:t>
      </w:r>
      <w:r w:rsidR="0029107A" w:rsidRPr="0029107A">
        <w:t>, being second only to FDI flows in developing countries</w:t>
      </w:r>
      <w:r w:rsidR="0029107A">
        <w:t xml:space="preserve"> and given the sharp decline in FDI after the global financial crisis, the gap between remittances and FDI flows is closing very fast</w:t>
      </w:r>
      <w:r w:rsidR="0029107A" w:rsidRPr="0029107A">
        <w:t xml:space="preserve">. </w:t>
      </w:r>
      <w:r w:rsidR="00162C37">
        <w:t>According to World Bank (2011) w</w:t>
      </w:r>
      <w:r w:rsidR="0029107A" w:rsidRPr="0029107A">
        <w:t>orker</w:t>
      </w:r>
      <w:r w:rsidR="0029107A">
        <w:t>s’</w:t>
      </w:r>
      <w:r w:rsidR="0029107A" w:rsidRPr="0029107A">
        <w:t xml:space="preserve"> remittances in developing countries reached US$280.8 billion in</w:t>
      </w:r>
      <w:r w:rsidR="0029107A">
        <w:t xml:space="preserve"> 2009 accounting </w:t>
      </w:r>
      <w:r w:rsidR="0029107A" w:rsidRPr="0029107A">
        <w:t xml:space="preserve">for 42.1 percent of all external sources of financial flows, including </w:t>
      </w:r>
      <w:r w:rsidR="0029107A">
        <w:t>ODA</w:t>
      </w:r>
      <w:r w:rsidR="0029107A" w:rsidRPr="0029107A">
        <w:t xml:space="preserve"> and FDI flows to developing countries </w:t>
      </w:r>
      <w:r w:rsidR="00162C37">
        <w:t>and</w:t>
      </w:r>
      <w:r w:rsidR="0029107A" w:rsidRPr="0029107A">
        <w:t xml:space="preserve"> </w:t>
      </w:r>
      <w:r w:rsidR="00162C37">
        <w:t>i</w:t>
      </w:r>
      <w:r w:rsidR="0029107A" w:rsidRPr="0029107A">
        <w:t>n 2010, remittances received by developing countries reached US$325 billion, and expected to</w:t>
      </w:r>
      <w:r w:rsidR="00162C37">
        <w:t xml:space="preserve"> grow to US$374 billion by 2012.</w:t>
      </w:r>
    </w:p>
    <w:p w:rsidR="00376D10" w:rsidRPr="00BE02E9" w:rsidRDefault="00376D10" w:rsidP="007E4B5E">
      <w:pPr>
        <w:tabs>
          <w:tab w:val="left" w:pos="426"/>
          <w:tab w:val="right" w:pos="8931"/>
        </w:tabs>
        <w:spacing w:after="0" w:line="288" w:lineRule="auto"/>
        <w:jc w:val="mediumKashida"/>
      </w:pPr>
    </w:p>
    <w:p w:rsidR="00281F4A" w:rsidRDefault="00281F4A" w:rsidP="007E4B5E">
      <w:pPr>
        <w:tabs>
          <w:tab w:val="left" w:pos="426"/>
          <w:tab w:val="right" w:pos="8931"/>
        </w:tabs>
        <w:spacing w:after="0" w:line="288" w:lineRule="auto"/>
        <w:ind w:firstLine="360"/>
        <w:jc w:val="mediumKashida"/>
      </w:pPr>
      <w:r w:rsidRPr="00BE02E9">
        <w:t xml:space="preserve">  The ratio of remittances to GDP exceeds </w:t>
      </w:r>
      <w:r w:rsidR="00B706F7">
        <w:t>one</w:t>
      </w:r>
      <w:r w:rsidRPr="00BE02E9">
        <w:t xml:space="preserve"> percent in 60 countries. A significant proportion of these inflows are for altruistic reasons to support consumption and the living standards of family members, some are also motivated by pecuniary gains and take advantage of the incentives offer</w:t>
      </w:r>
      <w:r w:rsidR="0029107A">
        <w:t xml:space="preserve">ed by the recipient countries. </w:t>
      </w:r>
      <w:r>
        <w:t xml:space="preserve">The flow of remittances in the source country can be either countercyclical or </w:t>
      </w:r>
      <w:proofErr w:type="spellStart"/>
      <w:r>
        <w:t>procyclical</w:t>
      </w:r>
      <w:proofErr w:type="spellEnd"/>
      <w:r>
        <w:t xml:space="preserve">. </w:t>
      </w:r>
      <w:r w:rsidRPr="00BE02E9">
        <w:t xml:space="preserve">Migrants </w:t>
      </w:r>
      <w:r w:rsidR="00484C67">
        <w:t>sending</w:t>
      </w:r>
      <w:r w:rsidRPr="00BE02E9">
        <w:t xml:space="preserve"> remittances out of altruism have a strong desire to compensate their members of the households in order to offset or prevent income shortfalls due to negative impacts of economic fluctuation or external shocks in the home country. In this sense remittances motivated by altruism can be seem as compensatory transfers indicating remittances tend to increase when the recipient country is in relative recession and decrease when the origin country has above trend relative income which leads to the hypothesis that remittances exhibit countercyclical behaviour. </w:t>
      </w:r>
      <w:proofErr w:type="spellStart"/>
      <w:r w:rsidRPr="00BE02E9">
        <w:t>Chami</w:t>
      </w:r>
      <w:proofErr w:type="spellEnd"/>
      <w:r w:rsidRPr="00BE02E9">
        <w:t xml:space="preserve"> </w:t>
      </w:r>
      <w:r w:rsidRPr="00B706F7">
        <w:rPr>
          <w:i/>
        </w:rPr>
        <w:t>et al</w:t>
      </w:r>
      <w:r w:rsidRPr="00BE02E9">
        <w:t xml:space="preserve">. (2005, 2008) have found support for this hypothesis in a large panel of countries which is complemented by </w:t>
      </w:r>
      <w:proofErr w:type="spellStart"/>
      <w:r w:rsidRPr="00BE02E9">
        <w:t>Mishra</w:t>
      </w:r>
      <w:proofErr w:type="spellEnd"/>
      <w:r w:rsidRPr="00BE02E9">
        <w:t xml:space="preserve"> (2005) who has found remittances to be countercyclical in Caribbean countries and </w:t>
      </w:r>
      <w:proofErr w:type="spellStart"/>
      <w:r w:rsidRPr="00BE02E9">
        <w:t>Sayan</w:t>
      </w:r>
      <w:proofErr w:type="spellEnd"/>
      <w:r w:rsidRPr="00BE02E9">
        <w:t xml:space="preserve"> (2006) who finds similar evidence in low and lower-middle income countries. </w:t>
      </w:r>
    </w:p>
    <w:p w:rsidR="00376D10" w:rsidRPr="00BE02E9" w:rsidRDefault="00376D10" w:rsidP="007E4B5E">
      <w:pPr>
        <w:tabs>
          <w:tab w:val="left" w:pos="426"/>
          <w:tab w:val="right" w:pos="8931"/>
        </w:tabs>
        <w:spacing w:after="0" w:line="288" w:lineRule="auto"/>
        <w:ind w:firstLine="360"/>
        <w:jc w:val="mediumKashida"/>
      </w:pPr>
    </w:p>
    <w:p w:rsidR="00281F4A" w:rsidRDefault="00281F4A" w:rsidP="007E4B5E">
      <w:pPr>
        <w:tabs>
          <w:tab w:val="left" w:pos="426"/>
          <w:tab w:val="right" w:pos="8931"/>
        </w:tabs>
        <w:spacing w:after="0" w:line="288" w:lineRule="auto"/>
        <w:ind w:firstLine="360"/>
        <w:jc w:val="mediumKashida"/>
      </w:pPr>
      <w:r w:rsidRPr="00BE02E9">
        <w:t>The counter</w:t>
      </w:r>
      <w:r w:rsidR="00B2738D">
        <w:t>-</w:t>
      </w:r>
      <w:r w:rsidRPr="00BE02E9">
        <w:t xml:space="preserve">cyclicality of remittances </w:t>
      </w:r>
      <w:proofErr w:type="gramStart"/>
      <w:r w:rsidRPr="00BE02E9">
        <w:t>flows</w:t>
      </w:r>
      <w:proofErr w:type="gramEnd"/>
      <w:r w:rsidRPr="00BE02E9">
        <w:t xml:space="preserve"> leads to the hypothesis of smoothing. Using a large data set on bilateral remittances Frankel (2011) has shown that remittances tend to smooth consumption and investment inter</w:t>
      </w:r>
      <w:r w:rsidR="00B2738D">
        <w:t>-</w:t>
      </w:r>
      <w:proofErr w:type="spellStart"/>
      <w:r w:rsidRPr="00BE02E9">
        <w:t>temporaly</w:t>
      </w:r>
      <w:proofErr w:type="spellEnd"/>
      <w:r w:rsidRPr="00BE02E9">
        <w:t xml:space="preserve">. As a result of this consumption and investment smoothing effect, remittances can reduce </w:t>
      </w:r>
      <w:r w:rsidRPr="00BE02E9">
        <w:lastRenderedPageBreak/>
        <w:t xml:space="preserve">economic fluctuations in the recipient economies. </w:t>
      </w:r>
      <w:proofErr w:type="spellStart"/>
      <w:r w:rsidRPr="00BE02E9">
        <w:t>Chami</w:t>
      </w:r>
      <w:proofErr w:type="spellEnd"/>
      <w:r w:rsidRPr="00BE02E9">
        <w:t xml:space="preserve"> </w:t>
      </w:r>
      <w:r w:rsidRPr="00B706F7">
        <w:rPr>
          <w:i/>
        </w:rPr>
        <w:t>et al</w:t>
      </w:r>
      <w:r w:rsidRPr="00BE02E9">
        <w:t xml:space="preserve">. (2008, 2009) have shown that remittances do act as automatic output stabiliser and reduce output volatility. In addition, Yang and Choi (2007) using micro data have examined whether remittances sent by overseas migrants respond to income shocks experienced by Philippine households. They exploit rainfall shocks as instrument variables to capture the exogenous variation for income changes and find that in households with overseas migrants income shocks cause remittances receipts to change in the opposite direction. This finding is consistent with the hypothesis that remittances act as an insurance reducing income volatility and smoothing consumption. </w:t>
      </w:r>
    </w:p>
    <w:p w:rsidR="00376D10" w:rsidRPr="00BE02E9" w:rsidRDefault="00376D10" w:rsidP="007E4B5E">
      <w:pPr>
        <w:tabs>
          <w:tab w:val="left" w:pos="426"/>
          <w:tab w:val="right" w:pos="8931"/>
        </w:tabs>
        <w:spacing w:after="0" w:line="288" w:lineRule="auto"/>
        <w:ind w:firstLine="360"/>
        <w:jc w:val="mediumKashida"/>
      </w:pPr>
    </w:p>
    <w:p w:rsidR="00A94ED6" w:rsidRDefault="00281F4A" w:rsidP="007E4B5E">
      <w:pPr>
        <w:tabs>
          <w:tab w:val="left" w:pos="426"/>
          <w:tab w:val="right" w:pos="8931"/>
        </w:tabs>
        <w:spacing w:after="0" w:line="288" w:lineRule="auto"/>
        <w:jc w:val="mediumKashida"/>
        <w:rPr>
          <w:rFonts w:eastAsia="Times New Roman" w:cs="Times New Roman"/>
          <w:szCs w:val="24"/>
          <w:lang w:val="en-AU" w:eastAsia="en-US"/>
        </w:rPr>
      </w:pPr>
      <w:r w:rsidRPr="00BE02E9">
        <w:tab/>
      </w:r>
      <w:r w:rsidR="00484C67">
        <w:rPr>
          <w:lang w:val="en-AU"/>
        </w:rPr>
        <w:t xml:space="preserve">Because of its ability to reduce economic fluctuation in the source country and to enhance various social-economic outcomes leading to the accumulation of human capital, </w:t>
      </w:r>
      <w:r w:rsidR="004A2BC6">
        <w:rPr>
          <w:lang w:val="en-AU"/>
        </w:rPr>
        <w:t xml:space="preserve">some economists believe that the </w:t>
      </w:r>
      <w:r w:rsidR="00484C67">
        <w:rPr>
          <w:lang w:val="en-AU"/>
        </w:rPr>
        <w:t xml:space="preserve">inflow of remittances should have a direct </w:t>
      </w:r>
      <w:r w:rsidR="004240F6" w:rsidRPr="004240F6">
        <w:rPr>
          <w:lang w:val="en-AU"/>
        </w:rPr>
        <w:t xml:space="preserve">positive </w:t>
      </w:r>
      <w:r w:rsidR="00484C67">
        <w:rPr>
          <w:lang w:val="en-AU"/>
        </w:rPr>
        <w:t xml:space="preserve">correlation with the output growth and development in the recipient country. </w:t>
      </w:r>
      <w:r w:rsidR="004240F6">
        <w:rPr>
          <w:lang w:val="en-AU"/>
        </w:rPr>
        <w:t xml:space="preserve"> </w:t>
      </w:r>
      <w:r w:rsidR="004A2BC6">
        <w:rPr>
          <w:lang w:val="en-AU"/>
        </w:rPr>
        <w:t xml:space="preserve">However </w:t>
      </w:r>
      <w:r w:rsidR="006133FA" w:rsidRPr="006133FA">
        <w:rPr>
          <w:lang w:val="en-AU"/>
        </w:rPr>
        <w:t xml:space="preserve">there are debates </w:t>
      </w:r>
      <w:r w:rsidR="004A2BC6">
        <w:rPr>
          <w:lang w:val="en-AU"/>
        </w:rPr>
        <w:t>regarding the</w:t>
      </w:r>
      <w:r w:rsidR="004240F6">
        <w:rPr>
          <w:lang w:val="en-AU"/>
        </w:rPr>
        <w:t xml:space="preserve"> growth and developmental </w:t>
      </w:r>
      <w:r w:rsidR="004A2BC6">
        <w:rPr>
          <w:lang w:val="en-AU"/>
        </w:rPr>
        <w:t>contribution of</w:t>
      </w:r>
      <w:r w:rsidR="004240F6">
        <w:rPr>
          <w:lang w:val="en-AU"/>
        </w:rPr>
        <w:t xml:space="preserve"> </w:t>
      </w:r>
      <w:r w:rsidR="004A2BC6">
        <w:rPr>
          <w:lang w:val="en-AU"/>
        </w:rPr>
        <w:t xml:space="preserve">remittances and </w:t>
      </w:r>
      <w:r w:rsidR="004240F6">
        <w:rPr>
          <w:lang w:val="en-AU"/>
        </w:rPr>
        <w:t xml:space="preserve">no clear consensus has emerged.  In fact the developmental contribution of remittances literature is divided into two groups. </w:t>
      </w:r>
      <w:r w:rsidR="00314671">
        <w:rPr>
          <w:lang w:val="en-AU"/>
        </w:rPr>
        <w:t>One</w:t>
      </w:r>
      <w:r w:rsidR="004240F6">
        <w:rPr>
          <w:lang w:val="en-AU"/>
        </w:rPr>
        <w:t xml:space="preserve"> </w:t>
      </w:r>
      <w:r w:rsidR="00042540">
        <w:rPr>
          <w:lang w:val="en-AU"/>
        </w:rPr>
        <w:t>group advocates a positive developmental impact of remittances because</w:t>
      </w:r>
      <w:r w:rsidR="00042540" w:rsidRPr="00042540">
        <w:rPr>
          <w:rFonts w:eastAsia="Times New Roman" w:cs="Times New Roman"/>
          <w:szCs w:val="24"/>
          <w:lang w:val="en-AU" w:eastAsia="en-US"/>
        </w:rPr>
        <w:t xml:space="preserve"> inflow of remittances can lead to accelerated investment</w:t>
      </w:r>
      <w:r w:rsidR="00042540">
        <w:rPr>
          <w:rFonts w:eastAsia="Times New Roman" w:cs="Times New Roman"/>
          <w:szCs w:val="24"/>
          <w:lang w:val="en-AU" w:eastAsia="en-US"/>
        </w:rPr>
        <w:t>s in physical and human capital,</w:t>
      </w:r>
      <w:r w:rsidR="00042540" w:rsidRPr="00042540">
        <w:rPr>
          <w:rFonts w:eastAsia="Times New Roman" w:cs="Times New Roman"/>
          <w:szCs w:val="24"/>
          <w:lang w:val="en-AU" w:eastAsia="en-US"/>
        </w:rPr>
        <w:t xml:space="preserve"> </w:t>
      </w:r>
      <w:r w:rsidR="004A2BC6">
        <w:rPr>
          <w:rFonts w:eastAsia="Times New Roman" w:cs="Times New Roman"/>
          <w:szCs w:val="24"/>
          <w:lang w:val="en-AU" w:eastAsia="en-US"/>
        </w:rPr>
        <w:t>remove</w:t>
      </w:r>
      <w:r w:rsidR="00042540">
        <w:rPr>
          <w:rFonts w:eastAsia="Times New Roman" w:cs="Times New Roman"/>
          <w:szCs w:val="24"/>
          <w:lang w:val="en-AU" w:eastAsia="en-US"/>
        </w:rPr>
        <w:t xml:space="preserve"> household’s </w:t>
      </w:r>
      <w:r w:rsidR="004A2BC6">
        <w:rPr>
          <w:rFonts w:eastAsia="Times New Roman" w:cs="Times New Roman"/>
          <w:szCs w:val="24"/>
          <w:lang w:val="en-AU" w:eastAsia="en-US"/>
        </w:rPr>
        <w:t>credit constraint and protect</w:t>
      </w:r>
      <w:r w:rsidR="00042540">
        <w:rPr>
          <w:rFonts w:eastAsia="Times New Roman" w:cs="Times New Roman"/>
          <w:szCs w:val="24"/>
          <w:lang w:val="en-AU" w:eastAsia="en-US"/>
        </w:rPr>
        <w:t xml:space="preserve"> the economy from different types of shocks</w:t>
      </w:r>
      <w:r w:rsidR="004A2BC6">
        <w:rPr>
          <w:rFonts w:eastAsia="Times New Roman" w:cs="Times New Roman"/>
          <w:szCs w:val="24"/>
          <w:lang w:val="en-AU" w:eastAsia="en-US"/>
        </w:rPr>
        <w:t xml:space="preserve"> and thus contribute towards </w:t>
      </w:r>
      <w:r w:rsidR="004A2BC6" w:rsidRPr="004A2BC6">
        <w:rPr>
          <w:rFonts w:eastAsia="Times New Roman" w:cs="Times New Roman"/>
          <w:szCs w:val="24"/>
          <w:lang w:val="en-AU" w:eastAsia="en-US"/>
        </w:rPr>
        <w:t xml:space="preserve">long-run growth </w:t>
      </w:r>
      <w:r w:rsidR="006C625D">
        <w:rPr>
          <w:rFonts w:eastAsia="Times New Roman" w:cs="Times New Roman"/>
          <w:szCs w:val="24"/>
          <w:lang w:val="en-AU" w:eastAsia="en-US"/>
        </w:rPr>
        <w:t>(Adams 2005, Yang</w:t>
      </w:r>
      <w:r w:rsidR="00042540">
        <w:rPr>
          <w:rFonts w:eastAsia="Times New Roman" w:cs="Times New Roman"/>
          <w:szCs w:val="24"/>
          <w:lang w:val="en-AU" w:eastAsia="en-US"/>
        </w:rPr>
        <w:t xml:space="preserve"> 2008</w:t>
      </w:r>
      <w:r w:rsidR="006C625D">
        <w:rPr>
          <w:rFonts w:eastAsia="Times New Roman" w:cs="Times New Roman"/>
          <w:szCs w:val="24"/>
          <w:lang w:val="en-AU" w:eastAsia="en-US"/>
        </w:rPr>
        <w:t>,</w:t>
      </w:r>
      <w:r w:rsidR="00314671">
        <w:rPr>
          <w:rFonts w:eastAsia="Times New Roman" w:cs="Times New Roman"/>
          <w:szCs w:val="24"/>
          <w:lang w:val="en-AU" w:eastAsia="en-US"/>
        </w:rPr>
        <w:t xml:space="preserve"> </w:t>
      </w:r>
      <w:r w:rsidR="006C625D">
        <w:rPr>
          <w:rFonts w:eastAsia="Times New Roman" w:cs="Times New Roman"/>
          <w:szCs w:val="24"/>
          <w:lang w:eastAsia="en-US"/>
        </w:rPr>
        <w:t xml:space="preserve">Gupta, </w:t>
      </w:r>
      <w:proofErr w:type="spellStart"/>
      <w:r w:rsidR="006C625D">
        <w:rPr>
          <w:rFonts w:eastAsia="Times New Roman" w:cs="Times New Roman"/>
          <w:szCs w:val="24"/>
          <w:lang w:eastAsia="en-US"/>
        </w:rPr>
        <w:t>Pattillo</w:t>
      </w:r>
      <w:proofErr w:type="spellEnd"/>
      <w:r w:rsidR="006C625D">
        <w:rPr>
          <w:rFonts w:eastAsia="Times New Roman" w:cs="Times New Roman"/>
          <w:szCs w:val="24"/>
          <w:lang w:eastAsia="en-US"/>
        </w:rPr>
        <w:t xml:space="preserve"> and </w:t>
      </w:r>
      <w:proofErr w:type="spellStart"/>
      <w:r w:rsidR="006C625D">
        <w:rPr>
          <w:rFonts w:eastAsia="Times New Roman" w:cs="Times New Roman"/>
          <w:szCs w:val="24"/>
          <w:lang w:eastAsia="en-US"/>
        </w:rPr>
        <w:t>Wagh</w:t>
      </w:r>
      <w:proofErr w:type="spellEnd"/>
      <w:r w:rsidR="002C2B50">
        <w:rPr>
          <w:rFonts w:eastAsia="Times New Roman" w:cs="Times New Roman"/>
          <w:szCs w:val="24"/>
          <w:lang w:eastAsia="en-US"/>
        </w:rPr>
        <w:t xml:space="preserve"> 2009</w:t>
      </w:r>
      <w:r w:rsidR="006C625D">
        <w:rPr>
          <w:rFonts w:eastAsia="Times New Roman" w:cs="Times New Roman"/>
          <w:szCs w:val="24"/>
          <w:lang w:val="en-AU" w:eastAsia="en-US"/>
        </w:rPr>
        <w:t xml:space="preserve">, </w:t>
      </w:r>
      <w:proofErr w:type="spellStart"/>
      <w:r w:rsidR="006C625D">
        <w:rPr>
          <w:rFonts w:eastAsia="Times New Roman" w:cs="Times New Roman"/>
          <w:szCs w:val="24"/>
          <w:lang w:val="en-AU" w:eastAsia="en-US"/>
        </w:rPr>
        <w:t>Giuliano</w:t>
      </w:r>
      <w:proofErr w:type="spellEnd"/>
      <w:r w:rsidR="006C625D">
        <w:rPr>
          <w:rFonts w:eastAsia="Times New Roman" w:cs="Times New Roman"/>
          <w:szCs w:val="24"/>
          <w:lang w:val="en-AU" w:eastAsia="en-US"/>
        </w:rPr>
        <w:t xml:space="preserve"> and Ruiz-</w:t>
      </w:r>
      <w:proofErr w:type="spellStart"/>
      <w:r w:rsidR="006C625D">
        <w:rPr>
          <w:rFonts w:eastAsia="Times New Roman" w:cs="Times New Roman"/>
          <w:szCs w:val="24"/>
          <w:lang w:val="en-AU" w:eastAsia="en-US"/>
        </w:rPr>
        <w:t>Arranz</w:t>
      </w:r>
      <w:proofErr w:type="spellEnd"/>
      <w:r w:rsidR="006C625D">
        <w:rPr>
          <w:rFonts w:eastAsia="Times New Roman" w:cs="Times New Roman"/>
          <w:szCs w:val="24"/>
          <w:lang w:val="en-AU" w:eastAsia="en-US"/>
        </w:rPr>
        <w:t xml:space="preserve"> 2009,</w:t>
      </w:r>
      <w:r w:rsidR="00314671">
        <w:rPr>
          <w:rFonts w:eastAsia="Times New Roman" w:cs="Times New Roman"/>
          <w:szCs w:val="24"/>
          <w:lang w:val="en-AU" w:eastAsia="en-US"/>
        </w:rPr>
        <w:t xml:space="preserve"> </w:t>
      </w:r>
      <w:proofErr w:type="spellStart"/>
      <w:r w:rsidR="00314671">
        <w:rPr>
          <w:rFonts w:eastAsia="Times New Roman" w:cs="Times New Roman"/>
          <w:szCs w:val="24"/>
          <w:lang w:val="en-AU" w:eastAsia="en-US"/>
        </w:rPr>
        <w:t>Chami</w:t>
      </w:r>
      <w:proofErr w:type="spellEnd"/>
      <w:r w:rsidR="00314671">
        <w:rPr>
          <w:rFonts w:eastAsia="Times New Roman" w:cs="Times New Roman"/>
          <w:szCs w:val="24"/>
          <w:lang w:val="en-AU" w:eastAsia="en-US"/>
        </w:rPr>
        <w:t xml:space="preserve"> </w:t>
      </w:r>
      <w:r w:rsidR="00314671" w:rsidRPr="006C625D">
        <w:rPr>
          <w:rFonts w:eastAsia="Times New Roman" w:cs="Times New Roman"/>
          <w:i/>
          <w:szCs w:val="24"/>
          <w:lang w:val="en-AU" w:eastAsia="en-US"/>
        </w:rPr>
        <w:t>et al</w:t>
      </w:r>
      <w:r w:rsidR="006C625D">
        <w:rPr>
          <w:rFonts w:eastAsia="Times New Roman" w:cs="Times New Roman"/>
          <w:szCs w:val="24"/>
          <w:lang w:val="en-AU" w:eastAsia="en-US"/>
        </w:rPr>
        <w:t xml:space="preserve">. </w:t>
      </w:r>
      <w:r w:rsidR="00314671">
        <w:rPr>
          <w:rFonts w:eastAsia="Times New Roman" w:cs="Times New Roman"/>
          <w:szCs w:val="24"/>
          <w:lang w:val="en-AU" w:eastAsia="en-US"/>
        </w:rPr>
        <w:t xml:space="preserve">2009). </w:t>
      </w:r>
      <w:r w:rsidR="002C2B50">
        <w:rPr>
          <w:rFonts w:eastAsia="Times New Roman" w:cs="Times New Roman"/>
          <w:szCs w:val="24"/>
          <w:lang w:val="en-AU" w:eastAsia="en-US"/>
        </w:rPr>
        <w:t xml:space="preserve">Additionally, </w:t>
      </w:r>
      <w:r w:rsidR="002C2B50">
        <w:rPr>
          <w:rFonts w:eastAsia="Times New Roman" w:cs="Times New Roman"/>
          <w:szCs w:val="24"/>
          <w:lang w:eastAsia="en-US"/>
        </w:rPr>
        <w:t>there are other</w:t>
      </w:r>
      <w:r w:rsidR="002C2B50" w:rsidRPr="002C2B50">
        <w:rPr>
          <w:rFonts w:eastAsia="Times New Roman" w:cs="Times New Roman"/>
          <w:szCs w:val="24"/>
          <w:lang w:eastAsia="en-US"/>
        </w:rPr>
        <w:t xml:space="preserve"> multidimensional </w:t>
      </w:r>
      <w:r w:rsidR="002C2B50">
        <w:rPr>
          <w:rFonts w:eastAsia="Times New Roman" w:cs="Times New Roman"/>
          <w:szCs w:val="24"/>
          <w:lang w:eastAsia="en-US"/>
        </w:rPr>
        <w:t>development</w:t>
      </w:r>
      <w:r w:rsidR="002C2B50" w:rsidRPr="002C2B50">
        <w:rPr>
          <w:rFonts w:eastAsia="Times New Roman" w:cs="Times New Roman"/>
          <w:szCs w:val="24"/>
          <w:lang w:eastAsia="en-US"/>
        </w:rPr>
        <w:t xml:space="preserve"> </w:t>
      </w:r>
      <w:r w:rsidR="002C2B50">
        <w:rPr>
          <w:rFonts w:eastAsia="Times New Roman" w:cs="Times New Roman"/>
          <w:szCs w:val="24"/>
          <w:lang w:eastAsia="en-US"/>
        </w:rPr>
        <w:t xml:space="preserve">impacts of </w:t>
      </w:r>
      <w:r w:rsidR="002C2B50" w:rsidRPr="002C2B50">
        <w:rPr>
          <w:rFonts w:eastAsia="Times New Roman" w:cs="Times New Roman"/>
          <w:szCs w:val="24"/>
          <w:lang w:eastAsia="en-US"/>
        </w:rPr>
        <w:t xml:space="preserve">remittances inflow on various outcome variables. For example, remittances contribute to the reduction of </w:t>
      </w:r>
      <w:r w:rsidR="002C2B50">
        <w:rPr>
          <w:rFonts w:eastAsia="Times New Roman" w:cs="Times New Roman"/>
          <w:szCs w:val="24"/>
          <w:lang w:eastAsia="en-US"/>
        </w:rPr>
        <w:t xml:space="preserve">household </w:t>
      </w:r>
      <w:r w:rsidR="00A94ED6">
        <w:rPr>
          <w:rFonts w:eastAsia="Times New Roman" w:cs="Times New Roman"/>
          <w:szCs w:val="24"/>
          <w:lang w:eastAsia="en-US"/>
        </w:rPr>
        <w:t>poverty and</w:t>
      </w:r>
      <w:r w:rsidR="002C2B50" w:rsidRPr="002C2B50">
        <w:rPr>
          <w:rFonts w:eastAsia="Times New Roman" w:cs="Times New Roman"/>
          <w:szCs w:val="24"/>
          <w:lang w:eastAsia="en-US"/>
        </w:rPr>
        <w:t xml:space="preserve"> improvement in the educational and health outcome of the recipi</w:t>
      </w:r>
      <w:r w:rsidR="006C625D">
        <w:rPr>
          <w:rFonts w:eastAsia="Times New Roman" w:cs="Times New Roman"/>
          <w:szCs w:val="24"/>
          <w:lang w:eastAsia="en-US"/>
        </w:rPr>
        <w:t>ent households (for details see Adams and Page 2005,</w:t>
      </w:r>
      <w:r w:rsidR="002C2B50" w:rsidRPr="002C2B50">
        <w:rPr>
          <w:rFonts w:eastAsia="Times New Roman" w:cs="Times New Roman"/>
          <w:szCs w:val="24"/>
          <w:lang w:eastAsia="en-US"/>
        </w:rPr>
        <w:t xml:space="preserve"> </w:t>
      </w:r>
      <w:r w:rsidR="002C2B50">
        <w:rPr>
          <w:rFonts w:eastAsia="Times New Roman" w:cs="Times New Roman"/>
          <w:szCs w:val="24"/>
          <w:lang w:val="en-AU" w:eastAsia="en-US"/>
        </w:rPr>
        <w:t>Hanson and Woodruff</w:t>
      </w:r>
      <w:r w:rsidR="006C625D">
        <w:rPr>
          <w:rFonts w:eastAsia="Times New Roman" w:cs="Times New Roman"/>
          <w:szCs w:val="24"/>
          <w:lang w:val="en-AU" w:eastAsia="en-US"/>
        </w:rPr>
        <w:t xml:space="preserve"> 2003, Cox-Edwards and </w:t>
      </w:r>
      <w:proofErr w:type="spellStart"/>
      <w:r w:rsidR="006C625D">
        <w:rPr>
          <w:rFonts w:eastAsia="Times New Roman" w:cs="Times New Roman"/>
          <w:szCs w:val="24"/>
          <w:lang w:val="en-AU" w:eastAsia="en-US"/>
        </w:rPr>
        <w:t>Ureta</w:t>
      </w:r>
      <w:proofErr w:type="spellEnd"/>
      <w:r w:rsidR="006C625D">
        <w:rPr>
          <w:rFonts w:eastAsia="Times New Roman" w:cs="Times New Roman"/>
          <w:szCs w:val="24"/>
          <w:lang w:val="en-AU" w:eastAsia="en-US"/>
        </w:rPr>
        <w:t xml:space="preserve"> 2003,</w:t>
      </w:r>
      <w:r w:rsidR="002C2B50" w:rsidRPr="002C2B50">
        <w:rPr>
          <w:rFonts w:eastAsia="Times New Roman" w:cs="Times New Roman"/>
          <w:szCs w:val="24"/>
          <w:lang w:val="en-AU" w:eastAsia="en-US"/>
        </w:rPr>
        <w:t xml:space="preserve"> Frank and H</w:t>
      </w:r>
      <w:r w:rsidR="006C625D">
        <w:rPr>
          <w:rFonts w:eastAsia="Times New Roman" w:cs="Times New Roman"/>
          <w:szCs w:val="24"/>
          <w:lang w:val="en-AU" w:eastAsia="en-US"/>
        </w:rPr>
        <w:t xml:space="preserve">ummer 2002 and </w:t>
      </w:r>
      <w:proofErr w:type="spellStart"/>
      <w:r w:rsidR="006C625D">
        <w:rPr>
          <w:rFonts w:eastAsia="Times New Roman" w:cs="Times New Roman"/>
          <w:szCs w:val="24"/>
          <w:lang w:val="en-AU" w:eastAsia="en-US"/>
        </w:rPr>
        <w:t>Hildebrant</w:t>
      </w:r>
      <w:proofErr w:type="spellEnd"/>
      <w:r w:rsidR="006C625D">
        <w:rPr>
          <w:rFonts w:eastAsia="Times New Roman" w:cs="Times New Roman"/>
          <w:szCs w:val="24"/>
          <w:lang w:val="en-AU" w:eastAsia="en-US"/>
        </w:rPr>
        <w:t xml:space="preserve"> and </w:t>
      </w:r>
      <w:proofErr w:type="spellStart"/>
      <w:r w:rsidR="006C625D">
        <w:rPr>
          <w:rFonts w:eastAsia="Times New Roman" w:cs="Times New Roman"/>
          <w:szCs w:val="24"/>
          <w:lang w:val="en-AU" w:eastAsia="en-US"/>
        </w:rPr>
        <w:t>Mckenzie</w:t>
      </w:r>
      <w:proofErr w:type="spellEnd"/>
      <w:r w:rsidR="002C2B50" w:rsidRPr="002C2B50">
        <w:rPr>
          <w:rFonts w:eastAsia="Times New Roman" w:cs="Times New Roman"/>
          <w:szCs w:val="24"/>
          <w:lang w:val="en-AU" w:eastAsia="en-US"/>
        </w:rPr>
        <w:t xml:space="preserve"> 2005). </w:t>
      </w:r>
    </w:p>
    <w:p w:rsidR="00376D10" w:rsidRDefault="00376D10" w:rsidP="007E4B5E">
      <w:pPr>
        <w:tabs>
          <w:tab w:val="left" w:pos="426"/>
          <w:tab w:val="right" w:pos="8931"/>
        </w:tabs>
        <w:spacing w:after="0" w:line="288" w:lineRule="auto"/>
        <w:jc w:val="mediumKashida"/>
        <w:rPr>
          <w:rFonts w:eastAsia="Times New Roman" w:cs="Times New Roman"/>
          <w:szCs w:val="24"/>
          <w:lang w:val="en-AU" w:eastAsia="en-US"/>
        </w:rPr>
      </w:pPr>
    </w:p>
    <w:p w:rsidR="004A0C4D" w:rsidRDefault="00314671" w:rsidP="007E4B5E">
      <w:pPr>
        <w:tabs>
          <w:tab w:val="left" w:pos="426"/>
          <w:tab w:val="right" w:pos="8931"/>
        </w:tabs>
        <w:spacing w:after="0" w:line="288" w:lineRule="auto"/>
        <w:ind w:firstLine="426"/>
        <w:jc w:val="mediumKashida"/>
        <w:rPr>
          <w:rFonts w:eastAsia="Times New Roman" w:cs="Times New Roman"/>
          <w:szCs w:val="24"/>
          <w:lang w:val="en-AU" w:eastAsia="en-US"/>
        </w:rPr>
      </w:pPr>
      <w:r>
        <w:rPr>
          <w:rFonts w:eastAsia="Times New Roman" w:cs="Times New Roman"/>
          <w:szCs w:val="24"/>
          <w:lang w:val="en-AU" w:eastAsia="en-US"/>
        </w:rPr>
        <w:t xml:space="preserve">The </w:t>
      </w:r>
      <w:r w:rsidR="00C728FC">
        <w:rPr>
          <w:rFonts w:eastAsia="Times New Roman" w:cs="Times New Roman"/>
          <w:szCs w:val="24"/>
          <w:lang w:val="en-AU" w:eastAsia="en-US"/>
        </w:rPr>
        <w:t>less optimist group promote</w:t>
      </w:r>
      <w:r>
        <w:rPr>
          <w:rFonts w:eastAsia="Times New Roman" w:cs="Times New Roman"/>
          <w:szCs w:val="24"/>
          <w:lang w:val="en-AU" w:eastAsia="en-US"/>
        </w:rPr>
        <w:t xml:space="preserve"> that remittances can also act like a curse and lower the long run growth for the recipient</w:t>
      </w:r>
      <w:r w:rsidR="004A2BC6">
        <w:rPr>
          <w:rFonts w:eastAsia="Times New Roman" w:cs="Times New Roman"/>
          <w:szCs w:val="24"/>
          <w:lang w:val="en-AU" w:eastAsia="en-US"/>
        </w:rPr>
        <w:t xml:space="preserve"> economies</w:t>
      </w:r>
      <w:r w:rsidR="007E4B5E">
        <w:rPr>
          <w:rFonts w:eastAsia="Times New Roman" w:cs="Times New Roman"/>
          <w:szCs w:val="24"/>
          <w:lang w:val="en-AU" w:eastAsia="en-US"/>
        </w:rPr>
        <w:t>. For instance</w:t>
      </w:r>
      <w:r w:rsidR="0066701A">
        <w:rPr>
          <w:rFonts w:eastAsia="Times New Roman" w:cs="Times New Roman"/>
          <w:szCs w:val="24"/>
          <w:lang w:val="en-AU" w:eastAsia="en-US"/>
        </w:rPr>
        <w:t xml:space="preserve">, Stahl and Arnold (1986) show that savings out of remittances are used for consumption </w:t>
      </w:r>
      <w:r w:rsidR="000248DA">
        <w:rPr>
          <w:rFonts w:eastAsia="Times New Roman" w:cs="Times New Roman"/>
          <w:szCs w:val="24"/>
          <w:lang w:val="en-AU" w:eastAsia="en-US"/>
        </w:rPr>
        <w:t xml:space="preserve">rather </w:t>
      </w:r>
      <w:r w:rsidR="00914493">
        <w:rPr>
          <w:rFonts w:eastAsia="Times New Roman" w:cs="Times New Roman"/>
          <w:szCs w:val="24"/>
          <w:lang w:val="en-AU" w:eastAsia="en-US"/>
        </w:rPr>
        <w:t>being</w:t>
      </w:r>
      <w:r w:rsidR="0066701A">
        <w:rPr>
          <w:rFonts w:eastAsia="Times New Roman" w:cs="Times New Roman"/>
          <w:szCs w:val="24"/>
          <w:lang w:val="en-AU" w:eastAsia="en-US"/>
        </w:rPr>
        <w:t xml:space="preserve"> invest</w:t>
      </w:r>
      <w:r w:rsidR="00914493">
        <w:rPr>
          <w:rFonts w:eastAsia="Times New Roman" w:cs="Times New Roman"/>
          <w:szCs w:val="24"/>
          <w:lang w:val="en-AU" w:eastAsia="en-US"/>
        </w:rPr>
        <w:t>ed</w:t>
      </w:r>
      <w:r w:rsidR="007E4B5E">
        <w:rPr>
          <w:rFonts w:eastAsia="Times New Roman" w:cs="Times New Roman"/>
          <w:szCs w:val="24"/>
          <w:lang w:val="en-AU" w:eastAsia="en-US"/>
        </w:rPr>
        <w:t xml:space="preserve"> in productive assets while </w:t>
      </w:r>
      <w:proofErr w:type="spellStart"/>
      <w:r>
        <w:rPr>
          <w:rFonts w:eastAsia="Times New Roman" w:cs="Times New Roman"/>
          <w:szCs w:val="24"/>
          <w:lang w:val="en-AU" w:eastAsia="en-US"/>
        </w:rPr>
        <w:t>Chami</w:t>
      </w:r>
      <w:proofErr w:type="spellEnd"/>
      <w:r>
        <w:rPr>
          <w:rFonts w:eastAsia="Times New Roman" w:cs="Times New Roman"/>
          <w:szCs w:val="24"/>
          <w:lang w:val="en-AU" w:eastAsia="en-US"/>
        </w:rPr>
        <w:t xml:space="preserve"> </w:t>
      </w:r>
      <w:r w:rsidRPr="006C625D">
        <w:rPr>
          <w:rFonts w:eastAsia="Times New Roman" w:cs="Times New Roman"/>
          <w:i/>
          <w:szCs w:val="24"/>
          <w:lang w:val="en-AU" w:eastAsia="en-US"/>
        </w:rPr>
        <w:t>et al</w:t>
      </w:r>
      <w:r>
        <w:rPr>
          <w:rFonts w:eastAsia="Times New Roman" w:cs="Times New Roman"/>
          <w:szCs w:val="24"/>
          <w:lang w:val="en-AU" w:eastAsia="en-US"/>
        </w:rPr>
        <w:t xml:space="preserve">. (2003) show that remittances can create moral hazard problem and reduce labour force participation. </w:t>
      </w:r>
      <w:r w:rsidR="00914493">
        <w:rPr>
          <w:rFonts w:eastAsia="Times New Roman" w:cs="Times New Roman"/>
          <w:szCs w:val="24"/>
          <w:lang w:val="en-AU" w:eastAsia="en-US"/>
        </w:rPr>
        <w:t>In addition</w:t>
      </w:r>
      <w:r>
        <w:rPr>
          <w:rFonts w:eastAsia="Times New Roman" w:cs="Times New Roman"/>
          <w:szCs w:val="24"/>
          <w:lang w:val="en-AU" w:eastAsia="en-US"/>
        </w:rPr>
        <w:t xml:space="preserve">, </w:t>
      </w:r>
      <w:r w:rsidR="003E1C4A" w:rsidRPr="003E1C4A">
        <w:rPr>
          <w:rFonts w:eastAsia="Times New Roman" w:cs="Times New Roman"/>
          <w:szCs w:val="24"/>
          <w:lang w:val="en-AU" w:eastAsia="en-US"/>
        </w:rPr>
        <w:t xml:space="preserve">remittances can </w:t>
      </w:r>
      <w:r w:rsidR="00914493">
        <w:rPr>
          <w:rFonts w:eastAsia="Times New Roman" w:cs="Times New Roman"/>
          <w:szCs w:val="24"/>
          <w:lang w:val="en-AU" w:eastAsia="en-US"/>
        </w:rPr>
        <w:t>be a negative</w:t>
      </w:r>
      <w:r w:rsidR="003E1C4A" w:rsidRPr="003E1C4A">
        <w:rPr>
          <w:rFonts w:eastAsia="Times New Roman" w:cs="Times New Roman"/>
          <w:szCs w:val="24"/>
          <w:lang w:val="en-AU" w:eastAsia="en-US"/>
        </w:rPr>
        <w:t xml:space="preserve"> </w:t>
      </w:r>
      <w:r w:rsidR="00914493">
        <w:rPr>
          <w:rFonts w:eastAsia="Times New Roman" w:cs="Times New Roman"/>
          <w:szCs w:val="24"/>
          <w:lang w:val="en-AU" w:eastAsia="en-US"/>
        </w:rPr>
        <w:t>factor for</w:t>
      </w:r>
      <w:r w:rsidR="003E1C4A">
        <w:rPr>
          <w:rFonts w:eastAsia="Times New Roman" w:cs="Times New Roman"/>
          <w:szCs w:val="24"/>
          <w:lang w:val="en-AU" w:eastAsia="en-US"/>
        </w:rPr>
        <w:t xml:space="preserve"> the tradable sector</w:t>
      </w:r>
      <w:r w:rsidR="003E1C4A" w:rsidRPr="003E1C4A">
        <w:rPr>
          <w:rFonts w:eastAsia="Times New Roman" w:cs="Times New Roman"/>
          <w:szCs w:val="24"/>
          <w:lang w:val="en-AU" w:eastAsia="en-US"/>
        </w:rPr>
        <w:t xml:space="preserve"> of the economy </w:t>
      </w:r>
      <w:r w:rsidR="004A2BC6">
        <w:rPr>
          <w:rFonts w:eastAsia="Times New Roman" w:cs="Times New Roman"/>
          <w:szCs w:val="24"/>
          <w:lang w:val="en-AU" w:eastAsia="en-US"/>
        </w:rPr>
        <w:t>by</w:t>
      </w:r>
      <w:r w:rsidR="003E1C4A" w:rsidRPr="003E1C4A">
        <w:rPr>
          <w:rFonts w:eastAsia="Times New Roman" w:cs="Times New Roman"/>
          <w:szCs w:val="24"/>
          <w:lang w:val="en-AU" w:eastAsia="en-US"/>
        </w:rPr>
        <w:t xml:space="preserve"> appreciating the real exchange rate (</w:t>
      </w:r>
      <w:proofErr w:type="spellStart"/>
      <w:r w:rsidR="006C625D">
        <w:rPr>
          <w:rFonts w:eastAsia="Times New Roman" w:cs="Times New Roman"/>
          <w:szCs w:val="24"/>
          <w:lang w:val="en-AU" w:eastAsia="en-US"/>
        </w:rPr>
        <w:t>Amuedo-Dorantes</w:t>
      </w:r>
      <w:proofErr w:type="spellEnd"/>
      <w:r w:rsidR="006C625D">
        <w:rPr>
          <w:rFonts w:eastAsia="Times New Roman" w:cs="Times New Roman"/>
          <w:szCs w:val="24"/>
          <w:lang w:val="en-AU" w:eastAsia="en-US"/>
        </w:rPr>
        <w:t xml:space="preserve"> and </w:t>
      </w:r>
      <w:proofErr w:type="spellStart"/>
      <w:r w:rsidR="006C625D">
        <w:rPr>
          <w:rFonts w:eastAsia="Times New Roman" w:cs="Times New Roman"/>
          <w:szCs w:val="24"/>
          <w:lang w:val="en-AU" w:eastAsia="en-US"/>
        </w:rPr>
        <w:t>Pozo</w:t>
      </w:r>
      <w:proofErr w:type="spellEnd"/>
      <w:r w:rsidR="006C625D">
        <w:rPr>
          <w:rFonts w:eastAsia="Times New Roman" w:cs="Times New Roman"/>
          <w:szCs w:val="24"/>
          <w:lang w:val="en-AU" w:eastAsia="en-US"/>
        </w:rPr>
        <w:t xml:space="preserve"> 2004,</w:t>
      </w:r>
      <w:r w:rsidR="003E1C4A">
        <w:rPr>
          <w:rFonts w:eastAsia="Times New Roman" w:cs="Times New Roman"/>
          <w:szCs w:val="24"/>
          <w:lang w:val="en-AU" w:eastAsia="en-US"/>
        </w:rPr>
        <w:t xml:space="preserve"> </w:t>
      </w:r>
      <w:proofErr w:type="spellStart"/>
      <w:r w:rsidR="003E1C4A" w:rsidRPr="003E1C4A">
        <w:rPr>
          <w:rFonts w:eastAsia="Times New Roman" w:cs="Times New Roman"/>
          <w:szCs w:val="24"/>
          <w:lang w:val="en-AU" w:eastAsia="en-US"/>
        </w:rPr>
        <w:t>Chami</w:t>
      </w:r>
      <w:proofErr w:type="spellEnd"/>
      <w:r w:rsidR="003E1C4A" w:rsidRPr="003E1C4A">
        <w:rPr>
          <w:rFonts w:eastAsia="Times New Roman" w:cs="Times New Roman"/>
          <w:szCs w:val="24"/>
          <w:lang w:val="en-AU" w:eastAsia="en-US"/>
        </w:rPr>
        <w:t xml:space="preserve"> </w:t>
      </w:r>
      <w:r w:rsidR="003E1C4A" w:rsidRPr="006C625D">
        <w:rPr>
          <w:rFonts w:eastAsia="Times New Roman" w:cs="Times New Roman"/>
          <w:i/>
          <w:szCs w:val="24"/>
          <w:lang w:val="en-AU" w:eastAsia="en-US"/>
        </w:rPr>
        <w:t>et al</w:t>
      </w:r>
      <w:r w:rsidR="00376D10">
        <w:rPr>
          <w:rFonts w:eastAsia="Times New Roman" w:cs="Times New Roman"/>
          <w:szCs w:val="24"/>
          <w:lang w:val="en-AU" w:eastAsia="en-US"/>
        </w:rPr>
        <w:t>.</w:t>
      </w:r>
      <w:r w:rsidR="003E1C4A" w:rsidRPr="003E1C4A">
        <w:rPr>
          <w:rFonts w:eastAsia="Times New Roman" w:cs="Times New Roman"/>
          <w:szCs w:val="24"/>
          <w:lang w:val="en-AU" w:eastAsia="en-US"/>
        </w:rPr>
        <w:t xml:space="preserve"> 2008</w:t>
      </w:r>
      <w:r w:rsidR="00376D10">
        <w:rPr>
          <w:rFonts w:eastAsia="Times New Roman" w:cs="Times New Roman"/>
          <w:szCs w:val="24"/>
          <w:lang w:val="en-AU" w:eastAsia="en-US"/>
        </w:rPr>
        <w:t>,</w:t>
      </w:r>
      <w:r w:rsidR="006C625D">
        <w:rPr>
          <w:rFonts w:eastAsia="Times New Roman" w:cs="Times New Roman"/>
          <w:szCs w:val="24"/>
          <w:lang w:val="en-AU" w:eastAsia="en-US"/>
        </w:rPr>
        <w:t xml:space="preserve"> Hassan and Holmes </w:t>
      </w:r>
      <w:r w:rsidR="00A94ED6">
        <w:rPr>
          <w:rFonts w:eastAsia="Times New Roman" w:cs="Times New Roman"/>
          <w:szCs w:val="24"/>
          <w:lang w:val="en-AU" w:eastAsia="en-US"/>
        </w:rPr>
        <w:t>2013</w:t>
      </w:r>
      <w:r w:rsidR="003E1C4A">
        <w:rPr>
          <w:rFonts w:eastAsia="Times New Roman" w:cs="Times New Roman"/>
          <w:szCs w:val="24"/>
          <w:lang w:val="en-AU" w:eastAsia="en-US"/>
        </w:rPr>
        <w:t xml:space="preserve">). </w:t>
      </w:r>
    </w:p>
    <w:p w:rsidR="00376D10" w:rsidRDefault="00376D10" w:rsidP="007E4B5E">
      <w:pPr>
        <w:tabs>
          <w:tab w:val="left" w:pos="426"/>
          <w:tab w:val="right" w:pos="8931"/>
        </w:tabs>
        <w:spacing w:after="0" w:line="288" w:lineRule="auto"/>
        <w:ind w:firstLine="720"/>
        <w:jc w:val="mediumKashida"/>
        <w:rPr>
          <w:rFonts w:eastAsia="Times New Roman" w:cs="Times New Roman"/>
          <w:szCs w:val="24"/>
          <w:lang w:val="en-AU" w:eastAsia="en-US"/>
        </w:rPr>
      </w:pPr>
    </w:p>
    <w:p w:rsidR="00042540" w:rsidRDefault="003E1C4A" w:rsidP="007E4B5E">
      <w:pPr>
        <w:tabs>
          <w:tab w:val="left" w:pos="426"/>
          <w:tab w:val="right" w:pos="8931"/>
        </w:tabs>
        <w:spacing w:after="0" w:line="288" w:lineRule="auto"/>
        <w:ind w:firstLine="426"/>
        <w:jc w:val="mediumKashida"/>
        <w:rPr>
          <w:rFonts w:eastAsia="Times New Roman" w:cs="Times New Roman"/>
          <w:szCs w:val="24"/>
          <w:lang w:val="en-AU" w:eastAsia="en-US"/>
        </w:rPr>
      </w:pPr>
      <w:r>
        <w:rPr>
          <w:rFonts w:eastAsia="Times New Roman" w:cs="Times New Roman"/>
          <w:szCs w:val="24"/>
          <w:lang w:val="en-AU" w:eastAsia="en-US"/>
        </w:rPr>
        <w:t xml:space="preserve">The growth impact of remittances </w:t>
      </w:r>
      <w:r w:rsidR="004A2BC6">
        <w:rPr>
          <w:rFonts w:eastAsia="Times New Roman" w:cs="Times New Roman"/>
          <w:szCs w:val="24"/>
          <w:lang w:val="en-AU" w:eastAsia="en-US"/>
        </w:rPr>
        <w:t xml:space="preserve">need </w:t>
      </w:r>
      <w:r>
        <w:rPr>
          <w:rFonts w:eastAsia="Times New Roman" w:cs="Times New Roman"/>
          <w:szCs w:val="24"/>
          <w:lang w:val="en-AU" w:eastAsia="en-US"/>
        </w:rPr>
        <w:t>not be direct and</w:t>
      </w:r>
      <w:r w:rsidR="004A2BC6">
        <w:rPr>
          <w:rFonts w:eastAsia="Times New Roman" w:cs="Times New Roman"/>
          <w:szCs w:val="24"/>
          <w:lang w:val="en-AU" w:eastAsia="en-US"/>
        </w:rPr>
        <w:t xml:space="preserve"> could</w:t>
      </w:r>
      <w:r>
        <w:rPr>
          <w:rFonts w:eastAsia="Times New Roman" w:cs="Times New Roman"/>
          <w:szCs w:val="24"/>
          <w:lang w:val="en-AU" w:eastAsia="en-US"/>
        </w:rPr>
        <w:t xml:space="preserve"> </w:t>
      </w:r>
      <w:r w:rsidR="004A2BC6">
        <w:rPr>
          <w:rFonts w:eastAsia="Times New Roman" w:cs="Times New Roman"/>
          <w:szCs w:val="24"/>
          <w:lang w:val="en-AU" w:eastAsia="en-US"/>
        </w:rPr>
        <w:t xml:space="preserve">be </w:t>
      </w:r>
      <w:r>
        <w:rPr>
          <w:rFonts w:eastAsia="Times New Roman" w:cs="Times New Roman"/>
          <w:szCs w:val="24"/>
          <w:lang w:val="en-AU" w:eastAsia="en-US"/>
        </w:rPr>
        <w:t xml:space="preserve">conditional on certain other factors within the economy. </w:t>
      </w:r>
      <w:r w:rsidR="00ED3043">
        <w:rPr>
          <w:rFonts w:eastAsia="Times New Roman" w:cs="Times New Roman"/>
          <w:szCs w:val="24"/>
          <w:lang w:val="en-AU" w:eastAsia="en-US"/>
        </w:rPr>
        <w:t xml:space="preserve"> </w:t>
      </w:r>
      <w:r>
        <w:rPr>
          <w:rFonts w:eastAsia="Times New Roman" w:cs="Times New Roman"/>
          <w:szCs w:val="24"/>
          <w:lang w:val="en-AU" w:eastAsia="en-US"/>
        </w:rPr>
        <w:t xml:space="preserve">For example, </w:t>
      </w:r>
      <w:proofErr w:type="spellStart"/>
      <w:r>
        <w:rPr>
          <w:rFonts w:eastAsia="Times New Roman" w:cs="Times New Roman"/>
          <w:szCs w:val="24"/>
          <w:lang w:val="en-AU" w:eastAsia="en-US"/>
        </w:rPr>
        <w:t>Catrinescu</w:t>
      </w:r>
      <w:proofErr w:type="spellEnd"/>
      <w:r>
        <w:rPr>
          <w:rFonts w:eastAsia="Times New Roman" w:cs="Times New Roman"/>
          <w:szCs w:val="24"/>
          <w:lang w:val="en-AU" w:eastAsia="en-US"/>
        </w:rPr>
        <w:t xml:space="preserve"> </w:t>
      </w:r>
      <w:r w:rsidRPr="00ED3043">
        <w:rPr>
          <w:rFonts w:eastAsia="Times New Roman" w:cs="Times New Roman"/>
          <w:i/>
          <w:szCs w:val="24"/>
          <w:lang w:val="en-AU" w:eastAsia="en-US"/>
        </w:rPr>
        <w:t>et al</w:t>
      </w:r>
      <w:r>
        <w:rPr>
          <w:rFonts w:eastAsia="Times New Roman" w:cs="Times New Roman"/>
          <w:szCs w:val="24"/>
          <w:lang w:val="en-AU" w:eastAsia="en-US"/>
        </w:rPr>
        <w:t xml:space="preserve">. (2009) have shown that </w:t>
      </w:r>
      <w:r w:rsidR="00381024">
        <w:rPr>
          <w:rFonts w:eastAsia="Times New Roman" w:cs="Times New Roman"/>
          <w:szCs w:val="24"/>
          <w:lang w:val="en-AU" w:eastAsia="en-US"/>
        </w:rPr>
        <w:t>remittances</w:t>
      </w:r>
      <w:r w:rsidR="004A2BC6">
        <w:rPr>
          <w:rFonts w:eastAsia="Times New Roman" w:cs="Times New Roman"/>
          <w:szCs w:val="24"/>
          <w:lang w:val="en-AU" w:eastAsia="en-US"/>
        </w:rPr>
        <w:t>’ contribution to growth</w:t>
      </w:r>
      <w:r w:rsidR="00381024">
        <w:rPr>
          <w:rFonts w:eastAsia="Times New Roman" w:cs="Times New Roman"/>
          <w:szCs w:val="24"/>
          <w:lang w:val="en-AU" w:eastAsia="en-US"/>
        </w:rPr>
        <w:t xml:space="preserve"> depends on the quality of </w:t>
      </w:r>
      <w:r w:rsidR="00381024">
        <w:rPr>
          <w:rFonts w:eastAsia="Times New Roman" w:cs="Times New Roman"/>
          <w:szCs w:val="24"/>
          <w:lang w:val="en-AU" w:eastAsia="en-US"/>
        </w:rPr>
        <w:lastRenderedPageBreak/>
        <w:t xml:space="preserve">domestic institutions in the recipient </w:t>
      </w:r>
      <w:r w:rsidR="004A2BC6">
        <w:rPr>
          <w:rFonts w:eastAsia="Times New Roman" w:cs="Times New Roman"/>
          <w:szCs w:val="24"/>
          <w:lang w:val="en-AU" w:eastAsia="en-US"/>
        </w:rPr>
        <w:t>countries</w:t>
      </w:r>
      <w:r w:rsidR="00381024">
        <w:rPr>
          <w:rFonts w:eastAsia="Times New Roman" w:cs="Times New Roman"/>
          <w:szCs w:val="24"/>
          <w:lang w:val="en-AU" w:eastAsia="en-US"/>
        </w:rPr>
        <w:t xml:space="preserve"> while </w:t>
      </w:r>
      <w:proofErr w:type="spellStart"/>
      <w:r w:rsidR="00381024">
        <w:rPr>
          <w:rFonts w:eastAsia="Times New Roman" w:cs="Times New Roman"/>
          <w:szCs w:val="24"/>
          <w:lang w:val="en-AU" w:eastAsia="en-US"/>
        </w:rPr>
        <w:t>Rao</w:t>
      </w:r>
      <w:proofErr w:type="spellEnd"/>
      <w:r w:rsidR="00381024">
        <w:rPr>
          <w:rFonts w:eastAsia="Times New Roman" w:cs="Times New Roman"/>
          <w:szCs w:val="24"/>
          <w:lang w:val="en-AU" w:eastAsia="en-US"/>
        </w:rPr>
        <w:t xml:space="preserve"> and Hassan (2012) have identified channel effects via whic</w:t>
      </w:r>
      <w:r w:rsidR="004A0C4D">
        <w:rPr>
          <w:rFonts w:eastAsia="Times New Roman" w:cs="Times New Roman"/>
          <w:szCs w:val="24"/>
          <w:lang w:val="en-AU" w:eastAsia="en-US"/>
        </w:rPr>
        <w:t>h remittances indirectly affect</w:t>
      </w:r>
      <w:r w:rsidR="00381024">
        <w:rPr>
          <w:rFonts w:eastAsia="Times New Roman" w:cs="Times New Roman"/>
          <w:szCs w:val="24"/>
          <w:lang w:val="en-AU" w:eastAsia="en-US"/>
        </w:rPr>
        <w:t xml:space="preserve"> long-run growth. </w:t>
      </w:r>
      <w:r w:rsidR="004A0C4D">
        <w:rPr>
          <w:rFonts w:eastAsia="Times New Roman" w:cs="Times New Roman"/>
          <w:szCs w:val="24"/>
          <w:lang w:val="en-AU" w:eastAsia="en-US"/>
        </w:rPr>
        <w:t>Furthermore</w:t>
      </w:r>
      <w:r w:rsidR="008509EC">
        <w:rPr>
          <w:rFonts w:eastAsia="Times New Roman" w:cs="Times New Roman"/>
          <w:szCs w:val="24"/>
          <w:lang w:val="en-AU" w:eastAsia="en-US"/>
        </w:rPr>
        <w:t>, i</w:t>
      </w:r>
      <w:r w:rsidR="000248DA">
        <w:rPr>
          <w:rFonts w:eastAsia="Times New Roman" w:cs="Times New Roman"/>
          <w:szCs w:val="24"/>
          <w:lang w:val="en-AU" w:eastAsia="en-US"/>
        </w:rPr>
        <w:t xml:space="preserve">nstead of testing the significance of the correlation between remittances and growth, </w:t>
      </w:r>
      <w:proofErr w:type="spellStart"/>
      <w:r w:rsidR="00381024">
        <w:rPr>
          <w:rFonts w:eastAsia="Times New Roman" w:cs="Times New Roman"/>
          <w:szCs w:val="24"/>
          <w:lang w:val="en-AU" w:eastAsia="en-US"/>
        </w:rPr>
        <w:t>Siddique</w:t>
      </w:r>
      <w:proofErr w:type="spellEnd"/>
      <w:r w:rsidR="00381024">
        <w:rPr>
          <w:rFonts w:eastAsia="Times New Roman" w:cs="Times New Roman"/>
          <w:szCs w:val="24"/>
          <w:lang w:val="en-AU" w:eastAsia="en-US"/>
        </w:rPr>
        <w:t xml:space="preserve"> </w:t>
      </w:r>
      <w:r w:rsidR="0066701A" w:rsidRPr="006C625D">
        <w:rPr>
          <w:rFonts w:eastAsia="Times New Roman" w:cs="Times New Roman"/>
          <w:i/>
          <w:szCs w:val="24"/>
          <w:lang w:val="en-AU" w:eastAsia="en-US"/>
        </w:rPr>
        <w:t>et al</w:t>
      </w:r>
      <w:r w:rsidR="0066701A">
        <w:rPr>
          <w:rFonts w:eastAsia="Times New Roman" w:cs="Times New Roman"/>
          <w:szCs w:val="24"/>
          <w:lang w:val="en-AU" w:eastAsia="en-US"/>
        </w:rPr>
        <w:t xml:space="preserve">. </w:t>
      </w:r>
      <w:r w:rsidR="00381024">
        <w:rPr>
          <w:rFonts w:eastAsia="Times New Roman" w:cs="Times New Roman"/>
          <w:szCs w:val="24"/>
          <w:lang w:val="en-AU" w:eastAsia="en-US"/>
        </w:rPr>
        <w:t>(2012</w:t>
      </w:r>
      <w:r w:rsidR="004A2BC6">
        <w:rPr>
          <w:rFonts w:eastAsia="Times New Roman" w:cs="Times New Roman"/>
          <w:szCs w:val="24"/>
          <w:lang w:val="en-AU" w:eastAsia="en-US"/>
        </w:rPr>
        <w:t>) have</w:t>
      </w:r>
      <w:r w:rsidR="0066701A">
        <w:rPr>
          <w:rFonts w:eastAsia="Times New Roman" w:cs="Times New Roman"/>
          <w:szCs w:val="24"/>
          <w:lang w:val="en-AU" w:eastAsia="en-US"/>
        </w:rPr>
        <w:t xml:space="preserve"> </w:t>
      </w:r>
      <w:r w:rsidR="004A2BC6">
        <w:rPr>
          <w:rFonts w:eastAsia="Times New Roman" w:cs="Times New Roman"/>
          <w:szCs w:val="24"/>
          <w:lang w:val="en-AU" w:eastAsia="en-US"/>
        </w:rPr>
        <w:t xml:space="preserve">formally </w:t>
      </w:r>
      <w:r w:rsidR="0066701A">
        <w:rPr>
          <w:rFonts w:eastAsia="Times New Roman" w:cs="Times New Roman"/>
          <w:szCs w:val="24"/>
          <w:lang w:val="en-AU" w:eastAsia="en-US"/>
        </w:rPr>
        <w:t xml:space="preserve">tested for causality </w:t>
      </w:r>
      <w:r w:rsidR="00E07534">
        <w:rPr>
          <w:rFonts w:eastAsia="Times New Roman" w:cs="Times New Roman"/>
          <w:szCs w:val="24"/>
          <w:lang w:val="en-AU" w:eastAsia="en-US"/>
        </w:rPr>
        <w:t>running from</w:t>
      </w:r>
      <w:r w:rsidR="0066701A">
        <w:rPr>
          <w:rFonts w:eastAsia="Times New Roman" w:cs="Times New Roman"/>
          <w:szCs w:val="24"/>
          <w:lang w:val="en-AU" w:eastAsia="en-US"/>
        </w:rPr>
        <w:t xml:space="preserve"> remittances to economic growth </w:t>
      </w:r>
      <w:r w:rsidR="00E07534">
        <w:rPr>
          <w:rFonts w:eastAsia="Times New Roman" w:cs="Times New Roman"/>
          <w:szCs w:val="24"/>
          <w:lang w:val="en-AU" w:eastAsia="en-US"/>
        </w:rPr>
        <w:t xml:space="preserve">and have found </w:t>
      </w:r>
      <w:r w:rsidR="004A0C4D">
        <w:rPr>
          <w:rFonts w:eastAsia="Times New Roman" w:cs="Times New Roman"/>
          <w:szCs w:val="24"/>
          <w:lang w:val="en-AU" w:eastAsia="en-US"/>
        </w:rPr>
        <w:t>that remittances flows do cause economic growth</w:t>
      </w:r>
      <w:r w:rsidR="00E07534">
        <w:rPr>
          <w:rFonts w:eastAsia="Times New Roman" w:cs="Times New Roman"/>
          <w:szCs w:val="24"/>
          <w:lang w:val="en-AU" w:eastAsia="en-US"/>
        </w:rPr>
        <w:t xml:space="preserve"> </w:t>
      </w:r>
      <w:r w:rsidR="004A0C4D">
        <w:rPr>
          <w:rFonts w:eastAsia="Times New Roman" w:cs="Times New Roman"/>
          <w:szCs w:val="24"/>
          <w:lang w:val="en-AU" w:eastAsia="en-US"/>
        </w:rPr>
        <w:t>but the causality is not uniform across</w:t>
      </w:r>
      <w:r w:rsidR="00A94ED6">
        <w:rPr>
          <w:rFonts w:eastAsia="Times New Roman" w:cs="Times New Roman"/>
          <w:szCs w:val="24"/>
          <w:lang w:val="en-AU" w:eastAsia="en-US"/>
        </w:rPr>
        <w:t xml:space="preserve"> </w:t>
      </w:r>
      <w:r w:rsidR="004A0C4D">
        <w:rPr>
          <w:rFonts w:eastAsia="Times New Roman" w:cs="Times New Roman"/>
          <w:szCs w:val="24"/>
          <w:lang w:val="en-AU" w:eastAsia="en-US"/>
        </w:rPr>
        <w:t xml:space="preserve">all </w:t>
      </w:r>
      <w:r w:rsidR="00A94ED6">
        <w:rPr>
          <w:rFonts w:eastAsia="Times New Roman" w:cs="Times New Roman"/>
          <w:szCs w:val="24"/>
          <w:lang w:val="en-AU" w:eastAsia="en-US"/>
        </w:rPr>
        <w:t>South Asian countries</w:t>
      </w:r>
      <w:r w:rsidR="0066701A">
        <w:rPr>
          <w:rFonts w:eastAsia="Times New Roman" w:cs="Times New Roman"/>
          <w:szCs w:val="24"/>
          <w:lang w:val="en-AU" w:eastAsia="en-US"/>
        </w:rPr>
        <w:t xml:space="preserve">. </w:t>
      </w:r>
    </w:p>
    <w:p w:rsidR="002B68BA" w:rsidRDefault="00914493" w:rsidP="007E4B5E">
      <w:pPr>
        <w:tabs>
          <w:tab w:val="left" w:pos="426"/>
          <w:tab w:val="right" w:pos="8931"/>
        </w:tabs>
        <w:spacing w:after="0" w:line="288" w:lineRule="auto"/>
        <w:jc w:val="both"/>
        <w:rPr>
          <w:rFonts w:eastAsia="Times New Roman" w:cs="Times New Roman"/>
          <w:szCs w:val="24"/>
          <w:lang w:val="en-AU" w:eastAsia="en-US"/>
        </w:rPr>
      </w:pPr>
      <w:r>
        <w:rPr>
          <w:rFonts w:eastAsia="Times New Roman" w:cs="Times New Roman"/>
          <w:szCs w:val="24"/>
          <w:lang w:val="en-AU" w:eastAsia="en-US"/>
        </w:rPr>
        <w:tab/>
      </w:r>
    </w:p>
    <w:p w:rsidR="002B68BA" w:rsidRDefault="002B68BA" w:rsidP="007E4B5E">
      <w:pPr>
        <w:pStyle w:val="ListParagraph"/>
        <w:numPr>
          <w:ilvl w:val="0"/>
          <w:numId w:val="1"/>
        </w:numPr>
        <w:tabs>
          <w:tab w:val="left" w:pos="426"/>
          <w:tab w:val="right" w:pos="8931"/>
        </w:tabs>
        <w:spacing w:after="0" w:line="288" w:lineRule="auto"/>
        <w:ind w:left="0" w:firstLine="0"/>
        <w:jc w:val="both"/>
        <w:rPr>
          <w:rFonts w:eastAsia="Times New Roman" w:cs="Times New Roman"/>
          <w:b/>
          <w:bCs/>
          <w:szCs w:val="24"/>
          <w:lang w:val="en-AU" w:eastAsia="en-US"/>
        </w:rPr>
      </w:pPr>
      <w:r w:rsidRPr="00C24164">
        <w:rPr>
          <w:rFonts w:eastAsia="Times New Roman" w:cs="Times New Roman"/>
          <w:b/>
          <w:bCs/>
          <w:szCs w:val="24"/>
          <w:lang w:val="en-AU" w:eastAsia="en-US"/>
        </w:rPr>
        <w:t>Motivation for the Current Study</w:t>
      </w:r>
    </w:p>
    <w:p w:rsidR="006C625D" w:rsidRPr="006C625D" w:rsidRDefault="006C625D" w:rsidP="007E4B5E">
      <w:pPr>
        <w:pStyle w:val="ListParagraph"/>
        <w:tabs>
          <w:tab w:val="left" w:pos="426"/>
          <w:tab w:val="right" w:pos="8931"/>
        </w:tabs>
        <w:spacing w:after="0" w:line="288" w:lineRule="auto"/>
        <w:ind w:left="0"/>
        <w:jc w:val="both"/>
        <w:rPr>
          <w:rFonts w:eastAsia="Times New Roman" w:cs="Times New Roman"/>
          <w:b/>
          <w:bCs/>
          <w:sz w:val="12"/>
          <w:szCs w:val="12"/>
          <w:lang w:val="en-AU" w:eastAsia="en-US"/>
        </w:rPr>
      </w:pPr>
    </w:p>
    <w:p w:rsidR="00AB73F3" w:rsidRDefault="002B68BA" w:rsidP="007E4B5E">
      <w:pPr>
        <w:tabs>
          <w:tab w:val="left" w:pos="426"/>
          <w:tab w:val="right" w:pos="8931"/>
        </w:tabs>
        <w:spacing w:after="0" w:line="288" w:lineRule="auto"/>
        <w:jc w:val="both"/>
        <w:rPr>
          <w:rFonts w:eastAsia="Times New Roman" w:cs="Times New Roman"/>
          <w:szCs w:val="24"/>
          <w:lang w:eastAsia="en-US"/>
        </w:rPr>
      </w:pPr>
      <w:r>
        <w:rPr>
          <w:rFonts w:eastAsia="Times New Roman" w:cs="Times New Roman"/>
          <w:szCs w:val="24"/>
          <w:lang w:val="en-AU" w:eastAsia="en-US"/>
        </w:rPr>
        <w:t>Most of t</w:t>
      </w:r>
      <w:r w:rsidR="00D7393E">
        <w:rPr>
          <w:rFonts w:eastAsia="Times New Roman" w:cs="Times New Roman"/>
          <w:szCs w:val="24"/>
          <w:lang w:val="en-AU" w:eastAsia="en-US"/>
        </w:rPr>
        <w:t xml:space="preserve">he </w:t>
      </w:r>
      <w:r>
        <w:rPr>
          <w:rFonts w:eastAsia="Times New Roman" w:cs="Times New Roman"/>
          <w:szCs w:val="24"/>
          <w:lang w:val="en-AU" w:eastAsia="en-US"/>
        </w:rPr>
        <w:t>studies mentioned in Section 1</w:t>
      </w:r>
      <w:r w:rsidR="00A94ED6">
        <w:rPr>
          <w:rFonts w:eastAsia="Times New Roman" w:cs="Times New Roman"/>
          <w:szCs w:val="24"/>
          <w:lang w:val="en-AU" w:eastAsia="en-US"/>
        </w:rPr>
        <w:t xml:space="preserve"> highlight</w:t>
      </w:r>
      <w:r w:rsidR="00D7393E">
        <w:rPr>
          <w:rFonts w:eastAsia="Times New Roman" w:cs="Times New Roman"/>
          <w:szCs w:val="24"/>
          <w:lang w:val="en-AU" w:eastAsia="en-US"/>
        </w:rPr>
        <w:t xml:space="preserve"> </w:t>
      </w:r>
      <w:r w:rsidR="00914493">
        <w:rPr>
          <w:rFonts w:eastAsia="Times New Roman" w:cs="Times New Roman"/>
          <w:szCs w:val="24"/>
          <w:lang w:val="en-AU" w:eastAsia="en-US"/>
        </w:rPr>
        <w:t xml:space="preserve">the debate </w:t>
      </w:r>
      <w:r w:rsidR="00D7393E">
        <w:rPr>
          <w:rFonts w:eastAsia="Times New Roman" w:cs="Times New Roman"/>
          <w:szCs w:val="24"/>
          <w:lang w:val="en-AU" w:eastAsia="en-US"/>
        </w:rPr>
        <w:t>involving</w:t>
      </w:r>
      <w:r w:rsidR="00914493">
        <w:rPr>
          <w:rFonts w:eastAsia="Times New Roman" w:cs="Times New Roman"/>
          <w:szCs w:val="24"/>
          <w:lang w:val="en-AU" w:eastAsia="en-US"/>
        </w:rPr>
        <w:t xml:space="preserve"> </w:t>
      </w:r>
      <w:r w:rsidR="00B33CF4">
        <w:rPr>
          <w:rFonts w:eastAsia="Times New Roman" w:cs="Times New Roman"/>
          <w:szCs w:val="24"/>
          <w:lang w:val="en-AU" w:eastAsia="en-US"/>
        </w:rPr>
        <w:t xml:space="preserve">the </w:t>
      </w:r>
      <w:r w:rsidR="00914493">
        <w:rPr>
          <w:rFonts w:eastAsia="Times New Roman" w:cs="Times New Roman"/>
          <w:szCs w:val="24"/>
          <w:lang w:val="en-AU" w:eastAsia="en-US"/>
        </w:rPr>
        <w:t xml:space="preserve">development impact of remittances </w:t>
      </w:r>
      <w:r w:rsidR="000248DA">
        <w:rPr>
          <w:rFonts w:eastAsia="Times New Roman" w:cs="Times New Roman"/>
          <w:szCs w:val="24"/>
          <w:lang w:val="en-AU" w:eastAsia="en-US"/>
        </w:rPr>
        <w:t>which</w:t>
      </w:r>
      <w:r w:rsidR="00D7393E">
        <w:rPr>
          <w:rFonts w:eastAsia="Times New Roman" w:cs="Times New Roman"/>
          <w:szCs w:val="24"/>
          <w:lang w:val="en-AU" w:eastAsia="en-US"/>
        </w:rPr>
        <w:t xml:space="preserve"> </w:t>
      </w:r>
      <w:r w:rsidR="00914493">
        <w:rPr>
          <w:rFonts w:eastAsia="Times New Roman" w:cs="Times New Roman"/>
          <w:szCs w:val="24"/>
          <w:lang w:val="en-AU" w:eastAsia="en-US"/>
        </w:rPr>
        <w:t xml:space="preserve">ranges from it being positive to negative aside from being conditional </w:t>
      </w:r>
      <w:r w:rsidR="00D7393E">
        <w:rPr>
          <w:rFonts w:eastAsia="Times New Roman" w:cs="Times New Roman"/>
          <w:szCs w:val="24"/>
          <w:lang w:val="en-AU" w:eastAsia="en-US"/>
        </w:rPr>
        <w:t>as well as</w:t>
      </w:r>
      <w:r w:rsidR="00914493">
        <w:rPr>
          <w:rFonts w:eastAsia="Times New Roman" w:cs="Times New Roman"/>
          <w:szCs w:val="24"/>
          <w:lang w:val="en-AU" w:eastAsia="en-US"/>
        </w:rPr>
        <w:t xml:space="preserve"> indirect</w:t>
      </w:r>
      <w:r w:rsidR="00D7393E">
        <w:rPr>
          <w:rFonts w:eastAsia="Times New Roman" w:cs="Times New Roman"/>
          <w:szCs w:val="24"/>
          <w:lang w:val="en-AU" w:eastAsia="en-US"/>
        </w:rPr>
        <w:t xml:space="preserve"> via </w:t>
      </w:r>
      <w:r w:rsidR="00B33CF4">
        <w:rPr>
          <w:rFonts w:eastAsia="Times New Roman" w:cs="Times New Roman"/>
          <w:szCs w:val="24"/>
          <w:lang w:val="en-AU" w:eastAsia="en-US"/>
        </w:rPr>
        <w:t>other</w:t>
      </w:r>
      <w:r w:rsidR="00914493">
        <w:rPr>
          <w:rFonts w:eastAsia="Times New Roman" w:cs="Times New Roman"/>
          <w:szCs w:val="24"/>
          <w:lang w:val="en-AU" w:eastAsia="en-US"/>
        </w:rPr>
        <w:t xml:space="preserve"> channels. </w:t>
      </w:r>
      <w:r w:rsidR="005C5773">
        <w:rPr>
          <w:rFonts w:eastAsia="Times New Roman" w:cs="Times New Roman"/>
          <w:szCs w:val="24"/>
          <w:lang w:val="en-AU" w:eastAsia="en-US"/>
        </w:rPr>
        <w:t xml:space="preserve">This article </w:t>
      </w:r>
      <w:r w:rsidR="00D7393E">
        <w:rPr>
          <w:rFonts w:eastAsia="Times New Roman" w:cs="Times New Roman"/>
          <w:szCs w:val="24"/>
          <w:lang w:val="en-AU" w:eastAsia="en-US"/>
        </w:rPr>
        <w:t xml:space="preserve">provides an alternative view </w:t>
      </w:r>
      <w:r w:rsidR="008100DC">
        <w:rPr>
          <w:rFonts w:eastAsia="Times New Roman" w:cs="Times New Roman"/>
          <w:szCs w:val="24"/>
          <w:lang w:val="en-AU" w:eastAsia="en-US"/>
        </w:rPr>
        <w:t xml:space="preserve">on the debate </w:t>
      </w:r>
      <w:r w:rsidR="005C5773">
        <w:rPr>
          <w:rFonts w:eastAsia="Times New Roman" w:cs="Times New Roman"/>
          <w:szCs w:val="24"/>
          <w:lang w:val="en-AU" w:eastAsia="en-US"/>
        </w:rPr>
        <w:t xml:space="preserve">by </w:t>
      </w:r>
      <w:r w:rsidR="00CC2D6A">
        <w:rPr>
          <w:rFonts w:eastAsia="Times New Roman" w:cs="Times New Roman"/>
          <w:szCs w:val="24"/>
          <w:lang w:val="en-AU" w:eastAsia="en-US"/>
        </w:rPr>
        <w:t xml:space="preserve">recognising a non-linear </w:t>
      </w:r>
      <w:r w:rsidR="008100DC" w:rsidRPr="008100DC">
        <w:rPr>
          <w:rFonts w:eastAsia="Times New Roman" w:cs="Times New Roman"/>
          <w:szCs w:val="24"/>
          <w:lang w:val="en-AU" w:eastAsia="en-US"/>
        </w:rPr>
        <w:t>developmental role of remittances</w:t>
      </w:r>
      <w:r w:rsidR="008100DC">
        <w:rPr>
          <w:rFonts w:eastAsia="Times New Roman" w:cs="Times New Roman"/>
          <w:szCs w:val="24"/>
          <w:lang w:val="en-AU" w:eastAsia="en-US"/>
        </w:rPr>
        <w:t>. To be specific, we propose a</w:t>
      </w:r>
      <w:r w:rsidR="008100DC" w:rsidRPr="008100DC">
        <w:rPr>
          <w:rFonts w:eastAsia="Times New Roman" w:cs="Times New Roman"/>
          <w:szCs w:val="24"/>
          <w:lang w:val="en-AU" w:eastAsia="en-US"/>
        </w:rPr>
        <w:t xml:space="preserve"> </w:t>
      </w:r>
      <w:r w:rsidR="00611E46">
        <w:rPr>
          <w:rFonts w:eastAsia="Times New Roman" w:cs="Times New Roman"/>
          <w:szCs w:val="24"/>
          <w:lang w:val="en-AU" w:eastAsia="en-US"/>
        </w:rPr>
        <w:t>U-</w:t>
      </w:r>
      <w:r w:rsidR="00CC2D6A" w:rsidRPr="00CC2D6A">
        <w:rPr>
          <w:rFonts w:eastAsia="Times New Roman" w:cs="Times New Roman"/>
          <w:szCs w:val="24"/>
          <w:lang w:val="en-AU" w:eastAsia="en-US"/>
        </w:rPr>
        <w:t xml:space="preserve">shaped </w:t>
      </w:r>
      <w:r w:rsidR="005C5773">
        <w:rPr>
          <w:rFonts w:eastAsia="Times New Roman" w:cs="Times New Roman"/>
          <w:szCs w:val="24"/>
          <w:lang w:val="en-AU" w:eastAsia="en-US"/>
        </w:rPr>
        <w:t xml:space="preserve">relationship between remittances and long-run growth. </w:t>
      </w:r>
      <w:r w:rsidR="00D7393E">
        <w:rPr>
          <w:rFonts w:eastAsia="Times New Roman" w:cs="Times New Roman"/>
          <w:szCs w:val="24"/>
          <w:lang w:val="en-AU" w:eastAsia="en-US"/>
        </w:rPr>
        <w:t>That is the growth</w:t>
      </w:r>
      <w:r w:rsidR="005C5773">
        <w:rPr>
          <w:rFonts w:eastAsia="Times New Roman" w:cs="Times New Roman"/>
          <w:szCs w:val="24"/>
          <w:lang w:val="en-AU" w:eastAsia="en-US"/>
        </w:rPr>
        <w:t xml:space="preserve"> effects of rem</w:t>
      </w:r>
      <w:r w:rsidR="008509EC">
        <w:rPr>
          <w:rFonts w:eastAsia="Times New Roman" w:cs="Times New Roman"/>
          <w:szCs w:val="24"/>
          <w:lang w:val="en-AU" w:eastAsia="en-US"/>
        </w:rPr>
        <w:t>ittances are initially negative</w:t>
      </w:r>
      <w:r w:rsidR="005C5773">
        <w:rPr>
          <w:rFonts w:eastAsia="Times New Roman" w:cs="Times New Roman"/>
          <w:szCs w:val="24"/>
          <w:lang w:val="en-AU" w:eastAsia="en-US"/>
        </w:rPr>
        <w:t xml:space="preserve"> </w:t>
      </w:r>
      <w:r w:rsidR="008509EC">
        <w:rPr>
          <w:rFonts w:eastAsia="Times New Roman" w:cs="Times New Roman"/>
          <w:szCs w:val="24"/>
          <w:lang w:val="en-AU" w:eastAsia="en-US"/>
        </w:rPr>
        <w:t xml:space="preserve">but </w:t>
      </w:r>
      <w:r w:rsidR="005C5773">
        <w:rPr>
          <w:rFonts w:eastAsia="Times New Roman" w:cs="Times New Roman"/>
          <w:szCs w:val="24"/>
          <w:lang w:val="en-AU" w:eastAsia="en-US"/>
        </w:rPr>
        <w:t>becomes positive</w:t>
      </w:r>
      <w:r w:rsidR="008509EC">
        <w:rPr>
          <w:rFonts w:eastAsia="Times New Roman" w:cs="Times New Roman"/>
          <w:szCs w:val="24"/>
          <w:lang w:val="en-AU" w:eastAsia="en-US"/>
        </w:rPr>
        <w:t xml:space="preserve"> </w:t>
      </w:r>
      <w:r w:rsidR="008509EC" w:rsidRPr="008509EC">
        <w:rPr>
          <w:rFonts w:eastAsia="Times New Roman" w:cs="Times New Roman"/>
          <w:szCs w:val="24"/>
          <w:lang w:val="en-AU" w:eastAsia="en-US"/>
        </w:rPr>
        <w:t>later on</w:t>
      </w:r>
      <w:r w:rsidR="005C5773">
        <w:rPr>
          <w:rFonts w:eastAsia="Times New Roman" w:cs="Times New Roman"/>
          <w:szCs w:val="24"/>
          <w:lang w:val="en-AU" w:eastAsia="en-US"/>
        </w:rPr>
        <w:t xml:space="preserve">.  </w:t>
      </w:r>
      <w:r w:rsidR="00AB73F3">
        <w:rPr>
          <w:rFonts w:eastAsia="Times New Roman" w:cs="Times New Roman"/>
          <w:szCs w:val="24"/>
          <w:lang w:val="en-AU" w:eastAsia="en-US"/>
        </w:rPr>
        <w:t>T</w:t>
      </w:r>
      <w:r w:rsidR="00D7393E">
        <w:rPr>
          <w:rFonts w:eastAsia="Times New Roman" w:cs="Times New Roman"/>
          <w:szCs w:val="24"/>
          <w:lang w:val="en-AU" w:eastAsia="en-US"/>
        </w:rPr>
        <w:t xml:space="preserve">he </w:t>
      </w:r>
      <w:r w:rsidR="00CC2D6A">
        <w:rPr>
          <w:rFonts w:eastAsia="Times New Roman" w:cs="Times New Roman"/>
          <w:szCs w:val="24"/>
          <w:lang w:val="en-AU" w:eastAsia="en-US"/>
        </w:rPr>
        <w:t>explanation</w:t>
      </w:r>
      <w:r w:rsidR="00D7393E">
        <w:rPr>
          <w:rFonts w:eastAsia="Times New Roman" w:cs="Times New Roman"/>
          <w:szCs w:val="24"/>
          <w:lang w:val="en-AU" w:eastAsia="en-US"/>
        </w:rPr>
        <w:t xml:space="preserve"> behind </w:t>
      </w:r>
      <w:r w:rsidR="00CC2D6A">
        <w:rPr>
          <w:rFonts w:eastAsia="Times New Roman" w:cs="Times New Roman"/>
          <w:szCs w:val="24"/>
          <w:lang w:val="en-AU" w:eastAsia="en-US"/>
        </w:rPr>
        <w:t>this</w:t>
      </w:r>
      <w:r w:rsidR="00AB73F3">
        <w:rPr>
          <w:rFonts w:eastAsia="Times New Roman" w:cs="Times New Roman"/>
          <w:szCs w:val="24"/>
          <w:lang w:val="en-AU" w:eastAsia="en-US"/>
        </w:rPr>
        <w:t xml:space="preserve"> is as follows</w:t>
      </w:r>
      <w:r w:rsidR="00D7393E">
        <w:rPr>
          <w:rFonts w:eastAsia="Times New Roman" w:cs="Times New Roman"/>
          <w:szCs w:val="24"/>
          <w:lang w:val="en-AU" w:eastAsia="en-US"/>
        </w:rPr>
        <w:t xml:space="preserve">. </w:t>
      </w:r>
      <w:r w:rsidR="009C488C">
        <w:rPr>
          <w:rFonts w:eastAsia="Times New Roman" w:cs="Times New Roman"/>
          <w:szCs w:val="24"/>
          <w:lang w:val="en-AU" w:eastAsia="en-US"/>
        </w:rPr>
        <w:t xml:space="preserve">In order to obtain the </w:t>
      </w:r>
      <w:r w:rsidR="00CC2D6A">
        <w:rPr>
          <w:rFonts w:eastAsia="Times New Roman" w:cs="Times New Roman"/>
          <w:szCs w:val="24"/>
          <w:lang w:val="en-AU" w:eastAsia="en-US"/>
        </w:rPr>
        <w:t>initial funds</w:t>
      </w:r>
      <w:r w:rsidR="009C488C">
        <w:rPr>
          <w:rFonts w:eastAsia="Times New Roman" w:cs="Times New Roman"/>
          <w:szCs w:val="24"/>
          <w:lang w:val="en-AU" w:eastAsia="en-US"/>
        </w:rPr>
        <w:t xml:space="preserve"> </w:t>
      </w:r>
      <w:r w:rsidR="00CC2D6A">
        <w:rPr>
          <w:rFonts w:eastAsia="Times New Roman" w:cs="Times New Roman"/>
          <w:szCs w:val="24"/>
          <w:lang w:val="en-AU" w:eastAsia="en-US"/>
        </w:rPr>
        <w:t xml:space="preserve">which is </w:t>
      </w:r>
      <w:r w:rsidR="009C488C">
        <w:rPr>
          <w:rFonts w:eastAsia="Times New Roman" w:cs="Times New Roman"/>
          <w:szCs w:val="24"/>
          <w:lang w:val="en-AU" w:eastAsia="en-US"/>
        </w:rPr>
        <w:t>associated with the</w:t>
      </w:r>
      <w:r>
        <w:rPr>
          <w:rFonts w:eastAsia="Times New Roman" w:cs="Times New Roman"/>
          <w:szCs w:val="24"/>
          <w:lang w:val="en-AU" w:eastAsia="en-US"/>
        </w:rPr>
        <w:t xml:space="preserve"> </w:t>
      </w:r>
      <w:r w:rsidRPr="00AB73F3">
        <w:rPr>
          <w:rFonts w:eastAsia="Times New Roman" w:cs="Times New Roman"/>
          <w:szCs w:val="24"/>
          <w:lang w:eastAsia="en-US"/>
        </w:rPr>
        <w:t>migration</w:t>
      </w:r>
      <w:r w:rsidR="00AB73F3" w:rsidRPr="00AB73F3">
        <w:rPr>
          <w:rFonts w:eastAsia="Times New Roman" w:cs="Times New Roman"/>
          <w:szCs w:val="24"/>
          <w:lang w:eastAsia="en-US"/>
        </w:rPr>
        <w:t xml:space="preserve"> process</w:t>
      </w:r>
      <w:r w:rsidR="009C488C">
        <w:rPr>
          <w:rFonts w:eastAsia="Times New Roman" w:cs="Times New Roman"/>
          <w:szCs w:val="24"/>
          <w:lang w:eastAsia="en-US"/>
        </w:rPr>
        <w:t>,</w:t>
      </w:r>
      <w:r w:rsidR="00AB73F3">
        <w:rPr>
          <w:rFonts w:eastAsia="Times New Roman" w:cs="Times New Roman"/>
          <w:szCs w:val="24"/>
          <w:lang w:eastAsia="en-US"/>
        </w:rPr>
        <w:t xml:space="preserve"> </w:t>
      </w:r>
      <w:r w:rsidR="00AB73F3" w:rsidRPr="00AB73F3">
        <w:rPr>
          <w:rFonts w:eastAsia="Times New Roman" w:cs="Times New Roman"/>
          <w:szCs w:val="24"/>
          <w:lang w:eastAsia="en-US"/>
        </w:rPr>
        <w:t xml:space="preserve">the migrant family often </w:t>
      </w:r>
      <w:r w:rsidR="000248DA">
        <w:rPr>
          <w:rFonts w:eastAsia="Times New Roman" w:cs="Times New Roman"/>
          <w:szCs w:val="24"/>
          <w:lang w:eastAsia="en-US"/>
        </w:rPr>
        <w:t>incur</w:t>
      </w:r>
      <w:r w:rsidR="009C488C">
        <w:rPr>
          <w:rFonts w:eastAsia="Times New Roman" w:cs="Times New Roman"/>
          <w:szCs w:val="24"/>
          <w:lang w:eastAsia="en-US"/>
        </w:rPr>
        <w:t>s</w:t>
      </w:r>
      <w:r w:rsidR="00AB73F3" w:rsidRPr="00AB73F3">
        <w:rPr>
          <w:rFonts w:eastAsia="Times New Roman" w:cs="Times New Roman"/>
          <w:szCs w:val="24"/>
          <w:lang w:eastAsia="en-US"/>
        </w:rPr>
        <w:t xml:space="preserve"> a debt. </w:t>
      </w:r>
      <w:r w:rsidR="007D7D96">
        <w:rPr>
          <w:rFonts w:eastAsia="Times New Roman" w:cs="Times New Roman"/>
          <w:szCs w:val="24"/>
          <w:lang w:eastAsia="en-US"/>
        </w:rPr>
        <w:t>T</w:t>
      </w:r>
      <w:r w:rsidR="009C488C">
        <w:rPr>
          <w:rFonts w:eastAsia="Times New Roman" w:cs="Times New Roman"/>
          <w:szCs w:val="24"/>
          <w:lang w:eastAsia="en-US"/>
        </w:rPr>
        <w:t>he migrant member</w:t>
      </w:r>
      <w:r w:rsidR="007D7D96">
        <w:rPr>
          <w:rFonts w:eastAsia="Times New Roman" w:cs="Times New Roman"/>
          <w:szCs w:val="24"/>
          <w:lang w:eastAsia="en-US"/>
        </w:rPr>
        <w:t>,</w:t>
      </w:r>
      <w:r w:rsidR="009C488C">
        <w:rPr>
          <w:rFonts w:eastAsia="Times New Roman" w:cs="Times New Roman"/>
          <w:szCs w:val="24"/>
          <w:lang w:eastAsia="en-US"/>
        </w:rPr>
        <w:t xml:space="preserve"> </w:t>
      </w:r>
      <w:r w:rsidR="007D7D96">
        <w:rPr>
          <w:rFonts w:eastAsia="Times New Roman" w:cs="Times New Roman"/>
          <w:szCs w:val="24"/>
          <w:lang w:eastAsia="en-US"/>
        </w:rPr>
        <w:t>after settling down in the destination country, begins</w:t>
      </w:r>
      <w:r w:rsidR="00AA1F42">
        <w:rPr>
          <w:rFonts w:eastAsia="Times New Roman" w:cs="Times New Roman"/>
          <w:szCs w:val="24"/>
          <w:lang w:eastAsia="en-US"/>
        </w:rPr>
        <w:t xml:space="preserve"> to send</w:t>
      </w:r>
      <w:r w:rsidR="009C488C">
        <w:rPr>
          <w:rFonts w:eastAsia="Times New Roman" w:cs="Times New Roman"/>
          <w:szCs w:val="24"/>
          <w:lang w:eastAsia="en-US"/>
        </w:rPr>
        <w:t xml:space="preserve"> remittances </w:t>
      </w:r>
      <w:r w:rsidR="004243AC">
        <w:rPr>
          <w:rFonts w:eastAsia="Times New Roman" w:cs="Times New Roman"/>
          <w:szCs w:val="24"/>
          <w:lang w:eastAsia="en-US"/>
        </w:rPr>
        <w:t xml:space="preserve">back home </w:t>
      </w:r>
      <w:r w:rsidR="009C488C">
        <w:rPr>
          <w:rFonts w:eastAsia="Times New Roman" w:cs="Times New Roman"/>
          <w:szCs w:val="24"/>
          <w:lang w:eastAsia="en-US"/>
        </w:rPr>
        <w:t>to the family</w:t>
      </w:r>
      <w:r w:rsidR="007D7D96">
        <w:rPr>
          <w:rFonts w:eastAsia="Times New Roman" w:cs="Times New Roman"/>
          <w:szCs w:val="24"/>
          <w:lang w:eastAsia="en-US"/>
        </w:rPr>
        <w:t>.</w:t>
      </w:r>
      <w:r w:rsidR="009C488C">
        <w:rPr>
          <w:rFonts w:eastAsia="Times New Roman" w:cs="Times New Roman"/>
          <w:szCs w:val="24"/>
          <w:lang w:eastAsia="en-US"/>
        </w:rPr>
        <w:t xml:space="preserve"> </w:t>
      </w:r>
      <w:r w:rsidR="00611E46">
        <w:rPr>
          <w:rFonts w:eastAsia="Times New Roman" w:cs="Times New Roman"/>
          <w:szCs w:val="24"/>
          <w:lang w:eastAsia="en-US"/>
        </w:rPr>
        <w:t>W</w:t>
      </w:r>
      <w:r w:rsidR="00AB73F3" w:rsidRPr="00AB73F3">
        <w:rPr>
          <w:rFonts w:eastAsia="Times New Roman" w:cs="Times New Roman"/>
          <w:szCs w:val="24"/>
          <w:lang w:eastAsia="en-US"/>
        </w:rPr>
        <w:t>hatever is left over after necessary consumption out of remittances income</w:t>
      </w:r>
      <w:r w:rsidR="007D7D96">
        <w:rPr>
          <w:rFonts w:eastAsia="Times New Roman" w:cs="Times New Roman"/>
          <w:szCs w:val="24"/>
          <w:lang w:eastAsia="en-US"/>
        </w:rPr>
        <w:t xml:space="preserve"> by the migrant family</w:t>
      </w:r>
      <w:r w:rsidR="009C488C">
        <w:rPr>
          <w:rFonts w:eastAsia="Times New Roman" w:cs="Times New Roman"/>
          <w:szCs w:val="24"/>
          <w:lang w:eastAsia="en-US"/>
        </w:rPr>
        <w:t xml:space="preserve"> </w:t>
      </w:r>
      <w:r w:rsidR="00AB73F3" w:rsidRPr="00AB73F3">
        <w:rPr>
          <w:rFonts w:eastAsia="Times New Roman" w:cs="Times New Roman"/>
          <w:szCs w:val="24"/>
          <w:lang w:eastAsia="en-US"/>
        </w:rPr>
        <w:t xml:space="preserve">is mostly used up to repay the debt </w:t>
      </w:r>
      <w:r w:rsidR="00611E46">
        <w:rPr>
          <w:rFonts w:eastAsia="Times New Roman" w:cs="Times New Roman"/>
          <w:szCs w:val="24"/>
          <w:lang w:eastAsia="en-US"/>
        </w:rPr>
        <w:t>d</w:t>
      </w:r>
      <w:r w:rsidR="00611E46" w:rsidRPr="00611E46">
        <w:rPr>
          <w:rFonts w:eastAsia="Times New Roman" w:cs="Times New Roman"/>
          <w:szCs w:val="24"/>
          <w:lang w:eastAsia="en-US"/>
        </w:rPr>
        <w:t>uring the initial periods</w:t>
      </w:r>
      <w:r w:rsidR="00611E46">
        <w:rPr>
          <w:rFonts w:eastAsia="Times New Roman" w:cs="Times New Roman"/>
          <w:szCs w:val="24"/>
          <w:lang w:eastAsia="en-US"/>
        </w:rPr>
        <w:t>.</w:t>
      </w:r>
      <w:r w:rsidR="00611E46" w:rsidRPr="00611E46">
        <w:rPr>
          <w:rFonts w:eastAsia="Times New Roman" w:cs="Times New Roman"/>
          <w:szCs w:val="24"/>
          <w:lang w:eastAsia="en-US"/>
        </w:rPr>
        <w:t xml:space="preserve"> </w:t>
      </w:r>
      <w:r w:rsidR="00611E46">
        <w:rPr>
          <w:rFonts w:eastAsia="Times New Roman" w:cs="Times New Roman"/>
          <w:szCs w:val="24"/>
          <w:lang w:eastAsia="en-US"/>
        </w:rPr>
        <w:t>Thus,</w:t>
      </w:r>
      <w:r w:rsidR="00AB73F3">
        <w:rPr>
          <w:rFonts w:eastAsia="Times New Roman" w:cs="Times New Roman"/>
          <w:szCs w:val="24"/>
          <w:lang w:eastAsia="en-US"/>
        </w:rPr>
        <w:t xml:space="preserve"> </w:t>
      </w:r>
      <w:r w:rsidR="00611E46">
        <w:rPr>
          <w:rFonts w:eastAsia="Times New Roman" w:cs="Times New Roman"/>
          <w:szCs w:val="24"/>
          <w:lang w:eastAsia="en-US"/>
        </w:rPr>
        <w:t>savings which are</w:t>
      </w:r>
      <w:r w:rsidR="00AB73F3">
        <w:rPr>
          <w:rFonts w:eastAsia="Times New Roman" w:cs="Times New Roman"/>
          <w:szCs w:val="24"/>
          <w:lang w:eastAsia="en-US"/>
        </w:rPr>
        <w:t xml:space="preserve"> understood as investable </w:t>
      </w:r>
      <w:r w:rsidR="00611E46">
        <w:rPr>
          <w:rFonts w:eastAsia="Times New Roman" w:cs="Times New Roman"/>
          <w:szCs w:val="24"/>
          <w:lang w:eastAsia="en-US"/>
        </w:rPr>
        <w:t>funds</w:t>
      </w:r>
      <w:r w:rsidR="00AB73F3">
        <w:rPr>
          <w:rFonts w:eastAsia="Times New Roman" w:cs="Times New Roman"/>
          <w:szCs w:val="24"/>
          <w:lang w:eastAsia="en-US"/>
        </w:rPr>
        <w:t xml:space="preserve"> </w:t>
      </w:r>
      <w:r w:rsidR="00611E46">
        <w:rPr>
          <w:rFonts w:eastAsia="Times New Roman" w:cs="Times New Roman"/>
          <w:szCs w:val="24"/>
          <w:lang w:eastAsia="en-US"/>
        </w:rPr>
        <w:t xml:space="preserve">tend </w:t>
      </w:r>
      <w:r w:rsidR="00AB73F3">
        <w:rPr>
          <w:rFonts w:eastAsia="Times New Roman" w:cs="Times New Roman"/>
          <w:szCs w:val="24"/>
          <w:lang w:eastAsia="en-US"/>
        </w:rPr>
        <w:t xml:space="preserve">to be negative in </w:t>
      </w:r>
      <w:r w:rsidR="008509EC">
        <w:rPr>
          <w:rFonts w:eastAsia="Times New Roman" w:cs="Times New Roman"/>
          <w:szCs w:val="24"/>
          <w:lang w:eastAsia="en-US"/>
        </w:rPr>
        <w:t>a</w:t>
      </w:r>
      <w:r w:rsidR="00AB73F3">
        <w:rPr>
          <w:rFonts w:eastAsia="Times New Roman" w:cs="Times New Roman"/>
          <w:szCs w:val="24"/>
          <w:lang w:eastAsia="en-US"/>
        </w:rPr>
        <w:t xml:space="preserve"> relative sense</w:t>
      </w:r>
      <w:r w:rsidR="00AB73F3" w:rsidRPr="00AB73F3">
        <w:rPr>
          <w:rFonts w:eastAsia="Times New Roman" w:cs="Times New Roman"/>
          <w:szCs w:val="24"/>
          <w:lang w:eastAsia="en-US"/>
        </w:rPr>
        <w:t>. It is after the repayment of the debt</w:t>
      </w:r>
      <w:r w:rsidR="004243AC">
        <w:rPr>
          <w:rFonts w:eastAsia="Times New Roman" w:cs="Times New Roman"/>
          <w:szCs w:val="24"/>
          <w:lang w:eastAsia="en-US"/>
        </w:rPr>
        <w:t>,</w:t>
      </w:r>
      <w:r w:rsidR="00AB73F3" w:rsidRPr="00AB73F3">
        <w:rPr>
          <w:rFonts w:eastAsia="Times New Roman" w:cs="Times New Roman"/>
          <w:szCs w:val="24"/>
          <w:lang w:eastAsia="en-US"/>
        </w:rPr>
        <w:t xml:space="preserve"> which </w:t>
      </w:r>
      <w:r w:rsidR="00BC5ADE">
        <w:rPr>
          <w:rFonts w:eastAsia="Times New Roman" w:cs="Times New Roman"/>
          <w:szCs w:val="24"/>
          <w:lang w:eastAsia="en-US"/>
        </w:rPr>
        <w:t>occurs</w:t>
      </w:r>
      <w:r w:rsidR="00AB73F3" w:rsidRPr="00AB73F3">
        <w:rPr>
          <w:rFonts w:eastAsia="Times New Roman" w:cs="Times New Roman"/>
          <w:szCs w:val="24"/>
          <w:lang w:eastAsia="en-US"/>
        </w:rPr>
        <w:t xml:space="preserve"> often at the later period of the migration cycle that the savings of the migrant family from the remittances receipts start to become positive</w:t>
      </w:r>
      <w:r w:rsidR="00342FAF">
        <w:rPr>
          <w:rFonts w:eastAsia="Times New Roman" w:cs="Times New Roman"/>
          <w:szCs w:val="24"/>
          <w:lang w:eastAsia="en-US"/>
        </w:rPr>
        <w:t xml:space="preserve"> and become </w:t>
      </w:r>
      <w:r w:rsidR="00AB73F3" w:rsidRPr="00AB73F3">
        <w:rPr>
          <w:rFonts w:eastAsia="Times New Roman" w:cs="Times New Roman"/>
          <w:szCs w:val="24"/>
          <w:lang w:eastAsia="en-US"/>
        </w:rPr>
        <w:t xml:space="preserve">available for productive investment. </w:t>
      </w:r>
      <w:r w:rsidR="00BC5ADE">
        <w:rPr>
          <w:rFonts w:eastAsia="Times New Roman" w:cs="Times New Roman"/>
          <w:szCs w:val="24"/>
          <w:lang w:eastAsia="en-US"/>
        </w:rPr>
        <w:t xml:space="preserve">The implication of </w:t>
      </w:r>
      <w:r w:rsidR="00AA1F42">
        <w:rPr>
          <w:rFonts w:eastAsia="Times New Roman" w:cs="Times New Roman"/>
          <w:szCs w:val="24"/>
          <w:lang w:eastAsia="en-US"/>
        </w:rPr>
        <w:t xml:space="preserve">such </w:t>
      </w:r>
      <w:r w:rsidR="00A24155">
        <w:rPr>
          <w:rFonts w:eastAsia="Times New Roman" w:cs="Times New Roman"/>
          <w:szCs w:val="24"/>
          <w:lang w:eastAsia="en-US"/>
        </w:rPr>
        <w:t xml:space="preserve">savings dynamics leads </w:t>
      </w:r>
      <w:r w:rsidR="004243AC">
        <w:rPr>
          <w:rFonts w:eastAsia="Times New Roman" w:cs="Times New Roman"/>
          <w:szCs w:val="24"/>
          <w:lang w:eastAsia="en-US"/>
        </w:rPr>
        <w:t xml:space="preserve">us </w:t>
      </w:r>
      <w:r w:rsidR="00A24155">
        <w:rPr>
          <w:rFonts w:eastAsia="Times New Roman" w:cs="Times New Roman"/>
          <w:szCs w:val="24"/>
          <w:lang w:eastAsia="en-US"/>
        </w:rPr>
        <w:t xml:space="preserve">to </w:t>
      </w:r>
      <w:r w:rsidR="004243AC">
        <w:rPr>
          <w:rFonts w:eastAsia="Times New Roman" w:cs="Times New Roman"/>
          <w:szCs w:val="24"/>
          <w:lang w:eastAsia="en-US"/>
        </w:rPr>
        <w:t>propose the</w:t>
      </w:r>
      <w:r w:rsidR="00611E46">
        <w:rPr>
          <w:rFonts w:eastAsia="Times New Roman" w:cs="Times New Roman"/>
          <w:szCs w:val="24"/>
          <w:lang w:eastAsia="en-US"/>
        </w:rPr>
        <w:t xml:space="preserve"> U-</w:t>
      </w:r>
      <w:r w:rsidR="00BC5ADE">
        <w:rPr>
          <w:rFonts w:eastAsia="Times New Roman" w:cs="Times New Roman"/>
          <w:szCs w:val="24"/>
          <w:lang w:eastAsia="en-US"/>
        </w:rPr>
        <w:t>shaped hypothesis</w:t>
      </w:r>
      <w:r w:rsidR="00B33CF4">
        <w:rPr>
          <w:rFonts w:eastAsia="Times New Roman" w:cs="Times New Roman"/>
          <w:szCs w:val="24"/>
          <w:lang w:eastAsia="en-US"/>
        </w:rPr>
        <w:t xml:space="preserve"> which </w:t>
      </w:r>
      <w:r w:rsidR="00A24155">
        <w:rPr>
          <w:rFonts w:eastAsia="Times New Roman" w:cs="Times New Roman"/>
          <w:szCs w:val="24"/>
          <w:lang w:eastAsia="en-US"/>
        </w:rPr>
        <w:t xml:space="preserve">is </w:t>
      </w:r>
      <w:r w:rsidR="007D7D96">
        <w:rPr>
          <w:rFonts w:eastAsia="Times New Roman" w:cs="Times New Roman"/>
          <w:szCs w:val="24"/>
          <w:lang w:eastAsia="en-US"/>
        </w:rPr>
        <w:t xml:space="preserve">further </w:t>
      </w:r>
      <w:r w:rsidR="00376D10">
        <w:rPr>
          <w:rFonts w:eastAsia="Times New Roman" w:cs="Times New Roman"/>
          <w:szCs w:val="24"/>
          <w:lang w:eastAsia="en-US"/>
        </w:rPr>
        <w:t>elaborated in S</w:t>
      </w:r>
      <w:r w:rsidR="00611E46">
        <w:rPr>
          <w:rFonts w:eastAsia="Times New Roman" w:cs="Times New Roman"/>
          <w:szCs w:val="24"/>
          <w:lang w:eastAsia="en-US"/>
        </w:rPr>
        <w:t>ection 3</w:t>
      </w:r>
      <w:r w:rsidR="00A24155">
        <w:rPr>
          <w:rFonts w:eastAsia="Times New Roman" w:cs="Times New Roman"/>
          <w:szCs w:val="24"/>
          <w:lang w:eastAsia="en-US"/>
        </w:rPr>
        <w:t>.</w:t>
      </w:r>
      <w:r w:rsidR="00BC5ADE">
        <w:rPr>
          <w:rFonts w:eastAsia="Times New Roman" w:cs="Times New Roman"/>
          <w:szCs w:val="24"/>
          <w:lang w:eastAsia="en-US"/>
        </w:rPr>
        <w:t xml:space="preserve"> </w:t>
      </w:r>
    </w:p>
    <w:p w:rsidR="00376D10" w:rsidRPr="00AB73F3" w:rsidRDefault="00376D10" w:rsidP="007E4B5E">
      <w:pPr>
        <w:tabs>
          <w:tab w:val="left" w:pos="426"/>
          <w:tab w:val="right" w:pos="8931"/>
        </w:tabs>
        <w:spacing w:after="0" w:line="288" w:lineRule="auto"/>
        <w:jc w:val="both"/>
        <w:rPr>
          <w:rFonts w:eastAsia="Times New Roman" w:cs="Times New Roman"/>
          <w:szCs w:val="24"/>
          <w:lang w:eastAsia="en-US"/>
        </w:rPr>
      </w:pPr>
    </w:p>
    <w:p w:rsidR="00B20AA1" w:rsidRDefault="002C2B50" w:rsidP="007E4B5E">
      <w:pPr>
        <w:tabs>
          <w:tab w:val="left" w:pos="426"/>
          <w:tab w:val="right" w:pos="8931"/>
        </w:tabs>
        <w:spacing w:after="0" w:line="288" w:lineRule="auto"/>
        <w:ind w:firstLine="720"/>
        <w:jc w:val="both"/>
        <w:rPr>
          <w:rFonts w:eastAsia="Times New Roman" w:cs="Times New Roman"/>
          <w:szCs w:val="24"/>
          <w:lang w:val="en-AU" w:eastAsia="en-US"/>
        </w:rPr>
      </w:pPr>
      <w:r>
        <w:rPr>
          <w:rFonts w:eastAsia="Times New Roman" w:cs="Times New Roman"/>
          <w:szCs w:val="24"/>
          <w:lang w:val="en-AU" w:eastAsia="en-US"/>
        </w:rPr>
        <w:t xml:space="preserve">In order </w:t>
      </w:r>
      <w:r w:rsidR="00611E46">
        <w:rPr>
          <w:rFonts w:eastAsia="Times New Roman" w:cs="Times New Roman"/>
          <w:szCs w:val="24"/>
          <w:lang w:val="en-AU" w:eastAsia="en-US"/>
        </w:rPr>
        <w:t>to test our U-</w:t>
      </w:r>
      <w:r w:rsidR="00BF7670">
        <w:rPr>
          <w:rFonts w:eastAsia="Times New Roman" w:cs="Times New Roman"/>
          <w:szCs w:val="24"/>
          <w:lang w:val="en-AU" w:eastAsia="en-US"/>
        </w:rPr>
        <w:t xml:space="preserve">shaped hypothesis </w:t>
      </w:r>
      <w:r w:rsidR="00611E46">
        <w:rPr>
          <w:rFonts w:eastAsia="Times New Roman" w:cs="Times New Roman"/>
          <w:szCs w:val="24"/>
          <w:lang w:val="en-AU" w:eastAsia="en-US"/>
        </w:rPr>
        <w:t>linking</w:t>
      </w:r>
      <w:r w:rsidR="00BF7670">
        <w:rPr>
          <w:rFonts w:eastAsia="Times New Roman" w:cs="Times New Roman"/>
          <w:szCs w:val="24"/>
          <w:lang w:val="en-AU" w:eastAsia="en-US"/>
        </w:rPr>
        <w:t xml:space="preserve"> remittances and growth</w:t>
      </w:r>
      <w:r>
        <w:rPr>
          <w:rFonts w:eastAsia="Times New Roman" w:cs="Times New Roman"/>
          <w:szCs w:val="24"/>
          <w:lang w:val="en-AU" w:eastAsia="en-US"/>
        </w:rPr>
        <w:t xml:space="preserve">, </w:t>
      </w:r>
      <w:r w:rsidR="009217C4">
        <w:rPr>
          <w:rFonts w:eastAsia="Times New Roman" w:cs="Times New Roman"/>
          <w:szCs w:val="24"/>
          <w:lang w:val="en-AU" w:eastAsia="en-US"/>
        </w:rPr>
        <w:t xml:space="preserve">we have chosen </w:t>
      </w:r>
      <w:r w:rsidRPr="002C2B50">
        <w:rPr>
          <w:rFonts w:eastAsia="Times New Roman" w:cs="Times New Roman"/>
          <w:szCs w:val="24"/>
          <w:lang w:val="en-AU" w:eastAsia="en-US"/>
        </w:rPr>
        <w:t xml:space="preserve">Bangladesh </w:t>
      </w:r>
      <w:r w:rsidR="009217C4">
        <w:rPr>
          <w:rFonts w:eastAsia="Times New Roman" w:cs="Times New Roman"/>
          <w:szCs w:val="24"/>
          <w:lang w:val="en-AU" w:eastAsia="en-US"/>
        </w:rPr>
        <w:t>as</w:t>
      </w:r>
      <w:r w:rsidRPr="002C2B50">
        <w:rPr>
          <w:rFonts w:eastAsia="Times New Roman" w:cs="Times New Roman"/>
          <w:szCs w:val="24"/>
          <w:lang w:val="en-AU" w:eastAsia="en-US"/>
        </w:rPr>
        <w:t xml:space="preserve"> our case study</w:t>
      </w:r>
      <w:r w:rsidR="00BF7670">
        <w:rPr>
          <w:rFonts w:eastAsia="Times New Roman" w:cs="Times New Roman"/>
          <w:szCs w:val="24"/>
          <w:lang w:val="en-AU" w:eastAsia="en-US"/>
        </w:rPr>
        <w:t xml:space="preserve">. </w:t>
      </w:r>
      <w:r w:rsidR="009217C4">
        <w:rPr>
          <w:rFonts w:eastAsia="Times New Roman" w:cs="Times New Roman"/>
          <w:szCs w:val="24"/>
          <w:lang w:val="en-AU" w:eastAsia="en-US"/>
        </w:rPr>
        <w:t>T</w:t>
      </w:r>
      <w:r w:rsidR="004008B6">
        <w:rPr>
          <w:rFonts w:eastAsia="Times New Roman" w:cs="Times New Roman"/>
          <w:szCs w:val="24"/>
          <w:lang w:val="en-AU" w:eastAsia="en-US"/>
        </w:rPr>
        <w:t xml:space="preserve">he cultural and political history of Bangladesh </w:t>
      </w:r>
      <w:r w:rsidR="00096C1A">
        <w:rPr>
          <w:rFonts w:eastAsia="Times New Roman" w:cs="Times New Roman"/>
          <w:szCs w:val="24"/>
          <w:lang w:val="en-AU" w:eastAsia="en-US"/>
        </w:rPr>
        <w:t>is</w:t>
      </w:r>
      <w:r w:rsidR="004008B6">
        <w:rPr>
          <w:rFonts w:eastAsia="Times New Roman" w:cs="Times New Roman"/>
          <w:szCs w:val="24"/>
          <w:lang w:val="en-AU" w:eastAsia="en-US"/>
        </w:rPr>
        <w:t xml:space="preserve"> unique</w:t>
      </w:r>
      <w:r w:rsidR="00A02C9D">
        <w:rPr>
          <w:rFonts w:eastAsia="Times New Roman" w:cs="Times New Roman"/>
          <w:szCs w:val="24"/>
          <w:lang w:val="en-AU" w:eastAsia="en-US"/>
        </w:rPr>
        <w:t>:</w:t>
      </w:r>
      <w:r w:rsidR="004008B6">
        <w:rPr>
          <w:rFonts w:eastAsia="Times New Roman" w:cs="Times New Roman"/>
          <w:szCs w:val="24"/>
          <w:lang w:val="en-AU" w:eastAsia="en-US"/>
        </w:rPr>
        <w:t xml:space="preserve"> </w:t>
      </w:r>
      <w:r w:rsidR="007F3725">
        <w:rPr>
          <w:rFonts w:eastAsia="Times New Roman" w:cs="Times New Roman"/>
          <w:szCs w:val="24"/>
          <w:lang w:val="en-AU" w:eastAsia="en-US"/>
        </w:rPr>
        <w:t xml:space="preserve">it </w:t>
      </w:r>
      <w:r w:rsidR="00A24155">
        <w:rPr>
          <w:rFonts w:eastAsia="Times New Roman" w:cs="Times New Roman"/>
          <w:szCs w:val="24"/>
          <w:lang w:val="en-AU" w:eastAsia="en-US"/>
        </w:rPr>
        <w:t xml:space="preserve">once </w:t>
      </w:r>
      <w:r w:rsidR="007F3725">
        <w:rPr>
          <w:rFonts w:eastAsia="Times New Roman" w:cs="Times New Roman"/>
          <w:szCs w:val="24"/>
          <w:lang w:val="en-AU" w:eastAsia="en-US"/>
        </w:rPr>
        <w:t xml:space="preserve">was </w:t>
      </w:r>
      <w:r w:rsidR="00F357F5">
        <w:rPr>
          <w:rFonts w:eastAsia="Times New Roman" w:cs="Times New Roman"/>
          <w:szCs w:val="24"/>
          <w:lang w:val="en-AU" w:eastAsia="en-US"/>
        </w:rPr>
        <w:t xml:space="preserve">a </w:t>
      </w:r>
      <w:r w:rsidR="009217C4">
        <w:rPr>
          <w:rFonts w:eastAsia="Times New Roman" w:cs="Times New Roman"/>
          <w:szCs w:val="24"/>
          <w:lang w:val="en-AU" w:eastAsia="en-US"/>
        </w:rPr>
        <w:t xml:space="preserve">part of </w:t>
      </w:r>
      <w:r w:rsidR="009217C4" w:rsidRPr="009217C4">
        <w:rPr>
          <w:rFonts w:eastAsia="Times New Roman" w:cs="Times New Roman"/>
          <w:szCs w:val="24"/>
          <w:lang w:val="en-AU" w:eastAsia="en-US"/>
        </w:rPr>
        <w:t>undivided India</w:t>
      </w:r>
      <w:r w:rsidR="009217C4">
        <w:rPr>
          <w:rFonts w:eastAsia="Times New Roman" w:cs="Times New Roman"/>
          <w:szCs w:val="24"/>
          <w:lang w:val="en-AU" w:eastAsia="en-US"/>
        </w:rPr>
        <w:t>n sub-continent</w:t>
      </w:r>
      <w:r w:rsidR="009217C4" w:rsidRPr="009217C4">
        <w:rPr>
          <w:rFonts w:eastAsia="Times New Roman" w:cs="Times New Roman"/>
          <w:szCs w:val="24"/>
          <w:lang w:val="en-AU" w:eastAsia="en-US"/>
        </w:rPr>
        <w:t xml:space="preserve"> </w:t>
      </w:r>
      <w:r w:rsidR="00F357F5">
        <w:rPr>
          <w:rFonts w:eastAsia="Times New Roman" w:cs="Times New Roman"/>
          <w:szCs w:val="24"/>
          <w:lang w:val="en-AU" w:eastAsia="en-US"/>
        </w:rPr>
        <w:t>located</w:t>
      </w:r>
      <w:r w:rsidR="007F3725" w:rsidRPr="007F3725">
        <w:rPr>
          <w:rFonts w:eastAsia="Times New Roman" w:cs="Times New Roman"/>
          <w:szCs w:val="24"/>
          <w:lang w:val="en-AU" w:eastAsia="en-US"/>
        </w:rPr>
        <w:t xml:space="preserve"> to that of the </w:t>
      </w:r>
      <w:r w:rsidR="00F357F5">
        <w:rPr>
          <w:rFonts w:eastAsia="Times New Roman" w:cs="Times New Roman"/>
          <w:szCs w:val="24"/>
          <w:lang w:val="en-AU" w:eastAsia="en-US"/>
        </w:rPr>
        <w:t>greater</w:t>
      </w:r>
      <w:r w:rsidR="007F3725" w:rsidRPr="007F3725">
        <w:rPr>
          <w:rFonts w:eastAsia="Times New Roman" w:cs="Times New Roman"/>
          <w:szCs w:val="24"/>
          <w:lang w:val="en-AU" w:eastAsia="en-US"/>
        </w:rPr>
        <w:t xml:space="preserve"> area of Bengal</w:t>
      </w:r>
      <w:r w:rsidR="007F3725">
        <w:rPr>
          <w:rFonts w:eastAsia="Times New Roman" w:cs="Times New Roman"/>
          <w:szCs w:val="24"/>
          <w:lang w:val="en-AU" w:eastAsia="en-US"/>
        </w:rPr>
        <w:t xml:space="preserve"> which </w:t>
      </w:r>
      <w:r w:rsidR="00096C1A">
        <w:rPr>
          <w:rFonts w:eastAsia="Times New Roman" w:cs="Times New Roman"/>
          <w:szCs w:val="24"/>
          <w:lang w:val="en-AU" w:eastAsia="en-US"/>
        </w:rPr>
        <w:t xml:space="preserve">was </w:t>
      </w:r>
      <w:r w:rsidR="007F3725">
        <w:rPr>
          <w:rFonts w:eastAsia="Times New Roman" w:cs="Times New Roman"/>
          <w:szCs w:val="24"/>
          <w:lang w:val="en-AU" w:eastAsia="en-US"/>
        </w:rPr>
        <w:t xml:space="preserve">later </w:t>
      </w:r>
      <w:r w:rsidR="00096C1A">
        <w:rPr>
          <w:rFonts w:eastAsia="Times New Roman" w:cs="Times New Roman"/>
          <w:szCs w:val="24"/>
          <w:lang w:val="en-AU" w:eastAsia="en-US"/>
        </w:rPr>
        <w:t xml:space="preserve">divided </w:t>
      </w:r>
      <w:r w:rsidR="00DD3E59">
        <w:rPr>
          <w:rFonts w:eastAsia="Times New Roman" w:cs="Times New Roman"/>
          <w:szCs w:val="24"/>
          <w:lang w:val="en-AU" w:eastAsia="en-US"/>
        </w:rPr>
        <w:t>into</w:t>
      </w:r>
      <w:r w:rsidR="00096C1A">
        <w:rPr>
          <w:rFonts w:eastAsia="Times New Roman" w:cs="Times New Roman"/>
          <w:szCs w:val="24"/>
          <w:lang w:val="en-AU" w:eastAsia="en-US"/>
        </w:rPr>
        <w:t xml:space="preserve"> </w:t>
      </w:r>
      <w:r w:rsidR="007F3725">
        <w:rPr>
          <w:rFonts w:eastAsia="Times New Roman" w:cs="Times New Roman"/>
          <w:szCs w:val="24"/>
          <w:lang w:val="en-AU" w:eastAsia="en-US"/>
        </w:rPr>
        <w:t>the</w:t>
      </w:r>
      <w:r w:rsidR="009217C4">
        <w:rPr>
          <w:rFonts w:eastAsia="Times New Roman" w:cs="Times New Roman"/>
          <w:szCs w:val="24"/>
          <w:lang w:val="en-AU" w:eastAsia="en-US"/>
        </w:rPr>
        <w:t xml:space="preserve"> eastern wing of </w:t>
      </w:r>
      <w:r w:rsidR="009217C4" w:rsidRPr="009217C4">
        <w:rPr>
          <w:rFonts w:eastAsia="Times New Roman" w:cs="Times New Roman"/>
          <w:szCs w:val="24"/>
          <w:lang w:val="en-AU" w:eastAsia="en-US"/>
        </w:rPr>
        <w:t>Pakistan</w:t>
      </w:r>
      <w:r w:rsidR="009217C4">
        <w:rPr>
          <w:rFonts w:eastAsia="Times New Roman" w:cs="Times New Roman"/>
          <w:szCs w:val="24"/>
          <w:lang w:val="en-AU" w:eastAsia="en-US"/>
        </w:rPr>
        <w:t xml:space="preserve"> after the 1947 </w:t>
      </w:r>
      <w:r w:rsidR="007F3725">
        <w:rPr>
          <w:rFonts w:eastAsia="Times New Roman" w:cs="Times New Roman"/>
          <w:szCs w:val="24"/>
          <w:lang w:val="en-AU" w:eastAsia="en-US"/>
        </w:rPr>
        <w:t>partition</w:t>
      </w:r>
      <w:r w:rsidR="00671BCB">
        <w:rPr>
          <w:rFonts w:eastAsia="Times New Roman" w:cs="Times New Roman"/>
          <w:szCs w:val="24"/>
          <w:lang w:val="en-AU" w:eastAsia="en-US"/>
        </w:rPr>
        <w:t xml:space="preserve"> </w:t>
      </w:r>
      <w:r w:rsidR="00DD3E59">
        <w:rPr>
          <w:rFonts w:eastAsia="Times New Roman" w:cs="Times New Roman"/>
          <w:szCs w:val="24"/>
          <w:lang w:val="en-AU" w:eastAsia="en-US"/>
        </w:rPr>
        <w:t xml:space="preserve">because of its Muslim majority population </w:t>
      </w:r>
      <w:r w:rsidR="00671BCB">
        <w:rPr>
          <w:rFonts w:eastAsia="Times New Roman" w:cs="Times New Roman"/>
          <w:szCs w:val="24"/>
          <w:lang w:val="en-AU" w:eastAsia="en-US"/>
        </w:rPr>
        <w:t xml:space="preserve">but </w:t>
      </w:r>
      <w:r w:rsidR="00096C1A">
        <w:rPr>
          <w:rFonts w:eastAsia="Times New Roman" w:cs="Times New Roman"/>
          <w:szCs w:val="24"/>
          <w:lang w:val="en-AU" w:eastAsia="en-US"/>
        </w:rPr>
        <w:t xml:space="preserve">eventually </w:t>
      </w:r>
      <w:r w:rsidR="007F3725">
        <w:rPr>
          <w:rFonts w:eastAsia="Times New Roman" w:cs="Times New Roman"/>
          <w:szCs w:val="24"/>
          <w:lang w:val="en-AU" w:eastAsia="en-US"/>
        </w:rPr>
        <w:t>became</w:t>
      </w:r>
      <w:r w:rsidR="009217C4">
        <w:rPr>
          <w:rFonts w:eastAsia="Times New Roman" w:cs="Times New Roman"/>
          <w:szCs w:val="24"/>
          <w:lang w:val="en-AU" w:eastAsia="en-US"/>
        </w:rPr>
        <w:t xml:space="preserve"> an independent nation </w:t>
      </w:r>
      <w:r w:rsidR="007F3725">
        <w:rPr>
          <w:rFonts w:eastAsia="Times New Roman" w:cs="Times New Roman"/>
          <w:szCs w:val="24"/>
          <w:lang w:val="en-AU" w:eastAsia="en-US"/>
        </w:rPr>
        <w:t>in 1971</w:t>
      </w:r>
      <w:r w:rsidR="00671BCB">
        <w:rPr>
          <w:rFonts w:eastAsia="Times New Roman" w:cs="Times New Roman"/>
          <w:szCs w:val="24"/>
          <w:lang w:val="en-AU" w:eastAsia="en-US"/>
        </w:rPr>
        <w:t>. It</w:t>
      </w:r>
      <w:r w:rsidR="00F357F5">
        <w:rPr>
          <w:rFonts w:eastAsia="Times New Roman" w:cs="Times New Roman"/>
          <w:szCs w:val="24"/>
          <w:lang w:val="en-AU" w:eastAsia="en-US"/>
        </w:rPr>
        <w:t xml:space="preserve"> </w:t>
      </w:r>
      <w:r w:rsidR="00096C1A">
        <w:rPr>
          <w:rFonts w:eastAsia="Times New Roman" w:cs="Times New Roman"/>
          <w:szCs w:val="24"/>
          <w:lang w:val="en-AU" w:eastAsia="en-US"/>
        </w:rPr>
        <w:t>shares borders</w:t>
      </w:r>
      <w:r w:rsidR="00F357F5">
        <w:rPr>
          <w:rFonts w:eastAsia="Times New Roman" w:cs="Times New Roman"/>
          <w:szCs w:val="24"/>
          <w:lang w:val="en-AU" w:eastAsia="en-US"/>
        </w:rPr>
        <w:t>, water</w:t>
      </w:r>
      <w:r w:rsidR="00671BCB">
        <w:rPr>
          <w:rFonts w:eastAsia="Times New Roman" w:cs="Times New Roman"/>
          <w:szCs w:val="24"/>
          <w:lang w:val="en-AU" w:eastAsia="en-US"/>
        </w:rPr>
        <w:t xml:space="preserve"> resources</w:t>
      </w:r>
      <w:r w:rsidR="00F357F5">
        <w:rPr>
          <w:rFonts w:eastAsia="Times New Roman" w:cs="Times New Roman"/>
          <w:szCs w:val="24"/>
          <w:lang w:val="en-AU" w:eastAsia="en-US"/>
        </w:rPr>
        <w:t xml:space="preserve"> and</w:t>
      </w:r>
      <w:r w:rsidR="00742B38">
        <w:rPr>
          <w:rFonts w:eastAsia="Times New Roman" w:cs="Times New Roman"/>
          <w:szCs w:val="24"/>
          <w:lang w:val="en-AU" w:eastAsia="en-US"/>
        </w:rPr>
        <w:t xml:space="preserve"> </w:t>
      </w:r>
      <w:r w:rsidR="007F3725">
        <w:rPr>
          <w:rFonts w:eastAsia="Times New Roman" w:cs="Times New Roman"/>
          <w:szCs w:val="24"/>
          <w:lang w:val="en-AU" w:eastAsia="en-US"/>
        </w:rPr>
        <w:t xml:space="preserve">a </w:t>
      </w:r>
      <w:r w:rsidR="00742B38">
        <w:rPr>
          <w:rFonts w:eastAsia="Times New Roman" w:cs="Times New Roman"/>
          <w:szCs w:val="24"/>
          <w:lang w:val="en-AU" w:eastAsia="en-US"/>
        </w:rPr>
        <w:t>common</w:t>
      </w:r>
      <w:r w:rsidR="004008B6">
        <w:rPr>
          <w:rFonts w:eastAsia="Times New Roman" w:cs="Times New Roman"/>
          <w:szCs w:val="24"/>
          <w:lang w:val="en-AU" w:eastAsia="en-US"/>
        </w:rPr>
        <w:t xml:space="preserve"> language </w:t>
      </w:r>
      <w:r w:rsidR="00A02C9D">
        <w:rPr>
          <w:rFonts w:eastAsia="Times New Roman" w:cs="Times New Roman"/>
          <w:szCs w:val="24"/>
          <w:lang w:val="en-AU" w:eastAsia="en-US"/>
        </w:rPr>
        <w:t xml:space="preserve">and culture </w:t>
      </w:r>
      <w:r w:rsidR="004008B6">
        <w:rPr>
          <w:rFonts w:eastAsia="Times New Roman" w:cs="Times New Roman"/>
          <w:szCs w:val="24"/>
          <w:lang w:val="en-AU" w:eastAsia="en-US"/>
        </w:rPr>
        <w:t xml:space="preserve">with </w:t>
      </w:r>
      <w:r w:rsidR="00742B38">
        <w:rPr>
          <w:rFonts w:eastAsia="Times New Roman" w:cs="Times New Roman"/>
          <w:szCs w:val="24"/>
          <w:lang w:val="en-AU" w:eastAsia="en-US"/>
        </w:rPr>
        <w:t xml:space="preserve">West Bengal </w:t>
      </w:r>
      <w:r w:rsidR="00096C1A">
        <w:rPr>
          <w:rFonts w:eastAsia="Times New Roman" w:cs="Times New Roman"/>
          <w:szCs w:val="24"/>
          <w:lang w:val="en-AU" w:eastAsia="en-US"/>
        </w:rPr>
        <w:t xml:space="preserve">and other Eastern </w:t>
      </w:r>
      <w:r w:rsidR="00742B38">
        <w:rPr>
          <w:rFonts w:eastAsia="Times New Roman" w:cs="Times New Roman"/>
          <w:szCs w:val="24"/>
          <w:lang w:val="en-AU" w:eastAsia="en-US"/>
        </w:rPr>
        <w:t>province</w:t>
      </w:r>
      <w:r w:rsidR="00096C1A">
        <w:rPr>
          <w:rFonts w:eastAsia="Times New Roman" w:cs="Times New Roman"/>
          <w:szCs w:val="24"/>
          <w:lang w:val="en-AU" w:eastAsia="en-US"/>
        </w:rPr>
        <w:t>s of India</w:t>
      </w:r>
      <w:r w:rsidR="004008B6">
        <w:rPr>
          <w:rFonts w:eastAsia="Times New Roman" w:cs="Times New Roman"/>
          <w:szCs w:val="24"/>
          <w:lang w:val="en-AU" w:eastAsia="en-US"/>
        </w:rPr>
        <w:t xml:space="preserve">. Throughout its history emigration has taken place </w:t>
      </w:r>
      <w:r w:rsidR="007F3725">
        <w:rPr>
          <w:rFonts w:eastAsia="Times New Roman" w:cs="Times New Roman"/>
          <w:szCs w:val="24"/>
          <w:lang w:val="en-AU" w:eastAsia="en-US"/>
        </w:rPr>
        <w:t>from this part of the world</w:t>
      </w:r>
      <w:r w:rsidR="004008B6">
        <w:rPr>
          <w:rFonts w:eastAsia="Times New Roman" w:cs="Times New Roman"/>
          <w:szCs w:val="24"/>
          <w:lang w:val="en-AU" w:eastAsia="en-US"/>
        </w:rPr>
        <w:t xml:space="preserve">. </w:t>
      </w:r>
      <w:r w:rsidR="00197409">
        <w:rPr>
          <w:rFonts w:eastAsia="Times New Roman" w:cs="Times New Roman"/>
          <w:szCs w:val="24"/>
          <w:lang w:val="en-AU" w:eastAsia="en-US"/>
        </w:rPr>
        <w:t xml:space="preserve">According to </w:t>
      </w:r>
      <w:proofErr w:type="spellStart"/>
      <w:r w:rsidR="00197409">
        <w:rPr>
          <w:rFonts w:eastAsia="Times New Roman" w:cs="Times New Roman"/>
          <w:szCs w:val="24"/>
          <w:lang w:val="en-AU" w:eastAsia="en-US"/>
        </w:rPr>
        <w:t>Siddiqui</w:t>
      </w:r>
      <w:proofErr w:type="spellEnd"/>
      <w:r w:rsidR="00197409" w:rsidRPr="00197409">
        <w:rPr>
          <w:rFonts w:eastAsia="Times New Roman" w:cs="Times New Roman"/>
          <w:szCs w:val="24"/>
          <w:lang w:val="en-AU" w:eastAsia="en-US"/>
        </w:rPr>
        <w:t xml:space="preserve"> </w:t>
      </w:r>
      <w:r w:rsidR="00197409">
        <w:rPr>
          <w:rFonts w:eastAsia="Times New Roman" w:cs="Times New Roman"/>
          <w:szCs w:val="24"/>
          <w:lang w:val="en-AU" w:eastAsia="en-US"/>
        </w:rPr>
        <w:t>(</w:t>
      </w:r>
      <w:r w:rsidR="001961A5">
        <w:rPr>
          <w:rFonts w:eastAsia="Times New Roman" w:cs="Times New Roman"/>
          <w:szCs w:val="24"/>
          <w:lang w:val="en-AU" w:eastAsia="en-US"/>
        </w:rPr>
        <w:t>2004</w:t>
      </w:r>
      <w:r w:rsidR="00197409" w:rsidRPr="00197409">
        <w:rPr>
          <w:rFonts w:eastAsia="Times New Roman" w:cs="Times New Roman"/>
          <w:szCs w:val="24"/>
          <w:lang w:val="en-AU" w:eastAsia="en-US"/>
        </w:rPr>
        <w:t>), the antecedents</w:t>
      </w:r>
      <w:r w:rsidR="00197409">
        <w:rPr>
          <w:rFonts w:eastAsia="Times New Roman" w:cs="Times New Roman"/>
          <w:szCs w:val="24"/>
          <w:lang w:val="en-AU" w:eastAsia="en-US"/>
        </w:rPr>
        <w:t xml:space="preserve"> of the </w:t>
      </w:r>
      <w:proofErr w:type="spellStart"/>
      <w:r w:rsidR="00197409" w:rsidRPr="00197409">
        <w:rPr>
          <w:rFonts w:eastAsia="Times New Roman" w:cs="Times New Roman"/>
          <w:szCs w:val="24"/>
          <w:lang w:val="en-AU" w:eastAsia="en-US"/>
        </w:rPr>
        <w:t>Singhala</w:t>
      </w:r>
      <w:proofErr w:type="spellEnd"/>
      <w:r w:rsidR="00197409" w:rsidRPr="00197409">
        <w:rPr>
          <w:rFonts w:eastAsia="Times New Roman" w:cs="Times New Roman"/>
          <w:szCs w:val="24"/>
          <w:lang w:val="en-AU" w:eastAsia="en-US"/>
        </w:rPr>
        <w:t xml:space="preserve"> communities, the original inhabitants of Sri Lanka, are believed to have migrated from </w:t>
      </w:r>
      <w:r w:rsidR="00197409">
        <w:rPr>
          <w:rFonts w:eastAsia="Times New Roman" w:cs="Times New Roman"/>
          <w:szCs w:val="24"/>
          <w:lang w:val="en-AU" w:eastAsia="en-US"/>
        </w:rPr>
        <w:t xml:space="preserve">the part of the area of Bengal which now constitutes </w:t>
      </w:r>
      <w:r w:rsidR="00197409" w:rsidRPr="00197409">
        <w:rPr>
          <w:rFonts w:eastAsia="Times New Roman" w:cs="Times New Roman"/>
          <w:szCs w:val="24"/>
          <w:lang w:val="en-AU" w:eastAsia="en-US"/>
        </w:rPr>
        <w:t>Bangladesh.</w:t>
      </w:r>
      <w:r w:rsidR="00197409">
        <w:rPr>
          <w:rFonts w:eastAsia="Times New Roman" w:cs="Times New Roman"/>
          <w:szCs w:val="24"/>
          <w:lang w:val="en-AU" w:eastAsia="en-US"/>
        </w:rPr>
        <w:t xml:space="preserve"> </w:t>
      </w:r>
      <w:r w:rsidR="00F357F5">
        <w:rPr>
          <w:rFonts w:eastAsia="Times New Roman" w:cs="Times New Roman"/>
          <w:szCs w:val="24"/>
          <w:lang w:val="en-AU" w:eastAsia="en-US"/>
        </w:rPr>
        <w:t>Prior to</w:t>
      </w:r>
      <w:r w:rsidR="00197409" w:rsidRPr="00197409">
        <w:rPr>
          <w:rFonts w:eastAsia="Times New Roman" w:cs="Times New Roman"/>
          <w:szCs w:val="24"/>
          <w:lang w:val="en-AU" w:eastAsia="en-US"/>
        </w:rPr>
        <w:t xml:space="preserve"> the partition of the Indian sub-continent, job crises following </w:t>
      </w:r>
      <w:r w:rsidR="00B11487">
        <w:rPr>
          <w:rFonts w:eastAsia="Times New Roman" w:cs="Times New Roman"/>
          <w:szCs w:val="24"/>
          <w:lang w:val="en-AU" w:eastAsia="en-US"/>
        </w:rPr>
        <w:t xml:space="preserve">the </w:t>
      </w:r>
      <w:r w:rsidR="00197409" w:rsidRPr="00197409">
        <w:rPr>
          <w:rFonts w:eastAsia="Times New Roman" w:cs="Times New Roman"/>
          <w:szCs w:val="24"/>
          <w:lang w:val="en-AU" w:eastAsia="en-US"/>
        </w:rPr>
        <w:t xml:space="preserve">marginalisation of the domestic jute and cotton industries and </w:t>
      </w:r>
      <w:r w:rsidR="0040107E">
        <w:rPr>
          <w:rFonts w:eastAsia="Times New Roman" w:cs="Times New Roman"/>
          <w:szCs w:val="24"/>
          <w:lang w:val="en-AU" w:eastAsia="en-US"/>
        </w:rPr>
        <w:t xml:space="preserve">the contraction of </w:t>
      </w:r>
      <w:r w:rsidR="00197409" w:rsidRPr="00197409">
        <w:rPr>
          <w:rFonts w:eastAsia="Times New Roman" w:cs="Times New Roman"/>
          <w:szCs w:val="24"/>
          <w:lang w:val="en-AU" w:eastAsia="en-US"/>
        </w:rPr>
        <w:t xml:space="preserve">the market for fine muslin by the colonial powers, </w:t>
      </w:r>
      <w:r w:rsidR="00F357F5">
        <w:rPr>
          <w:rFonts w:eastAsia="Times New Roman" w:cs="Times New Roman"/>
          <w:szCs w:val="24"/>
          <w:lang w:val="en-AU" w:eastAsia="en-US"/>
        </w:rPr>
        <w:t>engendered</w:t>
      </w:r>
      <w:r w:rsidR="00197409" w:rsidRPr="00197409">
        <w:rPr>
          <w:rFonts w:eastAsia="Times New Roman" w:cs="Times New Roman"/>
          <w:szCs w:val="24"/>
          <w:lang w:val="en-AU" w:eastAsia="en-US"/>
        </w:rPr>
        <w:t xml:space="preserve"> large-scale emigration of Bangladeshis to Assam</w:t>
      </w:r>
      <w:r w:rsidR="00C35F3F">
        <w:rPr>
          <w:rFonts w:eastAsia="Times New Roman" w:cs="Times New Roman"/>
          <w:szCs w:val="24"/>
          <w:lang w:val="en-AU" w:eastAsia="en-US"/>
        </w:rPr>
        <w:t xml:space="preserve"> (eastern province of India)</w:t>
      </w:r>
      <w:r w:rsidR="00197409" w:rsidRPr="00197409">
        <w:rPr>
          <w:rFonts w:eastAsia="Times New Roman" w:cs="Times New Roman"/>
          <w:szCs w:val="24"/>
          <w:lang w:val="en-AU" w:eastAsia="en-US"/>
        </w:rPr>
        <w:t>, and to Myanmar</w:t>
      </w:r>
      <w:r w:rsidR="00197409">
        <w:rPr>
          <w:rFonts w:eastAsia="Times New Roman" w:cs="Times New Roman"/>
          <w:szCs w:val="24"/>
          <w:lang w:val="en-AU" w:eastAsia="en-US"/>
        </w:rPr>
        <w:t xml:space="preserve"> (</w:t>
      </w:r>
      <w:r w:rsidR="008100DC">
        <w:rPr>
          <w:rFonts w:eastAsia="Times New Roman" w:cs="Times New Roman"/>
          <w:szCs w:val="24"/>
          <w:lang w:val="en-AU" w:eastAsia="en-US"/>
        </w:rPr>
        <w:t>IOM</w:t>
      </w:r>
      <w:r w:rsidR="00197409">
        <w:rPr>
          <w:rFonts w:eastAsia="Times New Roman" w:cs="Times New Roman"/>
          <w:szCs w:val="24"/>
          <w:lang w:val="en-AU" w:eastAsia="en-US"/>
        </w:rPr>
        <w:t xml:space="preserve"> 2005)</w:t>
      </w:r>
      <w:r w:rsidR="00197409" w:rsidRPr="00197409">
        <w:rPr>
          <w:rFonts w:eastAsia="Times New Roman" w:cs="Times New Roman"/>
          <w:szCs w:val="24"/>
          <w:lang w:val="en-AU" w:eastAsia="en-US"/>
        </w:rPr>
        <w:t xml:space="preserve">. </w:t>
      </w:r>
    </w:p>
    <w:p w:rsidR="00B20AA1" w:rsidRDefault="00742B38" w:rsidP="007E4B5E">
      <w:pPr>
        <w:tabs>
          <w:tab w:val="left" w:pos="426"/>
          <w:tab w:val="right" w:pos="8931"/>
        </w:tabs>
        <w:spacing w:after="0" w:line="288" w:lineRule="auto"/>
        <w:ind w:firstLine="426"/>
        <w:jc w:val="both"/>
        <w:rPr>
          <w:rFonts w:eastAsia="Times New Roman" w:cs="Times New Roman"/>
          <w:szCs w:val="24"/>
          <w:lang w:val="en-AU" w:eastAsia="en-US"/>
        </w:rPr>
      </w:pPr>
      <w:r>
        <w:rPr>
          <w:rFonts w:eastAsia="Times New Roman" w:cs="Times New Roman"/>
          <w:szCs w:val="24"/>
          <w:lang w:val="en-AU" w:eastAsia="en-US"/>
        </w:rPr>
        <w:lastRenderedPageBreak/>
        <w:t>After its birth</w:t>
      </w:r>
      <w:r w:rsidR="00605AD2">
        <w:rPr>
          <w:rFonts w:eastAsia="Times New Roman" w:cs="Times New Roman"/>
          <w:szCs w:val="24"/>
          <w:lang w:val="en-AU" w:eastAsia="en-US"/>
        </w:rPr>
        <w:t xml:space="preserve"> </w:t>
      </w:r>
      <w:r w:rsidR="00FD15EB">
        <w:rPr>
          <w:rFonts w:eastAsia="Times New Roman" w:cs="Times New Roman"/>
          <w:szCs w:val="24"/>
          <w:lang w:val="en-AU" w:eastAsia="en-US"/>
        </w:rPr>
        <w:t>in 1971</w:t>
      </w:r>
      <w:r w:rsidR="0040107E">
        <w:rPr>
          <w:rFonts w:eastAsia="Times New Roman" w:cs="Times New Roman"/>
          <w:szCs w:val="24"/>
          <w:lang w:val="en-AU" w:eastAsia="en-US"/>
        </w:rPr>
        <w:t>,</w:t>
      </w:r>
      <w:r>
        <w:rPr>
          <w:rFonts w:eastAsia="Times New Roman" w:cs="Times New Roman"/>
          <w:szCs w:val="24"/>
          <w:lang w:val="en-AU" w:eastAsia="en-US"/>
        </w:rPr>
        <w:t xml:space="preserve"> </w:t>
      </w:r>
      <w:r w:rsidRPr="00742B38">
        <w:rPr>
          <w:rFonts w:eastAsia="Times New Roman" w:cs="Times New Roman"/>
          <w:szCs w:val="24"/>
          <w:lang w:val="en-AU" w:eastAsia="en-US"/>
        </w:rPr>
        <w:t>Bangladesh</w:t>
      </w:r>
      <w:r w:rsidR="00FD15EB">
        <w:rPr>
          <w:rFonts w:eastAsia="Times New Roman" w:cs="Times New Roman"/>
          <w:szCs w:val="24"/>
          <w:lang w:val="en-AU" w:eastAsia="en-US"/>
        </w:rPr>
        <w:t xml:space="preserve"> </w:t>
      </w:r>
      <w:r>
        <w:rPr>
          <w:rFonts w:eastAsia="Times New Roman" w:cs="Times New Roman"/>
          <w:szCs w:val="24"/>
          <w:lang w:val="en-AU" w:eastAsia="en-US"/>
        </w:rPr>
        <w:t xml:space="preserve">was perceived to be unsustainable as a standalone country and </w:t>
      </w:r>
      <w:r w:rsidR="00913F81">
        <w:rPr>
          <w:rFonts w:eastAsia="Times New Roman" w:cs="Times New Roman"/>
          <w:szCs w:val="24"/>
          <w:lang w:val="en-AU" w:eastAsia="en-US"/>
        </w:rPr>
        <w:t xml:space="preserve">many thought that its future was </w:t>
      </w:r>
      <w:r w:rsidR="0040107E">
        <w:rPr>
          <w:rFonts w:eastAsia="Times New Roman" w:cs="Times New Roman"/>
          <w:szCs w:val="24"/>
          <w:lang w:val="en-AU" w:eastAsia="en-US"/>
        </w:rPr>
        <w:t>unpromising</w:t>
      </w:r>
      <w:r w:rsidR="00913F81">
        <w:rPr>
          <w:rFonts w:eastAsia="Times New Roman" w:cs="Times New Roman"/>
          <w:szCs w:val="24"/>
          <w:lang w:val="en-AU" w:eastAsia="en-US"/>
        </w:rPr>
        <w:t xml:space="preserve"> because of </w:t>
      </w:r>
      <w:r w:rsidR="00B11487">
        <w:rPr>
          <w:rFonts w:eastAsia="Times New Roman" w:cs="Times New Roman"/>
          <w:szCs w:val="24"/>
          <w:lang w:val="en-AU" w:eastAsia="en-US"/>
        </w:rPr>
        <w:t xml:space="preserve">its </w:t>
      </w:r>
      <w:r w:rsidR="00913F81">
        <w:rPr>
          <w:rFonts w:eastAsia="Times New Roman" w:cs="Times New Roman"/>
          <w:szCs w:val="24"/>
          <w:lang w:val="en-AU" w:eastAsia="en-US"/>
        </w:rPr>
        <w:t xml:space="preserve">excessive population, dearth of resources and vulnerability towards large scale natural disasters and </w:t>
      </w:r>
      <w:r>
        <w:rPr>
          <w:rFonts w:eastAsia="Times New Roman" w:cs="Times New Roman"/>
          <w:szCs w:val="24"/>
          <w:lang w:val="en-AU" w:eastAsia="en-US"/>
        </w:rPr>
        <w:t xml:space="preserve">therefore was discounted </w:t>
      </w:r>
      <w:r w:rsidR="00FD15EB">
        <w:rPr>
          <w:rFonts w:eastAsia="Times New Roman" w:cs="Times New Roman"/>
          <w:szCs w:val="24"/>
          <w:lang w:val="en-AU" w:eastAsia="en-US"/>
        </w:rPr>
        <w:t xml:space="preserve">by influential </w:t>
      </w:r>
      <w:r>
        <w:rPr>
          <w:rFonts w:eastAsia="Times New Roman" w:cs="Times New Roman"/>
          <w:szCs w:val="24"/>
          <w:lang w:val="en-AU" w:eastAsia="en-US"/>
        </w:rPr>
        <w:t xml:space="preserve">western </w:t>
      </w:r>
      <w:r w:rsidR="00FD15EB">
        <w:rPr>
          <w:rFonts w:eastAsia="Times New Roman" w:cs="Times New Roman"/>
          <w:szCs w:val="24"/>
          <w:lang w:val="en-AU" w:eastAsia="en-US"/>
        </w:rPr>
        <w:t xml:space="preserve">diplomats as </w:t>
      </w:r>
      <w:r w:rsidR="00376D10">
        <w:rPr>
          <w:rFonts w:eastAsia="Times New Roman" w:cs="Times New Roman"/>
          <w:szCs w:val="24"/>
          <w:lang w:val="en-AU" w:eastAsia="en-US"/>
        </w:rPr>
        <w:t>‘</w:t>
      </w:r>
      <w:r w:rsidR="00FD15EB">
        <w:rPr>
          <w:rFonts w:eastAsia="Times New Roman" w:cs="Times New Roman"/>
          <w:szCs w:val="24"/>
          <w:lang w:val="en-AU" w:eastAsia="en-US"/>
        </w:rPr>
        <w:t>bottomless basket</w:t>
      </w:r>
      <w:r w:rsidR="00376D10">
        <w:rPr>
          <w:rFonts w:eastAsia="Times New Roman" w:cs="Times New Roman"/>
          <w:szCs w:val="24"/>
          <w:lang w:val="en-AU" w:eastAsia="en-US"/>
        </w:rPr>
        <w:t>’</w:t>
      </w:r>
      <w:r>
        <w:rPr>
          <w:rFonts w:eastAsia="Times New Roman" w:cs="Times New Roman"/>
          <w:szCs w:val="24"/>
          <w:lang w:val="en-AU" w:eastAsia="en-US"/>
        </w:rPr>
        <w:t>.</w:t>
      </w:r>
      <w:r w:rsidR="00FD15EB">
        <w:rPr>
          <w:rFonts w:eastAsia="Times New Roman" w:cs="Times New Roman"/>
          <w:szCs w:val="24"/>
          <w:lang w:val="en-AU" w:eastAsia="en-US"/>
        </w:rPr>
        <w:t xml:space="preserve"> </w:t>
      </w:r>
      <w:r w:rsidR="00B20AA1">
        <w:rPr>
          <w:rFonts w:eastAsia="Times New Roman" w:cs="Times New Roman"/>
          <w:szCs w:val="24"/>
          <w:lang w:val="en-AU" w:eastAsia="en-US"/>
        </w:rPr>
        <w:t>However,</w:t>
      </w:r>
      <w:r w:rsidR="00FD15EB">
        <w:rPr>
          <w:rFonts w:eastAsia="Times New Roman" w:cs="Times New Roman"/>
          <w:szCs w:val="24"/>
          <w:lang w:val="en-AU" w:eastAsia="en-US"/>
        </w:rPr>
        <w:t xml:space="preserve"> </w:t>
      </w:r>
      <w:r>
        <w:rPr>
          <w:rFonts w:eastAsia="Times New Roman" w:cs="Times New Roman"/>
          <w:szCs w:val="24"/>
          <w:lang w:val="en-AU" w:eastAsia="en-US"/>
        </w:rPr>
        <w:t xml:space="preserve">the pessimist perception was </w:t>
      </w:r>
      <w:r w:rsidR="00605AD2">
        <w:rPr>
          <w:rFonts w:eastAsia="Times New Roman" w:cs="Times New Roman"/>
          <w:szCs w:val="24"/>
          <w:lang w:val="en-AU" w:eastAsia="en-US"/>
        </w:rPr>
        <w:t xml:space="preserve">offset by </w:t>
      </w:r>
      <w:r w:rsidR="00B20AA1">
        <w:rPr>
          <w:rFonts w:eastAsia="Times New Roman" w:cs="Times New Roman"/>
          <w:szCs w:val="24"/>
          <w:lang w:val="en-AU" w:eastAsia="en-US"/>
        </w:rPr>
        <w:t xml:space="preserve">the work of </w:t>
      </w:r>
      <w:r w:rsidR="00DF00F5">
        <w:rPr>
          <w:rFonts w:eastAsia="Times New Roman" w:cs="Times New Roman"/>
          <w:szCs w:val="24"/>
          <w:lang w:val="en-AU" w:eastAsia="en-US"/>
        </w:rPr>
        <w:t xml:space="preserve">some </w:t>
      </w:r>
      <w:r w:rsidR="00605AD2">
        <w:rPr>
          <w:rFonts w:eastAsia="Times New Roman" w:cs="Times New Roman"/>
          <w:szCs w:val="24"/>
          <w:lang w:val="en-AU" w:eastAsia="en-US"/>
        </w:rPr>
        <w:t xml:space="preserve">development economists </w:t>
      </w:r>
      <w:r w:rsidR="00DF00F5">
        <w:rPr>
          <w:rFonts w:eastAsia="Times New Roman" w:cs="Times New Roman"/>
          <w:szCs w:val="24"/>
          <w:lang w:val="en-AU" w:eastAsia="en-US"/>
        </w:rPr>
        <w:t xml:space="preserve">who </w:t>
      </w:r>
      <w:r w:rsidR="0040107E">
        <w:rPr>
          <w:rFonts w:eastAsia="Times New Roman" w:cs="Times New Roman"/>
          <w:szCs w:val="24"/>
          <w:lang w:val="en-AU" w:eastAsia="en-US"/>
        </w:rPr>
        <w:t>had</w:t>
      </w:r>
      <w:r w:rsidR="00DF00F5">
        <w:rPr>
          <w:rFonts w:eastAsia="Times New Roman" w:cs="Times New Roman"/>
          <w:szCs w:val="24"/>
          <w:lang w:val="en-AU" w:eastAsia="en-US"/>
        </w:rPr>
        <w:t xml:space="preserve"> </w:t>
      </w:r>
      <w:r w:rsidR="001B122D">
        <w:rPr>
          <w:rFonts w:eastAsia="Times New Roman" w:cs="Times New Roman"/>
          <w:szCs w:val="24"/>
          <w:lang w:val="en-AU" w:eastAsia="en-US"/>
        </w:rPr>
        <w:t xml:space="preserve">prior </w:t>
      </w:r>
      <w:r w:rsidR="00605AD2">
        <w:rPr>
          <w:rFonts w:eastAsia="Times New Roman" w:cs="Times New Roman"/>
          <w:szCs w:val="24"/>
          <w:lang w:val="en-AU" w:eastAsia="en-US"/>
        </w:rPr>
        <w:t xml:space="preserve">experience of </w:t>
      </w:r>
      <w:r w:rsidR="00B20AA1">
        <w:rPr>
          <w:rFonts w:eastAsia="Times New Roman" w:cs="Times New Roman"/>
          <w:szCs w:val="24"/>
          <w:lang w:val="en-AU" w:eastAsia="en-US"/>
        </w:rPr>
        <w:t>studying</w:t>
      </w:r>
      <w:r w:rsidR="00605AD2">
        <w:rPr>
          <w:rFonts w:eastAsia="Times New Roman" w:cs="Times New Roman"/>
          <w:szCs w:val="24"/>
          <w:lang w:val="en-AU" w:eastAsia="en-US"/>
        </w:rPr>
        <w:t xml:space="preserve"> the formerly united Pakistan</w:t>
      </w:r>
      <w:r w:rsidR="0040107E">
        <w:rPr>
          <w:rFonts w:eastAsia="Times New Roman" w:cs="Times New Roman"/>
          <w:szCs w:val="24"/>
          <w:lang w:val="en-AU" w:eastAsia="en-US"/>
        </w:rPr>
        <w:t>. These economists</w:t>
      </w:r>
      <w:r w:rsidR="00DF00F5">
        <w:rPr>
          <w:rFonts w:eastAsia="Times New Roman" w:cs="Times New Roman"/>
          <w:szCs w:val="24"/>
          <w:lang w:val="en-AU" w:eastAsia="en-US"/>
        </w:rPr>
        <w:t xml:space="preserve"> had</w:t>
      </w:r>
      <w:r w:rsidR="00605AD2">
        <w:rPr>
          <w:rFonts w:eastAsia="Times New Roman" w:cs="Times New Roman"/>
          <w:szCs w:val="24"/>
          <w:lang w:val="en-AU" w:eastAsia="en-US"/>
        </w:rPr>
        <w:t xml:space="preserve"> </w:t>
      </w:r>
      <w:r w:rsidR="0040107E">
        <w:rPr>
          <w:rFonts w:eastAsia="Times New Roman" w:cs="Times New Roman"/>
          <w:szCs w:val="24"/>
          <w:lang w:val="en-AU" w:eastAsia="en-US"/>
        </w:rPr>
        <w:t>begun reviewing</w:t>
      </w:r>
      <w:r w:rsidR="00605AD2">
        <w:rPr>
          <w:rFonts w:eastAsia="Times New Roman" w:cs="Times New Roman"/>
          <w:szCs w:val="24"/>
          <w:lang w:val="en-AU" w:eastAsia="en-US"/>
        </w:rPr>
        <w:t xml:space="preserve"> the development problems and prospects </w:t>
      </w:r>
      <w:r w:rsidR="001B122D">
        <w:rPr>
          <w:rFonts w:eastAsia="Times New Roman" w:cs="Times New Roman"/>
          <w:szCs w:val="24"/>
          <w:lang w:val="en-AU" w:eastAsia="en-US"/>
        </w:rPr>
        <w:t>of</w:t>
      </w:r>
      <w:r w:rsidR="00605AD2" w:rsidRPr="00605AD2">
        <w:rPr>
          <w:rFonts w:eastAsia="Times New Roman" w:cs="Times New Roman"/>
          <w:szCs w:val="24"/>
          <w:lang w:val="en-AU" w:eastAsia="en-US"/>
        </w:rPr>
        <w:t xml:space="preserve"> </w:t>
      </w:r>
      <w:r w:rsidR="00605AD2">
        <w:rPr>
          <w:rFonts w:eastAsia="Times New Roman" w:cs="Times New Roman"/>
          <w:szCs w:val="24"/>
          <w:lang w:val="en-AU" w:eastAsia="en-US"/>
        </w:rPr>
        <w:t xml:space="preserve">the then young Bangladesh </w:t>
      </w:r>
      <w:r w:rsidR="001B122D">
        <w:rPr>
          <w:rFonts w:eastAsia="Times New Roman" w:cs="Times New Roman"/>
          <w:szCs w:val="24"/>
          <w:lang w:val="en-AU" w:eastAsia="en-US"/>
        </w:rPr>
        <w:t xml:space="preserve">and </w:t>
      </w:r>
      <w:r w:rsidR="0040107E">
        <w:rPr>
          <w:rFonts w:eastAsia="Times New Roman" w:cs="Times New Roman"/>
          <w:szCs w:val="24"/>
          <w:lang w:val="en-AU" w:eastAsia="en-US"/>
        </w:rPr>
        <w:t>had reached</w:t>
      </w:r>
      <w:r w:rsidR="00B20AA1">
        <w:rPr>
          <w:rFonts w:eastAsia="Times New Roman" w:cs="Times New Roman"/>
          <w:szCs w:val="24"/>
          <w:lang w:val="en-AU" w:eastAsia="en-US"/>
        </w:rPr>
        <w:t xml:space="preserve"> the conclusion that the country had growth prospects for future provided some conditions and challenges were met and therefore </w:t>
      </w:r>
      <w:r w:rsidR="001B122D">
        <w:rPr>
          <w:rFonts w:eastAsia="Times New Roman" w:cs="Times New Roman"/>
          <w:szCs w:val="24"/>
          <w:lang w:val="en-AU" w:eastAsia="en-US"/>
        </w:rPr>
        <w:t xml:space="preserve">termed it </w:t>
      </w:r>
      <w:r w:rsidR="00FD15EB">
        <w:rPr>
          <w:rFonts w:eastAsia="Times New Roman" w:cs="Times New Roman"/>
          <w:szCs w:val="24"/>
          <w:lang w:val="en-AU" w:eastAsia="en-US"/>
        </w:rPr>
        <w:t xml:space="preserve">as a </w:t>
      </w:r>
      <w:r w:rsidR="00376D10">
        <w:rPr>
          <w:rFonts w:eastAsia="Times New Roman" w:cs="Times New Roman"/>
          <w:szCs w:val="24"/>
          <w:lang w:val="en-AU" w:eastAsia="en-US"/>
        </w:rPr>
        <w:t>‘</w:t>
      </w:r>
      <w:r w:rsidR="00FD15EB">
        <w:rPr>
          <w:rFonts w:eastAsia="Times New Roman" w:cs="Times New Roman"/>
          <w:szCs w:val="24"/>
          <w:lang w:val="en-AU" w:eastAsia="en-US"/>
        </w:rPr>
        <w:t>test case of development</w:t>
      </w:r>
      <w:r w:rsidR="00376D10">
        <w:rPr>
          <w:rFonts w:eastAsia="Times New Roman" w:cs="Times New Roman"/>
          <w:szCs w:val="24"/>
          <w:lang w:val="en-AU" w:eastAsia="en-US"/>
        </w:rPr>
        <w:t>’</w:t>
      </w:r>
      <w:r w:rsidR="0040107E">
        <w:rPr>
          <w:rFonts w:eastAsia="Times New Roman" w:cs="Times New Roman"/>
          <w:szCs w:val="24"/>
          <w:lang w:val="en-AU" w:eastAsia="en-US"/>
        </w:rPr>
        <w:t xml:space="preserve"> (</w:t>
      </w:r>
      <w:proofErr w:type="spellStart"/>
      <w:r w:rsidR="0040107E">
        <w:rPr>
          <w:rFonts w:eastAsia="Times New Roman" w:cs="Times New Roman"/>
          <w:szCs w:val="24"/>
          <w:lang w:val="en-AU" w:eastAsia="en-US"/>
        </w:rPr>
        <w:t>Faaland</w:t>
      </w:r>
      <w:proofErr w:type="spellEnd"/>
      <w:r w:rsidR="0040107E">
        <w:rPr>
          <w:rFonts w:eastAsia="Times New Roman" w:cs="Times New Roman"/>
          <w:szCs w:val="24"/>
          <w:lang w:val="en-AU" w:eastAsia="en-US"/>
        </w:rPr>
        <w:t xml:space="preserve"> and Parkinson 1976)</w:t>
      </w:r>
      <w:r w:rsidR="008D6087">
        <w:rPr>
          <w:rFonts w:eastAsia="Times New Roman" w:cs="Times New Roman"/>
          <w:szCs w:val="24"/>
          <w:lang w:val="en-AU" w:eastAsia="en-US"/>
        </w:rPr>
        <w:t xml:space="preserve">. Given </w:t>
      </w:r>
      <w:r w:rsidR="0040107E">
        <w:rPr>
          <w:rFonts w:eastAsia="Times New Roman" w:cs="Times New Roman"/>
          <w:szCs w:val="24"/>
          <w:lang w:val="en-AU" w:eastAsia="en-US"/>
        </w:rPr>
        <w:t>the</w:t>
      </w:r>
      <w:r w:rsidR="008D6087">
        <w:rPr>
          <w:rFonts w:eastAsia="Times New Roman" w:cs="Times New Roman"/>
          <w:szCs w:val="24"/>
          <w:lang w:val="en-AU" w:eastAsia="en-US"/>
        </w:rPr>
        <w:t xml:space="preserve"> test case status</w:t>
      </w:r>
      <w:r w:rsidR="00DD3E59">
        <w:rPr>
          <w:rFonts w:eastAsia="Times New Roman" w:cs="Times New Roman"/>
          <w:szCs w:val="24"/>
          <w:lang w:val="en-AU" w:eastAsia="en-US"/>
        </w:rPr>
        <w:t>,</w:t>
      </w:r>
      <w:r w:rsidR="008D6087">
        <w:rPr>
          <w:rFonts w:eastAsia="Times New Roman" w:cs="Times New Roman"/>
          <w:szCs w:val="24"/>
          <w:lang w:val="en-AU" w:eastAsia="en-US"/>
        </w:rPr>
        <w:t xml:space="preserve"> Bangladesh naturally becomes an interesting </w:t>
      </w:r>
      <w:r w:rsidR="00DD3E59">
        <w:rPr>
          <w:rFonts w:eastAsia="Times New Roman" w:cs="Times New Roman"/>
          <w:szCs w:val="24"/>
          <w:lang w:val="en-AU" w:eastAsia="en-US"/>
        </w:rPr>
        <w:t>field</w:t>
      </w:r>
      <w:r w:rsidR="008D6087">
        <w:rPr>
          <w:rFonts w:eastAsia="Times New Roman" w:cs="Times New Roman"/>
          <w:szCs w:val="24"/>
          <w:lang w:val="en-AU" w:eastAsia="en-US"/>
        </w:rPr>
        <w:t xml:space="preserve"> </w:t>
      </w:r>
      <w:r w:rsidR="0040107E">
        <w:rPr>
          <w:rFonts w:eastAsia="Times New Roman" w:cs="Times New Roman"/>
          <w:szCs w:val="24"/>
          <w:lang w:val="en-AU" w:eastAsia="en-US"/>
        </w:rPr>
        <w:t>to study most</w:t>
      </w:r>
      <w:r w:rsidR="00A662FD" w:rsidRPr="00A662FD">
        <w:rPr>
          <w:rFonts w:eastAsia="Times New Roman" w:cs="Times New Roman"/>
          <w:szCs w:val="24"/>
          <w:lang w:val="en-AU" w:eastAsia="en-US"/>
        </w:rPr>
        <w:t xml:space="preserve"> development </w:t>
      </w:r>
      <w:r w:rsidR="00A662FD">
        <w:rPr>
          <w:rFonts w:eastAsia="Times New Roman" w:cs="Times New Roman"/>
          <w:szCs w:val="24"/>
          <w:lang w:val="en-AU" w:eastAsia="en-US"/>
        </w:rPr>
        <w:t>concept</w:t>
      </w:r>
      <w:r w:rsidR="0040107E">
        <w:rPr>
          <w:rFonts w:eastAsia="Times New Roman" w:cs="Times New Roman"/>
          <w:szCs w:val="24"/>
          <w:lang w:val="en-AU" w:eastAsia="en-US"/>
        </w:rPr>
        <w:t>s</w:t>
      </w:r>
      <w:r w:rsidR="00A662FD">
        <w:rPr>
          <w:rFonts w:eastAsia="Times New Roman" w:cs="Times New Roman"/>
          <w:szCs w:val="24"/>
          <w:lang w:val="en-AU" w:eastAsia="en-US"/>
        </w:rPr>
        <w:t>.</w:t>
      </w:r>
      <w:r w:rsidR="002659BF">
        <w:rPr>
          <w:rFonts w:eastAsia="Times New Roman" w:cs="Times New Roman"/>
          <w:szCs w:val="24"/>
          <w:lang w:val="en-AU" w:eastAsia="en-US"/>
        </w:rPr>
        <w:t xml:space="preserve"> </w:t>
      </w:r>
    </w:p>
    <w:p w:rsidR="00376D10" w:rsidRDefault="00376D10" w:rsidP="007E4B5E">
      <w:pPr>
        <w:tabs>
          <w:tab w:val="left" w:pos="426"/>
          <w:tab w:val="right" w:pos="8931"/>
        </w:tabs>
        <w:spacing w:after="0" w:line="288" w:lineRule="auto"/>
        <w:ind w:firstLine="720"/>
        <w:jc w:val="both"/>
        <w:rPr>
          <w:rFonts w:eastAsia="Times New Roman" w:cs="Times New Roman"/>
          <w:szCs w:val="24"/>
          <w:lang w:val="en-AU" w:eastAsia="en-US"/>
        </w:rPr>
      </w:pPr>
    </w:p>
    <w:p w:rsidR="008D6087" w:rsidRDefault="00701FD6" w:rsidP="007E4B5E">
      <w:pPr>
        <w:tabs>
          <w:tab w:val="left" w:pos="426"/>
          <w:tab w:val="right" w:pos="8931"/>
        </w:tabs>
        <w:spacing w:after="0" w:line="288" w:lineRule="auto"/>
        <w:ind w:firstLine="426"/>
        <w:jc w:val="both"/>
        <w:rPr>
          <w:rFonts w:eastAsia="Times New Roman" w:cs="Times New Roman"/>
          <w:szCs w:val="24"/>
          <w:lang w:val="en-AU" w:eastAsia="en-US"/>
        </w:rPr>
      </w:pPr>
      <w:r>
        <w:rPr>
          <w:rFonts w:eastAsia="Times New Roman" w:cs="Times New Roman"/>
          <w:szCs w:val="24"/>
          <w:lang w:val="en-AU" w:eastAsia="en-US"/>
        </w:rPr>
        <w:t>In</w:t>
      </w:r>
      <w:r w:rsidR="00C35F3F" w:rsidRPr="00C35F3F">
        <w:rPr>
          <w:rFonts w:eastAsia="Times New Roman" w:cs="Times New Roman"/>
          <w:szCs w:val="24"/>
          <w:lang w:val="en-AU" w:eastAsia="en-US"/>
        </w:rPr>
        <w:t xml:space="preserve"> 1976</w:t>
      </w:r>
      <w:r w:rsidR="00B2738D">
        <w:rPr>
          <w:rFonts w:eastAsia="Times New Roman" w:cs="Times New Roman"/>
          <w:szCs w:val="24"/>
          <w:lang w:val="en-AU" w:eastAsia="en-US"/>
        </w:rPr>
        <w:t>,</w:t>
      </w:r>
      <w:r w:rsidR="00C35F3F" w:rsidRPr="00C35F3F">
        <w:rPr>
          <w:rFonts w:eastAsia="Times New Roman" w:cs="Times New Roman"/>
          <w:szCs w:val="24"/>
          <w:lang w:val="en-AU" w:eastAsia="en-US"/>
        </w:rPr>
        <w:t xml:space="preserve"> </w:t>
      </w:r>
      <w:r w:rsidR="00A02C9D">
        <w:rPr>
          <w:rFonts w:eastAsia="Times New Roman" w:cs="Times New Roman"/>
          <w:szCs w:val="24"/>
          <w:lang w:val="en-AU" w:eastAsia="en-US"/>
        </w:rPr>
        <w:t>the</w:t>
      </w:r>
      <w:r w:rsidR="00C35F3F">
        <w:rPr>
          <w:rFonts w:eastAsia="Times New Roman" w:cs="Times New Roman"/>
          <w:szCs w:val="24"/>
          <w:lang w:val="en-AU" w:eastAsia="en-US"/>
        </w:rPr>
        <w:t xml:space="preserve"> Bangladesh</w:t>
      </w:r>
      <w:r w:rsidR="00913F81" w:rsidRPr="00913F81">
        <w:rPr>
          <w:rFonts w:eastAsia="Times New Roman" w:cs="Times New Roman"/>
          <w:szCs w:val="24"/>
          <w:lang w:val="en-AU" w:eastAsia="en-US"/>
        </w:rPr>
        <w:t xml:space="preserve"> government </w:t>
      </w:r>
      <w:r>
        <w:rPr>
          <w:rFonts w:eastAsia="Times New Roman" w:cs="Times New Roman"/>
          <w:szCs w:val="24"/>
          <w:lang w:val="en-AU" w:eastAsia="en-US"/>
        </w:rPr>
        <w:t xml:space="preserve">moved </w:t>
      </w:r>
      <w:r w:rsidR="00913F81" w:rsidRPr="00913F81">
        <w:rPr>
          <w:rFonts w:eastAsia="Times New Roman" w:cs="Times New Roman"/>
          <w:szCs w:val="24"/>
          <w:lang w:val="en-AU" w:eastAsia="en-US"/>
        </w:rPr>
        <w:t xml:space="preserve">towards more </w:t>
      </w:r>
      <w:r w:rsidR="00C35F3F">
        <w:rPr>
          <w:rFonts w:eastAsia="Times New Roman" w:cs="Times New Roman"/>
          <w:szCs w:val="24"/>
          <w:lang w:val="en-AU" w:eastAsia="en-US"/>
        </w:rPr>
        <w:t xml:space="preserve">active </w:t>
      </w:r>
      <w:r w:rsidR="00913F81" w:rsidRPr="00913F81">
        <w:rPr>
          <w:rFonts w:eastAsia="Times New Roman" w:cs="Times New Roman"/>
          <w:szCs w:val="24"/>
          <w:lang w:val="en-AU" w:eastAsia="en-US"/>
        </w:rPr>
        <w:t>colla</w:t>
      </w:r>
      <w:r w:rsidR="00C35F3F">
        <w:rPr>
          <w:rFonts w:eastAsia="Times New Roman" w:cs="Times New Roman"/>
          <w:szCs w:val="24"/>
          <w:lang w:val="en-AU" w:eastAsia="en-US"/>
        </w:rPr>
        <w:t>boration with the Middle Eastern</w:t>
      </w:r>
      <w:r w:rsidR="00913F81" w:rsidRPr="00913F81">
        <w:rPr>
          <w:rFonts w:eastAsia="Times New Roman" w:cs="Times New Roman"/>
          <w:szCs w:val="24"/>
          <w:lang w:val="en-AU" w:eastAsia="en-US"/>
        </w:rPr>
        <w:t xml:space="preserve"> countries</w:t>
      </w:r>
      <w:r w:rsidR="00A02C9D">
        <w:rPr>
          <w:rFonts w:eastAsia="Times New Roman" w:cs="Times New Roman"/>
          <w:szCs w:val="24"/>
          <w:lang w:val="en-AU" w:eastAsia="en-US"/>
        </w:rPr>
        <w:t>.</w:t>
      </w:r>
      <w:r w:rsidR="00913F81" w:rsidRPr="00913F81">
        <w:rPr>
          <w:rFonts w:eastAsia="Times New Roman" w:cs="Times New Roman"/>
          <w:szCs w:val="24"/>
          <w:lang w:val="en-AU" w:eastAsia="en-US"/>
        </w:rPr>
        <w:t xml:space="preserve"> </w:t>
      </w:r>
      <w:r w:rsidR="00A02C9D">
        <w:rPr>
          <w:rFonts w:eastAsia="Times New Roman" w:cs="Times New Roman"/>
          <w:szCs w:val="24"/>
          <w:lang w:val="en-AU" w:eastAsia="en-US"/>
        </w:rPr>
        <w:t>T</w:t>
      </w:r>
      <w:r w:rsidR="00913F81" w:rsidRPr="00913F81">
        <w:rPr>
          <w:rFonts w:eastAsia="Times New Roman" w:cs="Times New Roman"/>
          <w:szCs w:val="24"/>
          <w:lang w:val="en-AU" w:eastAsia="en-US"/>
        </w:rPr>
        <w:t xml:space="preserve">he demand for Bangladeshi labour migrants, which was cheap and abundant, soared in Middle Eastern countries and especially </w:t>
      </w:r>
      <w:r w:rsidR="00C35F3F">
        <w:rPr>
          <w:rFonts w:eastAsia="Times New Roman" w:cs="Times New Roman"/>
          <w:szCs w:val="24"/>
          <w:lang w:val="en-AU" w:eastAsia="en-US"/>
        </w:rPr>
        <w:t xml:space="preserve">in </w:t>
      </w:r>
      <w:r w:rsidR="00913F81" w:rsidRPr="00913F81">
        <w:rPr>
          <w:rFonts w:eastAsia="Times New Roman" w:cs="Times New Roman"/>
          <w:szCs w:val="24"/>
          <w:lang w:val="en-AU" w:eastAsia="en-US"/>
        </w:rPr>
        <w:t xml:space="preserve">the Gulf States </w:t>
      </w:r>
      <w:r w:rsidR="0089031D">
        <w:rPr>
          <w:rFonts w:eastAsia="Times New Roman" w:cs="Times New Roman"/>
          <w:szCs w:val="24"/>
          <w:lang w:val="en-AU" w:eastAsia="en-US"/>
        </w:rPr>
        <w:t>of</w:t>
      </w:r>
      <w:r w:rsidR="00913F81" w:rsidRPr="00913F81">
        <w:rPr>
          <w:rFonts w:eastAsia="Times New Roman" w:cs="Times New Roman"/>
          <w:szCs w:val="24"/>
          <w:lang w:val="en-AU" w:eastAsia="en-US"/>
        </w:rPr>
        <w:t xml:space="preserve"> Saudi Arabia, Kuwait, </w:t>
      </w:r>
      <w:r w:rsidR="00A02C9D" w:rsidRPr="00913F81">
        <w:rPr>
          <w:rFonts w:eastAsia="Times New Roman" w:cs="Times New Roman"/>
          <w:szCs w:val="24"/>
          <w:lang w:val="en-AU" w:eastAsia="en-US"/>
        </w:rPr>
        <w:t>Bahrain</w:t>
      </w:r>
      <w:r w:rsidR="0089031D">
        <w:rPr>
          <w:rFonts w:eastAsia="Times New Roman" w:cs="Times New Roman"/>
          <w:szCs w:val="24"/>
          <w:lang w:val="en-AU" w:eastAsia="en-US"/>
        </w:rPr>
        <w:t>, Qatar, Oman and the UAE,</w:t>
      </w:r>
      <w:r w:rsidR="00A02C9D">
        <w:rPr>
          <w:rFonts w:eastAsia="Times New Roman" w:cs="Times New Roman"/>
          <w:szCs w:val="24"/>
          <w:lang w:val="en-AU" w:eastAsia="en-US"/>
        </w:rPr>
        <w:t xml:space="preserve"> </w:t>
      </w:r>
      <w:r w:rsidR="00A02C9D" w:rsidRPr="00A02C9D">
        <w:rPr>
          <w:rFonts w:eastAsia="Times New Roman" w:cs="Times New Roman"/>
          <w:szCs w:val="24"/>
          <w:lang w:val="en-AU" w:eastAsia="en-US"/>
        </w:rPr>
        <w:t xml:space="preserve">which </w:t>
      </w:r>
      <w:r w:rsidR="00757D9B">
        <w:rPr>
          <w:rFonts w:eastAsia="Times New Roman" w:cs="Times New Roman"/>
          <w:szCs w:val="24"/>
          <w:lang w:val="en-AU" w:eastAsia="en-US"/>
        </w:rPr>
        <w:t>were</w:t>
      </w:r>
      <w:r w:rsidR="00A02C9D" w:rsidRPr="00A02C9D">
        <w:rPr>
          <w:rFonts w:eastAsia="Times New Roman" w:cs="Times New Roman"/>
          <w:szCs w:val="24"/>
          <w:lang w:val="en-AU" w:eastAsia="en-US"/>
        </w:rPr>
        <w:t xml:space="preserve"> expe</w:t>
      </w:r>
      <w:r w:rsidR="00757D9B">
        <w:rPr>
          <w:rFonts w:eastAsia="Times New Roman" w:cs="Times New Roman"/>
          <w:szCs w:val="24"/>
          <w:lang w:val="en-AU" w:eastAsia="en-US"/>
        </w:rPr>
        <w:t>riencing a major infrastructure</w:t>
      </w:r>
      <w:r w:rsidR="00A02C9D" w:rsidRPr="00A02C9D">
        <w:rPr>
          <w:rFonts w:eastAsia="Times New Roman" w:cs="Times New Roman"/>
          <w:szCs w:val="24"/>
          <w:lang w:val="en-AU" w:eastAsia="en-US"/>
        </w:rPr>
        <w:t xml:space="preserve"> development expansion</w:t>
      </w:r>
      <w:r w:rsidR="00757D9B">
        <w:rPr>
          <w:rFonts w:eastAsia="Times New Roman" w:cs="Times New Roman"/>
          <w:szCs w:val="24"/>
          <w:lang w:val="en-AU" w:eastAsia="en-US"/>
        </w:rPr>
        <w:t xml:space="preserve"> at that time</w:t>
      </w:r>
      <w:r w:rsidR="00913F81" w:rsidRPr="00913F81">
        <w:rPr>
          <w:rFonts w:eastAsia="Times New Roman" w:cs="Times New Roman"/>
          <w:szCs w:val="24"/>
          <w:lang w:val="en-AU" w:eastAsia="en-US"/>
        </w:rPr>
        <w:t xml:space="preserve">. </w:t>
      </w:r>
      <w:r>
        <w:rPr>
          <w:rFonts w:eastAsia="Times New Roman" w:cs="Times New Roman"/>
          <w:szCs w:val="24"/>
          <w:lang w:val="en-AU" w:eastAsia="en-US"/>
        </w:rPr>
        <w:t xml:space="preserve">The emigration of </w:t>
      </w:r>
      <w:r w:rsidRPr="00701FD6">
        <w:rPr>
          <w:rFonts w:eastAsia="Times New Roman" w:cs="Times New Roman"/>
          <w:szCs w:val="24"/>
          <w:lang w:val="en-AU" w:eastAsia="en-US"/>
        </w:rPr>
        <w:t>workers from Bangladesh</w:t>
      </w:r>
      <w:r>
        <w:rPr>
          <w:rFonts w:eastAsia="Times New Roman" w:cs="Times New Roman"/>
          <w:szCs w:val="24"/>
          <w:lang w:val="en-AU" w:eastAsia="en-US"/>
        </w:rPr>
        <w:t xml:space="preserve"> </w:t>
      </w:r>
      <w:r w:rsidR="00A02C9D">
        <w:rPr>
          <w:rFonts w:eastAsia="Times New Roman" w:cs="Times New Roman"/>
          <w:szCs w:val="24"/>
          <w:lang w:val="en-AU" w:eastAsia="en-US"/>
        </w:rPr>
        <w:t xml:space="preserve">later </w:t>
      </w:r>
      <w:r>
        <w:rPr>
          <w:rFonts w:eastAsia="Times New Roman" w:cs="Times New Roman"/>
          <w:szCs w:val="24"/>
          <w:lang w:val="en-AU" w:eastAsia="en-US"/>
        </w:rPr>
        <w:t>continued eastward when</w:t>
      </w:r>
      <w:r w:rsidR="00913F81" w:rsidRPr="00913F81">
        <w:rPr>
          <w:rFonts w:eastAsia="Times New Roman" w:cs="Times New Roman"/>
          <w:szCs w:val="24"/>
          <w:lang w:val="en-AU" w:eastAsia="en-US"/>
        </w:rPr>
        <w:t xml:space="preserve"> the newly industrialize</w:t>
      </w:r>
      <w:r w:rsidR="0089031D">
        <w:rPr>
          <w:rFonts w:eastAsia="Times New Roman" w:cs="Times New Roman"/>
          <w:szCs w:val="24"/>
          <w:lang w:val="en-AU" w:eastAsia="en-US"/>
        </w:rPr>
        <w:t xml:space="preserve">d countries of South-East Asia </w:t>
      </w:r>
      <w:r w:rsidR="00757D9B">
        <w:rPr>
          <w:rFonts w:eastAsia="Times New Roman" w:cs="Times New Roman"/>
          <w:szCs w:val="24"/>
          <w:lang w:val="en-AU" w:eastAsia="en-US"/>
        </w:rPr>
        <w:t>mainly Singapore, Malaysia and</w:t>
      </w:r>
      <w:r w:rsidR="0089031D">
        <w:rPr>
          <w:rFonts w:eastAsia="Times New Roman" w:cs="Times New Roman"/>
          <w:szCs w:val="24"/>
          <w:lang w:val="en-AU" w:eastAsia="en-US"/>
        </w:rPr>
        <w:t xml:space="preserve"> South Korea,</w:t>
      </w:r>
      <w:r w:rsidR="00913F81" w:rsidRPr="00913F81">
        <w:rPr>
          <w:rFonts w:eastAsia="Times New Roman" w:cs="Times New Roman"/>
          <w:szCs w:val="24"/>
          <w:lang w:val="en-AU" w:eastAsia="en-US"/>
        </w:rPr>
        <w:t xml:space="preserve"> went through a similar expansion (</w:t>
      </w:r>
      <w:proofErr w:type="spellStart"/>
      <w:r w:rsidR="00913F81" w:rsidRPr="00913F81">
        <w:rPr>
          <w:rFonts w:eastAsia="Times New Roman" w:cs="Times New Roman"/>
          <w:szCs w:val="24"/>
          <w:lang w:val="en-AU" w:eastAsia="en-US"/>
        </w:rPr>
        <w:t>Siddiqui</w:t>
      </w:r>
      <w:proofErr w:type="spellEnd"/>
      <w:r w:rsidR="00913F81" w:rsidRPr="00913F81">
        <w:rPr>
          <w:rFonts w:eastAsia="Times New Roman" w:cs="Times New Roman"/>
          <w:szCs w:val="24"/>
          <w:lang w:val="en-AU" w:eastAsia="en-US"/>
        </w:rPr>
        <w:t xml:space="preserve"> 2003).</w:t>
      </w:r>
      <w:r w:rsidR="008D6087">
        <w:rPr>
          <w:rFonts w:eastAsia="Times New Roman" w:cs="Times New Roman"/>
          <w:szCs w:val="24"/>
          <w:lang w:val="en-AU" w:eastAsia="en-US"/>
        </w:rPr>
        <w:t xml:space="preserve"> </w:t>
      </w:r>
      <w:r w:rsidR="00A02C9D">
        <w:rPr>
          <w:rFonts w:eastAsia="Times New Roman" w:cs="Times New Roman"/>
          <w:szCs w:val="24"/>
          <w:lang w:val="en-AU" w:eastAsia="en-US"/>
        </w:rPr>
        <w:t>Due to</w:t>
      </w:r>
      <w:r>
        <w:rPr>
          <w:rFonts w:eastAsia="Times New Roman" w:cs="Times New Roman"/>
          <w:szCs w:val="24"/>
          <w:lang w:val="en-AU" w:eastAsia="en-US"/>
        </w:rPr>
        <w:t xml:space="preserve"> these episodes of</w:t>
      </w:r>
      <w:r w:rsidR="00C35F3F">
        <w:rPr>
          <w:rFonts w:eastAsia="Times New Roman" w:cs="Times New Roman"/>
          <w:szCs w:val="24"/>
          <w:lang w:val="en-AU" w:eastAsia="en-US"/>
        </w:rPr>
        <w:t xml:space="preserve"> large scale </w:t>
      </w:r>
      <w:r w:rsidR="00A662FD">
        <w:rPr>
          <w:rFonts w:eastAsia="Times New Roman" w:cs="Times New Roman"/>
          <w:szCs w:val="24"/>
          <w:lang w:val="en-AU" w:eastAsia="en-US"/>
        </w:rPr>
        <w:t>e</w:t>
      </w:r>
      <w:r w:rsidR="00C35F3F">
        <w:rPr>
          <w:rFonts w:eastAsia="Times New Roman" w:cs="Times New Roman"/>
          <w:szCs w:val="24"/>
          <w:lang w:val="en-AU" w:eastAsia="en-US"/>
        </w:rPr>
        <w:t xml:space="preserve">migration of </w:t>
      </w:r>
      <w:r w:rsidR="004A0C4D">
        <w:rPr>
          <w:rFonts w:eastAsia="Times New Roman" w:cs="Times New Roman"/>
          <w:szCs w:val="24"/>
          <w:lang w:val="en-AU" w:eastAsia="en-US"/>
        </w:rPr>
        <w:t>temporary</w:t>
      </w:r>
      <w:r w:rsidR="00C35F3F">
        <w:rPr>
          <w:rFonts w:eastAsia="Times New Roman" w:cs="Times New Roman"/>
          <w:szCs w:val="24"/>
          <w:lang w:val="en-AU" w:eastAsia="en-US"/>
        </w:rPr>
        <w:t xml:space="preserve"> workers, Bangladesh is now among</w:t>
      </w:r>
      <w:r w:rsidR="008D6087">
        <w:rPr>
          <w:rFonts w:eastAsia="Times New Roman" w:cs="Times New Roman"/>
          <w:szCs w:val="24"/>
          <w:lang w:val="en-AU" w:eastAsia="en-US"/>
        </w:rPr>
        <w:t xml:space="preserve"> the top ten remittances </w:t>
      </w:r>
      <w:r w:rsidR="00CA0B08">
        <w:rPr>
          <w:rFonts w:eastAsia="Times New Roman" w:cs="Times New Roman"/>
          <w:szCs w:val="24"/>
          <w:lang w:val="en-AU" w:eastAsia="en-US"/>
        </w:rPr>
        <w:t>receiving</w:t>
      </w:r>
      <w:r w:rsidR="008D6087">
        <w:rPr>
          <w:rFonts w:eastAsia="Times New Roman" w:cs="Times New Roman"/>
          <w:szCs w:val="24"/>
          <w:lang w:val="en-AU" w:eastAsia="en-US"/>
        </w:rPr>
        <w:t xml:space="preserve"> and manpower exporting countries in the world</w:t>
      </w:r>
      <w:r w:rsidR="00E35007">
        <w:rPr>
          <w:rFonts w:eastAsia="Times New Roman" w:cs="Times New Roman"/>
          <w:szCs w:val="24"/>
          <w:lang w:val="en-AU" w:eastAsia="en-US"/>
        </w:rPr>
        <w:t xml:space="preserve"> (World Bank 2011)</w:t>
      </w:r>
      <w:r w:rsidR="008D6087">
        <w:rPr>
          <w:rFonts w:eastAsia="Times New Roman" w:cs="Times New Roman"/>
          <w:szCs w:val="24"/>
          <w:lang w:val="en-AU" w:eastAsia="en-US"/>
        </w:rPr>
        <w:t xml:space="preserve">. </w:t>
      </w:r>
      <w:r w:rsidR="00C35F3F">
        <w:rPr>
          <w:rFonts w:eastAsia="Times New Roman" w:cs="Times New Roman"/>
          <w:szCs w:val="24"/>
          <w:lang w:val="en-AU" w:eastAsia="en-US"/>
        </w:rPr>
        <w:t xml:space="preserve">Given the long history and volume of migration that has taken place from Bangladesh and its curious developmental problems and prospects, </w:t>
      </w:r>
      <w:r w:rsidR="008D6087">
        <w:rPr>
          <w:rFonts w:eastAsia="Times New Roman" w:cs="Times New Roman"/>
          <w:szCs w:val="24"/>
          <w:lang w:val="en-AU" w:eastAsia="en-US"/>
        </w:rPr>
        <w:t xml:space="preserve">we </w:t>
      </w:r>
      <w:r w:rsidR="00C35F3F">
        <w:rPr>
          <w:rFonts w:eastAsia="Times New Roman" w:cs="Times New Roman"/>
          <w:szCs w:val="24"/>
          <w:lang w:val="en-AU" w:eastAsia="en-US"/>
        </w:rPr>
        <w:t>believe</w:t>
      </w:r>
      <w:r w:rsidR="008D6087">
        <w:rPr>
          <w:rFonts w:eastAsia="Times New Roman" w:cs="Times New Roman"/>
          <w:szCs w:val="24"/>
          <w:lang w:val="en-AU" w:eastAsia="en-US"/>
        </w:rPr>
        <w:t xml:space="preserve"> that </w:t>
      </w:r>
      <w:r w:rsidR="00C35F3F">
        <w:rPr>
          <w:rFonts w:eastAsia="Times New Roman" w:cs="Times New Roman"/>
          <w:szCs w:val="24"/>
          <w:lang w:val="en-AU" w:eastAsia="en-US"/>
        </w:rPr>
        <w:t>it is an ideal laboratory</w:t>
      </w:r>
      <w:r w:rsidR="008D6087">
        <w:rPr>
          <w:rFonts w:eastAsia="Times New Roman" w:cs="Times New Roman"/>
          <w:szCs w:val="24"/>
          <w:lang w:val="en-AU" w:eastAsia="en-US"/>
        </w:rPr>
        <w:t xml:space="preserve"> </w:t>
      </w:r>
      <w:r w:rsidR="00C35F3F">
        <w:rPr>
          <w:rFonts w:eastAsia="Times New Roman" w:cs="Times New Roman"/>
          <w:szCs w:val="24"/>
          <w:lang w:val="en-AU" w:eastAsia="en-US"/>
        </w:rPr>
        <w:t>to</w:t>
      </w:r>
      <w:r w:rsidR="008D6087">
        <w:rPr>
          <w:rFonts w:eastAsia="Times New Roman" w:cs="Times New Roman"/>
          <w:szCs w:val="24"/>
          <w:lang w:val="en-AU" w:eastAsia="en-US"/>
        </w:rPr>
        <w:t xml:space="preserve"> test our hypothesis </w:t>
      </w:r>
      <w:r w:rsidR="008D6087" w:rsidRPr="008D6087">
        <w:rPr>
          <w:rFonts w:eastAsia="Times New Roman" w:cs="Times New Roman"/>
          <w:szCs w:val="24"/>
          <w:lang w:val="en-AU" w:eastAsia="en-US"/>
        </w:rPr>
        <w:t xml:space="preserve">using time series data </w:t>
      </w:r>
      <w:r w:rsidR="008D6087">
        <w:rPr>
          <w:rFonts w:eastAsia="Times New Roman" w:cs="Times New Roman"/>
          <w:szCs w:val="24"/>
          <w:lang w:val="en-AU" w:eastAsia="en-US"/>
        </w:rPr>
        <w:t xml:space="preserve">over the period 1976 </w:t>
      </w:r>
      <w:r w:rsidR="003B6F05">
        <w:rPr>
          <w:rFonts w:eastAsia="Times New Roman" w:cs="Times New Roman"/>
          <w:szCs w:val="24"/>
          <w:lang w:val="en-AU" w:eastAsia="en-US"/>
        </w:rPr>
        <w:t>-</w:t>
      </w:r>
      <w:r w:rsidR="008D6087">
        <w:rPr>
          <w:rFonts w:eastAsia="Times New Roman" w:cs="Times New Roman"/>
          <w:szCs w:val="24"/>
          <w:lang w:val="en-AU" w:eastAsia="en-US"/>
        </w:rPr>
        <w:t>20</w:t>
      </w:r>
      <w:r w:rsidR="00C35F3F">
        <w:rPr>
          <w:rFonts w:eastAsia="Times New Roman" w:cs="Times New Roman"/>
          <w:szCs w:val="24"/>
          <w:lang w:val="en-AU" w:eastAsia="en-US"/>
        </w:rPr>
        <w:t>0</w:t>
      </w:r>
      <w:r w:rsidR="008D6087">
        <w:rPr>
          <w:rFonts w:eastAsia="Times New Roman" w:cs="Times New Roman"/>
          <w:szCs w:val="24"/>
          <w:lang w:val="en-AU" w:eastAsia="en-US"/>
        </w:rPr>
        <w:t xml:space="preserve">9. </w:t>
      </w:r>
    </w:p>
    <w:p w:rsidR="00376D10" w:rsidRDefault="00376D10" w:rsidP="007E4B5E">
      <w:pPr>
        <w:tabs>
          <w:tab w:val="left" w:pos="426"/>
          <w:tab w:val="right" w:pos="8931"/>
        </w:tabs>
        <w:spacing w:after="0" w:line="288" w:lineRule="auto"/>
        <w:ind w:firstLine="720"/>
        <w:jc w:val="both"/>
        <w:rPr>
          <w:rFonts w:eastAsia="Times New Roman" w:cs="Times New Roman"/>
          <w:szCs w:val="24"/>
          <w:lang w:val="en-AU" w:eastAsia="en-US"/>
        </w:rPr>
      </w:pPr>
    </w:p>
    <w:p w:rsidR="00281F4A" w:rsidRDefault="008D6087" w:rsidP="007E4B5E">
      <w:pPr>
        <w:tabs>
          <w:tab w:val="left" w:pos="426"/>
          <w:tab w:val="right" w:pos="8931"/>
        </w:tabs>
        <w:spacing w:after="0" w:line="288" w:lineRule="auto"/>
        <w:ind w:firstLine="426"/>
        <w:jc w:val="both"/>
        <w:rPr>
          <w:lang w:val="en-AU"/>
        </w:rPr>
      </w:pPr>
      <w:r w:rsidRPr="00697B8E">
        <w:rPr>
          <w:rFonts w:eastAsia="Times New Roman" w:cs="Times New Roman"/>
          <w:szCs w:val="24"/>
          <w:lang w:val="en-AU" w:eastAsia="en-US"/>
        </w:rPr>
        <w:t>The remi</w:t>
      </w:r>
      <w:r w:rsidR="00ED3043">
        <w:rPr>
          <w:rFonts w:eastAsia="Times New Roman" w:cs="Times New Roman"/>
          <w:szCs w:val="24"/>
          <w:lang w:val="en-AU" w:eastAsia="en-US"/>
        </w:rPr>
        <w:t>nder of the paper is as follows.</w:t>
      </w:r>
      <w:r w:rsidR="00FD15EB" w:rsidRPr="00697B8E">
        <w:rPr>
          <w:rFonts w:eastAsia="Times New Roman" w:cs="Times New Roman"/>
          <w:szCs w:val="24"/>
          <w:lang w:val="en-AU" w:eastAsia="en-US"/>
        </w:rPr>
        <w:t xml:space="preserve"> </w:t>
      </w:r>
      <w:r w:rsidRPr="00697B8E">
        <w:rPr>
          <w:rFonts w:eastAsia="Times New Roman" w:cs="Times New Roman"/>
          <w:szCs w:val="24"/>
          <w:lang w:val="en-AU" w:eastAsia="en-US"/>
        </w:rPr>
        <w:t xml:space="preserve">Section </w:t>
      </w:r>
      <w:r w:rsidR="00D515FF" w:rsidRPr="00697B8E">
        <w:rPr>
          <w:rFonts w:eastAsia="Times New Roman" w:cs="Times New Roman"/>
          <w:szCs w:val="24"/>
          <w:lang w:val="en-AU" w:eastAsia="en-US"/>
        </w:rPr>
        <w:t>3</w:t>
      </w:r>
      <w:r w:rsidR="00EC3014" w:rsidRPr="00697B8E">
        <w:rPr>
          <w:rFonts w:eastAsia="Times New Roman" w:cs="Times New Roman"/>
          <w:szCs w:val="24"/>
          <w:lang w:val="en-AU" w:eastAsia="en-US"/>
        </w:rPr>
        <w:t xml:space="preserve"> discusses </w:t>
      </w:r>
      <w:r w:rsidR="00AF7726" w:rsidRPr="00697B8E">
        <w:rPr>
          <w:rFonts w:eastAsia="Times New Roman" w:cs="Times New Roman"/>
          <w:szCs w:val="24"/>
          <w:lang w:val="en-AU" w:eastAsia="en-US"/>
        </w:rPr>
        <w:t xml:space="preserve">the </w:t>
      </w:r>
      <w:r w:rsidR="00EC3014" w:rsidRPr="00697B8E">
        <w:rPr>
          <w:rFonts w:eastAsia="Times New Roman" w:cs="Times New Roman"/>
          <w:szCs w:val="24"/>
          <w:lang w:val="en-AU" w:eastAsia="en-US"/>
        </w:rPr>
        <w:t>dynamics and utilisation</w:t>
      </w:r>
      <w:r w:rsidR="00AF7726" w:rsidRPr="00697B8E">
        <w:rPr>
          <w:rFonts w:eastAsia="Times New Roman" w:cs="Times New Roman"/>
          <w:szCs w:val="24"/>
          <w:lang w:val="en-AU" w:eastAsia="en-US"/>
        </w:rPr>
        <w:t xml:space="preserve"> </w:t>
      </w:r>
      <w:r w:rsidR="00757D9B">
        <w:rPr>
          <w:rFonts w:eastAsia="Times New Roman" w:cs="Times New Roman"/>
          <w:szCs w:val="24"/>
          <w:lang w:val="en-AU" w:eastAsia="en-US"/>
        </w:rPr>
        <w:t xml:space="preserve">of </w:t>
      </w:r>
      <w:r w:rsidR="00AF7726" w:rsidRPr="00697B8E">
        <w:rPr>
          <w:rFonts w:eastAsia="Times New Roman" w:cs="Times New Roman"/>
          <w:szCs w:val="24"/>
          <w:lang w:val="en-AU" w:eastAsia="en-US"/>
        </w:rPr>
        <w:t>remittances</w:t>
      </w:r>
      <w:r w:rsidR="00EC3014" w:rsidRPr="00697B8E">
        <w:rPr>
          <w:rFonts w:eastAsia="Times New Roman" w:cs="Times New Roman"/>
          <w:szCs w:val="24"/>
          <w:lang w:val="en-AU" w:eastAsia="en-US"/>
        </w:rPr>
        <w:t xml:space="preserve"> in</w:t>
      </w:r>
      <w:r w:rsidR="00B96D6C" w:rsidRPr="00697B8E">
        <w:rPr>
          <w:rFonts w:eastAsia="Times New Roman" w:cs="Times New Roman"/>
          <w:szCs w:val="24"/>
          <w:lang w:val="en-AU" w:eastAsia="en-US"/>
        </w:rPr>
        <w:t xml:space="preserve"> Bangladesh</w:t>
      </w:r>
      <w:r w:rsidR="00EC3014" w:rsidRPr="00697B8E">
        <w:rPr>
          <w:rFonts w:eastAsia="Times New Roman" w:cs="Times New Roman"/>
          <w:szCs w:val="24"/>
          <w:lang w:val="en-AU" w:eastAsia="en-US"/>
        </w:rPr>
        <w:t xml:space="preserve"> </w:t>
      </w:r>
      <w:r w:rsidR="002B02DB" w:rsidRPr="00697B8E">
        <w:rPr>
          <w:rFonts w:eastAsia="Times New Roman" w:cs="Times New Roman"/>
          <w:szCs w:val="24"/>
          <w:lang w:val="en-AU" w:eastAsia="en-US"/>
        </w:rPr>
        <w:t>and</w:t>
      </w:r>
      <w:r w:rsidR="007D7D96" w:rsidRPr="00697B8E">
        <w:rPr>
          <w:rFonts w:eastAsia="Times New Roman" w:cs="Times New Roman"/>
          <w:szCs w:val="24"/>
          <w:lang w:val="en-AU" w:eastAsia="en-US"/>
        </w:rPr>
        <w:t xml:space="preserve"> </w:t>
      </w:r>
      <w:r w:rsidR="008100DC" w:rsidRPr="00697B8E">
        <w:rPr>
          <w:rFonts w:eastAsia="Times New Roman" w:cs="Times New Roman"/>
          <w:szCs w:val="24"/>
          <w:lang w:val="en-AU" w:eastAsia="en-US"/>
        </w:rPr>
        <w:t>present</w:t>
      </w:r>
      <w:r w:rsidR="002B02DB" w:rsidRPr="00697B8E">
        <w:rPr>
          <w:rFonts w:eastAsia="Times New Roman" w:cs="Times New Roman"/>
          <w:szCs w:val="24"/>
          <w:lang w:val="en-AU" w:eastAsia="en-US"/>
        </w:rPr>
        <w:t>s</w:t>
      </w:r>
      <w:r w:rsidR="007D7D96" w:rsidRPr="00697B8E">
        <w:rPr>
          <w:rFonts w:eastAsia="Times New Roman" w:cs="Times New Roman"/>
          <w:szCs w:val="24"/>
          <w:lang w:val="en-AU" w:eastAsia="en-US"/>
        </w:rPr>
        <w:t xml:space="preserve"> an</w:t>
      </w:r>
      <w:r w:rsidR="00EC3014" w:rsidRPr="00697B8E">
        <w:rPr>
          <w:rFonts w:eastAsia="Times New Roman" w:cs="Times New Roman"/>
          <w:szCs w:val="24"/>
          <w:lang w:val="en-AU" w:eastAsia="en-US"/>
        </w:rPr>
        <w:t xml:space="preserve"> intuitive </w:t>
      </w:r>
      <w:r w:rsidR="008100DC" w:rsidRPr="00697B8E">
        <w:rPr>
          <w:rFonts w:eastAsia="Times New Roman" w:cs="Times New Roman"/>
          <w:szCs w:val="24"/>
          <w:lang w:val="en-AU" w:eastAsia="en-US"/>
        </w:rPr>
        <w:t>model</w:t>
      </w:r>
      <w:r w:rsidR="009B3DFC" w:rsidRPr="00697B8E">
        <w:rPr>
          <w:rFonts w:eastAsia="Times New Roman" w:cs="Times New Roman"/>
          <w:szCs w:val="24"/>
          <w:lang w:val="en-AU" w:eastAsia="en-US"/>
        </w:rPr>
        <w:t xml:space="preserve"> </w:t>
      </w:r>
      <w:r w:rsidR="00EC3014" w:rsidRPr="00697B8E">
        <w:rPr>
          <w:rFonts w:eastAsia="Times New Roman" w:cs="Times New Roman"/>
          <w:szCs w:val="24"/>
          <w:lang w:val="en-AU" w:eastAsia="en-US"/>
        </w:rPr>
        <w:t xml:space="preserve">of how savings </w:t>
      </w:r>
      <w:r w:rsidR="00A24155" w:rsidRPr="00697B8E">
        <w:rPr>
          <w:rFonts w:eastAsia="Times New Roman" w:cs="Times New Roman"/>
          <w:szCs w:val="24"/>
          <w:lang w:val="en-AU" w:eastAsia="en-US"/>
        </w:rPr>
        <w:t xml:space="preserve">and </w:t>
      </w:r>
      <w:r w:rsidR="00A24155" w:rsidRPr="00CE2CE5">
        <w:rPr>
          <w:rFonts w:eastAsia="Times New Roman" w:cs="Times New Roman"/>
          <w:szCs w:val="24"/>
          <w:lang w:val="en-AU" w:eastAsia="en-US"/>
        </w:rPr>
        <w:t xml:space="preserve">debt </w:t>
      </w:r>
      <w:r w:rsidR="00EC3014" w:rsidRPr="00CE2CE5">
        <w:rPr>
          <w:rFonts w:eastAsia="Times New Roman" w:cs="Times New Roman"/>
          <w:szCs w:val="24"/>
          <w:lang w:val="en-AU" w:eastAsia="en-US"/>
        </w:rPr>
        <w:t>evolve through remittances income with</w:t>
      </w:r>
      <w:r w:rsidR="009B3DFC" w:rsidRPr="00CE2CE5">
        <w:rPr>
          <w:rFonts w:eastAsia="Times New Roman" w:cs="Times New Roman"/>
          <w:szCs w:val="24"/>
          <w:lang w:val="en-AU" w:eastAsia="en-US"/>
        </w:rPr>
        <w:t>in the migrant</w:t>
      </w:r>
      <w:r w:rsidR="00CE2CE5" w:rsidRPr="00CE2CE5">
        <w:rPr>
          <w:rFonts w:eastAsia="Times New Roman" w:cs="Times New Roman"/>
          <w:szCs w:val="24"/>
          <w:lang w:val="en-AU" w:eastAsia="en-US"/>
        </w:rPr>
        <w:t>’s</w:t>
      </w:r>
      <w:r w:rsidR="00ED3043">
        <w:rPr>
          <w:rFonts w:eastAsia="Times New Roman" w:cs="Times New Roman"/>
          <w:szCs w:val="24"/>
          <w:lang w:val="en-AU" w:eastAsia="en-US"/>
        </w:rPr>
        <w:t xml:space="preserve"> family.</w:t>
      </w:r>
      <w:r w:rsidR="009B3DFC" w:rsidRPr="00CE2CE5">
        <w:rPr>
          <w:rFonts w:eastAsia="Times New Roman" w:cs="Times New Roman"/>
          <w:szCs w:val="24"/>
          <w:lang w:val="en-AU" w:eastAsia="en-US"/>
        </w:rPr>
        <w:t xml:space="preserve"> </w:t>
      </w:r>
      <w:r w:rsidR="00ED3043">
        <w:rPr>
          <w:rFonts w:eastAsia="Times New Roman" w:cs="Times New Roman"/>
          <w:szCs w:val="24"/>
          <w:lang w:val="en-AU" w:eastAsia="en-US"/>
        </w:rPr>
        <w:t xml:space="preserve"> </w:t>
      </w:r>
      <w:r w:rsidR="009B3DFC" w:rsidRPr="00CE2CE5">
        <w:rPr>
          <w:rFonts w:eastAsia="Times New Roman" w:cs="Times New Roman"/>
          <w:szCs w:val="24"/>
          <w:lang w:val="en-AU" w:eastAsia="en-US"/>
        </w:rPr>
        <w:t>Section 4</w:t>
      </w:r>
      <w:r w:rsidR="00EC3014" w:rsidRPr="00CE2CE5">
        <w:rPr>
          <w:rFonts w:eastAsia="Times New Roman" w:cs="Times New Roman"/>
          <w:szCs w:val="24"/>
          <w:lang w:val="en-AU" w:eastAsia="en-US"/>
        </w:rPr>
        <w:t xml:space="preserve"> </w:t>
      </w:r>
      <w:r w:rsidR="00611E46" w:rsidRPr="00CE2CE5">
        <w:rPr>
          <w:rFonts w:eastAsia="Times New Roman" w:cs="Times New Roman"/>
          <w:szCs w:val="24"/>
          <w:lang w:val="en-AU" w:eastAsia="en-US"/>
        </w:rPr>
        <w:t>discusses</w:t>
      </w:r>
      <w:r w:rsidR="00EC3014" w:rsidRPr="00CE2CE5">
        <w:rPr>
          <w:rFonts w:eastAsia="Times New Roman" w:cs="Times New Roman"/>
          <w:szCs w:val="24"/>
          <w:lang w:val="en-AU" w:eastAsia="en-US"/>
        </w:rPr>
        <w:t xml:space="preserve"> the</w:t>
      </w:r>
      <w:r w:rsidR="00B96D6C" w:rsidRPr="00CE2CE5">
        <w:rPr>
          <w:rFonts w:eastAsia="Times New Roman" w:cs="Times New Roman"/>
          <w:szCs w:val="24"/>
          <w:lang w:val="en-AU" w:eastAsia="en-US"/>
        </w:rPr>
        <w:t xml:space="preserve"> </w:t>
      </w:r>
      <w:r w:rsidR="00ED3043">
        <w:rPr>
          <w:rFonts w:eastAsia="Times New Roman" w:cs="Times New Roman"/>
          <w:szCs w:val="24"/>
          <w:lang w:val="en-AU" w:eastAsia="en-US"/>
        </w:rPr>
        <w:t xml:space="preserve">methodology while </w:t>
      </w:r>
      <w:r w:rsidR="00611E46" w:rsidRPr="00CE2CE5">
        <w:rPr>
          <w:rFonts w:eastAsia="Times New Roman" w:cs="Times New Roman"/>
          <w:szCs w:val="24"/>
          <w:lang w:val="en-AU" w:eastAsia="en-US"/>
        </w:rPr>
        <w:t>Section 5</w:t>
      </w:r>
      <w:r w:rsidR="00EC3014" w:rsidRPr="00CE2CE5">
        <w:rPr>
          <w:rFonts w:eastAsia="Times New Roman" w:cs="Times New Roman"/>
          <w:szCs w:val="24"/>
          <w:lang w:val="en-AU" w:eastAsia="en-US"/>
        </w:rPr>
        <w:t xml:space="preserve"> </w:t>
      </w:r>
      <w:r w:rsidR="00611E46" w:rsidRPr="00CE2CE5">
        <w:rPr>
          <w:rFonts w:eastAsia="Times New Roman" w:cs="Times New Roman"/>
          <w:szCs w:val="24"/>
          <w:lang w:val="en-AU" w:eastAsia="en-US"/>
        </w:rPr>
        <w:t xml:space="preserve">estimates total factor productivity </w:t>
      </w:r>
      <w:r w:rsidR="00C6345C" w:rsidRPr="00CE2CE5">
        <w:rPr>
          <w:rFonts w:eastAsia="Times New Roman" w:cs="Times New Roman"/>
          <w:szCs w:val="24"/>
          <w:lang w:val="en-AU" w:eastAsia="en-US"/>
        </w:rPr>
        <w:t>as a</w:t>
      </w:r>
      <w:r w:rsidR="00611E46" w:rsidRPr="00CE2CE5">
        <w:rPr>
          <w:rFonts w:eastAsia="Times New Roman" w:cs="Times New Roman"/>
          <w:szCs w:val="24"/>
          <w:lang w:val="en-AU" w:eastAsia="en-US"/>
        </w:rPr>
        <w:t xml:space="preserve"> measure for long-run growth</w:t>
      </w:r>
      <w:r w:rsidR="00ED3043">
        <w:rPr>
          <w:rFonts w:eastAsia="Times New Roman" w:cs="Times New Roman"/>
          <w:szCs w:val="24"/>
          <w:lang w:val="en-AU" w:eastAsia="en-US"/>
        </w:rPr>
        <w:t xml:space="preserve">.  </w:t>
      </w:r>
      <w:r w:rsidR="00611E46" w:rsidRPr="00CE2CE5">
        <w:rPr>
          <w:rFonts w:eastAsia="Times New Roman" w:cs="Times New Roman"/>
          <w:szCs w:val="24"/>
          <w:lang w:val="en-AU" w:eastAsia="en-US"/>
        </w:rPr>
        <w:t>Section 6</w:t>
      </w:r>
      <w:r w:rsidR="00EC3014" w:rsidRPr="00CE2CE5">
        <w:rPr>
          <w:rFonts w:eastAsia="Times New Roman" w:cs="Times New Roman"/>
          <w:szCs w:val="24"/>
          <w:lang w:val="en-AU" w:eastAsia="en-US"/>
        </w:rPr>
        <w:t xml:space="preserve"> </w:t>
      </w:r>
      <w:r w:rsidR="00C6345C" w:rsidRPr="00CE2CE5">
        <w:rPr>
          <w:rFonts w:eastAsia="Times New Roman" w:cs="Times New Roman"/>
          <w:szCs w:val="24"/>
          <w:lang w:val="en-AU" w:eastAsia="en-US"/>
        </w:rPr>
        <w:t>estimates</w:t>
      </w:r>
      <w:r w:rsidR="00611E46" w:rsidRPr="00CE2CE5">
        <w:rPr>
          <w:rFonts w:eastAsia="Times New Roman" w:cs="Times New Roman"/>
          <w:szCs w:val="24"/>
          <w:lang w:val="en-AU" w:eastAsia="en-US"/>
        </w:rPr>
        <w:t xml:space="preserve"> the econometric model </w:t>
      </w:r>
      <w:r w:rsidR="00C6345C" w:rsidRPr="00CE2CE5">
        <w:rPr>
          <w:rFonts w:eastAsia="Times New Roman" w:cs="Times New Roman"/>
          <w:szCs w:val="24"/>
          <w:lang w:val="en-AU" w:eastAsia="en-US"/>
        </w:rPr>
        <w:t>using cointegration method</w:t>
      </w:r>
      <w:r w:rsidR="00CE2CE5">
        <w:rPr>
          <w:rFonts w:eastAsia="Times New Roman" w:cs="Times New Roman"/>
          <w:szCs w:val="24"/>
          <w:lang w:val="en-AU" w:eastAsia="en-US"/>
        </w:rPr>
        <w:t>s</w:t>
      </w:r>
      <w:r w:rsidR="00C6345C" w:rsidRPr="00CE2CE5">
        <w:rPr>
          <w:rFonts w:eastAsia="Times New Roman" w:cs="Times New Roman"/>
          <w:szCs w:val="24"/>
          <w:lang w:val="en-AU" w:eastAsia="en-US"/>
        </w:rPr>
        <w:t xml:space="preserve"> </w:t>
      </w:r>
      <w:r w:rsidR="00611E46" w:rsidRPr="00CE2CE5">
        <w:rPr>
          <w:rFonts w:eastAsia="Times New Roman" w:cs="Times New Roman"/>
          <w:szCs w:val="24"/>
          <w:lang w:val="en-AU" w:eastAsia="en-US"/>
        </w:rPr>
        <w:t xml:space="preserve">and </w:t>
      </w:r>
      <w:r w:rsidR="002B02DB" w:rsidRPr="00CE2CE5">
        <w:rPr>
          <w:rFonts w:eastAsia="Times New Roman" w:cs="Times New Roman"/>
          <w:szCs w:val="24"/>
          <w:lang w:val="en-AU" w:eastAsia="en-US"/>
        </w:rPr>
        <w:t xml:space="preserve">analyses the results </w:t>
      </w:r>
      <w:r w:rsidR="00B96D6C" w:rsidRPr="00CE2CE5">
        <w:rPr>
          <w:rFonts w:eastAsia="Times New Roman" w:cs="Times New Roman"/>
          <w:szCs w:val="24"/>
          <w:lang w:val="en-AU" w:eastAsia="en-US"/>
        </w:rPr>
        <w:t xml:space="preserve">and </w:t>
      </w:r>
      <w:r w:rsidR="00EC3014" w:rsidRPr="00CE2CE5">
        <w:rPr>
          <w:rFonts w:eastAsia="Times New Roman" w:cs="Times New Roman"/>
          <w:szCs w:val="24"/>
          <w:lang w:val="en-AU" w:eastAsia="en-US"/>
        </w:rPr>
        <w:t xml:space="preserve">Section </w:t>
      </w:r>
      <w:r w:rsidR="00C6345C" w:rsidRPr="00CE2CE5">
        <w:rPr>
          <w:rFonts w:eastAsia="Times New Roman" w:cs="Times New Roman"/>
          <w:szCs w:val="24"/>
          <w:lang w:val="en-AU" w:eastAsia="en-US"/>
        </w:rPr>
        <w:t>7</w:t>
      </w:r>
      <w:r w:rsidR="00EC3014" w:rsidRPr="00CE2CE5">
        <w:rPr>
          <w:rFonts w:eastAsia="Times New Roman" w:cs="Times New Roman"/>
          <w:szCs w:val="24"/>
          <w:lang w:val="en-AU" w:eastAsia="en-US"/>
        </w:rPr>
        <w:t xml:space="preserve"> </w:t>
      </w:r>
      <w:r w:rsidR="00611E46" w:rsidRPr="00CE2CE5">
        <w:rPr>
          <w:rFonts w:eastAsia="Times New Roman" w:cs="Times New Roman"/>
          <w:szCs w:val="24"/>
          <w:lang w:val="en-AU" w:eastAsia="en-US"/>
        </w:rPr>
        <w:t>concludes</w:t>
      </w:r>
      <w:r w:rsidR="00EC3014" w:rsidRPr="00CE2CE5">
        <w:rPr>
          <w:rFonts w:eastAsia="Times New Roman" w:cs="Times New Roman"/>
          <w:szCs w:val="24"/>
          <w:lang w:val="en-AU" w:eastAsia="en-US"/>
        </w:rPr>
        <w:t xml:space="preserve"> </w:t>
      </w:r>
      <w:r w:rsidR="00C6345C" w:rsidRPr="00CE2CE5">
        <w:rPr>
          <w:rFonts w:eastAsia="Times New Roman" w:cs="Times New Roman"/>
          <w:szCs w:val="24"/>
          <w:lang w:val="en-AU" w:eastAsia="en-US"/>
        </w:rPr>
        <w:t xml:space="preserve">the paper </w:t>
      </w:r>
      <w:r w:rsidR="00EC3014" w:rsidRPr="00CE2CE5">
        <w:rPr>
          <w:rFonts w:eastAsia="Times New Roman" w:cs="Times New Roman"/>
          <w:szCs w:val="24"/>
          <w:lang w:val="en-AU" w:eastAsia="en-US"/>
        </w:rPr>
        <w:t>with policy implications.</w:t>
      </w:r>
      <w:r w:rsidR="00B96D6C">
        <w:rPr>
          <w:rFonts w:eastAsia="Times New Roman" w:cs="Times New Roman"/>
          <w:szCs w:val="24"/>
          <w:lang w:val="en-AU" w:eastAsia="en-US"/>
        </w:rPr>
        <w:t xml:space="preserve"> </w:t>
      </w:r>
    </w:p>
    <w:p w:rsidR="009316EA" w:rsidRDefault="009316EA" w:rsidP="007E4B5E">
      <w:pPr>
        <w:tabs>
          <w:tab w:val="left" w:pos="426"/>
          <w:tab w:val="right" w:pos="8931"/>
        </w:tabs>
        <w:spacing w:after="0" w:line="288" w:lineRule="auto"/>
        <w:rPr>
          <w:lang w:val="en-AU"/>
        </w:rPr>
      </w:pPr>
    </w:p>
    <w:p w:rsidR="002B68BA" w:rsidRDefault="00AE0CCA" w:rsidP="007E4B5E">
      <w:pPr>
        <w:pStyle w:val="ListParagraph"/>
        <w:numPr>
          <w:ilvl w:val="0"/>
          <w:numId w:val="1"/>
        </w:numPr>
        <w:tabs>
          <w:tab w:val="left" w:pos="426"/>
          <w:tab w:val="right" w:pos="8931"/>
        </w:tabs>
        <w:spacing w:after="0" w:line="288" w:lineRule="auto"/>
        <w:ind w:left="0" w:firstLine="0"/>
        <w:rPr>
          <w:b/>
          <w:bCs/>
          <w:lang w:val="en-AU"/>
        </w:rPr>
      </w:pPr>
      <w:r w:rsidRPr="00C24164">
        <w:rPr>
          <w:b/>
          <w:bCs/>
          <w:lang w:val="en-AU"/>
        </w:rPr>
        <w:t>Remittances Utilisation in Bangladesh</w:t>
      </w:r>
    </w:p>
    <w:p w:rsidR="006C625D" w:rsidRPr="006C625D" w:rsidRDefault="006C625D" w:rsidP="007E4B5E">
      <w:pPr>
        <w:pStyle w:val="ListParagraph"/>
        <w:tabs>
          <w:tab w:val="left" w:pos="426"/>
          <w:tab w:val="right" w:pos="8931"/>
        </w:tabs>
        <w:spacing w:after="0" w:line="288" w:lineRule="auto"/>
        <w:rPr>
          <w:b/>
          <w:bCs/>
          <w:sz w:val="12"/>
          <w:szCs w:val="12"/>
          <w:lang w:val="en-AU"/>
        </w:rPr>
      </w:pPr>
    </w:p>
    <w:p w:rsidR="001D7CCA" w:rsidRDefault="00D515FF" w:rsidP="007E4B5E">
      <w:pPr>
        <w:tabs>
          <w:tab w:val="left" w:pos="426"/>
          <w:tab w:val="right" w:pos="8931"/>
        </w:tabs>
        <w:spacing w:after="0" w:line="288" w:lineRule="auto"/>
        <w:jc w:val="both"/>
        <w:rPr>
          <w:lang w:val="en-AU"/>
        </w:rPr>
      </w:pPr>
      <w:r>
        <w:rPr>
          <w:lang w:val="en-AU"/>
        </w:rPr>
        <w:t xml:space="preserve">Remittances </w:t>
      </w:r>
      <w:r w:rsidR="00983DC6">
        <w:rPr>
          <w:lang w:val="en-AU"/>
        </w:rPr>
        <w:t>constitute</w:t>
      </w:r>
      <w:r>
        <w:rPr>
          <w:lang w:val="en-AU"/>
        </w:rPr>
        <w:t xml:space="preserve"> the most important external financial flows in </w:t>
      </w:r>
      <w:r w:rsidR="00AA1F42">
        <w:rPr>
          <w:lang w:val="en-AU"/>
        </w:rPr>
        <w:t xml:space="preserve">the </w:t>
      </w:r>
      <w:r>
        <w:rPr>
          <w:lang w:val="en-AU"/>
        </w:rPr>
        <w:t>Bangladesh</w:t>
      </w:r>
      <w:r w:rsidR="00AA1F42">
        <w:rPr>
          <w:lang w:val="en-AU"/>
        </w:rPr>
        <w:t xml:space="preserve"> economy</w:t>
      </w:r>
      <w:r w:rsidR="009316EA">
        <w:rPr>
          <w:lang w:val="en-AU"/>
        </w:rPr>
        <w:t xml:space="preserve"> compared </w:t>
      </w:r>
      <w:r w:rsidR="00757D9B">
        <w:rPr>
          <w:lang w:val="en-AU"/>
        </w:rPr>
        <w:t>to</w:t>
      </w:r>
      <w:r w:rsidR="00983DC6">
        <w:rPr>
          <w:lang w:val="en-AU"/>
        </w:rPr>
        <w:t xml:space="preserve"> </w:t>
      </w:r>
      <w:r w:rsidR="009B3DFC">
        <w:rPr>
          <w:lang w:val="en-AU"/>
        </w:rPr>
        <w:t xml:space="preserve">foreign </w:t>
      </w:r>
      <w:r w:rsidR="009316EA">
        <w:rPr>
          <w:lang w:val="en-AU"/>
        </w:rPr>
        <w:t xml:space="preserve">aid and foreign </w:t>
      </w:r>
      <w:r w:rsidR="009B3DFC">
        <w:rPr>
          <w:lang w:val="en-AU"/>
        </w:rPr>
        <w:t xml:space="preserve">direct </w:t>
      </w:r>
      <w:r w:rsidR="009316EA">
        <w:rPr>
          <w:lang w:val="en-AU"/>
        </w:rPr>
        <w:t>investments</w:t>
      </w:r>
      <w:r w:rsidR="009B3DFC">
        <w:rPr>
          <w:lang w:val="en-AU"/>
        </w:rPr>
        <w:t xml:space="preserve"> (FDI)</w:t>
      </w:r>
      <w:r>
        <w:rPr>
          <w:lang w:val="en-AU"/>
        </w:rPr>
        <w:t xml:space="preserve">. Figure 1 </w:t>
      </w:r>
      <w:proofErr w:type="gramStart"/>
      <w:r>
        <w:rPr>
          <w:lang w:val="en-AU"/>
        </w:rPr>
        <w:t>plots</w:t>
      </w:r>
      <w:proofErr w:type="gramEnd"/>
      <w:r>
        <w:rPr>
          <w:lang w:val="en-AU"/>
        </w:rPr>
        <w:t xml:space="preserve"> </w:t>
      </w:r>
      <w:r w:rsidR="009316EA">
        <w:rPr>
          <w:lang w:val="en-AU"/>
        </w:rPr>
        <w:t>these</w:t>
      </w:r>
      <w:r>
        <w:rPr>
          <w:lang w:val="en-AU"/>
        </w:rPr>
        <w:t xml:space="preserve"> three </w:t>
      </w:r>
      <w:r w:rsidR="007E4B5E">
        <w:rPr>
          <w:lang w:val="en-AU"/>
        </w:rPr>
        <w:t xml:space="preserve">external flows - </w:t>
      </w:r>
      <w:r w:rsidR="009316EA" w:rsidRPr="009316EA">
        <w:rPr>
          <w:lang w:val="en-AU"/>
        </w:rPr>
        <w:t xml:space="preserve">remittances, </w:t>
      </w:r>
      <w:r>
        <w:rPr>
          <w:lang w:val="en-AU"/>
        </w:rPr>
        <w:t xml:space="preserve">foreign aid and </w:t>
      </w:r>
      <w:r w:rsidR="009B3DFC">
        <w:rPr>
          <w:lang w:val="en-AU"/>
        </w:rPr>
        <w:t>FDI</w:t>
      </w:r>
      <w:r w:rsidR="007E4B5E">
        <w:rPr>
          <w:lang w:val="en-AU"/>
        </w:rPr>
        <w:t xml:space="preserve"> - </w:t>
      </w:r>
      <w:r w:rsidR="009316EA">
        <w:rPr>
          <w:lang w:val="en-AU"/>
        </w:rPr>
        <w:t>during</w:t>
      </w:r>
      <w:r w:rsidR="001D7CCA">
        <w:rPr>
          <w:lang w:val="en-AU"/>
        </w:rPr>
        <w:t xml:space="preserve"> </w:t>
      </w:r>
      <w:r w:rsidR="009B3DFC">
        <w:rPr>
          <w:lang w:val="en-AU"/>
        </w:rPr>
        <w:t xml:space="preserve">the period </w:t>
      </w:r>
      <w:r w:rsidR="00ED3043">
        <w:rPr>
          <w:lang w:val="en-AU"/>
        </w:rPr>
        <w:t>1976-</w:t>
      </w:r>
      <w:r w:rsidR="001D7CCA">
        <w:rPr>
          <w:lang w:val="en-AU"/>
        </w:rPr>
        <w:t>2010.</w:t>
      </w:r>
      <w:r>
        <w:rPr>
          <w:lang w:val="en-AU"/>
        </w:rPr>
        <w:t xml:space="preserve"> </w:t>
      </w:r>
      <w:r w:rsidR="00983DC6">
        <w:rPr>
          <w:lang w:val="en-AU"/>
        </w:rPr>
        <w:t>Although r</w:t>
      </w:r>
      <w:r>
        <w:rPr>
          <w:lang w:val="en-AU"/>
        </w:rPr>
        <w:t xml:space="preserve">emittances </w:t>
      </w:r>
      <w:r w:rsidR="00983DC6">
        <w:rPr>
          <w:lang w:val="en-AU"/>
        </w:rPr>
        <w:t>have</w:t>
      </w:r>
      <w:r>
        <w:rPr>
          <w:lang w:val="en-AU"/>
        </w:rPr>
        <w:t xml:space="preserve"> always surpassed FDI</w:t>
      </w:r>
      <w:r w:rsidR="00983DC6">
        <w:rPr>
          <w:lang w:val="en-AU"/>
        </w:rPr>
        <w:t>,</w:t>
      </w:r>
      <w:r>
        <w:rPr>
          <w:lang w:val="en-AU"/>
        </w:rPr>
        <w:t xml:space="preserve"> </w:t>
      </w:r>
      <w:r w:rsidR="00983DC6">
        <w:rPr>
          <w:lang w:val="en-AU"/>
        </w:rPr>
        <w:t>it was</w:t>
      </w:r>
      <w:r>
        <w:rPr>
          <w:lang w:val="en-AU"/>
        </w:rPr>
        <w:t xml:space="preserve"> belo</w:t>
      </w:r>
      <w:r w:rsidR="009316EA">
        <w:rPr>
          <w:lang w:val="en-AU"/>
        </w:rPr>
        <w:t xml:space="preserve">w foreign aid until 1995. Thereafter, </w:t>
      </w:r>
      <w:r w:rsidR="00975D09">
        <w:rPr>
          <w:lang w:val="en-AU"/>
        </w:rPr>
        <w:t>remittances</w:t>
      </w:r>
      <w:r w:rsidR="009316EA">
        <w:rPr>
          <w:lang w:val="en-AU"/>
        </w:rPr>
        <w:t xml:space="preserve"> flows</w:t>
      </w:r>
      <w:r w:rsidR="00975D09">
        <w:rPr>
          <w:lang w:val="en-AU"/>
        </w:rPr>
        <w:t xml:space="preserve"> </w:t>
      </w:r>
      <w:r w:rsidR="009316EA">
        <w:rPr>
          <w:lang w:val="en-AU"/>
        </w:rPr>
        <w:t xml:space="preserve">have been </w:t>
      </w:r>
      <w:r w:rsidR="00983DC6">
        <w:rPr>
          <w:lang w:val="en-AU"/>
        </w:rPr>
        <w:t>continuously</w:t>
      </w:r>
      <w:r w:rsidR="00975D09">
        <w:rPr>
          <w:lang w:val="en-AU"/>
        </w:rPr>
        <w:t xml:space="preserve"> ahead of both foreign aid and FDI. </w:t>
      </w:r>
      <w:r w:rsidR="00983DC6">
        <w:rPr>
          <w:lang w:val="en-AU"/>
        </w:rPr>
        <w:t>Beginning with a modest</w:t>
      </w:r>
      <w:r w:rsidR="00B534F6">
        <w:rPr>
          <w:lang w:val="en-AU"/>
        </w:rPr>
        <w:t xml:space="preserve"> amount of US$49 million in 1976, remittances flows </w:t>
      </w:r>
      <w:r w:rsidR="00983DC6">
        <w:rPr>
          <w:lang w:val="en-AU"/>
        </w:rPr>
        <w:t xml:space="preserve">have </w:t>
      </w:r>
      <w:r w:rsidR="00B534F6">
        <w:rPr>
          <w:lang w:val="en-AU"/>
        </w:rPr>
        <w:t xml:space="preserve">reached </w:t>
      </w:r>
      <w:r w:rsidR="00B534F6">
        <w:rPr>
          <w:lang w:val="en-AU"/>
        </w:rPr>
        <w:lastRenderedPageBreak/>
        <w:t xml:space="preserve">to US$ 10.8 billion in 2010, registering about a </w:t>
      </w:r>
      <w:r w:rsidR="00512DCD">
        <w:rPr>
          <w:lang w:val="en-AU"/>
        </w:rPr>
        <w:t>two hundred</w:t>
      </w:r>
      <w:r w:rsidR="00B534F6">
        <w:rPr>
          <w:lang w:val="en-AU"/>
        </w:rPr>
        <w:t xml:space="preserve"> times increase during this period. </w:t>
      </w:r>
      <w:r w:rsidR="009B3DFC">
        <w:rPr>
          <w:lang w:val="en-AU"/>
        </w:rPr>
        <w:t>In 2010 r</w:t>
      </w:r>
      <w:r w:rsidR="00757D9B">
        <w:rPr>
          <w:lang w:val="en-AU"/>
        </w:rPr>
        <w:t>emittances receipts</w:t>
      </w:r>
      <w:r w:rsidR="00983DC6">
        <w:rPr>
          <w:lang w:val="en-AU"/>
        </w:rPr>
        <w:t xml:space="preserve"> </w:t>
      </w:r>
      <w:r w:rsidR="00567B27">
        <w:rPr>
          <w:lang w:val="en-AU"/>
        </w:rPr>
        <w:t>were</w:t>
      </w:r>
      <w:r w:rsidR="00975D09" w:rsidRPr="002F3DBC">
        <w:rPr>
          <w:lang w:val="en-AU"/>
        </w:rPr>
        <w:t xml:space="preserve"> </w:t>
      </w:r>
      <w:r w:rsidR="001D7CCA" w:rsidRPr="002F3DBC">
        <w:rPr>
          <w:lang w:val="en-AU"/>
        </w:rPr>
        <w:t xml:space="preserve">seven times of foreign aid and </w:t>
      </w:r>
      <w:r w:rsidR="002F3DBC" w:rsidRPr="002F3DBC">
        <w:rPr>
          <w:lang w:val="en-AU"/>
        </w:rPr>
        <w:t xml:space="preserve">more </w:t>
      </w:r>
      <w:r w:rsidR="009B3DFC">
        <w:rPr>
          <w:lang w:val="en-AU"/>
        </w:rPr>
        <w:t xml:space="preserve">than </w:t>
      </w:r>
      <w:r w:rsidR="001D7CCA" w:rsidRPr="002F3DBC">
        <w:rPr>
          <w:lang w:val="en-AU"/>
        </w:rPr>
        <w:t xml:space="preserve">ten times </w:t>
      </w:r>
      <w:r w:rsidR="009B3DFC">
        <w:rPr>
          <w:lang w:val="en-AU"/>
        </w:rPr>
        <w:t>of FDI.</w:t>
      </w:r>
      <w:r w:rsidR="001D7CCA">
        <w:rPr>
          <w:lang w:val="en-AU"/>
        </w:rPr>
        <w:t xml:space="preserve"> </w:t>
      </w:r>
    </w:p>
    <w:p w:rsidR="00ED3043" w:rsidRDefault="00ED3043" w:rsidP="007E4B5E">
      <w:pPr>
        <w:tabs>
          <w:tab w:val="left" w:pos="426"/>
          <w:tab w:val="right" w:pos="8931"/>
        </w:tabs>
        <w:spacing w:after="0" w:line="288" w:lineRule="auto"/>
        <w:jc w:val="both"/>
        <w:rPr>
          <w:lang w:val="en-AU"/>
        </w:rPr>
      </w:pPr>
    </w:p>
    <w:p w:rsidR="004D4B00" w:rsidRDefault="004D4B00" w:rsidP="007E4B5E">
      <w:pPr>
        <w:tabs>
          <w:tab w:val="left" w:pos="426"/>
          <w:tab w:val="right" w:pos="8931"/>
        </w:tabs>
        <w:spacing w:after="0" w:line="288" w:lineRule="auto"/>
        <w:ind w:firstLine="720"/>
        <w:jc w:val="center"/>
        <w:rPr>
          <w:lang w:val="en-AU"/>
        </w:rPr>
      </w:pPr>
      <w:r w:rsidRPr="004D4B00">
        <w:rPr>
          <w:noProof/>
          <w:lang w:eastAsia="en-NZ"/>
        </w:rPr>
        <w:drawing>
          <wp:inline distT="0" distB="0" distL="0" distR="0">
            <wp:extent cx="4394200" cy="321968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4746" cy="3220086"/>
                    </a:xfrm>
                    <a:prstGeom prst="rect">
                      <a:avLst/>
                    </a:prstGeom>
                    <a:noFill/>
                    <a:ln>
                      <a:noFill/>
                    </a:ln>
                  </pic:spPr>
                </pic:pic>
              </a:graphicData>
            </a:graphic>
          </wp:inline>
        </w:drawing>
      </w:r>
    </w:p>
    <w:p w:rsidR="007E4B5E" w:rsidRDefault="007E4B5E" w:rsidP="007E4B5E">
      <w:pPr>
        <w:tabs>
          <w:tab w:val="left" w:pos="426"/>
          <w:tab w:val="right" w:pos="8931"/>
        </w:tabs>
        <w:spacing w:after="0" w:line="288" w:lineRule="auto"/>
        <w:ind w:firstLine="720"/>
        <w:jc w:val="both"/>
        <w:rPr>
          <w:lang w:val="en-AU"/>
        </w:rPr>
      </w:pPr>
    </w:p>
    <w:p w:rsidR="00D515FF" w:rsidRDefault="001D7CCA" w:rsidP="007E4B5E">
      <w:pPr>
        <w:tabs>
          <w:tab w:val="left" w:pos="426"/>
          <w:tab w:val="right" w:pos="8931"/>
        </w:tabs>
        <w:spacing w:after="0" w:line="288" w:lineRule="auto"/>
        <w:ind w:firstLine="426"/>
        <w:jc w:val="both"/>
        <w:rPr>
          <w:lang w:val="en-AU"/>
        </w:rPr>
      </w:pPr>
      <w:r>
        <w:rPr>
          <w:lang w:val="en-AU"/>
        </w:rPr>
        <w:t xml:space="preserve">Figure 2 presents the growth in remittances </w:t>
      </w:r>
      <w:r w:rsidR="007E4B5E">
        <w:rPr>
          <w:lang w:val="en-AU"/>
        </w:rPr>
        <w:t xml:space="preserve">between 1976 and </w:t>
      </w:r>
      <w:r>
        <w:rPr>
          <w:lang w:val="en-AU"/>
        </w:rPr>
        <w:t xml:space="preserve">2010. </w:t>
      </w:r>
      <w:r w:rsidR="007E4B5E">
        <w:rPr>
          <w:lang w:val="en-AU"/>
        </w:rPr>
        <w:t xml:space="preserve"> </w:t>
      </w:r>
      <w:r w:rsidR="002F3DBC">
        <w:rPr>
          <w:lang w:val="en-AU"/>
        </w:rPr>
        <w:t>Remittances</w:t>
      </w:r>
      <w:r w:rsidR="00D8284D">
        <w:rPr>
          <w:lang w:val="en-AU"/>
        </w:rPr>
        <w:t xml:space="preserve"> growth rate</w:t>
      </w:r>
      <w:r w:rsidR="009B3DFC">
        <w:rPr>
          <w:lang w:val="en-AU"/>
        </w:rPr>
        <w:t>s</w:t>
      </w:r>
      <w:r w:rsidR="00D8284D">
        <w:rPr>
          <w:lang w:val="en-AU"/>
        </w:rPr>
        <w:t xml:space="preserve"> were </w:t>
      </w:r>
      <w:r w:rsidR="002F3DBC">
        <w:rPr>
          <w:lang w:val="en-AU"/>
        </w:rPr>
        <w:t xml:space="preserve">initially </w:t>
      </w:r>
      <w:r w:rsidR="00D8284D">
        <w:rPr>
          <w:lang w:val="en-AU"/>
        </w:rPr>
        <w:t xml:space="preserve">in excess of hundred percent, but </w:t>
      </w:r>
      <w:r w:rsidR="00A91B9D">
        <w:rPr>
          <w:lang w:val="en-AU"/>
        </w:rPr>
        <w:t xml:space="preserve">over the whole period it </w:t>
      </w:r>
      <w:r w:rsidR="00B6230E">
        <w:rPr>
          <w:lang w:val="en-AU"/>
        </w:rPr>
        <w:t xml:space="preserve">was around twenty five percent. </w:t>
      </w:r>
      <w:r w:rsidR="002F3DBC">
        <w:rPr>
          <w:lang w:val="en-AU"/>
        </w:rPr>
        <w:t>Looking at the</w:t>
      </w:r>
      <w:r w:rsidR="00B6230E">
        <w:rPr>
          <w:lang w:val="en-AU"/>
        </w:rPr>
        <w:t xml:space="preserve"> moving average series it can be seen </w:t>
      </w:r>
      <w:r w:rsidR="002F3DBC">
        <w:rPr>
          <w:lang w:val="en-AU"/>
        </w:rPr>
        <w:t xml:space="preserve">that </w:t>
      </w:r>
      <w:r w:rsidR="009B3DFC">
        <w:rPr>
          <w:lang w:val="en-AU"/>
        </w:rPr>
        <w:t xml:space="preserve">growth in </w:t>
      </w:r>
      <w:r w:rsidR="00B6230E">
        <w:rPr>
          <w:lang w:val="en-AU"/>
        </w:rPr>
        <w:t xml:space="preserve">remittances </w:t>
      </w:r>
      <w:r w:rsidR="009B3DFC">
        <w:rPr>
          <w:lang w:val="en-AU"/>
        </w:rPr>
        <w:t xml:space="preserve">has fallen and </w:t>
      </w:r>
      <w:r w:rsidR="00757D9B">
        <w:rPr>
          <w:lang w:val="en-AU"/>
        </w:rPr>
        <w:t xml:space="preserve">become </w:t>
      </w:r>
      <w:r w:rsidR="009B3DFC">
        <w:rPr>
          <w:lang w:val="en-AU"/>
        </w:rPr>
        <w:t>stabilised</w:t>
      </w:r>
      <w:r w:rsidR="00B6230E">
        <w:rPr>
          <w:lang w:val="en-AU"/>
        </w:rPr>
        <w:t xml:space="preserve"> during </w:t>
      </w:r>
      <w:r w:rsidR="00A91B9D">
        <w:rPr>
          <w:lang w:val="en-AU"/>
        </w:rPr>
        <w:t xml:space="preserve">the </w:t>
      </w:r>
      <w:r w:rsidR="00B6230E">
        <w:rPr>
          <w:lang w:val="en-AU"/>
        </w:rPr>
        <w:t>1990</w:t>
      </w:r>
      <w:r w:rsidR="002F3DBC">
        <w:rPr>
          <w:lang w:val="en-AU"/>
        </w:rPr>
        <w:t>s</w:t>
      </w:r>
      <w:r w:rsidR="00B6230E">
        <w:rPr>
          <w:lang w:val="en-AU"/>
        </w:rPr>
        <w:t xml:space="preserve"> and </w:t>
      </w:r>
      <w:r w:rsidR="009B3DFC">
        <w:rPr>
          <w:lang w:val="en-AU"/>
        </w:rPr>
        <w:t xml:space="preserve">thereafter </w:t>
      </w:r>
      <w:r w:rsidR="00512DCD">
        <w:rPr>
          <w:lang w:val="en-AU"/>
        </w:rPr>
        <w:t xml:space="preserve">has </w:t>
      </w:r>
      <w:r w:rsidR="0019419F">
        <w:rPr>
          <w:lang w:val="en-AU"/>
        </w:rPr>
        <w:t xml:space="preserve">only </w:t>
      </w:r>
      <w:r w:rsidR="0019419F" w:rsidRPr="0019419F">
        <w:rPr>
          <w:lang w:val="en-AU"/>
        </w:rPr>
        <w:t xml:space="preserve">marginally </w:t>
      </w:r>
      <w:r w:rsidR="00637850">
        <w:rPr>
          <w:lang w:val="en-AU"/>
        </w:rPr>
        <w:t>begun</w:t>
      </w:r>
      <w:r w:rsidR="00B6230E">
        <w:rPr>
          <w:lang w:val="en-AU"/>
        </w:rPr>
        <w:t xml:space="preserve"> to </w:t>
      </w:r>
      <w:r w:rsidR="00637850" w:rsidRPr="00637850">
        <w:rPr>
          <w:lang w:val="en-AU"/>
        </w:rPr>
        <w:t>increase</w:t>
      </w:r>
      <w:r w:rsidR="00B6230E">
        <w:rPr>
          <w:lang w:val="en-AU"/>
        </w:rPr>
        <w:t xml:space="preserve">. </w:t>
      </w:r>
    </w:p>
    <w:p w:rsidR="00376D10" w:rsidRDefault="00376D10" w:rsidP="007E4B5E">
      <w:pPr>
        <w:tabs>
          <w:tab w:val="left" w:pos="426"/>
          <w:tab w:val="right" w:pos="8931"/>
        </w:tabs>
        <w:spacing w:after="0" w:line="288" w:lineRule="auto"/>
        <w:ind w:firstLine="720"/>
        <w:jc w:val="both"/>
        <w:rPr>
          <w:lang w:val="en-AU"/>
        </w:rPr>
      </w:pPr>
    </w:p>
    <w:p w:rsidR="00376D10" w:rsidRDefault="004D4B00" w:rsidP="007E4B5E">
      <w:pPr>
        <w:tabs>
          <w:tab w:val="left" w:pos="1418"/>
          <w:tab w:val="right" w:pos="8931"/>
        </w:tabs>
        <w:spacing w:after="0" w:line="288" w:lineRule="auto"/>
        <w:jc w:val="center"/>
        <w:rPr>
          <w:lang w:val="en-AU"/>
        </w:rPr>
      </w:pPr>
      <w:r w:rsidRPr="004D4B00">
        <w:rPr>
          <w:noProof/>
          <w:lang w:eastAsia="en-NZ"/>
        </w:rPr>
        <w:drawing>
          <wp:inline distT="0" distB="0" distL="0" distR="0">
            <wp:extent cx="3976255" cy="3283526"/>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2510" cy="3288691"/>
                    </a:xfrm>
                    <a:prstGeom prst="rect">
                      <a:avLst/>
                    </a:prstGeom>
                    <a:noFill/>
                    <a:ln>
                      <a:noFill/>
                    </a:ln>
                  </pic:spPr>
                </pic:pic>
              </a:graphicData>
            </a:graphic>
          </wp:inline>
        </w:drawing>
      </w:r>
    </w:p>
    <w:p w:rsidR="003B6F05" w:rsidRDefault="00A91B9D" w:rsidP="007E4B5E">
      <w:pPr>
        <w:tabs>
          <w:tab w:val="left" w:pos="426"/>
          <w:tab w:val="right" w:pos="8931"/>
        </w:tabs>
        <w:spacing w:after="0" w:line="288" w:lineRule="auto"/>
        <w:jc w:val="both"/>
        <w:rPr>
          <w:lang w:val="en-AU"/>
        </w:rPr>
      </w:pPr>
      <w:r>
        <w:rPr>
          <w:lang w:val="en-AU"/>
        </w:rPr>
        <w:tab/>
      </w:r>
    </w:p>
    <w:p w:rsidR="002F3DBC" w:rsidRDefault="003B6F05" w:rsidP="007E4B5E">
      <w:pPr>
        <w:tabs>
          <w:tab w:val="left" w:pos="426"/>
          <w:tab w:val="right" w:pos="8931"/>
        </w:tabs>
        <w:spacing w:after="0" w:line="288" w:lineRule="auto"/>
        <w:jc w:val="both"/>
        <w:rPr>
          <w:lang w:val="en-AU"/>
        </w:rPr>
      </w:pPr>
      <w:r>
        <w:rPr>
          <w:lang w:val="en-AU"/>
        </w:rPr>
        <w:lastRenderedPageBreak/>
        <w:tab/>
      </w:r>
      <w:r w:rsidR="00A91B9D">
        <w:rPr>
          <w:lang w:val="en-AU"/>
        </w:rPr>
        <w:t xml:space="preserve">In order </w:t>
      </w:r>
      <w:r w:rsidR="00567B27">
        <w:rPr>
          <w:lang w:val="en-AU"/>
        </w:rPr>
        <w:t xml:space="preserve">estimate the developmental outcome of remittances in the overall economy, it is essential to </w:t>
      </w:r>
      <w:r w:rsidR="00A91B9D">
        <w:rPr>
          <w:lang w:val="en-AU"/>
        </w:rPr>
        <w:t>conceptualise how these massive flow</w:t>
      </w:r>
      <w:r w:rsidR="0019419F">
        <w:rPr>
          <w:lang w:val="en-AU"/>
        </w:rPr>
        <w:t xml:space="preserve"> of</w:t>
      </w:r>
      <w:r w:rsidR="00A91B9D">
        <w:rPr>
          <w:lang w:val="en-AU"/>
        </w:rPr>
        <w:t xml:space="preserve"> overseas income send </w:t>
      </w:r>
      <w:r w:rsidR="00512DCD">
        <w:rPr>
          <w:lang w:val="en-AU"/>
        </w:rPr>
        <w:t xml:space="preserve">out </w:t>
      </w:r>
      <w:r w:rsidR="00A91B9D">
        <w:rPr>
          <w:lang w:val="en-AU"/>
        </w:rPr>
        <w:t xml:space="preserve">by the migrant member have contributed to the </w:t>
      </w:r>
      <w:r w:rsidR="009158C6">
        <w:rPr>
          <w:lang w:val="en-AU"/>
        </w:rPr>
        <w:t>welfare</w:t>
      </w:r>
      <w:r w:rsidR="00567B27">
        <w:rPr>
          <w:lang w:val="en-AU"/>
        </w:rPr>
        <w:t xml:space="preserve"> within the family. To do so</w:t>
      </w:r>
      <w:r w:rsidR="00A91B9D">
        <w:rPr>
          <w:lang w:val="en-AU"/>
        </w:rPr>
        <w:t xml:space="preserve"> one has to look at the various avenues in which remittances were utilised. </w:t>
      </w:r>
      <w:r w:rsidR="008B67DC">
        <w:rPr>
          <w:lang w:val="en-AU"/>
        </w:rPr>
        <w:t xml:space="preserve">The utilisation of remittances </w:t>
      </w:r>
      <w:r w:rsidR="00567B27">
        <w:rPr>
          <w:lang w:val="en-AU"/>
        </w:rPr>
        <w:t xml:space="preserve">data </w:t>
      </w:r>
      <w:r w:rsidR="008B67DC">
        <w:rPr>
          <w:lang w:val="en-AU"/>
        </w:rPr>
        <w:t xml:space="preserve">by the recipient households in Bangladesh have been </w:t>
      </w:r>
      <w:r w:rsidR="00567B27">
        <w:rPr>
          <w:lang w:val="en-AU"/>
        </w:rPr>
        <w:t>collected from the</w:t>
      </w:r>
      <w:r w:rsidR="008B67DC">
        <w:rPr>
          <w:lang w:val="en-AU"/>
        </w:rPr>
        <w:t xml:space="preserve"> field by</w:t>
      </w:r>
      <w:r w:rsidR="00567B27">
        <w:rPr>
          <w:lang w:val="en-AU"/>
        </w:rPr>
        <w:t xml:space="preserve"> </w:t>
      </w:r>
      <w:r w:rsidR="00637850">
        <w:rPr>
          <w:lang w:val="en-AU"/>
        </w:rPr>
        <w:t>various</w:t>
      </w:r>
      <w:r w:rsidR="00567B27">
        <w:rPr>
          <w:lang w:val="en-AU"/>
        </w:rPr>
        <w:t xml:space="preserve"> authors and institutions</w:t>
      </w:r>
      <w:r w:rsidR="00637850">
        <w:rPr>
          <w:lang w:val="en-AU"/>
        </w:rPr>
        <w:t>.</w:t>
      </w:r>
      <w:r w:rsidR="00567B27">
        <w:rPr>
          <w:lang w:val="en-AU"/>
        </w:rPr>
        <w:t xml:space="preserve"> </w:t>
      </w:r>
      <w:r w:rsidR="00637850">
        <w:rPr>
          <w:lang w:val="en-AU"/>
        </w:rPr>
        <w:t>These</w:t>
      </w:r>
      <w:r w:rsidR="00567B27">
        <w:rPr>
          <w:lang w:val="en-AU"/>
        </w:rPr>
        <w:t xml:space="preserve"> </w:t>
      </w:r>
      <w:r w:rsidR="008B67DC">
        <w:rPr>
          <w:lang w:val="en-AU"/>
        </w:rPr>
        <w:t xml:space="preserve">have </w:t>
      </w:r>
      <w:r w:rsidR="00567B27">
        <w:rPr>
          <w:lang w:val="en-AU"/>
        </w:rPr>
        <w:t xml:space="preserve">been complied and </w:t>
      </w:r>
      <w:r w:rsidR="008B67DC">
        <w:rPr>
          <w:lang w:val="en-AU"/>
        </w:rPr>
        <w:t xml:space="preserve">summarised </w:t>
      </w:r>
      <w:r w:rsidR="00567B27">
        <w:rPr>
          <w:lang w:val="en-AU"/>
        </w:rPr>
        <w:t xml:space="preserve">in </w:t>
      </w:r>
      <w:r w:rsidR="00567B27" w:rsidRPr="00567B27">
        <w:rPr>
          <w:lang w:val="en-AU"/>
        </w:rPr>
        <w:t>IOM (2005)</w:t>
      </w:r>
      <w:r w:rsidR="00567B27">
        <w:rPr>
          <w:lang w:val="en-AU"/>
        </w:rPr>
        <w:t>.</w:t>
      </w:r>
      <w:r w:rsidR="00567B27" w:rsidRPr="00567B27">
        <w:rPr>
          <w:lang w:val="en-AU"/>
        </w:rPr>
        <w:t xml:space="preserve"> </w:t>
      </w:r>
      <w:r w:rsidR="00594AE0">
        <w:rPr>
          <w:lang w:val="en-AU"/>
        </w:rPr>
        <w:t>Remittances</w:t>
      </w:r>
      <w:r w:rsidR="008B67DC">
        <w:rPr>
          <w:lang w:val="en-AU"/>
        </w:rPr>
        <w:t xml:space="preserve"> </w:t>
      </w:r>
      <w:r w:rsidR="00567B27">
        <w:rPr>
          <w:lang w:val="en-AU"/>
        </w:rPr>
        <w:t>utilisations</w:t>
      </w:r>
      <w:r w:rsidR="00594AE0">
        <w:rPr>
          <w:lang w:val="en-AU"/>
        </w:rPr>
        <w:t xml:space="preserve"> in Bangladesh</w:t>
      </w:r>
      <w:r w:rsidR="00637850">
        <w:rPr>
          <w:lang w:val="en-AU"/>
        </w:rPr>
        <w:t xml:space="preserve"> </w:t>
      </w:r>
      <w:r w:rsidR="00C312D4">
        <w:rPr>
          <w:lang w:val="en-AU"/>
        </w:rPr>
        <w:t xml:space="preserve">according to </w:t>
      </w:r>
      <w:r w:rsidR="00637850">
        <w:rPr>
          <w:lang w:val="en-AU"/>
        </w:rPr>
        <w:t xml:space="preserve">the </w:t>
      </w:r>
      <w:r w:rsidR="0019419F">
        <w:rPr>
          <w:lang w:val="en-AU"/>
        </w:rPr>
        <w:t>IOM study</w:t>
      </w:r>
      <w:r w:rsidR="00594AE0">
        <w:rPr>
          <w:lang w:val="en-AU"/>
        </w:rPr>
        <w:t xml:space="preserve"> have been found to be concen</w:t>
      </w:r>
      <w:r w:rsidR="002B02DB">
        <w:rPr>
          <w:lang w:val="en-AU"/>
        </w:rPr>
        <w:t>trated on five major categories</w:t>
      </w:r>
      <w:r w:rsidR="00594AE0">
        <w:rPr>
          <w:lang w:val="en-AU"/>
        </w:rPr>
        <w:t xml:space="preserve">: </w:t>
      </w:r>
      <w:r w:rsidR="00ED3043">
        <w:rPr>
          <w:lang w:val="en-AU"/>
        </w:rPr>
        <w:t>(</w:t>
      </w:r>
      <w:r w:rsidR="007E4B5E">
        <w:rPr>
          <w:lang w:val="en-AU"/>
        </w:rPr>
        <w:t>1</w:t>
      </w:r>
      <w:r w:rsidR="00ED3043">
        <w:rPr>
          <w:lang w:val="en-AU"/>
        </w:rPr>
        <w:t>) food and clothing,</w:t>
      </w:r>
      <w:r w:rsidR="00594AE0">
        <w:rPr>
          <w:lang w:val="en-AU"/>
        </w:rPr>
        <w:t xml:space="preserve"> </w:t>
      </w:r>
      <w:r w:rsidR="00ED3043">
        <w:rPr>
          <w:lang w:val="en-AU"/>
        </w:rPr>
        <w:t>(</w:t>
      </w:r>
      <w:r w:rsidR="007E4B5E">
        <w:rPr>
          <w:lang w:val="en-AU"/>
        </w:rPr>
        <w:t>2</w:t>
      </w:r>
      <w:r w:rsidR="00594AE0">
        <w:rPr>
          <w:lang w:val="en-AU"/>
        </w:rPr>
        <w:t xml:space="preserve">) home construction and repair; </w:t>
      </w:r>
      <w:r w:rsidR="00ED3043">
        <w:rPr>
          <w:lang w:val="en-AU"/>
        </w:rPr>
        <w:t>(</w:t>
      </w:r>
      <w:r w:rsidR="007E4B5E">
        <w:rPr>
          <w:lang w:val="en-AU"/>
        </w:rPr>
        <w:t>3</w:t>
      </w:r>
      <w:r w:rsidR="00ED3043">
        <w:rPr>
          <w:lang w:val="en-AU"/>
        </w:rPr>
        <w:t>) purchase of land,</w:t>
      </w:r>
      <w:r w:rsidR="00594AE0">
        <w:rPr>
          <w:lang w:val="en-AU"/>
        </w:rPr>
        <w:t xml:space="preserve"> </w:t>
      </w:r>
      <w:r w:rsidR="00ED3043">
        <w:rPr>
          <w:lang w:val="en-AU"/>
        </w:rPr>
        <w:t>(</w:t>
      </w:r>
      <w:r w:rsidR="007E4B5E">
        <w:rPr>
          <w:lang w:val="en-AU"/>
        </w:rPr>
        <w:t>4</w:t>
      </w:r>
      <w:r w:rsidR="00594AE0">
        <w:rPr>
          <w:lang w:val="en-AU"/>
        </w:rPr>
        <w:t>) repayment of loans and</w:t>
      </w:r>
      <w:r w:rsidR="00ED3043">
        <w:rPr>
          <w:lang w:val="en-AU"/>
        </w:rPr>
        <w:t xml:space="preserve"> (</w:t>
      </w:r>
      <w:r w:rsidR="007E4B5E">
        <w:rPr>
          <w:lang w:val="en-AU"/>
        </w:rPr>
        <w:t>5</w:t>
      </w:r>
      <w:r w:rsidR="00594AE0">
        <w:rPr>
          <w:lang w:val="en-AU"/>
        </w:rPr>
        <w:t xml:space="preserve">) savings. </w:t>
      </w:r>
    </w:p>
    <w:p w:rsidR="00ED3043" w:rsidRDefault="00ED3043" w:rsidP="007E4B5E">
      <w:pPr>
        <w:tabs>
          <w:tab w:val="left" w:pos="426"/>
          <w:tab w:val="right" w:pos="8931"/>
        </w:tabs>
        <w:spacing w:after="0" w:line="288" w:lineRule="auto"/>
        <w:jc w:val="both"/>
        <w:rPr>
          <w:lang w:val="en-AU"/>
        </w:rPr>
      </w:pPr>
    </w:p>
    <w:p w:rsidR="00ED3043" w:rsidRDefault="00ED3043" w:rsidP="007E4B5E">
      <w:pPr>
        <w:tabs>
          <w:tab w:val="left" w:pos="426"/>
          <w:tab w:val="right" w:pos="8931"/>
        </w:tabs>
        <w:spacing w:after="0" w:line="288" w:lineRule="auto"/>
        <w:ind w:firstLine="426"/>
        <w:jc w:val="both"/>
        <w:rPr>
          <w:lang w:val="en-AU"/>
        </w:rPr>
      </w:pPr>
      <w:r>
        <w:rPr>
          <w:lang w:val="en-AU"/>
        </w:rPr>
        <w:t xml:space="preserve">Figure 3 shows the minimum and maximum values of these most mentioned uses of remittances income. It can be seen that the first three uses are composed of </w:t>
      </w:r>
      <w:r w:rsidRPr="0048090C">
        <w:rPr>
          <w:lang w:val="en-AU"/>
        </w:rPr>
        <w:t xml:space="preserve">food, clothing and housing </w:t>
      </w:r>
      <w:r>
        <w:rPr>
          <w:lang w:val="en-AU"/>
        </w:rPr>
        <w:t>expenses and therefore are related to the basic consumption needs in the family. The fourth and fifth most frequently mentioned uses of remittances are repayments of loans and savings respectively. The minimum portion of remittances income that has been used to repay loan is 10 percent and the maximum is 19 percent. This nine percentage point range is comparatively higher relative to that of other uses. On the other hand the minimum savings is three percent and the maximum is seven percent. Compared to loan repayment, savings – both minimum and maximum – are low. The important factor to take note of from the data represented in Figure 3 is that for the migrant families in Bangladesh, after the basic consumption needs have been met, the residual remittances income have been mostly used to primarily repay loans and then to accumulate savings.</w:t>
      </w:r>
    </w:p>
    <w:p w:rsidR="00376D10" w:rsidRDefault="00376D10" w:rsidP="007E4B5E">
      <w:pPr>
        <w:tabs>
          <w:tab w:val="left" w:pos="426"/>
          <w:tab w:val="right" w:pos="8931"/>
        </w:tabs>
        <w:spacing w:after="0" w:line="288" w:lineRule="auto"/>
        <w:jc w:val="both"/>
        <w:rPr>
          <w:lang w:val="en-AU"/>
        </w:rPr>
      </w:pPr>
    </w:p>
    <w:p w:rsidR="00376D10" w:rsidRDefault="004D4B00" w:rsidP="007E4B5E">
      <w:pPr>
        <w:tabs>
          <w:tab w:val="left" w:pos="426"/>
          <w:tab w:val="right" w:pos="8931"/>
        </w:tabs>
        <w:spacing w:after="0" w:line="288" w:lineRule="auto"/>
        <w:jc w:val="center"/>
        <w:rPr>
          <w:lang w:val="en-AU"/>
        </w:rPr>
      </w:pPr>
      <w:r w:rsidRPr="004D4B00">
        <w:rPr>
          <w:noProof/>
          <w:lang w:eastAsia="en-NZ"/>
        </w:rPr>
        <w:drawing>
          <wp:inline distT="0" distB="0" distL="0" distR="0">
            <wp:extent cx="5114925" cy="3747770"/>
            <wp:effectExtent l="0" t="0" r="0" b="508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3747770"/>
                    </a:xfrm>
                    <a:prstGeom prst="rect">
                      <a:avLst/>
                    </a:prstGeom>
                    <a:noFill/>
                    <a:ln>
                      <a:noFill/>
                    </a:ln>
                  </pic:spPr>
                </pic:pic>
              </a:graphicData>
            </a:graphic>
          </wp:inline>
        </w:drawing>
      </w:r>
    </w:p>
    <w:p w:rsidR="004D4B00" w:rsidRDefault="004D4B00" w:rsidP="007E4B5E">
      <w:pPr>
        <w:tabs>
          <w:tab w:val="left" w:pos="426"/>
          <w:tab w:val="right" w:pos="8931"/>
        </w:tabs>
        <w:spacing w:after="0" w:line="288" w:lineRule="auto"/>
        <w:jc w:val="center"/>
        <w:rPr>
          <w:lang w:val="en-AU"/>
        </w:rPr>
      </w:pPr>
    </w:p>
    <w:p w:rsidR="00594AE0" w:rsidRDefault="00E149BF" w:rsidP="007E4B5E">
      <w:pPr>
        <w:tabs>
          <w:tab w:val="left" w:pos="426"/>
          <w:tab w:val="right" w:pos="8931"/>
        </w:tabs>
        <w:spacing w:after="0" w:line="288" w:lineRule="auto"/>
        <w:ind w:firstLine="426"/>
        <w:jc w:val="both"/>
        <w:rPr>
          <w:lang w:val="en-AU"/>
        </w:rPr>
      </w:pPr>
      <w:r>
        <w:rPr>
          <w:lang w:val="en-AU"/>
        </w:rPr>
        <w:lastRenderedPageBreak/>
        <w:t xml:space="preserve">The </w:t>
      </w:r>
      <w:r w:rsidR="0019419F">
        <w:rPr>
          <w:lang w:val="en-AU"/>
        </w:rPr>
        <w:t xml:space="preserve">use of remittances data as reported in </w:t>
      </w:r>
      <w:r w:rsidR="00963784">
        <w:rPr>
          <w:lang w:val="en-AU"/>
        </w:rPr>
        <w:t xml:space="preserve">IOM (2005) </w:t>
      </w:r>
      <w:r w:rsidR="0019419F">
        <w:rPr>
          <w:lang w:val="en-AU"/>
        </w:rPr>
        <w:t>is a</w:t>
      </w:r>
      <w:r w:rsidR="00D62C64">
        <w:rPr>
          <w:lang w:val="en-AU"/>
        </w:rPr>
        <w:t xml:space="preserve"> </w:t>
      </w:r>
      <w:r w:rsidR="0019419F">
        <w:rPr>
          <w:lang w:val="en-AU"/>
        </w:rPr>
        <w:t xml:space="preserve">compilation of </w:t>
      </w:r>
      <w:r w:rsidR="00D62C64">
        <w:rPr>
          <w:lang w:val="en-AU"/>
        </w:rPr>
        <w:t>the findings</w:t>
      </w:r>
      <w:r w:rsidR="00B47246">
        <w:rPr>
          <w:lang w:val="en-AU"/>
        </w:rPr>
        <w:t xml:space="preserve"> </w:t>
      </w:r>
      <w:r w:rsidR="00D62C64">
        <w:rPr>
          <w:lang w:val="en-AU"/>
        </w:rPr>
        <w:t>of twenty two micro-</w:t>
      </w:r>
      <w:r w:rsidR="00B47246">
        <w:rPr>
          <w:lang w:val="en-AU"/>
        </w:rPr>
        <w:t xml:space="preserve">studies </w:t>
      </w:r>
      <w:r w:rsidR="0019419F">
        <w:rPr>
          <w:lang w:val="en-AU"/>
        </w:rPr>
        <w:t xml:space="preserve">in Bangladesh </w:t>
      </w:r>
      <w:r w:rsidR="00B47246">
        <w:rPr>
          <w:lang w:val="en-AU"/>
        </w:rPr>
        <w:t xml:space="preserve">which </w:t>
      </w:r>
      <w:r>
        <w:rPr>
          <w:lang w:val="en-AU"/>
        </w:rPr>
        <w:t>were</w:t>
      </w:r>
      <w:r w:rsidR="00B47246">
        <w:rPr>
          <w:lang w:val="en-AU"/>
        </w:rPr>
        <w:t xml:space="preserve"> undertaken </w:t>
      </w:r>
      <w:r w:rsidR="00A4630A">
        <w:rPr>
          <w:lang w:val="en-AU"/>
        </w:rPr>
        <w:t xml:space="preserve">between </w:t>
      </w:r>
      <w:r w:rsidR="00512DCD">
        <w:rPr>
          <w:lang w:val="en-AU"/>
        </w:rPr>
        <w:t xml:space="preserve">the years </w:t>
      </w:r>
      <w:r>
        <w:rPr>
          <w:lang w:val="en-AU"/>
        </w:rPr>
        <w:t>1992 – 2004</w:t>
      </w:r>
      <w:r w:rsidR="0019419F">
        <w:rPr>
          <w:lang w:val="en-AU"/>
        </w:rPr>
        <w:t xml:space="preserve">. </w:t>
      </w:r>
      <w:r>
        <w:rPr>
          <w:lang w:val="en-AU"/>
        </w:rPr>
        <w:t xml:space="preserve"> </w:t>
      </w:r>
      <w:r w:rsidR="00512DCD">
        <w:rPr>
          <w:lang w:val="en-AU"/>
        </w:rPr>
        <w:t>T</w:t>
      </w:r>
      <w:r w:rsidR="0019419F">
        <w:rPr>
          <w:lang w:val="en-AU"/>
        </w:rPr>
        <w:t>his</w:t>
      </w:r>
      <w:r w:rsidR="001C47D8">
        <w:rPr>
          <w:lang w:val="en-AU"/>
        </w:rPr>
        <w:t xml:space="preserve"> </w:t>
      </w:r>
      <w:r w:rsidR="00512DCD">
        <w:rPr>
          <w:lang w:val="en-AU"/>
        </w:rPr>
        <w:t xml:space="preserve">is the </w:t>
      </w:r>
      <w:r w:rsidR="001C47D8">
        <w:rPr>
          <w:lang w:val="en-AU"/>
        </w:rPr>
        <w:t xml:space="preserve">period </w:t>
      </w:r>
      <w:r w:rsidR="00512DCD">
        <w:rPr>
          <w:lang w:val="en-AU"/>
        </w:rPr>
        <w:t xml:space="preserve">when </w:t>
      </w:r>
      <w:r w:rsidR="001C47D8">
        <w:rPr>
          <w:lang w:val="en-AU"/>
        </w:rPr>
        <w:t xml:space="preserve">remittances growth have </w:t>
      </w:r>
      <w:r w:rsidR="00512DCD">
        <w:rPr>
          <w:lang w:val="en-AU"/>
        </w:rPr>
        <w:t>stabilised</w:t>
      </w:r>
      <w:r w:rsidR="001C47D8">
        <w:rPr>
          <w:lang w:val="en-AU"/>
        </w:rPr>
        <w:t xml:space="preserve"> and </w:t>
      </w:r>
      <w:r w:rsidR="00512DCD">
        <w:rPr>
          <w:lang w:val="en-AU"/>
        </w:rPr>
        <w:t>become a</w:t>
      </w:r>
      <w:r w:rsidR="001C47D8">
        <w:rPr>
          <w:lang w:val="en-AU"/>
        </w:rPr>
        <w:t xml:space="preserve"> permanent feature </w:t>
      </w:r>
      <w:r w:rsidR="001C47D8" w:rsidRPr="001C47D8">
        <w:rPr>
          <w:lang w:val="en-AU"/>
        </w:rPr>
        <w:t xml:space="preserve">in </w:t>
      </w:r>
      <w:r>
        <w:rPr>
          <w:lang w:val="en-AU"/>
        </w:rPr>
        <w:t>the economy</w:t>
      </w:r>
      <w:r w:rsidR="00512DCD">
        <w:rPr>
          <w:lang w:val="en-AU"/>
        </w:rPr>
        <w:t xml:space="preserve"> (see Figure 2)</w:t>
      </w:r>
      <w:r w:rsidR="001C47D8">
        <w:rPr>
          <w:lang w:val="en-AU"/>
        </w:rPr>
        <w:t>. However, t</w:t>
      </w:r>
      <w:r w:rsidR="00D62C64">
        <w:rPr>
          <w:lang w:val="en-AU"/>
        </w:rPr>
        <w:t>here is dearth of data on remittances utilisation during the early period</w:t>
      </w:r>
      <w:r>
        <w:rPr>
          <w:lang w:val="en-AU"/>
        </w:rPr>
        <w:t>s</w:t>
      </w:r>
      <w:r w:rsidR="00A4630A">
        <w:rPr>
          <w:lang w:val="en-AU"/>
        </w:rPr>
        <w:t xml:space="preserve"> mainly</w:t>
      </w:r>
      <w:r w:rsidR="00D62C64">
        <w:rPr>
          <w:lang w:val="en-AU"/>
        </w:rPr>
        <w:t xml:space="preserve"> from 1976 to 1990. </w:t>
      </w:r>
      <w:r w:rsidR="00A4630A">
        <w:rPr>
          <w:lang w:val="en-AU"/>
        </w:rPr>
        <w:t>Inferring</w:t>
      </w:r>
      <w:r>
        <w:rPr>
          <w:lang w:val="en-AU"/>
        </w:rPr>
        <w:t xml:space="preserve"> from</w:t>
      </w:r>
      <w:r w:rsidR="00AE0CCA">
        <w:rPr>
          <w:lang w:val="en-AU"/>
        </w:rPr>
        <w:t xml:space="preserve"> the </w:t>
      </w:r>
      <w:r>
        <w:rPr>
          <w:lang w:val="en-AU"/>
        </w:rPr>
        <w:t>current</w:t>
      </w:r>
      <w:r w:rsidR="00AE0CCA">
        <w:rPr>
          <w:lang w:val="en-AU"/>
        </w:rPr>
        <w:t xml:space="preserve"> data, it is not difficult to see</w:t>
      </w:r>
      <w:r w:rsidR="001C47D8">
        <w:rPr>
          <w:lang w:val="en-AU"/>
        </w:rPr>
        <w:t xml:space="preserve"> that during the early period</w:t>
      </w:r>
      <w:r>
        <w:rPr>
          <w:lang w:val="en-AU"/>
        </w:rPr>
        <w:t>s</w:t>
      </w:r>
      <w:r w:rsidR="001C47D8">
        <w:rPr>
          <w:lang w:val="en-AU"/>
        </w:rPr>
        <w:t xml:space="preserve"> loan repayment</w:t>
      </w:r>
      <w:r w:rsidR="00AE0CCA">
        <w:rPr>
          <w:lang w:val="en-AU"/>
        </w:rPr>
        <w:t>s</w:t>
      </w:r>
      <w:r w:rsidR="001C47D8">
        <w:rPr>
          <w:lang w:val="en-AU"/>
        </w:rPr>
        <w:t xml:space="preserve"> </w:t>
      </w:r>
      <w:r w:rsidR="00512DCD">
        <w:rPr>
          <w:lang w:val="en-AU"/>
        </w:rPr>
        <w:t xml:space="preserve">portions </w:t>
      </w:r>
      <w:r w:rsidR="001C47D8">
        <w:rPr>
          <w:lang w:val="en-AU"/>
        </w:rPr>
        <w:t xml:space="preserve">out of remittances income </w:t>
      </w:r>
      <w:r>
        <w:rPr>
          <w:lang w:val="en-AU"/>
        </w:rPr>
        <w:t>must have been</w:t>
      </w:r>
      <w:r w:rsidR="001C47D8">
        <w:rPr>
          <w:lang w:val="en-AU"/>
        </w:rPr>
        <w:t xml:space="preserve"> even highe</w:t>
      </w:r>
      <w:r w:rsidR="00AE0CCA">
        <w:rPr>
          <w:lang w:val="en-AU"/>
        </w:rPr>
        <w:t xml:space="preserve">r and savings </w:t>
      </w:r>
      <w:r w:rsidR="00512DCD">
        <w:rPr>
          <w:lang w:val="en-AU"/>
        </w:rPr>
        <w:t>much lesser, virtually</w:t>
      </w:r>
      <w:r w:rsidR="00AE0CCA">
        <w:rPr>
          <w:lang w:val="en-AU"/>
        </w:rPr>
        <w:t xml:space="preserve"> non-existent. </w:t>
      </w:r>
      <w:r w:rsidR="00963784">
        <w:rPr>
          <w:lang w:val="en-AU"/>
        </w:rPr>
        <w:t xml:space="preserve">To conceptualise the </w:t>
      </w:r>
      <w:r>
        <w:rPr>
          <w:lang w:val="en-AU"/>
        </w:rPr>
        <w:t xml:space="preserve">current utilisation </w:t>
      </w:r>
      <w:r w:rsidR="00963784">
        <w:rPr>
          <w:lang w:val="en-AU"/>
        </w:rPr>
        <w:t>data</w:t>
      </w:r>
      <w:r>
        <w:rPr>
          <w:lang w:val="en-AU"/>
        </w:rPr>
        <w:t xml:space="preserve"> and what it could have been </w:t>
      </w:r>
      <w:r w:rsidR="00A4630A">
        <w:rPr>
          <w:lang w:val="en-AU"/>
        </w:rPr>
        <w:t>in early period</w:t>
      </w:r>
      <w:r w:rsidR="00963784">
        <w:rPr>
          <w:lang w:val="en-AU"/>
        </w:rPr>
        <w:t xml:space="preserve">, we </w:t>
      </w:r>
      <w:r>
        <w:rPr>
          <w:lang w:val="en-AU"/>
        </w:rPr>
        <w:t>presents</w:t>
      </w:r>
      <w:r w:rsidR="00E84D83">
        <w:rPr>
          <w:lang w:val="en-AU"/>
        </w:rPr>
        <w:t xml:space="preserve"> </w:t>
      </w:r>
      <w:r w:rsidR="00963784" w:rsidRPr="00963784">
        <w:rPr>
          <w:lang w:val="en-AU"/>
        </w:rPr>
        <w:t xml:space="preserve">a simple model </w:t>
      </w:r>
      <w:r w:rsidR="00E84D83">
        <w:rPr>
          <w:lang w:val="en-AU"/>
        </w:rPr>
        <w:t>to capture the dynamics of remittances, loan repayment and savings</w:t>
      </w:r>
      <w:r>
        <w:rPr>
          <w:lang w:val="en-AU"/>
        </w:rPr>
        <w:t xml:space="preserve"> in Bangladesh as follows:</w:t>
      </w:r>
    </w:p>
    <w:p w:rsidR="00376D10" w:rsidRDefault="00376D10" w:rsidP="007E4B5E">
      <w:pPr>
        <w:tabs>
          <w:tab w:val="left" w:pos="426"/>
          <w:tab w:val="right" w:pos="8931"/>
        </w:tabs>
        <w:spacing w:after="0" w:line="288" w:lineRule="auto"/>
        <w:ind w:firstLine="720"/>
        <w:jc w:val="both"/>
        <w:rPr>
          <w:lang w:val="en-AU"/>
        </w:rPr>
      </w:pPr>
    </w:p>
    <w:p w:rsidR="00963784" w:rsidRDefault="00963784" w:rsidP="007E4B5E">
      <w:pPr>
        <w:tabs>
          <w:tab w:val="left" w:pos="426"/>
          <w:tab w:val="right" w:pos="8931"/>
        </w:tabs>
        <w:spacing w:after="0" w:line="288" w:lineRule="auto"/>
        <w:ind w:firstLine="426"/>
        <w:jc w:val="both"/>
        <w:rPr>
          <w:lang w:val="en-AU"/>
        </w:rPr>
      </w:pPr>
      <w:r>
        <w:rPr>
          <w:lang w:val="en-AU"/>
        </w:rPr>
        <w:t>Let remittances be represented by the following equation:</w:t>
      </w:r>
    </w:p>
    <w:p w:rsidR="00376D10" w:rsidRDefault="00376D10" w:rsidP="007E4B5E">
      <w:pPr>
        <w:tabs>
          <w:tab w:val="left" w:pos="426"/>
          <w:tab w:val="right" w:pos="8931"/>
        </w:tabs>
        <w:spacing w:after="0" w:line="288" w:lineRule="auto"/>
        <w:ind w:firstLine="720"/>
        <w:jc w:val="both"/>
        <w:rPr>
          <w:lang w:val="en-AU"/>
        </w:rPr>
      </w:pPr>
    </w:p>
    <w:p w:rsidR="00963784" w:rsidRPr="00B2738D" w:rsidRDefault="00963784" w:rsidP="007E4B5E">
      <w:pPr>
        <w:tabs>
          <w:tab w:val="left" w:pos="426"/>
          <w:tab w:val="right" w:pos="8931"/>
        </w:tabs>
        <w:spacing w:after="0" w:line="288" w:lineRule="auto"/>
        <w:ind w:firstLine="720"/>
        <w:jc w:val="both"/>
        <w:rPr>
          <w:sz w:val="22"/>
          <w:lang w:val="en-AU"/>
        </w:rPr>
      </w:pPr>
      <w:r w:rsidRPr="00963784">
        <w:rPr>
          <w:position w:val="-6"/>
          <w:lang w:val="en-AU"/>
        </w:rPr>
        <w:object w:dxaOrig="1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25pt;height:14.2pt" o:ole="">
            <v:imagedata r:id="rId11" o:title=""/>
          </v:shape>
          <o:OLEObject Type="Embed" ProgID="Equation.3" ShapeID="_x0000_i1026" DrawAspect="Content" ObjectID="_1445969164" r:id="rId12"/>
        </w:object>
      </w:r>
      <w:r>
        <w:rPr>
          <w:lang w:val="en-AU"/>
        </w:rPr>
        <w:t xml:space="preserve"> </w:t>
      </w:r>
      <w:r w:rsidR="00E149BF">
        <w:rPr>
          <w:lang w:val="en-AU"/>
        </w:rPr>
        <w:tab/>
      </w:r>
      <w:r w:rsidRPr="00B2738D">
        <w:rPr>
          <w:sz w:val="22"/>
          <w:lang w:val="en-AU"/>
        </w:rPr>
        <w:t>(1)</w:t>
      </w:r>
    </w:p>
    <w:p w:rsidR="00B2738D" w:rsidRDefault="00B2738D" w:rsidP="007E4B5E">
      <w:pPr>
        <w:tabs>
          <w:tab w:val="left" w:pos="426"/>
          <w:tab w:val="right" w:pos="8931"/>
        </w:tabs>
        <w:spacing w:after="0" w:line="288" w:lineRule="auto"/>
        <w:ind w:firstLine="426"/>
        <w:jc w:val="both"/>
        <w:rPr>
          <w:lang w:val="en-AU"/>
        </w:rPr>
      </w:pPr>
    </w:p>
    <w:p w:rsidR="00963784" w:rsidRDefault="006C625D" w:rsidP="007E4B5E">
      <w:pPr>
        <w:tabs>
          <w:tab w:val="left" w:pos="426"/>
          <w:tab w:val="right" w:pos="8931"/>
        </w:tabs>
        <w:spacing w:after="0" w:line="288" w:lineRule="auto"/>
        <w:jc w:val="both"/>
        <w:rPr>
          <w:lang w:val="en-AU"/>
        </w:rPr>
      </w:pPr>
      <w:r>
        <w:rPr>
          <w:lang w:val="en-AU"/>
        </w:rPr>
        <w:t>w</w:t>
      </w:r>
      <w:r w:rsidR="00963784">
        <w:rPr>
          <w:lang w:val="en-AU"/>
        </w:rPr>
        <w:t>here remittances income (</w:t>
      </w:r>
      <w:r w:rsidR="00963784" w:rsidRPr="00963784">
        <w:rPr>
          <w:i/>
          <w:iCs/>
          <w:lang w:val="en-AU"/>
        </w:rPr>
        <w:t>R</w:t>
      </w:r>
      <w:r w:rsidR="00963784">
        <w:rPr>
          <w:lang w:val="en-AU"/>
        </w:rPr>
        <w:t>) is used up for the purpose of consumption (</w:t>
      </w:r>
      <w:r w:rsidR="00963784" w:rsidRPr="00963784">
        <w:rPr>
          <w:i/>
          <w:iCs/>
          <w:lang w:val="en-AU"/>
        </w:rPr>
        <w:t>C</w:t>
      </w:r>
      <w:r w:rsidR="00963784">
        <w:rPr>
          <w:lang w:val="en-AU"/>
        </w:rPr>
        <w:t>), loan repayment (</w:t>
      </w:r>
      <w:r w:rsidR="00963784" w:rsidRPr="00963784">
        <w:rPr>
          <w:i/>
          <w:iCs/>
          <w:lang w:val="en-AU"/>
        </w:rPr>
        <w:t>L</w:t>
      </w:r>
      <w:r w:rsidR="00963784">
        <w:rPr>
          <w:lang w:val="en-AU"/>
        </w:rPr>
        <w:t>) and savings (</w:t>
      </w:r>
      <w:r w:rsidR="00963784" w:rsidRPr="003A23EE">
        <w:rPr>
          <w:i/>
          <w:iCs/>
          <w:lang w:val="en-AU"/>
        </w:rPr>
        <w:t>S</w:t>
      </w:r>
      <w:r w:rsidR="003A23EE">
        <w:rPr>
          <w:lang w:val="en-AU"/>
        </w:rPr>
        <w:t>). Savings are what is left after consumption</w:t>
      </w:r>
      <w:r w:rsidR="009D76C6">
        <w:rPr>
          <w:lang w:val="en-AU"/>
        </w:rPr>
        <w:t xml:space="preserve"> and loan payment. Hence, from </w:t>
      </w:r>
      <w:r w:rsidR="003A23EE">
        <w:rPr>
          <w:lang w:val="en-AU"/>
        </w:rPr>
        <w:t>(1) savings equation can be written as follows:</w:t>
      </w:r>
    </w:p>
    <w:p w:rsidR="00376D10" w:rsidRDefault="00376D10" w:rsidP="007E4B5E">
      <w:pPr>
        <w:tabs>
          <w:tab w:val="left" w:pos="426"/>
          <w:tab w:val="right" w:pos="8931"/>
        </w:tabs>
        <w:spacing w:after="0" w:line="288" w:lineRule="auto"/>
        <w:ind w:firstLine="720"/>
        <w:jc w:val="both"/>
        <w:rPr>
          <w:lang w:val="en-AU"/>
        </w:rPr>
      </w:pPr>
    </w:p>
    <w:p w:rsidR="003A23EE" w:rsidRDefault="003A23EE" w:rsidP="007E4B5E">
      <w:pPr>
        <w:tabs>
          <w:tab w:val="left" w:pos="426"/>
          <w:tab w:val="right" w:pos="8931"/>
        </w:tabs>
        <w:spacing w:after="0" w:line="288" w:lineRule="auto"/>
        <w:jc w:val="both"/>
        <w:rPr>
          <w:lang w:val="en-AU"/>
        </w:rPr>
      </w:pPr>
      <w:r>
        <w:rPr>
          <w:lang w:val="en-AU"/>
        </w:rPr>
        <w:tab/>
      </w:r>
      <w:r w:rsidRPr="003A23EE">
        <w:rPr>
          <w:position w:val="-6"/>
          <w:lang w:val="en-AU"/>
        </w:rPr>
        <w:object w:dxaOrig="1359" w:dyaOrig="279">
          <v:shape id="_x0000_i1027" type="#_x0000_t75" style="width:67.1pt;height:14.2pt" o:ole="">
            <v:imagedata r:id="rId13" o:title=""/>
          </v:shape>
          <o:OLEObject Type="Embed" ProgID="Equation.3" ShapeID="_x0000_i1027" DrawAspect="Content" ObjectID="_1445969165" r:id="rId14"/>
        </w:object>
      </w:r>
      <w:r w:rsidR="00ED3043">
        <w:rPr>
          <w:lang w:val="en-AU"/>
        </w:rPr>
        <w:tab/>
      </w:r>
      <w:r w:rsidRPr="00B2738D">
        <w:rPr>
          <w:sz w:val="22"/>
          <w:lang w:val="en-AU"/>
        </w:rPr>
        <w:t>(2)</w:t>
      </w:r>
    </w:p>
    <w:p w:rsidR="00376D10" w:rsidRDefault="00376D10" w:rsidP="007E4B5E">
      <w:pPr>
        <w:tabs>
          <w:tab w:val="left" w:pos="426"/>
          <w:tab w:val="right" w:pos="8931"/>
        </w:tabs>
        <w:spacing w:after="0" w:line="288" w:lineRule="auto"/>
        <w:jc w:val="both"/>
        <w:rPr>
          <w:lang w:val="en-AU"/>
        </w:rPr>
      </w:pPr>
    </w:p>
    <w:p w:rsidR="003A23EE" w:rsidRDefault="003A23EE" w:rsidP="007E4B5E">
      <w:pPr>
        <w:tabs>
          <w:tab w:val="left" w:pos="426"/>
          <w:tab w:val="right" w:pos="8931"/>
        </w:tabs>
        <w:spacing w:after="0" w:line="288" w:lineRule="auto"/>
        <w:jc w:val="both"/>
        <w:rPr>
          <w:lang w:val="en-AU"/>
        </w:rPr>
      </w:pPr>
      <w:r>
        <w:rPr>
          <w:lang w:val="en-AU"/>
        </w:rPr>
        <w:tab/>
        <w:t xml:space="preserve">Assuming a fraction </w:t>
      </w:r>
      <w:r w:rsidRPr="003A23EE">
        <w:rPr>
          <w:i/>
          <w:iCs/>
          <w:lang w:val="en-AU"/>
        </w:rPr>
        <w:t>c</w:t>
      </w:r>
      <w:r>
        <w:rPr>
          <w:lang w:val="en-AU"/>
        </w:rPr>
        <w:t xml:space="preserve"> of Remittances is consumed where 0 &lt; </w:t>
      </w:r>
      <w:r w:rsidRPr="003A23EE">
        <w:rPr>
          <w:i/>
          <w:iCs/>
          <w:lang w:val="en-AU"/>
        </w:rPr>
        <w:t>c</w:t>
      </w:r>
      <w:r w:rsidR="003B6F05">
        <w:rPr>
          <w:lang w:val="en-AU"/>
        </w:rPr>
        <w:t xml:space="preserve"> &lt;1, we rewrite savings Eq</w:t>
      </w:r>
      <w:r>
        <w:rPr>
          <w:lang w:val="en-AU"/>
        </w:rPr>
        <w:t>. (2) in the following way:</w:t>
      </w:r>
    </w:p>
    <w:p w:rsidR="00376D10" w:rsidRDefault="00376D10" w:rsidP="007E4B5E">
      <w:pPr>
        <w:tabs>
          <w:tab w:val="left" w:pos="426"/>
          <w:tab w:val="right" w:pos="8931"/>
        </w:tabs>
        <w:spacing w:after="0" w:line="288" w:lineRule="auto"/>
        <w:jc w:val="both"/>
        <w:rPr>
          <w:lang w:val="en-AU"/>
        </w:rPr>
      </w:pPr>
    </w:p>
    <w:p w:rsidR="003A23EE" w:rsidRDefault="003A23EE" w:rsidP="007E4B5E">
      <w:pPr>
        <w:tabs>
          <w:tab w:val="left" w:pos="426"/>
          <w:tab w:val="right" w:pos="8931"/>
        </w:tabs>
        <w:spacing w:after="0" w:line="288" w:lineRule="auto"/>
        <w:jc w:val="both"/>
        <w:rPr>
          <w:lang w:val="en-AU"/>
        </w:rPr>
      </w:pPr>
      <w:r>
        <w:rPr>
          <w:lang w:val="en-AU"/>
        </w:rPr>
        <w:tab/>
      </w:r>
      <w:r w:rsidR="0025203C" w:rsidRPr="0025203C">
        <w:rPr>
          <w:position w:val="-10"/>
          <w:lang w:val="en-AU"/>
        </w:rPr>
        <w:object w:dxaOrig="1100" w:dyaOrig="320">
          <v:shape id="_x0000_i1028" type="#_x0000_t75" style="width:56.2pt;height:15.8pt" o:ole="">
            <v:imagedata r:id="rId15" o:title=""/>
          </v:shape>
          <o:OLEObject Type="Embed" ProgID="Equation.3" ShapeID="_x0000_i1028" DrawAspect="Content" ObjectID="_1445969166" r:id="rId16"/>
        </w:object>
      </w:r>
      <w:r w:rsidR="00ED3043">
        <w:rPr>
          <w:lang w:val="en-AU"/>
        </w:rPr>
        <w:tab/>
      </w:r>
      <w:r w:rsidRPr="00ED3043">
        <w:rPr>
          <w:sz w:val="22"/>
          <w:lang w:val="en-AU"/>
        </w:rPr>
        <w:t>(3)</w:t>
      </w:r>
    </w:p>
    <w:p w:rsidR="00376D10" w:rsidRDefault="00376D10" w:rsidP="007E4B5E">
      <w:pPr>
        <w:tabs>
          <w:tab w:val="left" w:pos="426"/>
          <w:tab w:val="right" w:pos="8931"/>
        </w:tabs>
        <w:spacing w:after="0" w:line="288" w:lineRule="auto"/>
        <w:jc w:val="both"/>
        <w:rPr>
          <w:lang w:val="en-AU"/>
        </w:rPr>
      </w:pPr>
    </w:p>
    <w:p w:rsidR="0025203C" w:rsidRDefault="00B2738D" w:rsidP="007E4B5E">
      <w:pPr>
        <w:tabs>
          <w:tab w:val="right" w:pos="8931"/>
        </w:tabs>
        <w:spacing w:after="0" w:line="288" w:lineRule="auto"/>
        <w:jc w:val="both"/>
        <w:rPr>
          <w:lang w:val="en-AU"/>
        </w:rPr>
      </w:pPr>
      <w:proofErr w:type="gramStart"/>
      <w:r>
        <w:rPr>
          <w:lang w:val="en-AU"/>
        </w:rPr>
        <w:t>w</w:t>
      </w:r>
      <w:r w:rsidR="009D76C6">
        <w:rPr>
          <w:lang w:val="en-AU"/>
        </w:rPr>
        <w:t>here</w:t>
      </w:r>
      <w:proofErr w:type="gramEnd"/>
      <w:r w:rsidR="009D76C6">
        <w:rPr>
          <w:lang w:val="en-AU"/>
        </w:rPr>
        <w:t xml:space="preserve"> </w:t>
      </w:r>
      <w:r w:rsidR="0025203C" w:rsidRPr="0025203C">
        <w:rPr>
          <w:i/>
          <w:iCs/>
          <w:position w:val="-10"/>
          <w:lang w:val="en-AU"/>
        </w:rPr>
        <w:object w:dxaOrig="220" w:dyaOrig="260">
          <v:shape id="_x0000_i1029" type="#_x0000_t75" style="width:9.8pt;height:14.2pt" o:ole="">
            <v:imagedata r:id="rId17" o:title=""/>
          </v:shape>
          <o:OLEObject Type="Embed" ProgID="Equation.3" ShapeID="_x0000_i1029" DrawAspect="Content" ObjectID="_1445969167" r:id="rId18"/>
        </w:object>
      </w:r>
      <w:r w:rsidR="009D76C6">
        <w:rPr>
          <w:lang w:val="en-AU"/>
        </w:rPr>
        <w:t xml:space="preserve">= (1– </w:t>
      </w:r>
      <w:r w:rsidR="009D76C6" w:rsidRPr="009D76C6">
        <w:rPr>
          <w:i/>
          <w:iCs/>
          <w:lang w:val="en-AU"/>
        </w:rPr>
        <w:t>c</w:t>
      </w:r>
      <w:r w:rsidR="009D76C6">
        <w:rPr>
          <w:lang w:val="en-AU"/>
        </w:rPr>
        <w:t xml:space="preserve">) represent the marginal propensity to save out of remittances income and is also </w:t>
      </w:r>
      <w:r w:rsidR="009D76C6" w:rsidRPr="009D76C6">
        <w:rPr>
          <w:lang w:val="en-AU"/>
        </w:rPr>
        <w:t xml:space="preserve">0 &lt; </w:t>
      </w:r>
      <w:r w:rsidR="0025203C" w:rsidRPr="0025203C">
        <w:rPr>
          <w:i/>
          <w:iCs/>
          <w:position w:val="-10"/>
          <w:lang w:val="en-AU"/>
        </w:rPr>
        <w:object w:dxaOrig="220" w:dyaOrig="260">
          <v:shape id="_x0000_i1030" type="#_x0000_t75" style="width:9.8pt;height:14.2pt" o:ole="">
            <v:imagedata r:id="rId17" o:title=""/>
          </v:shape>
          <o:OLEObject Type="Embed" ProgID="Equation.3" ShapeID="_x0000_i1030" DrawAspect="Content" ObjectID="_1445969168" r:id="rId19"/>
        </w:object>
      </w:r>
      <w:r w:rsidR="009D76C6" w:rsidRPr="009D76C6">
        <w:rPr>
          <w:lang w:val="en-AU"/>
        </w:rPr>
        <w:t xml:space="preserve"> &lt;1</w:t>
      </w:r>
      <w:r w:rsidR="009D76C6">
        <w:rPr>
          <w:lang w:val="en-AU"/>
        </w:rPr>
        <w:t xml:space="preserve">. Our purpose is to </w:t>
      </w:r>
      <w:r w:rsidR="0025203C">
        <w:rPr>
          <w:lang w:val="en-AU"/>
        </w:rPr>
        <w:t xml:space="preserve">show how </w:t>
      </w:r>
      <w:r w:rsidR="009D76C6">
        <w:rPr>
          <w:lang w:val="en-AU"/>
        </w:rPr>
        <w:t xml:space="preserve">the dynamics of savings </w:t>
      </w:r>
      <w:r w:rsidR="0025203C">
        <w:rPr>
          <w:lang w:val="en-AU"/>
        </w:rPr>
        <w:t xml:space="preserve">out of remittances income </w:t>
      </w:r>
      <w:r w:rsidR="009D76C6">
        <w:rPr>
          <w:lang w:val="en-AU"/>
        </w:rPr>
        <w:t>(</w:t>
      </w:r>
      <w:r w:rsidR="009D76C6" w:rsidRPr="009D76C6">
        <w:rPr>
          <w:i/>
          <w:iCs/>
          <w:lang w:val="en-AU"/>
        </w:rPr>
        <w:t>S</w:t>
      </w:r>
      <w:r w:rsidR="009D76C6">
        <w:rPr>
          <w:lang w:val="en-AU"/>
        </w:rPr>
        <w:t xml:space="preserve">) </w:t>
      </w:r>
      <w:r w:rsidR="0025203C">
        <w:rPr>
          <w:lang w:val="en-AU"/>
        </w:rPr>
        <w:t xml:space="preserve">evolve </w:t>
      </w:r>
      <w:r w:rsidR="009D76C6">
        <w:rPr>
          <w:lang w:val="en-AU"/>
        </w:rPr>
        <w:t xml:space="preserve">in this simple model. </w:t>
      </w:r>
    </w:p>
    <w:p w:rsidR="00376D10" w:rsidRDefault="00376D10" w:rsidP="007E4B5E">
      <w:pPr>
        <w:tabs>
          <w:tab w:val="left" w:pos="426"/>
          <w:tab w:val="right" w:pos="8931"/>
        </w:tabs>
        <w:spacing w:after="0" w:line="288" w:lineRule="auto"/>
        <w:jc w:val="both"/>
        <w:rPr>
          <w:lang w:val="en-AU"/>
        </w:rPr>
      </w:pPr>
    </w:p>
    <w:p w:rsidR="009D76C6" w:rsidRDefault="00E149BF" w:rsidP="007E4B5E">
      <w:pPr>
        <w:tabs>
          <w:tab w:val="left" w:pos="426"/>
          <w:tab w:val="right" w:pos="8931"/>
        </w:tabs>
        <w:spacing w:after="0" w:line="288" w:lineRule="auto"/>
        <w:ind w:firstLine="426"/>
        <w:jc w:val="both"/>
        <w:rPr>
          <w:lang w:val="en-AU"/>
        </w:rPr>
      </w:pPr>
      <w:r>
        <w:rPr>
          <w:lang w:val="en-AU"/>
        </w:rPr>
        <w:t>For simplicity</w:t>
      </w:r>
      <w:r w:rsidR="00697B8E">
        <w:rPr>
          <w:lang w:val="en-AU"/>
        </w:rPr>
        <w:t>,</w:t>
      </w:r>
      <w:r w:rsidR="009D76C6" w:rsidRPr="009D76C6">
        <w:rPr>
          <w:lang w:val="en-AU"/>
        </w:rPr>
        <w:t xml:space="preserve"> assume that </w:t>
      </w:r>
      <w:r w:rsidR="009D76C6">
        <w:rPr>
          <w:lang w:val="en-AU"/>
        </w:rPr>
        <w:t xml:space="preserve">remittances </w:t>
      </w:r>
      <w:r w:rsidR="009D76C6" w:rsidRPr="009D76C6">
        <w:rPr>
          <w:lang w:val="en-AU"/>
        </w:rPr>
        <w:t xml:space="preserve">can </w:t>
      </w:r>
      <w:r>
        <w:rPr>
          <w:lang w:val="en-AU"/>
        </w:rPr>
        <w:t xml:space="preserve">be </w:t>
      </w:r>
      <w:r w:rsidR="009D76C6" w:rsidRPr="009D76C6">
        <w:rPr>
          <w:lang w:val="en-AU"/>
        </w:rPr>
        <w:t xml:space="preserve">modelled by </w:t>
      </w:r>
      <w:r w:rsidR="009D76C6">
        <w:rPr>
          <w:lang w:val="en-AU"/>
        </w:rPr>
        <w:t>an isoelastic function as follows:</w:t>
      </w:r>
    </w:p>
    <w:p w:rsidR="00376D10" w:rsidRDefault="00376D10" w:rsidP="007E4B5E">
      <w:pPr>
        <w:tabs>
          <w:tab w:val="left" w:pos="426"/>
          <w:tab w:val="right" w:pos="8931"/>
        </w:tabs>
        <w:spacing w:after="0" w:line="288" w:lineRule="auto"/>
        <w:ind w:firstLine="720"/>
        <w:jc w:val="both"/>
        <w:rPr>
          <w:lang w:val="en-AU"/>
        </w:rPr>
      </w:pPr>
    </w:p>
    <w:p w:rsidR="009D76C6" w:rsidRDefault="00E13166" w:rsidP="007E4B5E">
      <w:pPr>
        <w:tabs>
          <w:tab w:val="left" w:pos="426"/>
          <w:tab w:val="right" w:pos="8931"/>
        </w:tabs>
        <w:spacing w:after="0" w:line="288" w:lineRule="auto"/>
        <w:ind w:firstLine="720"/>
        <w:jc w:val="both"/>
        <w:rPr>
          <w:lang w:val="en-AU"/>
        </w:rPr>
      </w:pPr>
      <w:r w:rsidRPr="009D76C6">
        <w:rPr>
          <w:position w:val="-4"/>
          <w:lang w:val="en-AU"/>
        </w:rPr>
        <w:object w:dxaOrig="740" w:dyaOrig="300">
          <v:shape id="_x0000_i1031" type="#_x0000_t75" style="width:38.2pt;height:15.8pt" o:ole="">
            <v:imagedata r:id="rId20" o:title=""/>
          </v:shape>
          <o:OLEObject Type="Embed" ProgID="Equation.3" ShapeID="_x0000_i1031" DrawAspect="Content" ObjectID="_1445969169" r:id="rId21"/>
        </w:object>
      </w:r>
      <w:r w:rsidR="00ED3043">
        <w:rPr>
          <w:lang w:val="en-AU"/>
        </w:rPr>
        <w:tab/>
      </w:r>
      <w:r w:rsidR="009D76C6" w:rsidRPr="00ED3043">
        <w:rPr>
          <w:sz w:val="22"/>
          <w:lang w:val="en-AU"/>
        </w:rPr>
        <w:t>(4)</w:t>
      </w:r>
    </w:p>
    <w:p w:rsidR="00376D10" w:rsidRDefault="00376D10" w:rsidP="007E4B5E">
      <w:pPr>
        <w:tabs>
          <w:tab w:val="left" w:pos="426"/>
          <w:tab w:val="right" w:pos="8931"/>
        </w:tabs>
        <w:spacing w:after="0" w:line="288" w:lineRule="auto"/>
        <w:ind w:firstLine="720"/>
        <w:jc w:val="both"/>
        <w:rPr>
          <w:lang w:val="en-AU"/>
        </w:rPr>
      </w:pPr>
    </w:p>
    <w:p w:rsidR="009D76C6" w:rsidRDefault="00141D4F" w:rsidP="007E4B5E">
      <w:pPr>
        <w:tabs>
          <w:tab w:val="right" w:pos="8931"/>
        </w:tabs>
        <w:spacing w:after="0" w:line="288" w:lineRule="auto"/>
        <w:jc w:val="both"/>
        <w:rPr>
          <w:lang w:val="en-AU"/>
        </w:rPr>
      </w:pPr>
      <w:r>
        <w:rPr>
          <w:lang w:val="en-AU"/>
        </w:rPr>
        <w:t xml:space="preserve">We assume </w:t>
      </w:r>
      <w:r w:rsidRPr="00141D4F">
        <w:rPr>
          <w:position w:val="-6"/>
          <w:lang w:val="en-AU"/>
        </w:rPr>
        <w:object w:dxaOrig="240" w:dyaOrig="220">
          <v:shape id="_x0000_i1032" type="#_x0000_t75" style="width:12pt;height:9.8pt" o:ole="">
            <v:imagedata r:id="rId22" o:title=""/>
          </v:shape>
          <o:OLEObject Type="Embed" ProgID="Equation.3" ShapeID="_x0000_i1032" DrawAspect="Content" ObjectID="_1445969170" r:id="rId23"/>
        </w:object>
      </w:r>
      <w:r>
        <w:rPr>
          <w:lang w:val="en-AU"/>
        </w:rPr>
        <w:t xml:space="preserve">&gt; 1, </w:t>
      </w:r>
      <w:r w:rsidRPr="00141D4F">
        <w:rPr>
          <w:lang w:val="en-AU"/>
        </w:rPr>
        <w:t xml:space="preserve">giving </w:t>
      </w:r>
      <w:r>
        <w:rPr>
          <w:lang w:val="en-AU"/>
        </w:rPr>
        <w:t xml:space="preserve">the </w:t>
      </w:r>
      <w:r w:rsidRPr="00141D4F">
        <w:rPr>
          <w:i/>
          <w:iCs/>
          <w:lang w:val="en-AU"/>
        </w:rPr>
        <w:t>R</w:t>
      </w:r>
      <w:r>
        <w:rPr>
          <w:lang w:val="en-AU"/>
        </w:rPr>
        <w:t xml:space="preserve"> function</w:t>
      </w:r>
      <w:r w:rsidRPr="00141D4F">
        <w:rPr>
          <w:lang w:val="en-AU"/>
        </w:rPr>
        <w:t xml:space="preserve"> a similar look as </w:t>
      </w:r>
      <w:r>
        <w:rPr>
          <w:lang w:val="en-AU"/>
        </w:rPr>
        <w:t xml:space="preserve">the remittances data </w:t>
      </w:r>
      <w:r w:rsidRPr="00141D4F">
        <w:rPr>
          <w:lang w:val="en-AU"/>
        </w:rPr>
        <w:t>in Figure 1</w:t>
      </w:r>
      <w:r>
        <w:rPr>
          <w:lang w:val="en-AU"/>
        </w:rPr>
        <w:t xml:space="preserve">. </w:t>
      </w:r>
      <w:r w:rsidR="00E13166">
        <w:rPr>
          <w:lang w:val="en-AU"/>
        </w:rPr>
        <w:t xml:space="preserve">We further assume that the loan amount </w:t>
      </w:r>
      <w:r w:rsidR="00E13166" w:rsidRPr="00E13166">
        <w:rPr>
          <w:i/>
          <w:iCs/>
          <w:lang w:val="en-AU"/>
        </w:rPr>
        <w:t>L</w:t>
      </w:r>
      <w:r w:rsidR="00E13166">
        <w:rPr>
          <w:lang w:val="en-AU"/>
        </w:rPr>
        <w:t xml:space="preserve"> is fixed so that it can </w:t>
      </w:r>
      <w:r w:rsidR="00494410">
        <w:rPr>
          <w:lang w:val="en-AU"/>
        </w:rPr>
        <w:t>normalise</w:t>
      </w:r>
      <w:r w:rsidR="00E13166">
        <w:rPr>
          <w:lang w:val="en-AU"/>
        </w:rPr>
        <w:t xml:space="preserve"> at 1, and also </w:t>
      </w:r>
      <w:r w:rsidR="00494410">
        <w:rPr>
          <w:lang w:val="en-AU"/>
        </w:rPr>
        <w:t xml:space="preserve">assume </w:t>
      </w:r>
      <w:r w:rsidR="00E13166">
        <w:rPr>
          <w:lang w:val="en-AU"/>
        </w:rPr>
        <w:t xml:space="preserve">that a fixed proportion </w:t>
      </w:r>
      <w:r w:rsidR="00E13166" w:rsidRPr="00E13166">
        <w:rPr>
          <w:position w:val="-24"/>
          <w:lang w:val="en-AU"/>
        </w:rPr>
        <w:object w:dxaOrig="440" w:dyaOrig="620">
          <v:shape id="_x0000_i1033" type="#_x0000_t75" style="width:21.8pt;height:32.2pt" o:ole="">
            <v:imagedata r:id="rId24" o:title=""/>
          </v:shape>
          <o:OLEObject Type="Embed" ProgID="Equation.3" ShapeID="_x0000_i1033" DrawAspect="Content" ObjectID="_1445969171" r:id="rId25"/>
        </w:object>
      </w:r>
      <w:r w:rsidR="00E13166">
        <w:rPr>
          <w:lang w:val="en-AU"/>
        </w:rPr>
        <w:t xml:space="preserve"> of loan </w:t>
      </w:r>
      <w:r w:rsidR="00494410">
        <w:rPr>
          <w:lang w:val="en-AU"/>
        </w:rPr>
        <w:t xml:space="preserve">is </w:t>
      </w:r>
      <w:r w:rsidR="00E13166">
        <w:rPr>
          <w:lang w:val="en-AU"/>
        </w:rPr>
        <w:t>being repaid where 0 &lt;</w:t>
      </w:r>
      <w:r w:rsidR="00E13166" w:rsidRPr="00E13166">
        <w:rPr>
          <w:position w:val="-6"/>
          <w:lang w:val="en-AU"/>
        </w:rPr>
        <w:object w:dxaOrig="240" w:dyaOrig="220">
          <v:shape id="_x0000_i1034" type="#_x0000_t75" style="width:12pt;height:9.8pt" o:ole="">
            <v:imagedata r:id="rId26" o:title=""/>
          </v:shape>
          <o:OLEObject Type="Embed" ProgID="Equation.3" ShapeID="_x0000_i1034" DrawAspect="Content" ObjectID="_1445969172" r:id="rId27"/>
        </w:object>
      </w:r>
      <w:r w:rsidR="00494410">
        <w:rPr>
          <w:lang w:val="en-AU"/>
        </w:rPr>
        <w:t xml:space="preserve">&lt;1. </w:t>
      </w:r>
      <w:r w:rsidR="00512DCD">
        <w:rPr>
          <w:lang w:val="en-AU"/>
        </w:rPr>
        <w:t>Using E</w:t>
      </w:r>
      <w:r w:rsidR="00E13166">
        <w:rPr>
          <w:lang w:val="en-AU"/>
        </w:rPr>
        <w:t xml:space="preserve">q. (3) </w:t>
      </w:r>
      <w:r w:rsidR="00512DCD">
        <w:rPr>
          <w:lang w:val="en-AU"/>
        </w:rPr>
        <w:t>and E</w:t>
      </w:r>
      <w:r w:rsidR="00E13166">
        <w:rPr>
          <w:lang w:val="en-AU"/>
        </w:rPr>
        <w:t>q. (4) along with the loan</w:t>
      </w:r>
      <w:r w:rsidR="00494410">
        <w:rPr>
          <w:lang w:val="en-AU"/>
        </w:rPr>
        <w:t xml:space="preserve"> repayment structure we can rewrite the savings equation as follows:</w:t>
      </w:r>
    </w:p>
    <w:p w:rsidR="00494410" w:rsidRDefault="00494410" w:rsidP="007E4B5E">
      <w:pPr>
        <w:tabs>
          <w:tab w:val="left" w:pos="426"/>
          <w:tab w:val="right" w:pos="8931"/>
        </w:tabs>
        <w:spacing w:after="0" w:line="288" w:lineRule="auto"/>
        <w:jc w:val="both"/>
        <w:rPr>
          <w:lang w:val="en-AU"/>
        </w:rPr>
      </w:pPr>
      <w:r>
        <w:rPr>
          <w:lang w:val="en-AU"/>
        </w:rPr>
        <w:lastRenderedPageBreak/>
        <w:tab/>
      </w:r>
      <w:r w:rsidR="00F90949" w:rsidRPr="00494410">
        <w:rPr>
          <w:position w:val="-24"/>
          <w:lang w:val="en-AU"/>
        </w:rPr>
        <w:object w:dxaOrig="1460" w:dyaOrig="620">
          <v:shape id="_x0000_i1035" type="#_x0000_t75" style="width:74.2pt;height:32.2pt" o:ole="">
            <v:imagedata r:id="rId28" o:title=""/>
          </v:shape>
          <o:OLEObject Type="Embed" ProgID="Equation.3" ShapeID="_x0000_i1035" DrawAspect="Content" ObjectID="_1445969173" r:id="rId29"/>
        </w:object>
      </w:r>
      <w:r w:rsidR="00ED3043">
        <w:rPr>
          <w:lang w:val="en-AU"/>
        </w:rPr>
        <w:tab/>
      </w:r>
      <w:r w:rsidRPr="00B2738D">
        <w:rPr>
          <w:sz w:val="22"/>
          <w:lang w:val="en-AU"/>
        </w:rPr>
        <w:t>(5)</w:t>
      </w:r>
    </w:p>
    <w:p w:rsidR="00376D10" w:rsidRDefault="00376D10" w:rsidP="007E4B5E">
      <w:pPr>
        <w:tabs>
          <w:tab w:val="left" w:pos="426"/>
          <w:tab w:val="right" w:pos="8931"/>
        </w:tabs>
        <w:spacing w:after="0" w:line="288" w:lineRule="auto"/>
        <w:jc w:val="both"/>
        <w:rPr>
          <w:lang w:val="en-AU"/>
        </w:rPr>
      </w:pPr>
    </w:p>
    <w:p w:rsidR="00494410" w:rsidRDefault="00494410" w:rsidP="007E4B5E">
      <w:pPr>
        <w:tabs>
          <w:tab w:val="left" w:pos="426"/>
          <w:tab w:val="right" w:pos="8931"/>
        </w:tabs>
        <w:spacing w:after="0" w:line="288" w:lineRule="auto"/>
        <w:jc w:val="both"/>
        <w:rPr>
          <w:lang w:val="en-AU"/>
        </w:rPr>
      </w:pPr>
      <w:r>
        <w:rPr>
          <w:lang w:val="en-AU"/>
        </w:rPr>
        <w:tab/>
        <w:t xml:space="preserve">Eq. (5) gives the evolution of savings </w:t>
      </w:r>
      <w:r w:rsidR="00697B8E">
        <w:rPr>
          <w:lang w:val="en-AU"/>
        </w:rPr>
        <w:t xml:space="preserve">out of remittances </w:t>
      </w:r>
      <w:r>
        <w:rPr>
          <w:lang w:val="en-AU"/>
        </w:rPr>
        <w:t xml:space="preserve">in the economy. It shows that savings out of remittances income depends on remittances receipts as well as on the propensity to save out of remittances </w:t>
      </w:r>
      <w:r w:rsidR="0025203C">
        <w:rPr>
          <w:lang w:val="en-AU"/>
        </w:rPr>
        <w:t xml:space="preserve">income </w:t>
      </w:r>
      <w:r>
        <w:rPr>
          <w:lang w:val="en-AU"/>
        </w:rPr>
        <w:t xml:space="preserve">net of the loan payment. </w:t>
      </w:r>
      <w:r w:rsidR="0025203C">
        <w:rPr>
          <w:lang w:val="en-AU"/>
        </w:rPr>
        <w:t>It is easy to see that range of eq. (5) can vary fr</w:t>
      </w:r>
      <w:r w:rsidR="00F90949">
        <w:rPr>
          <w:lang w:val="en-AU"/>
        </w:rPr>
        <w:t xml:space="preserve">om negative to positive values depending on the value of </w:t>
      </w:r>
      <w:r w:rsidR="00F90949" w:rsidRPr="00F90949">
        <w:rPr>
          <w:i/>
          <w:iCs/>
          <w:lang w:val="en-AU"/>
        </w:rPr>
        <w:t>R</w:t>
      </w:r>
      <w:r w:rsidR="00F90949">
        <w:rPr>
          <w:lang w:val="en-AU"/>
        </w:rPr>
        <w:t xml:space="preserve"> because loan repayment and </w:t>
      </w:r>
      <w:r w:rsidR="00F90949" w:rsidRPr="0025203C">
        <w:rPr>
          <w:i/>
          <w:iCs/>
          <w:position w:val="-10"/>
          <w:lang w:val="en-AU"/>
        </w:rPr>
        <w:object w:dxaOrig="220" w:dyaOrig="260">
          <v:shape id="_x0000_i1036" type="#_x0000_t75" style="width:9.8pt;height:14.2pt" o:ole="">
            <v:imagedata r:id="rId17" o:title=""/>
          </v:shape>
          <o:OLEObject Type="Embed" ProgID="Equation.3" ShapeID="_x0000_i1036" DrawAspect="Content" ObjectID="_1445969174" r:id="rId30"/>
        </w:object>
      </w:r>
      <w:r w:rsidR="00F90949">
        <w:rPr>
          <w:lang w:val="en-AU"/>
        </w:rPr>
        <w:t xml:space="preserve">are fixed. If there is no remittances income, savings is negative but with rising remittances savings out of remittances </w:t>
      </w:r>
      <w:r w:rsidR="00512DCD">
        <w:rPr>
          <w:lang w:val="en-AU"/>
        </w:rPr>
        <w:t xml:space="preserve">income </w:t>
      </w:r>
      <w:r w:rsidR="00F90949">
        <w:rPr>
          <w:lang w:val="en-AU"/>
        </w:rPr>
        <w:t>grad</w:t>
      </w:r>
      <w:r w:rsidR="002028E5">
        <w:rPr>
          <w:lang w:val="en-AU"/>
        </w:rPr>
        <w:t>ually become positive. Solving E</w:t>
      </w:r>
      <w:r w:rsidR="00F90949">
        <w:rPr>
          <w:lang w:val="en-AU"/>
        </w:rPr>
        <w:t xml:space="preserve">q. (5) when </w:t>
      </w:r>
      <w:r w:rsidR="00A43873" w:rsidRPr="00A43873">
        <w:rPr>
          <w:i/>
          <w:iCs/>
          <w:lang w:val="en-AU"/>
        </w:rPr>
        <w:t xml:space="preserve">S </w:t>
      </w:r>
      <w:r w:rsidR="002A5215">
        <w:rPr>
          <w:lang w:val="en-AU"/>
        </w:rPr>
        <w:t>= 0 gives the break</w:t>
      </w:r>
      <w:r w:rsidR="00A43873">
        <w:rPr>
          <w:lang w:val="en-AU"/>
        </w:rPr>
        <w:t>even remittances income when loan is fully repaid, which is equivalent to:</w:t>
      </w:r>
    </w:p>
    <w:p w:rsidR="00376D10" w:rsidRDefault="00376D10" w:rsidP="007E4B5E">
      <w:pPr>
        <w:tabs>
          <w:tab w:val="left" w:pos="426"/>
          <w:tab w:val="right" w:pos="8931"/>
        </w:tabs>
        <w:spacing w:after="0" w:line="288" w:lineRule="auto"/>
        <w:jc w:val="both"/>
        <w:rPr>
          <w:lang w:val="en-AU"/>
        </w:rPr>
      </w:pPr>
    </w:p>
    <w:p w:rsidR="00A43873" w:rsidRPr="00ED3043" w:rsidRDefault="00A43873" w:rsidP="007E4B5E">
      <w:pPr>
        <w:tabs>
          <w:tab w:val="left" w:pos="426"/>
          <w:tab w:val="right" w:pos="8931"/>
        </w:tabs>
        <w:spacing w:after="0" w:line="288" w:lineRule="auto"/>
        <w:jc w:val="both"/>
        <w:rPr>
          <w:sz w:val="22"/>
          <w:lang w:val="en-AU"/>
        </w:rPr>
      </w:pPr>
      <w:r>
        <w:rPr>
          <w:lang w:val="en-AU"/>
        </w:rPr>
        <w:tab/>
      </w:r>
      <w:r w:rsidRPr="00A43873">
        <w:rPr>
          <w:position w:val="-30"/>
          <w:lang w:val="en-AU"/>
        </w:rPr>
        <w:object w:dxaOrig="1600" w:dyaOrig="859">
          <v:shape id="_x0000_i1037" type="#_x0000_t75" style="width:80.2pt;height:43.1pt" o:ole="">
            <v:imagedata r:id="rId31" o:title=""/>
          </v:shape>
          <o:OLEObject Type="Embed" ProgID="Equation.3" ShapeID="_x0000_i1037" DrawAspect="Content" ObjectID="_1445969175" r:id="rId32"/>
        </w:object>
      </w:r>
      <w:r w:rsidR="00ED3043">
        <w:rPr>
          <w:lang w:val="en-AU"/>
        </w:rPr>
        <w:tab/>
      </w:r>
      <w:r w:rsidRPr="00ED3043">
        <w:rPr>
          <w:sz w:val="22"/>
          <w:lang w:val="en-AU"/>
        </w:rPr>
        <w:t>(6)</w:t>
      </w:r>
    </w:p>
    <w:p w:rsidR="00376D10" w:rsidRPr="00F90949" w:rsidRDefault="00376D10" w:rsidP="007E4B5E">
      <w:pPr>
        <w:tabs>
          <w:tab w:val="left" w:pos="426"/>
          <w:tab w:val="right" w:pos="8931"/>
        </w:tabs>
        <w:spacing w:after="0" w:line="288" w:lineRule="auto"/>
        <w:jc w:val="both"/>
        <w:rPr>
          <w:lang w:val="en-AU"/>
        </w:rPr>
      </w:pPr>
    </w:p>
    <w:p w:rsidR="003A23EE" w:rsidRDefault="0066545B" w:rsidP="007E4B5E">
      <w:pPr>
        <w:tabs>
          <w:tab w:val="left" w:pos="426"/>
          <w:tab w:val="right" w:pos="8931"/>
        </w:tabs>
        <w:spacing w:after="0" w:line="288" w:lineRule="auto"/>
        <w:jc w:val="both"/>
        <w:rPr>
          <w:lang w:val="en-AU"/>
        </w:rPr>
      </w:pPr>
      <w:r>
        <w:rPr>
          <w:lang w:val="en-AU"/>
        </w:rPr>
        <w:t xml:space="preserve">From eq. (6) </w:t>
      </w:r>
      <w:r w:rsidR="00A43873">
        <w:rPr>
          <w:lang w:val="en-AU"/>
        </w:rPr>
        <w:t>the fol</w:t>
      </w:r>
      <w:r>
        <w:rPr>
          <w:lang w:val="en-AU"/>
        </w:rPr>
        <w:t>lowing conditions can be derived</w:t>
      </w:r>
      <w:r w:rsidR="00F944A9">
        <w:rPr>
          <w:lang w:val="en-AU"/>
        </w:rPr>
        <w:t>, namely,</w:t>
      </w:r>
      <w:r>
        <w:rPr>
          <w:lang w:val="en-AU"/>
        </w:rPr>
        <w:t xml:space="preserve"> that </w:t>
      </w:r>
      <w:r w:rsidRPr="00A15630">
        <w:rPr>
          <w:i/>
          <w:iCs/>
          <w:lang w:val="en-AU"/>
        </w:rPr>
        <w:t>S</w:t>
      </w:r>
      <w:r>
        <w:rPr>
          <w:lang w:val="en-AU"/>
        </w:rPr>
        <w:t xml:space="preserve"> </w:t>
      </w:r>
      <w:r w:rsidRPr="0066545B">
        <w:rPr>
          <w:position w:val="-4"/>
          <w:lang w:val="en-AU"/>
        </w:rPr>
        <w:object w:dxaOrig="200" w:dyaOrig="240">
          <v:shape id="_x0000_i1038" type="#_x0000_t75" style="width:9.8pt;height:12pt" o:ole="">
            <v:imagedata r:id="rId33" o:title=""/>
          </v:shape>
          <o:OLEObject Type="Embed" ProgID="Equation.3" ShapeID="_x0000_i1038" DrawAspect="Content" ObjectID="_1445969176" r:id="rId34"/>
        </w:object>
      </w:r>
      <w:r w:rsidR="00A43873">
        <w:rPr>
          <w:lang w:val="en-AU"/>
        </w:rPr>
        <w:t xml:space="preserve"> 0 when </w:t>
      </w:r>
      <w:r w:rsidRPr="00A15630">
        <w:rPr>
          <w:i/>
          <w:iCs/>
          <w:lang w:val="en-AU"/>
        </w:rPr>
        <w:t>R</w:t>
      </w:r>
      <w:r>
        <w:rPr>
          <w:lang w:val="en-AU"/>
        </w:rPr>
        <w:t xml:space="preserve"> </w:t>
      </w:r>
      <w:r w:rsidRPr="0066545B">
        <w:rPr>
          <w:position w:val="-4"/>
          <w:lang w:val="en-AU"/>
        </w:rPr>
        <w:object w:dxaOrig="200" w:dyaOrig="240">
          <v:shape id="_x0000_i1039" type="#_x0000_t75" style="width:9.8pt;height:12pt" o:ole="">
            <v:imagedata r:id="rId35" o:title=""/>
          </v:shape>
          <o:OLEObject Type="Embed" ProgID="Equation.3" ShapeID="_x0000_i1039" DrawAspect="Content" ObjectID="_1445969177" r:id="rId36"/>
        </w:object>
      </w:r>
      <w:r>
        <w:rPr>
          <w:lang w:val="en-AU"/>
        </w:rPr>
        <w:t xml:space="preserve"> </w:t>
      </w:r>
      <w:r w:rsidRPr="00A15630">
        <w:rPr>
          <w:i/>
          <w:iCs/>
          <w:lang w:val="en-AU"/>
        </w:rPr>
        <w:t>R</w:t>
      </w:r>
      <w:r>
        <w:rPr>
          <w:lang w:val="en-AU"/>
        </w:rPr>
        <w:t xml:space="preserve">* and </w:t>
      </w:r>
      <w:r w:rsidRPr="0066545B">
        <w:rPr>
          <w:lang w:val="en-AU"/>
        </w:rPr>
        <w:t xml:space="preserve">S </w:t>
      </w:r>
      <w:r>
        <w:rPr>
          <w:lang w:val="en-AU"/>
        </w:rPr>
        <w:t>&lt;</w:t>
      </w:r>
      <w:r w:rsidRPr="0066545B">
        <w:rPr>
          <w:lang w:val="en-AU"/>
        </w:rPr>
        <w:t xml:space="preserve"> 0 when </w:t>
      </w:r>
      <w:r w:rsidRPr="00A15630">
        <w:rPr>
          <w:i/>
          <w:iCs/>
          <w:lang w:val="en-AU"/>
        </w:rPr>
        <w:t>R</w:t>
      </w:r>
      <w:r w:rsidRPr="0066545B">
        <w:rPr>
          <w:lang w:val="en-AU"/>
        </w:rPr>
        <w:t xml:space="preserve"> </w:t>
      </w:r>
      <w:r>
        <w:rPr>
          <w:lang w:val="en-AU"/>
        </w:rPr>
        <w:t>&lt;</w:t>
      </w:r>
      <w:r w:rsidRPr="0066545B">
        <w:rPr>
          <w:lang w:val="en-AU"/>
        </w:rPr>
        <w:t xml:space="preserve"> </w:t>
      </w:r>
      <w:r w:rsidRPr="00A15630">
        <w:rPr>
          <w:i/>
          <w:iCs/>
          <w:lang w:val="en-AU"/>
        </w:rPr>
        <w:t>R</w:t>
      </w:r>
      <w:r w:rsidRPr="0066545B">
        <w:rPr>
          <w:lang w:val="en-AU"/>
        </w:rPr>
        <w:t>*</w:t>
      </w:r>
      <w:r>
        <w:rPr>
          <w:lang w:val="en-AU"/>
        </w:rPr>
        <w:t>.</w:t>
      </w:r>
    </w:p>
    <w:p w:rsidR="00376D10" w:rsidRDefault="00376D10" w:rsidP="007E4B5E">
      <w:pPr>
        <w:tabs>
          <w:tab w:val="left" w:pos="426"/>
          <w:tab w:val="right" w:pos="8931"/>
        </w:tabs>
        <w:spacing w:after="0" w:line="288" w:lineRule="auto"/>
        <w:jc w:val="both"/>
        <w:rPr>
          <w:lang w:val="en-AU"/>
        </w:rPr>
      </w:pPr>
    </w:p>
    <w:p w:rsidR="00A43873" w:rsidRDefault="00A43873" w:rsidP="007E4B5E">
      <w:pPr>
        <w:tabs>
          <w:tab w:val="left" w:pos="426"/>
          <w:tab w:val="right" w:pos="8931"/>
        </w:tabs>
        <w:spacing w:after="0" w:line="288" w:lineRule="auto"/>
        <w:jc w:val="both"/>
        <w:rPr>
          <w:lang w:val="en-AU"/>
        </w:rPr>
      </w:pPr>
      <w:r>
        <w:rPr>
          <w:lang w:val="en-AU"/>
        </w:rPr>
        <w:tab/>
      </w:r>
      <w:r w:rsidR="007D60B8">
        <w:rPr>
          <w:lang w:val="en-AU"/>
        </w:rPr>
        <w:t xml:space="preserve">The implication of this </w:t>
      </w:r>
      <w:r w:rsidR="0066545B">
        <w:rPr>
          <w:lang w:val="en-AU"/>
        </w:rPr>
        <w:t>savings dynamics is</w:t>
      </w:r>
      <w:r w:rsidR="00A15630">
        <w:rPr>
          <w:lang w:val="en-AU"/>
        </w:rPr>
        <w:t xml:space="preserve"> the U-</w:t>
      </w:r>
      <w:r w:rsidR="007D60B8">
        <w:rPr>
          <w:lang w:val="en-AU"/>
        </w:rPr>
        <w:t>shaped hypothesis,</w:t>
      </w:r>
      <w:r w:rsidR="0066545B">
        <w:rPr>
          <w:lang w:val="en-AU"/>
        </w:rPr>
        <w:t xml:space="preserve"> that </w:t>
      </w:r>
      <w:r w:rsidR="007D60B8">
        <w:rPr>
          <w:lang w:val="en-AU"/>
        </w:rPr>
        <w:t>is low level remittances shall be associated with low economic growth and vice versa</w:t>
      </w:r>
      <w:r w:rsidR="00512DCD">
        <w:rPr>
          <w:lang w:val="en-AU"/>
        </w:rPr>
        <w:t>.</w:t>
      </w:r>
      <w:r w:rsidR="007D60B8">
        <w:rPr>
          <w:lang w:val="en-AU"/>
        </w:rPr>
        <w:t xml:space="preserve"> </w:t>
      </w:r>
      <w:r w:rsidR="0066545B" w:rsidRPr="0066545B">
        <w:rPr>
          <w:lang w:val="en-AU"/>
        </w:rPr>
        <w:t xml:space="preserve">According to the Solow (1956) growth model, in the steady state which governs the long-run behaviour, an economy </w:t>
      </w:r>
      <w:r w:rsidR="00697B8E">
        <w:rPr>
          <w:lang w:val="en-AU"/>
        </w:rPr>
        <w:t>expands</w:t>
      </w:r>
      <w:r w:rsidR="0066545B" w:rsidRPr="0066545B">
        <w:rPr>
          <w:lang w:val="en-AU"/>
        </w:rPr>
        <w:t xml:space="preserve"> from one steady state level of income,  </w:t>
      </w:r>
      <w:r w:rsidR="0066545B" w:rsidRPr="0066545B">
        <w:rPr>
          <w:i/>
          <w:iCs/>
          <w:lang w:val="en-AU"/>
        </w:rPr>
        <w:object w:dxaOrig="360" w:dyaOrig="300">
          <v:shape id="_x0000_i1040" type="#_x0000_t75" style="width:19.1pt;height:15.8pt" o:ole="">
            <v:imagedata r:id="rId37" o:title=""/>
          </v:shape>
          <o:OLEObject Type="Embed" ProgID="Equation.3" ShapeID="_x0000_i1040" DrawAspect="Content" ObjectID="_1445969178" r:id="rId38"/>
        </w:object>
      </w:r>
      <w:r w:rsidR="0066545B" w:rsidRPr="0066545B">
        <w:rPr>
          <w:lang w:val="en-AU"/>
        </w:rPr>
        <w:t xml:space="preserve"> to another higher steady state level income </w:t>
      </w:r>
      <w:r w:rsidR="0066545B" w:rsidRPr="0066545B">
        <w:rPr>
          <w:i/>
          <w:iCs/>
          <w:lang w:val="en-AU"/>
        </w:rPr>
        <w:object w:dxaOrig="360" w:dyaOrig="300">
          <v:shape id="_x0000_i1041" type="#_x0000_t75" style="width:19.1pt;height:15.8pt" o:ole="">
            <v:imagedata r:id="rId39" o:title=""/>
          </v:shape>
          <o:OLEObject Type="Embed" ProgID="Equation.3" ShapeID="_x0000_i1041" DrawAspect="Content" ObjectID="_1445969179" r:id="rId40"/>
        </w:object>
      </w:r>
      <w:r w:rsidR="0066545B" w:rsidRPr="0066545B">
        <w:rPr>
          <w:lang w:val="en-AU"/>
        </w:rPr>
        <w:t xml:space="preserve">, if the national savings ratio increases and vice versa. Assuming that at the aggregate level, savings out of remittances income by the recipient households constitute a fraction of the national savings ratio, and then during the early stages the contribution of remittances </w:t>
      </w:r>
      <w:r w:rsidR="002A5215">
        <w:rPr>
          <w:lang w:val="en-AU"/>
        </w:rPr>
        <w:t xml:space="preserve">to long-run growth is negative. </w:t>
      </w:r>
      <w:r w:rsidR="0066545B" w:rsidRPr="0066545B">
        <w:rPr>
          <w:lang w:val="en-AU"/>
        </w:rPr>
        <w:t xml:space="preserve">By the same logic, in the later stage the developmental contribution of remittances becomes positive because savings out of remittances income by the recipient household becomes positive and are added to the national pool. </w:t>
      </w:r>
    </w:p>
    <w:p w:rsidR="00C24164" w:rsidRDefault="00C24164" w:rsidP="007E4B5E">
      <w:pPr>
        <w:tabs>
          <w:tab w:val="left" w:pos="426"/>
          <w:tab w:val="right" w:pos="8931"/>
        </w:tabs>
        <w:spacing w:after="0" w:line="288" w:lineRule="auto"/>
        <w:jc w:val="both"/>
        <w:rPr>
          <w:lang w:val="en-AU"/>
        </w:rPr>
      </w:pPr>
    </w:p>
    <w:p w:rsidR="000B0697" w:rsidRDefault="000B0697" w:rsidP="007E4B5E">
      <w:pPr>
        <w:pStyle w:val="ListParagraph"/>
        <w:numPr>
          <w:ilvl w:val="0"/>
          <w:numId w:val="1"/>
        </w:numPr>
        <w:tabs>
          <w:tab w:val="left" w:pos="426"/>
          <w:tab w:val="right" w:pos="8931"/>
        </w:tabs>
        <w:spacing w:after="0" w:line="288" w:lineRule="auto"/>
        <w:ind w:left="0" w:firstLine="0"/>
        <w:jc w:val="both"/>
        <w:rPr>
          <w:b/>
          <w:bCs/>
          <w:lang w:val="en-AU"/>
        </w:rPr>
      </w:pPr>
      <w:r w:rsidRPr="00C24164">
        <w:rPr>
          <w:b/>
          <w:bCs/>
          <w:lang w:val="en-AU"/>
        </w:rPr>
        <w:t>Methodology</w:t>
      </w:r>
    </w:p>
    <w:p w:rsidR="006C625D" w:rsidRPr="006C625D" w:rsidRDefault="006C625D" w:rsidP="007E4B5E">
      <w:pPr>
        <w:pStyle w:val="ListParagraph"/>
        <w:tabs>
          <w:tab w:val="left" w:pos="426"/>
          <w:tab w:val="right" w:pos="8931"/>
        </w:tabs>
        <w:spacing w:after="0" w:line="288" w:lineRule="auto"/>
        <w:ind w:left="0"/>
        <w:jc w:val="both"/>
        <w:rPr>
          <w:b/>
          <w:bCs/>
          <w:sz w:val="12"/>
          <w:szCs w:val="12"/>
          <w:lang w:val="en-AU"/>
        </w:rPr>
      </w:pPr>
    </w:p>
    <w:p w:rsidR="000B0697" w:rsidRDefault="000B0697" w:rsidP="007E4B5E">
      <w:pPr>
        <w:tabs>
          <w:tab w:val="left" w:pos="426"/>
          <w:tab w:val="right" w:pos="8931"/>
        </w:tabs>
        <w:spacing w:after="0" w:line="288" w:lineRule="auto"/>
        <w:jc w:val="both"/>
        <w:rPr>
          <w:lang w:val="en-AU"/>
        </w:rPr>
      </w:pPr>
      <w:r w:rsidRPr="000B0697">
        <w:rPr>
          <w:lang w:val="en-AU"/>
        </w:rPr>
        <w:t xml:space="preserve">The methodology followed in this paper is based on the Solow (1956) growth model and its extension by Mankiw, Romer and Weil (1992, MRW henceforth). The implication of the savings dynamics of remittances outlined in </w:t>
      </w:r>
      <w:r w:rsidR="00F944A9">
        <w:rPr>
          <w:lang w:val="en-AU"/>
        </w:rPr>
        <w:t>S</w:t>
      </w:r>
      <w:r w:rsidRPr="000B0697">
        <w:rPr>
          <w:lang w:val="en-AU"/>
        </w:rPr>
        <w:t xml:space="preserve">ection 2 is that it will have an impact on the economy’s long-run economic growth rate through national savings. According to the Solow (1956) model the long-run output per worker grow at the rate of exogenous technological change which is equivalent to growth rate of total factor productivity (TFP). Senhadji (2000) has particularly demonstrated how Solow’s 1957 growth accounting framework can be used to analyse the determinants of TFP, which is a proxy for the long-run equilibrium growth rate for the Solow model. In order to test U shaped hypothesis, this paper will use the growth </w:t>
      </w:r>
      <w:r w:rsidRPr="000B0697">
        <w:rPr>
          <w:lang w:val="en-AU"/>
        </w:rPr>
        <w:lastRenderedPageBreak/>
        <w:t xml:space="preserve">accounting framework of Senhadji (2000) to analyse the effect of remittances on the long-run growth rate, </w:t>
      </w:r>
      <w:r w:rsidR="00ED3043">
        <w:rPr>
          <w:lang w:val="en-AU"/>
        </w:rPr>
        <w:t>that is,</w:t>
      </w:r>
      <w:r w:rsidRPr="000B0697">
        <w:rPr>
          <w:lang w:val="en-AU"/>
        </w:rPr>
        <w:t xml:space="preserve"> </w:t>
      </w:r>
      <w:r w:rsidR="00344BE8">
        <w:rPr>
          <w:lang w:val="en-AU"/>
        </w:rPr>
        <w:t xml:space="preserve">on </w:t>
      </w:r>
      <w:r w:rsidRPr="000B0697">
        <w:rPr>
          <w:lang w:val="en-AU"/>
        </w:rPr>
        <w:t>TFP of Bangladesh.</w:t>
      </w:r>
    </w:p>
    <w:p w:rsidR="00376D10" w:rsidRPr="000B0697" w:rsidRDefault="00376D10" w:rsidP="007E4B5E">
      <w:pPr>
        <w:tabs>
          <w:tab w:val="left" w:pos="426"/>
          <w:tab w:val="right" w:pos="8931"/>
        </w:tabs>
        <w:spacing w:after="0" w:line="288" w:lineRule="auto"/>
        <w:jc w:val="both"/>
        <w:rPr>
          <w:lang w:val="en-AU"/>
        </w:rPr>
      </w:pPr>
    </w:p>
    <w:p w:rsidR="000B0697" w:rsidRPr="000B0697" w:rsidRDefault="000B0697" w:rsidP="007E4B5E">
      <w:pPr>
        <w:tabs>
          <w:tab w:val="left" w:pos="426"/>
          <w:tab w:val="right" w:pos="8931"/>
        </w:tabs>
        <w:spacing w:after="0" w:line="288" w:lineRule="auto"/>
        <w:ind w:firstLine="720"/>
        <w:jc w:val="both"/>
        <w:rPr>
          <w:lang w:val="en-AU"/>
        </w:rPr>
      </w:pPr>
      <w:r w:rsidRPr="000B0697">
        <w:rPr>
          <w:lang w:val="en-AU"/>
        </w:rPr>
        <w:t>The standard Cobb-Douglas production function with constant returns and Harrod neutral technical progress can be used to explain the main implications of the Solow (1956) model. The following simple but plausible in the long</w:t>
      </w:r>
      <w:r w:rsidR="006C625D">
        <w:rPr>
          <w:lang w:val="en-AU"/>
        </w:rPr>
        <w:t xml:space="preserve"> run assumptions are necessary.  First, t</w:t>
      </w:r>
      <w:r w:rsidRPr="000B0697">
        <w:rPr>
          <w:lang w:val="en-AU"/>
        </w:rPr>
        <w:t>he two inputs, capital and labour are respectively assumed to grow due to positive net investment until the marginal productivity of capital (MPK) equ</w:t>
      </w:r>
      <w:r w:rsidR="006C625D">
        <w:rPr>
          <w:lang w:val="en-AU"/>
        </w:rPr>
        <w:t>als the market rate of interest. Secondly, l</w:t>
      </w:r>
      <w:r w:rsidRPr="000B0697">
        <w:rPr>
          <w:lang w:val="en-AU"/>
        </w:rPr>
        <w:t>abour supply grows at a constant rate due to population growth</w:t>
      </w:r>
      <w:r w:rsidR="006C625D">
        <w:rPr>
          <w:lang w:val="en-AU"/>
        </w:rPr>
        <w:t>. Thirdly, t</w:t>
      </w:r>
      <w:r w:rsidRPr="000B0697">
        <w:rPr>
          <w:lang w:val="en-AU"/>
        </w:rPr>
        <w:t xml:space="preserve">he stock of knowledge also grows at a constant rate, due to the exogenous progress of technology. </w:t>
      </w:r>
    </w:p>
    <w:p w:rsidR="000B0697" w:rsidRDefault="000B0697" w:rsidP="007E4B5E">
      <w:pPr>
        <w:tabs>
          <w:tab w:val="left" w:pos="426"/>
          <w:tab w:val="right" w:pos="8931"/>
        </w:tabs>
        <w:spacing w:after="0" w:line="288" w:lineRule="auto"/>
        <w:rPr>
          <w:lang w:val="en-AU"/>
        </w:rPr>
      </w:pPr>
      <w:r w:rsidRPr="000B0697">
        <w:rPr>
          <w:lang w:val="en-AU"/>
        </w:rPr>
        <w:t>The model, with these assumptions, can be represented as follows.</w:t>
      </w:r>
    </w:p>
    <w:p w:rsidR="00376D10" w:rsidRPr="000B0697" w:rsidRDefault="00376D10" w:rsidP="007E4B5E">
      <w:pPr>
        <w:tabs>
          <w:tab w:val="left" w:pos="426"/>
          <w:tab w:val="right" w:pos="8931"/>
        </w:tabs>
        <w:spacing w:after="0" w:line="288" w:lineRule="auto"/>
        <w:rPr>
          <w:lang w:val="en-AU"/>
        </w:rPr>
      </w:pPr>
    </w:p>
    <w:p w:rsidR="000B0697" w:rsidRDefault="00F944A9" w:rsidP="007E4B5E">
      <w:pPr>
        <w:tabs>
          <w:tab w:val="left" w:pos="426"/>
          <w:tab w:val="right" w:pos="8931"/>
        </w:tabs>
        <w:spacing w:after="0" w:line="288" w:lineRule="auto"/>
        <w:ind w:firstLine="720"/>
        <w:jc w:val="both"/>
        <w:rPr>
          <w:lang w:val="en-AU"/>
        </w:rPr>
      </w:pPr>
      <w:r w:rsidRPr="000B0697">
        <w:rPr>
          <w:lang w:val="en-AU"/>
        </w:rPr>
        <w:object w:dxaOrig="5780" w:dyaOrig="1840">
          <v:shape id="_x0000_i1042" type="#_x0000_t75" style="width:416.2pt;height:76.35pt" o:ole="">
            <v:imagedata r:id="rId41" o:title=""/>
          </v:shape>
          <o:OLEObject Type="Embed" ProgID="Equation.DSMT4" ShapeID="_x0000_i1042" DrawAspect="Content" ObjectID="_1445969180" r:id="rId42"/>
        </w:object>
      </w:r>
    </w:p>
    <w:p w:rsidR="00376D10" w:rsidRPr="000B0697" w:rsidRDefault="00376D10" w:rsidP="007E4B5E">
      <w:pPr>
        <w:tabs>
          <w:tab w:val="left" w:pos="426"/>
          <w:tab w:val="right" w:pos="8931"/>
        </w:tabs>
        <w:spacing w:after="0" w:line="288" w:lineRule="auto"/>
        <w:ind w:firstLine="720"/>
        <w:jc w:val="both"/>
        <w:rPr>
          <w:lang w:val="en-AU"/>
        </w:rPr>
      </w:pPr>
    </w:p>
    <w:p w:rsidR="000B0697" w:rsidRDefault="000B0697" w:rsidP="007E4B5E">
      <w:pPr>
        <w:tabs>
          <w:tab w:val="left" w:pos="426"/>
          <w:tab w:val="right" w:pos="8931"/>
        </w:tabs>
        <w:spacing w:after="0" w:line="288" w:lineRule="auto"/>
        <w:jc w:val="both"/>
        <w:rPr>
          <w:lang w:val="en-AU"/>
        </w:rPr>
      </w:pPr>
      <w:r w:rsidRPr="000B0697">
        <w:rPr>
          <w:lang w:val="en-AU"/>
        </w:rPr>
        <w:t xml:space="preserve">where </w:t>
      </w:r>
      <w:r w:rsidRPr="00B2738D">
        <w:rPr>
          <w:i/>
          <w:lang w:val="en-AU"/>
        </w:rPr>
        <w:t>Y</w:t>
      </w:r>
      <w:r w:rsidRPr="000B0697">
        <w:rPr>
          <w:lang w:val="en-AU"/>
        </w:rPr>
        <w:t xml:space="preserve"> = output, </w:t>
      </w:r>
      <w:r w:rsidRPr="00B2738D">
        <w:rPr>
          <w:i/>
          <w:lang w:val="en-AU"/>
        </w:rPr>
        <w:t>K</w:t>
      </w:r>
      <w:r w:rsidRPr="000B0697">
        <w:rPr>
          <w:lang w:val="en-AU"/>
        </w:rPr>
        <w:t xml:space="preserve"> = capital, </w:t>
      </w:r>
      <w:r w:rsidRPr="00B2738D">
        <w:rPr>
          <w:i/>
          <w:lang w:val="en-AU"/>
        </w:rPr>
        <w:t>A</w:t>
      </w:r>
      <w:r w:rsidRPr="000B0697">
        <w:rPr>
          <w:lang w:val="en-AU"/>
        </w:rPr>
        <w:t xml:space="preserve"> = stock of knowledge and </w:t>
      </w:r>
      <w:r w:rsidRPr="00B2738D">
        <w:rPr>
          <w:i/>
          <w:lang w:val="en-AU"/>
        </w:rPr>
        <w:t>L</w:t>
      </w:r>
      <w:r w:rsidRPr="000B0697">
        <w:rPr>
          <w:lang w:val="en-AU"/>
        </w:rPr>
        <w:t xml:space="preserve"> = labour, </w:t>
      </w:r>
      <w:r w:rsidRPr="00B2738D">
        <w:rPr>
          <w:i/>
          <w:lang w:val="en-AU"/>
        </w:rPr>
        <w:t>d</w:t>
      </w:r>
      <w:r w:rsidRPr="000B0697">
        <w:rPr>
          <w:lang w:val="en-AU"/>
        </w:rPr>
        <w:t xml:space="preserve"> = depreciation rate, </w:t>
      </w:r>
      <w:r w:rsidR="00B2738D">
        <w:rPr>
          <w:lang w:val="en-AU"/>
        </w:rPr>
        <w:br/>
      </w:r>
      <w:r w:rsidRPr="00B2738D">
        <w:rPr>
          <w:i/>
          <w:lang w:val="en-AU"/>
        </w:rPr>
        <w:t>s</w:t>
      </w:r>
      <w:r w:rsidRPr="000B0697">
        <w:rPr>
          <w:lang w:val="en-AU"/>
        </w:rPr>
        <w:t xml:space="preserve"> = proportion of output saved and invested, </w:t>
      </w:r>
      <w:r w:rsidRPr="00B2738D">
        <w:rPr>
          <w:i/>
          <w:lang w:val="en-AU"/>
        </w:rPr>
        <w:t>n</w:t>
      </w:r>
      <w:r w:rsidRPr="000B0697">
        <w:rPr>
          <w:lang w:val="en-AU"/>
        </w:rPr>
        <w:t xml:space="preserve"> = growth of labour force and </w:t>
      </w:r>
      <w:r w:rsidRPr="00B2738D">
        <w:rPr>
          <w:i/>
          <w:lang w:val="en-AU"/>
        </w:rPr>
        <w:t>g</w:t>
      </w:r>
      <w:r w:rsidRPr="000B0697">
        <w:rPr>
          <w:lang w:val="en-AU"/>
        </w:rPr>
        <w:t xml:space="preserve"> = growth of the stock of knowledge. The steady state or equilibrium is defined as a state where MPK equals the rate of interest; positive net investment stops at this point. The solution for the steady state output per worker (</w:t>
      </w:r>
      <w:r w:rsidRPr="000B0697">
        <w:rPr>
          <w:lang w:val="en-AU"/>
        </w:rPr>
        <w:object w:dxaOrig="279" w:dyaOrig="360">
          <v:shape id="_x0000_i1043" type="#_x0000_t75" style="width:14.2pt;height:19.1pt" o:ole="">
            <v:imagedata r:id="rId43" o:title=""/>
          </v:shape>
          <o:OLEObject Type="Embed" ProgID="Equation.DSMT4" ShapeID="_x0000_i1043" DrawAspect="Content" ObjectID="_1445969181" r:id="rId44"/>
        </w:object>
      </w:r>
      <w:r w:rsidRPr="000B0697">
        <w:rPr>
          <w:lang w:val="en-AU"/>
        </w:rPr>
        <w:t>) is:</w:t>
      </w:r>
    </w:p>
    <w:p w:rsidR="002A5215" w:rsidRDefault="002A5215" w:rsidP="007E4B5E">
      <w:pPr>
        <w:tabs>
          <w:tab w:val="left" w:pos="426"/>
          <w:tab w:val="right" w:pos="8931"/>
        </w:tabs>
        <w:spacing w:after="0" w:line="288" w:lineRule="auto"/>
        <w:jc w:val="both"/>
        <w:rPr>
          <w:lang w:val="en-AU"/>
        </w:rPr>
      </w:pPr>
    </w:p>
    <w:p w:rsidR="000B0697" w:rsidRDefault="00F944A9" w:rsidP="007E4B5E">
      <w:pPr>
        <w:tabs>
          <w:tab w:val="left" w:pos="426"/>
          <w:tab w:val="right" w:pos="8931"/>
        </w:tabs>
        <w:spacing w:after="0" w:line="288" w:lineRule="auto"/>
        <w:ind w:firstLine="720"/>
        <w:jc w:val="both"/>
        <w:rPr>
          <w:lang w:val="en-AU"/>
        </w:rPr>
      </w:pPr>
      <w:r w:rsidRPr="000B0697">
        <w:rPr>
          <w:lang w:val="en-AU"/>
        </w:rPr>
        <w:object w:dxaOrig="5400" w:dyaOrig="859">
          <v:shape id="_x0000_i1044" type="#_x0000_t75" style="width:416.2pt;height:36pt" o:ole="">
            <v:imagedata r:id="rId45" o:title=""/>
          </v:shape>
          <o:OLEObject Type="Embed" ProgID="Equation.DSMT4" ShapeID="_x0000_i1044" DrawAspect="Content" ObjectID="_1445969182" r:id="rId46"/>
        </w:object>
      </w:r>
    </w:p>
    <w:p w:rsidR="00376D10" w:rsidRPr="000B0697" w:rsidRDefault="00376D10" w:rsidP="007E4B5E">
      <w:pPr>
        <w:tabs>
          <w:tab w:val="left" w:pos="426"/>
          <w:tab w:val="right" w:pos="8931"/>
        </w:tabs>
        <w:spacing w:after="0" w:line="288" w:lineRule="auto"/>
        <w:ind w:firstLine="720"/>
        <w:jc w:val="both"/>
        <w:rPr>
          <w:lang w:val="en-AU"/>
        </w:rPr>
      </w:pPr>
    </w:p>
    <w:p w:rsidR="000B0697" w:rsidRDefault="006C625D" w:rsidP="007E4B5E">
      <w:pPr>
        <w:tabs>
          <w:tab w:val="left" w:pos="426"/>
          <w:tab w:val="right" w:pos="8931"/>
        </w:tabs>
        <w:spacing w:after="0" w:line="288" w:lineRule="auto"/>
        <w:jc w:val="both"/>
        <w:rPr>
          <w:lang w:val="en-AU"/>
        </w:rPr>
      </w:pPr>
      <w:r>
        <w:rPr>
          <w:lang w:val="en-AU"/>
        </w:rPr>
        <w:tab/>
      </w:r>
      <w:r w:rsidR="000B0697" w:rsidRPr="000B0697">
        <w:rPr>
          <w:lang w:val="en-AU"/>
        </w:rPr>
        <w:t xml:space="preserve">Given that the parameters are constant, the long-run growth rate of output per worker </w:t>
      </w:r>
      <w:proofErr w:type="gramStart"/>
      <w:r w:rsidR="000B0697" w:rsidRPr="000B0697">
        <w:rPr>
          <w:lang w:val="en-AU"/>
        </w:rPr>
        <w:t xml:space="preserve">is </w:t>
      </w:r>
      <w:proofErr w:type="gramEnd"/>
      <w:r w:rsidR="000B0697" w:rsidRPr="000B0697">
        <w:rPr>
          <w:lang w:val="en-AU"/>
        </w:rPr>
        <w:object w:dxaOrig="639" w:dyaOrig="260">
          <v:shape id="_x0000_i1045" type="#_x0000_t75" style="width:33.8pt;height:14.2pt" o:ole="">
            <v:imagedata r:id="rId47" o:title=""/>
          </v:shape>
          <o:OLEObject Type="Embed" ProgID="Equation.DSMT4" ShapeID="_x0000_i1045" DrawAspect="Content" ObjectID="_1445969183" r:id="rId48"/>
        </w:object>
      </w:r>
      <w:r w:rsidR="00B2738D">
        <w:rPr>
          <w:lang w:val="en-AU"/>
        </w:rPr>
        <w:t xml:space="preserve">, that is, </w:t>
      </w:r>
      <w:r w:rsidR="000B0697" w:rsidRPr="000B0697">
        <w:rPr>
          <w:lang w:val="en-AU"/>
        </w:rPr>
        <w:t xml:space="preserve">the rate at which TFP grows. MRW (1992) augmented the production function in equation (7) with human capital and showed that the extended Solow model can explain the growth rates of a large sample of developed and developing countries. As in the Solow model, TFP is exogenous in the MRW model. </w:t>
      </w:r>
    </w:p>
    <w:p w:rsidR="00376D10" w:rsidRPr="000B0697" w:rsidRDefault="00376D10" w:rsidP="007E4B5E">
      <w:pPr>
        <w:tabs>
          <w:tab w:val="left" w:pos="426"/>
          <w:tab w:val="right" w:pos="8931"/>
        </w:tabs>
        <w:spacing w:after="0" w:line="288" w:lineRule="auto"/>
        <w:jc w:val="both"/>
        <w:rPr>
          <w:lang w:val="en-AU"/>
        </w:rPr>
      </w:pPr>
    </w:p>
    <w:p w:rsidR="00344BE8" w:rsidRDefault="000B0697" w:rsidP="007E4B5E">
      <w:pPr>
        <w:tabs>
          <w:tab w:val="left" w:pos="426"/>
          <w:tab w:val="right" w:pos="8931"/>
        </w:tabs>
        <w:spacing w:after="0" w:line="288" w:lineRule="auto"/>
        <w:ind w:firstLine="426"/>
        <w:jc w:val="both"/>
        <w:rPr>
          <w:lang w:val="en-AU"/>
        </w:rPr>
      </w:pPr>
      <w:r w:rsidRPr="000B0697">
        <w:rPr>
          <w:lang w:val="en-AU"/>
        </w:rPr>
        <w:t>Senhadji (2000) uses the extended Solow model and the growth accounting framework of Solow (1957) to conduc</w:t>
      </w:r>
      <w:r w:rsidR="00344BE8">
        <w:rPr>
          <w:lang w:val="en-AU"/>
        </w:rPr>
        <w:t xml:space="preserve">t a growth accounting exercise </w:t>
      </w:r>
      <w:r w:rsidRPr="000B0697">
        <w:rPr>
          <w:lang w:val="en-AU"/>
        </w:rPr>
        <w:t>for a sample of 88 developed and developing countries. He estimates TFPs as the Solow residuals for all 88 countries and examines what factors determine TFP by regressing on some key determinants.</w:t>
      </w:r>
      <w:r w:rsidRPr="000B0697" w:rsidDel="006F75AC">
        <w:rPr>
          <w:lang w:val="en-AU"/>
        </w:rPr>
        <w:t xml:space="preserve"> </w:t>
      </w:r>
      <w:r w:rsidRPr="000B0697">
        <w:rPr>
          <w:lang w:val="en-AU"/>
        </w:rPr>
        <w:t xml:space="preserve">This methodology is followed in this paper as well. </w:t>
      </w:r>
      <w:r w:rsidR="00ED3043">
        <w:rPr>
          <w:lang w:val="en-AU"/>
        </w:rPr>
        <w:t xml:space="preserve">Using data </w:t>
      </w:r>
      <w:proofErr w:type="gramStart"/>
      <w:r w:rsidR="00F944A9">
        <w:rPr>
          <w:lang w:val="en-AU"/>
        </w:rPr>
        <w:t>between</w:t>
      </w:r>
      <w:r w:rsidR="00ED3043">
        <w:rPr>
          <w:lang w:val="en-AU"/>
        </w:rPr>
        <w:t xml:space="preserve"> 1975–</w:t>
      </w:r>
      <w:r w:rsidRPr="000B0697">
        <w:rPr>
          <w:lang w:val="en-AU"/>
        </w:rPr>
        <w:t>2009,</w:t>
      </w:r>
      <w:proofErr w:type="gramEnd"/>
      <w:r w:rsidRPr="000B0697">
        <w:rPr>
          <w:lang w:val="en-AU"/>
        </w:rPr>
        <w:t xml:space="preserve"> we first </w:t>
      </w:r>
      <w:r w:rsidRPr="000B0697">
        <w:rPr>
          <w:lang w:val="en-AU"/>
        </w:rPr>
        <w:lastRenderedPageBreak/>
        <w:t xml:space="preserve">estimate a production function </w:t>
      </w:r>
      <w:r w:rsidR="00344BE8">
        <w:rPr>
          <w:lang w:val="en-AU"/>
        </w:rPr>
        <w:t xml:space="preserve">for Bangladesh </w:t>
      </w:r>
      <w:r w:rsidRPr="000B0697">
        <w:rPr>
          <w:lang w:val="en-AU"/>
        </w:rPr>
        <w:t>and then conduct a growth accounting exercise (GAE) to decompos</w:t>
      </w:r>
      <w:r w:rsidR="002A5215">
        <w:rPr>
          <w:lang w:val="en-AU"/>
        </w:rPr>
        <w:t>e growth into two contributions, that is,</w:t>
      </w:r>
      <w:r w:rsidR="00F944A9">
        <w:rPr>
          <w:lang w:val="en-AU"/>
        </w:rPr>
        <w:t xml:space="preserve"> </w:t>
      </w:r>
      <w:r w:rsidRPr="000B0697">
        <w:rPr>
          <w:lang w:val="en-AU"/>
        </w:rPr>
        <w:t xml:space="preserve">factor accumulation and TFP. </w:t>
      </w:r>
    </w:p>
    <w:p w:rsidR="00F944A9" w:rsidRDefault="00F944A9" w:rsidP="007E4B5E">
      <w:pPr>
        <w:tabs>
          <w:tab w:val="left" w:pos="426"/>
          <w:tab w:val="right" w:pos="8931"/>
        </w:tabs>
        <w:spacing w:after="0" w:line="288" w:lineRule="auto"/>
        <w:ind w:firstLine="426"/>
        <w:jc w:val="both"/>
        <w:rPr>
          <w:lang w:val="en-AU"/>
        </w:rPr>
      </w:pPr>
    </w:p>
    <w:p w:rsidR="000B0697" w:rsidRDefault="000B0697" w:rsidP="007E4B5E">
      <w:pPr>
        <w:tabs>
          <w:tab w:val="left" w:pos="426"/>
          <w:tab w:val="right" w:pos="8931"/>
        </w:tabs>
        <w:spacing w:after="0" w:line="288" w:lineRule="auto"/>
        <w:ind w:firstLine="426"/>
        <w:jc w:val="both"/>
        <w:rPr>
          <w:lang w:val="en-AU"/>
        </w:rPr>
      </w:pPr>
      <w:r w:rsidRPr="000B0697">
        <w:rPr>
          <w:lang w:val="en-AU"/>
        </w:rPr>
        <w:t xml:space="preserve">The estimates for TFP are obtained as the residual, i.e., the difference between the actual growth rate and growth due to factor accumulation. Finally, using appropriate time series technique, we examine some key factors </w:t>
      </w:r>
      <w:r w:rsidR="00344BE8">
        <w:rPr>
          <w:lang w:val="en-AU"/>
        </w:rPr>
        <w:t>including</w:t>
      </w:r>
      <w:r w:rsidR="00344BE8" w:rsidRPr="00344BE8">
        <w:rPr>
          <w:lang w:val="en-AU"/>
        </w:rPr>
        <w:t xml:space="preserve"> remittances </w:t>
      </w:r>
      <w:r w:rsidRPr="000B0697">
        <w:rPr>
          <w:lang w:val="en-AU"/>
        </w:rPr>
        <w:t>that determine TFP in Bangladesh.</w:t>
      </w:r>
    </w:p>
    <w:p w:rsidR="006C625D" w:rsidRDefault="006C625D" w:rsidP="007E4B5E">
      <w:pPr>
        <w:tabs>
          <w:tab w:val="left" w:pos="426"/>
          <w:tab w:val="right" w:pos="8931"/>
        </w:tabs>
        <w:spacing w:after="0" w:line="288" w:lineRule="auto"/>
        <w:ind w:firstLine="720"/>
        <w:jc w:val="both"/>
        <w:rPr>
          <w:lang w:val="en-AU"/>
        </w:rPr>
      </w:pPr>
    </w:p>
    <w:p w:rsidR="000B0697" w:rsidRDefault="000B0697" w:rsidP="007E4B5E">
      <w:pPr>
        <w:tabs>
          <w:tab w:val="left" w:pos="426"/>
          <w:tab w:val="right" w:pos="8931"/>
        </w:tabs>
        <w:spacing w:after="0" w:line="288" w:lineRule="auto"/>
        <w:ind w:firstLine="426"/>
        <w:jc w:val="both"/>
        <w:rPr>
          <w:lang w:val="en-AU"/>
        </w:rPr>
      </w:pPr>
      <w:r w:rsidRPr="000B0697">
        <w:rPr>
          <w:lang w:val="en-AU"/>
        </w:rPr>
        <w:t>Consider the following Cobb-Douglas human capital augmented production function in equation (</w:t>
      </w:r>
      <w:r w:rsidR="00344BE8">
        <w:rPr>
          <w:lang w:val="en-AU"/>
        </w:rPr>
        <w:t>13</w:t>
      </w:r>
      <w:r w:rsidRPr="000B0697">
        <w:rPr>
          <w:lang w:val="en-AU"/>
        </w:rPr>
        <w:t>). The specification, with constant returns, is simpler than that of MRW:</w:t>
      </w:r>
      <w:r w:rsidRPr="000B0697">
        <w:rPr>
          <w:vertAlign w:val="superscript"/>
          <w:lang w:val="en-AU"/>
        </w:rPr>
        <w:footnoteReference w:id="2"/>
      </w:r>
      <w:r w:rsidRPr="000B0697">
        <w:rPr>
          <w:lang w:val="en-AU"/>
        </w:rPr>
        <w:t xml:space="preserve"> </w:t>
      </w:r>
    </w:p>
    <w:p w:rsidR="00B2738D" w:rsidRDefault="00B2738D" w:rsidP="007E4B5E">
      <w:pPr>
        <w:tabs>
          <w:tab w:val="left" w:pos="426"/>
          <w:tab w:val="right" w:pos="8931"/>
        </w:tabs>
        <w:spacing w:after="0" w:line="288" w:lineRule="auto"/>
        <w:ind w:firstLine="426"/>
        <w:jc w:val="both"/>
        <w:rPr>
          <w:lang w:val="en-AU"/>
        </w:rPr>
      </w:pPr>
    </w:p>
    <w:p w:rsidR="000B0697" w:rsidRDefault="000B0697" w:rsidP="007E4B5E">
      <w:pPr>
        <w:tabs>
          <w:tab w:val="left" w:pos="426"/>
          <w:tab w:val="right" w:pos="8931"/>
        </w:tabs>
        <w:spacing w:after="0" w:line="288" w:lineRule="auto"/>
        <w:ind w:firstLine="720"/>
        <w:jc w:val="both"/>
        <w:rPr>
          <w:lang w:val="en-AU"/>
        </w:rPr>
      </w:pPr>
      <w:r w:rsidRPr="000B0697">
        <w:rPr>
          <w:position w:val="-12"/>
          <w:lang w:val="en-AU"/>
        </w:rPr>
        <w:object w:dxaOrig="2240" w:dyaOrig="400">
          <v:shape id="_x0000_i1046" type="#_x0000_t75" style="width:111.8pt;height:21.25pt" o:ole="">
            <v:imagedata r:id="rId49" o:title=""/>
          </v:shape>
          <o:OLEObject Type="Embed" ProgID="Equation.3" ShapeID="_x0000_i1046" DrawAspect="Content" ObjectID="_1445969184" r:id="rId50"/>
        </w:object>
      </w:r>
      <w:r w:rsidR="002A5215">
        <w:rPr>
          <w:lang w:val="en-AU"/>
        </w:rPr>
        <w:tab/>
      </w:r>
      <w:r w:rsidRPr="00B2738D">
        <w:rPr>
          <w:sz w:val="22"/>
          <w:lang w:val="en-AU"/>
        </w:rPr>
        <w:t>(13)</w:t>
      </w:r>
    </w:p>
    <w:p w:rsidR="00376D10" w:rsidRPr="000B0697" w:rsidRDefault="00376D10" w:rsidP="007E4B5E">
      <w:pPr>
        <w:tabs>
          <w:tab w:val="left" w:pos="426"/>
          <w:tab w:val="right" w:pos="8931"/>
        </w:tabs>
        <w:spacing w:after="0" w:line="288" w:lineRule="auto"/>
        <w:ind w:firstLine="720"/>
        <w:jc w:val="both"/>
        <w:rPr>
          <w:lang w:val="en-AU"/>
        </w:rPr>
      </w:pPr>
    </w:p>
    <w:p w:rsidR="000B0697" w:rsidRDefault="000B0697" w:rsidP="007E4B5E">
      <w:pPr>
        <w:tabs>
          <w:tab w:val="left" w:pos="426"/>
          <w:tab w:val="right" w:pos="8931"/>
        </w:tabs>
        <w:spacing w:after="0" w:line="288" w:lineRule="auto"/>
        <w:jc w:val="both"/>
        <w:rPr>
          <w:lang w:val="en-AU"/>
        </w:rPr>
      </w:pPr>
      <w:r w:rsidRPr="000B0697">
        <w:rPr>
          <w:lang w:val="en-AU"/>
        </w:rPr>
        <w:t xml:space="preserve">where </w:t>
      </w:r>
      <w:r w:rsidRPr="00B2738D">
        <w:rPr>
          <w:i/>
          <w:lang w:val="en-AU"/>
        </w:rPr>
        <w:t>Y</w:t>
      </w:r>
      <w:r w:rsidRPr="000B0697">
        <w:rPr>
          <w:lang w:val="en-AU"/>
        </w:rPr>
        <w:t xml:space="preserve"> = output, </w:t>
      </w:r>
      <w:r w:rsidRPr="00B2738D">
        <w:rPr>
          <w:i/>
          <w:lang w:val="en-AU"/>
        </w:rPr>
        <w:t>A</w:t>
      </w:r>
      <w:r w:rsidRPr="000B0697">
        <w:rPr>
          <w:lang w:val="en-AU"/>
        </w:rPr>
        <w:t xml:space="preserve"> = stock of knowledge, </w:t>
      </w:r>
      <w:r w:rsidRPr="00B2738D">
        <w:rPr>
          <w:i/>
          <w:lang w:val="en-AU"/>
        </w:rPr>
        <w:t>K</w:t>
      </w:r>
      <w:r w:rsidRPr="000B0697">
        <w:rPr>
          <w:lang w:val="en-AU"/>
        </w:rPr>
        <w:t xml:space="preserve"> = stock of capital, </w:t>
      </w:r>
      <w:r w:rsidRPr="00B2738D">
        <w:rPr>
          <w:i/>
          <w:lang w:val="en-AU"/>
        </w:rPr>
        <w:t>H</w:t>
      </w:r>
      <w:r w:rsidRPr="000B0697">
        <w:rPr>
          <w:lang w:val="en-AU"/>
        </w:rPr>
        <w:t xml:space="preserve"> = an index of human capital formation through education and </w:t>
      </w:r>
      <w:r w:rsidRPr="00B2738D">
        <w:rPr>
          <w:i/>
          <w:lang w:val="en-AU"/>
        </w:rPr>
        <w:t>L</w:t>
      </w:r>
      <w:r w:rsidRPr="000B0697">
        <w:rPr>
          <w:lang w:val="en-AU"/>
        </w:rPr>
        <w:t xml:space="preserve"> = employment. The assumption of constant returns to scale gives the following simplified form, known as the intensive form of the production function:</w:t>
      </w:r>
    </w:p>
    <w:p w:rsidR="00F944A9" w:rsidRPr="00F944A9" w:rsidRDefault="00F944A9" w:rsidP="007E4B5E">
      <w:pPr>
        <w:tabs>
          <w:tab w:val="left" w:pos="426"/>
          <w:tab w:val="right" w:pos="8931"/>
        </w:tabs>
        <w:spacing w:after="0" w:line="288" w:lineRule="auto"/>
        <w:ind w:firstLine="720"/>
        <w:jc w:val="both"/>
        <w:rPr>
          <w:sz w:val="16"/>
          <w:szCs w:val="16"/>
          <w:lang w:val="en-AU"/>
        </w:rPr>
      </w:pPr>
    </w:p>
    <w:p w:rsidR="000B0697" w:rsidRDefault="000B0697" w:rsidP="007E4B5E">
      <w:pPr>
        <w:tabs>
          <w:tab w:val="left" w:pos="426"/>
          <w:tab w:val="right" w:pos="8931"/>
        </w:tabs>
        <w:spacing w:after="0" w:line="288" w:lineRule="auto"/>
        <w:ind w:firstLine="720"/>
        <w:jc w:val="both"/>
        <w:rPr>
          <w:lang w:val="en-AU"/>
        </w:rPr>
      </w:pPr>
      <w:r w:rsidRPr="000B0697">
        <w:rPr>
          <w:lang w:val="en-AU"/>
        </w:rPr>
        <w:object w:dxaOrig="1020" w:dyaOrig="380">
          <v:shape id="_x0000_i1047" type="#_x0000_t75" style="width:51.25pt;height:19.1pt" o:ole="">
            <v:imagedata r:id="rId51" o:title=""/>
          </v:shape>
          <o:OLEObject Type="Embed" ProgID="Equation.3" ShapeID="_x0000_i1047" DrawAspect="Content" ObjectID="_1445969185" r:id="rId52"/>
        </w:object>
      </w:r>
      <w:r w:rsidR="002A5215">
        <w:rPr>
          <w:lang w:val="en-AU"/>
        </w:rPr>
        <w:tab/>
      </w:r>
      <w:r w:rsidRPr="00B2738D">
        <w:rPr>
          <w:sz w:val="22"/>
          <w:lang w:val="en-AU"/>
        </w:rPr>
        <w:t>(14)</w:t>
      </w:r>
    </w:p>
    <w:p w:rsidR="00376D10" w:rsidRPr="00F944A9" w:rsidRDefault="00376D10" w:rsidP="007E4B5E">
      <w:pPr>
        <w:tabs>
          <w:tab w:val="left" w:pos="426"/>
          <w:tab w:val="right" w:pos="8931"/>
        </w:tabs>
        <w:spacing w:after="0" w:line="288" w:lineRule="auto"/>
        <w:ind w:firstLine="720"/>
        <w:jc w:val="both"/>
        <w:rPr>
          <w:sz w:val="16"/>
          <w:szCs w:val="16"/>
          <w:lang w:val="en-AU"/>
        </w:rPr>
      </w:pPr>
    </w:p>
    <w:p w:rsidR="000B0697" w:rsidRDefault="00B2738D" w:rsidP="007E4B5E">
      <w:pPr>
        <w:tabs>
          <w:tab w:val="right" w:pos="8931"/>
        </w:tabs>
        <w:spacing w:after="0" w:line="288" w:lineRule="auto"/>
        <w:jc w:val="both"/>
        <w:rPr>
          <w:lang w:val="en-AU"/>
        </w:rPr>
      </w:pPr>
      <w:proofErr w:type="gramStart"/>
      <w:r>
        <w:rPr>
          <w:lang w:val="en-AU"/>
        </w:rPr>
        <w:t>w</w:t>
      </w:r>
      <w:r w:rsidR="000B0697" w:rsidRPr="000B0697">
        <w:rPr>
          <w:lang w:val="en-AU"/>
        </w:rPr>
        <w:t>here</w:t>
      </w:r>
      <w:proofErr w:type="gramEnd"/>
      <w:r w:rsidR="00344BE8">
        <w:rPr>
          <w:lang w:val="en-AU"/>
        </w:rPr>
        <w:t xml:space="preserve"> </w:t>
      </w:r>
      <w:r w:rsidR="00671057" w:rsidRPr="00344BE8">
        <w:rPr>
          <w:position w:val="-10"/>
          <w:lang w:val="en-AU"/>
        </w:rPr>
        <w:object w:dxaOrig="1480" w:dyaOrig="320">
          <v:shape id="_x0000_i1048" type="#_x0000_t75" style="width:74.2pt;height:15.8pt" o:ole="">
            <v:imagedata r:id="rId53" o:title=""/>
          </v:shape>
          <o:OLEObject Type="Embed" ProgID="Equation.3" ShapeID="_x0000_i1048" DrawAspect="Content" ObjectID="_1445969186" r:id="rId54"/>
        </w:object>
      </w:r>
      <w:r w:rsidR="000B0697" w:rsidRPr="000B0697">
        <w:rPr>
          <w:lang w:val="en-AU"/>
        </w:rPr>
        <w:t>and</w:t>
      </w:r>
      <w:r w:rsidR="00344BE8">
        <w:rPr>
          <w:lang w:val="en-AU"/>
        </w:rPr>
        <w:t xml:space="preserve"> </w:t>
      </w:r>
      <w:r w:rsidR="00671057" w:rsidRPr="00671057">
        <w:rPr>
          <w:position w:val="-10"/>
          <w:lang w:val="en-AU"/>
        </w:rPr>
        <w:object w:dxaOrig="1520" w:dyaOrig="320">
          <v:shape id="_x0000_i1049" type="#_x0000_t75" style="width:76.9pt;height:15.8pt" o:ole="">
            <v:imagedata r:id="rId55" o:title=""/>
          </v:shape>
          <o:OLEObject Type="Embed" ProgID="Equation.3" ShapeID="_x0000_i1049" DrawAspect="Content" ObjectID="_1445969187" r:id="rId56"/>
        </w:object>
      </w:r>
      <w:r w:rsidR="000B0697" w:rsidRPr="000B0697">
        <w:rPr>
          <w:lang w:val="en-AU"/>
        </w:rPr>
        <w:t xml:space="preserve">  In equation (14) the variables are measured in per-worker terms adjusted for skill improvement. To estimate (13) and (14) it is first necessary to check the time series properties of the </w:t>
      </w:r>
      <w:proofErr w:type="gramStart"/>
      <w:r w:rsidR="000B0697" w:rsidRPr="000B0697">
        <w:rPr>
          <w:lang w:val="en-AU"/>
        </w:rPr>
        <w:t xml:space="preserve">variables </w:t>
      </w:r>
      <w:proofErr w:type="gramEnd"/>
      <w:r w:rsidR="00671057" w:rsidRPr="00671057">
        <w:rPr>
          <w:position w:val="-10"/>
          <w:lang w:val="en-AU"/>
        </w:rPr>
        <w:object w:dxaOrig="1760" w:dyaOrig="320">
          <v:shape id="_x0000_i1050" type="#_x0000_t75" style="width:87.8pt;height:15.8pt" o:ole="">
            <v:imagedata r:id="rId57" o:title=""/>
          </v:shape>
          <o:OLEObject Type="Embed" ProgID="Equation.3" ShapeID="_x0000_i1050" DrawAspect="Content" ObjectID="_1445969188" r:id="rId58"/>
        </w:object>
      </w:r>
      <w:r w:rsidR="000B0697" w:rsidRPr="000B0697">
        <w:rPr>
          <w:lang w:val="en-AU"/>
        </w:rPr>
        <w:t xml:space="preserve">. However, as the production function in this paper is estimated in the intensive form based on equation (14), we will only check for the unit roots in </w:t>
      </w:r>
      <w:r w:rsidR="000B0697" w:rsidRPr="000B0697">
        <w:rPr>
          <w:i/>
          <w:lang w:val="en-AU"/>
        </w:rPr>
        <w:t>y</w:t>
      </w:r>
      <w:r w:rsidR="000B0697" w:rsidRPr="000B0697">
        <w:rPr>
          <w:lang w:val="en-AU"/>
        </w:rPr>
        <w:t xml:space="preserve"> and </w:t>
      </w:r>
      <w:r w:rsidR="000B0697" w:rsidRPr="000B0697">
        <w:rPr>
          <w:i/>
          <w:lang w:val="en-AU"/>
        </w:rPr>
        <w:t>k</w:t>
      </w:r>
      <w:r w:rsidR="000B0697" w:rsidRPr="000B0697">
        <w:rPr>
          <w:lang w:val="en-AU"/>
        </w:rPr>
        <w:t xml:space="preserve"> in Section 4; and then the Phillips-Hansen fully modified </w:t>
      </w:r>
      <w:r w:rsidR="000B0697" w:rsidRPr="00C24164">
        <w:rPr>
          <w:iCs/>
          <w:lang w:val="en-US"/>
        </w:rPr>
        <w:t>O</w:t>
      </w:r>
      <w:r w:rsidR="00C24164">
        <w:rPr>
          <w:iCs/>
          <w:lang w:val="en-US"/>
        </w:rPr>
        <w:t xml:space="preserve">rdinary </w:t>
      </w:r>
      <w:r w:rsidR="000B0697" w:rsidRPr="00C24164">
        <w:rPr>
          <w:iCs/>
          <w:lang w:val="en-US"/>
        </w:rPr>
        <w:t>L</w:t>
      </w:r>
      <w:r w:rsidR="00C24164">
        <w:rPr>
          <w:iCs/>
          <w:lang w:val="en-US"/>
        </w:rPr>
        <w:t xml:space="preserve">east </w:t>
      </w:r>
      <w:r w:rsidR="000B0697" w:rsidRPr="00C24164">
        <w:rPr>
          <w:iCs/>
          <w:lang w:val="en-US"/>
        </w:rPr>
        <w:t>S</w:t>
      </w:r>
      <w:r w:rsidR="00C24164">
        <w:rPr>
          <w:iCs/>
          <w:lang w:val="en-US"/>
        </w:rPr>
        <w:t>quares</w:t>
      </w:r>
      <w:r w:rsidR="000B0697" w:rsidRPr="000B0697">
        <w:rPr>
          <w:lang w:val="en-AU"/>
        </w:rPr>
        <w:t xml:space="preserve"> (FMOLS) cointegration method will be used to estimate the production function and the parameter α for Bangladesh. </w:t>
      </w:r>
    </w:p>
    <w:p w:rsidR="00376D10" w:rsidRPr="000B0697" w:rsidRDefault="00376D10" w:rsidP="007E4B5E">
      <w:pPr>
        <w:tabs>
          <w:tab w:val="left" w:pos="426"/>
          <w:tab w:val="right" w:pos="8931"/>
        </w:tabs>
        <w:spacing w:after="0" w:line="288" w:lineRule="auto"/>
        <w:jc w:val="both"/>
        <w:rPr>
          <w:lang w:val="en-AU"/>
        </w:rPr>
      </w:pPr>
    </w:p>
    <w:p w:rsidR="000B0697" w:rsidRDefault="006C625D" w:rsidP="007E4B5E">
      <w:pPr>
        <w:tabs>
          <w:tab w:val="left" w:pos="426"/>
          <w:tab w:val="right" w:pos="8931"/>
        </w:tabs>
        <w:spacing w:after="0" w:line="288" w:lineRule="auto"/>
        <w:jc w:val="both"/>
        <w:rPr>
          <w:lang w:val="en-AU"/>
        </w:rPr>
      </w:pPr>
      <w:r>
        <w:rPr>
          <w:lang w:val="en-AU"/>
        </w:rPr>
        <w:tab/>
      </w:r>
      <w:r w:rsidR="000B0697" w:rsidRPr="000B0697">
        <w:rPr>
          <w:lang w:val="en-AU"/>
        </w:rPr>
        <w:t>The parameter α in equations (13) and (14) is the share of profit. The stylised value of α is found to be one third in many growth-accounting exercises; but in developing countries it may be higher, because by definition the share of profits is:</w:t>
      </w:r>
    </w:p>
    <w:p w:rsidR="00376D10" w:rsidRPr="000B0697" w:rsidRDefault="00376D10" w:rsidP="007E4B5E">
      <w:pPr>
        <w:tabs>
          <w:tab w:val="left" w:pos="426"/>
          <w:tab w:val="right" w:pos="8931"/>
        </w:tabs>
        <w:spacing w:after="0" w:line="288" w:lineRule="auto"/>
        <w:jc w:val="both"/>
        <w:rPr>
          <w:lang w:val="en-AU"/>
        </w:rPr>
      </w:pPr>
    </w:p>
    <w:p w:rsidR="000B0697" w:rsidRPr="000B0697" w:rsidRDefault="000B0697" w:rsidP="007E4B5E">
      <w:pPr>
        <w:tabs>
          <w:tab w:val="left" w:pos="426"/>
          <w:tab w:val="right" w:pos="8931"/>
        </w:tabs>
        <w:spacing w:after="0" w:line="288" w:lineRule="auto"/>
        <w:jc w:val="both"/>
        <w:rPr>
          <w:lang w:val="en-AU"/>
        </w:rPr>
      </w:pPr>
      <w:r w:rsidRPr="000B0697">
        <w:rPr>
          <w:lang w:val="en-AU"/>
        </w:rPr>
        <w:tab/>
      </w:r>
      <w:r w:rsidRPr="000B0697">
        <w:rPr>
          <w:lang w:val="en-AU"/>
        </w:rPr>
        <w:object w:dxaOrig="2780" w:dyaOrig="999">
          <v:shape id="_x0000_i1051" type="#_x0000_t75" style="width:138pt;height:50.2pt" o:ole="">
            <v:imagedata r:id="rId59" o:title=""/>
          </v:shape>
          <o:OLEObject Type="Embed" ProgID="Equation.3" ShapeID="_x0000_i1051" DrawAspect="Content" ObjectID="_1445969189" r:id="rId60"/>
        </w:object>
      </w:r>
      <w:r w:rsidR="000074AF">
        <w:rPr>
          <w:lang w:val="en-AU"/>
        </w:rPr>
        <w:tab/>
      </w:r>
      <w:r w:rsidRPr="000B0697">
        <w:rPr>
          <w:lang w:val="en-AU"/>
        </w:rPr>
        <w:t>(15)</w:t>
      </w:r>
    </w:p>
    <w:p w:rsidR="000B0697" w:rsidRPr="000B0697" w:rsidRDefault="000B0697" w:rsidP="007E4B5E">
      <w:pPr>
        <w:tabs>
          <w:tab w:val="left" w:pos="426"/>
          <w:tab w:val="right" w:pos="8931"/>
        </w:tabs>
        <w:spacing w:after="0" w:line="288" w:lineRule="auto"/>
        <w:jc w:val="both"/>
        <w:rPr>
          <w:lang w:val="en-AU"/>
        </w:rPr>
      </w:pPr>
    </w:p>
    <w:p w:rsidR="000B0697" w:rsidRDefault="006C625D" w:rsidP="007E4B5E">
      <w:pPr>
        <w:tabs>
          <w:tab w:val="left" w:pos="426"/>
          <w:tab w:val="right" w:pos="8931"/>
        </w:tabs>
        <w:spacing w:after="0" w:line="288" w:lineRule="auto"/>
        <w:jc w:val="both"/>
        <w:rPr>
          <w:lang w:val="en-AU"/>
        </w:rPr>
      </w:pPr>
      <w:r>
        <w:rPr>
          <w:lang w:val="en-AU"/>
        </w:rPr>
        <w:lastRenderedPageBreak/>
        <w:tab/>
      </w:r>
      <w:r w:rsidR="000B0697" w:rsidRPr="000B0697">
        <w:rPr>
          <w:lang w:val="en-AU"/>
        </w:rPr>
        <w:t xml:space="preserve">The numerator in </w:t>
      </w:r>
      <w:r w:rsidR="00144CC1">
        <w:rPr>
          <w:lang w:val="en-AU"/>
        </w:rPr>
        <w:t>Eq.</w:t>
      </w:r>
      <w:r w:rsidR="000B0697" w:rsidRPr="000B0697">
        <w:rPr>
          <w:lang w:val="en-AU"/>
        </w:rPr>
        <w:t xml:space="preserve">(15) is the remuneration for capital, which is the marginal product of capital (MPK), multiplied by capital stock, and (K/Y) is the capital-output ratio. It is expected that MPK will be higher in the developing countries because of their lower capital stocks, and therefore </w:t>
      </w:r>
      <w:r w:rsidR="00671057" w:rsidRPr="00671057">
        <w:rPr>
          <w:position w:val="-6"/>
          <w:lang w:val="en-AU"/>
        </w:rPr>
        <w:object w:dxaOrig="240" w:dyaOrig="220">
          <v:shape id="_x0000_i1052" type="#_x0000_t75" style="width:12pt;height:9.8pt" o:ole="">
            <v:imagedata r:id="rId61" o:title=""/>
          </v:shape>
          <o:OLEObject Type="Embed" ProgID="Equation.3" ShapeID="_x0000_i1052" DrawAspect="Content" ObjectID="_1445969190" r:id="rId62"/>
        </w:object>
      </w:r>
      <w:r w:rsidR="000B0697" w:rsidRPr="000B0697">
        <w:rPr>
          <w:lang w:val="en-AU"/>
        </w:rPr>
        <w:t>should be higher. After the parameter α is estimated, a GAE can be conducted to decompose the rate of growth of output (</w:t>
      </w:r>
      <w:r w:rsidR="000B0697" w:rsidRPr="000B0697">
        <w:rPr>
          <w:lang w:val="en-AU"/>
        </w:rPr>
        <w:object w:dxaOrig="620" w:dyaOrig="260">
          <v:shape id="_x0000_i1053" type="#_x0000_t75" style="width:32.2pt;height:14.2pt" o:ole="">
            <v:imagedata r:id="rId63" o:title=""/>
          </v:shape>
          <o:OLEObject Type="Embed" ProgID="Equation.DSMT4" ShapeID="_x0000_i1053" DrawAspect="Content" ObjectID="_1445969191" r:id="rId64"/>
        </w:object>
      </w:r>
      <w:r w:rsidR="000B0697" w:rsidRPr="000B0697">
        <w:rPr>
          <w:lang w:val="en-AU"/>
        </w:rPr>
        <w:t>) into how much is due to the rates of growth of capital (</w:t>
      </w:r>
      <w:r w:rsidR="000B0697" w:rsidRPr="000B0697">
        <w:rPr>
          <w:lang w:val="en-AU"/>
        </w:rPr>
        <w:object w:dxaOrig="680" w:dyaOrig="260">
          <v:shape id="_x0000_i1054" type="#_x0000_t75" style="width:33.8pt;height:14.2pt" o:ole="">
            <v:imagedata r:id="rId65" o:title=""/>
          </v:shape>
          <o:OLEObject Type="Embed" ProgID="Equation.DSMT4" ShapeID="_x0000_i1054" DrawAspect="Content" ObjectID="_1445969192" r:id="rId66"/>
        </w:object>
      </w:r>
      <w:r w:rsidR="000B0697" w:rsidRPr="000B0697">
        <w:rPr>
          <w:lang w:val="en-AU"/>
        </w:rPr>
        <w:t>), labour (</w:t>
      </w:r>
      <w:r w:rsidR="000B0697" w:rsidRPr="000B0697">
        <w:rPr>
          <w:lang w:val="en-AU"/>
        </w:rPr>
        <w:object w:dxaOrig="360" w:dyaOrig="260">
          <v:shape id="_x0000_i1055" type="#_x0000_t75" style="width:19.1pt;height:14.2pt" o:ole="">
            <v:imagedata r:id="rId67" o:title=""/>
          </v:shape>
          <o:OLEObject Type="Embed" ProgID="Equation.DSMT4" ShapeID="_x0000_i1055" DrawAspect="Content" ObjectID="_1445969193" r:id="rId68"/>
        </w:object>
      </w:r>
      <w:r w:rsidR="000B0697" w:rsidRPr="000B0697">
        <w:rPr>
          <w:lang w:val="en-AU"/>
        </w:rPr>
        <w:t>) and human capital (</w:t>
      </w:r>
      <w:r w:rsidR="000B0697" w:rsidRPr="000B0697">
        <w:rPr>
          <w:lang w:val="en-AU"/>
        </w:rPr>
        <w:object w:dxaOrig="700" w:dyaOrig="260">
          <v:shape id="_x0000_i1056" type="#_x0000_t75" style="width:36pt;height:14.2pt" o:ole="">
            <v:imagedata r:id="rId69" o:title=""/>
          </v:shape>
          <o:OLEObject Type="Embed" ProgID="Equation.DSMT4" ShapeID="_x0000_i1056" DrawAspect="Content" ObjectID="_1445969194" r:id="rId70"/>
        </w:object>
      </w:r>
      <w:r w:rsidR="000B0697" w:rsidRPr="000B0697">
        <w:rPr>
          <w:lang w:val="en-AU"/>
        </w:rPr>
        <w:t>). The total of these 3 contributions is the rate of growth due to factor accumulation. The residual is an estimate of TFP. This can be explained by taking the total differential of the production function in (13) as follows:</w:t>
      </w:r>
    </w:p>
    <w:p w:rsidR="00376D10" w:rsidRPr="000B0697" w:rsidRDefault="00376D10" w:rsidP="007E4B5E">
      <w:pPr>
        <w:tabs>
          <w:tab w:val="left" w:pos="426"/>
          <w:tab w:val="right" w:pos="8931"/>
        </w:tabs>
        <w:spacing w:after="0" w:line="288" w:lineRule="auto"/>
        <w:jc w:val="both"/>
        <w:rPr>
          <w:lang w:val="en-AU"/>
        </w:rPr>
      </w:pPr>
    </w:p>
    <w:p w:rsidR="000B0697" w:rsidRPr="000B0697" w:rsidRDefault="00F944A9" w:rsidP="00F944A9">
      <w:pPr>
        <w:tabs>
          <w:tab w:val="left" w:pos="426"/>
          <w:tab w:val="right" w:pos="8931"/>
        </w:tabs>
        <w:spacing w:after="0" w:line="288" w:lineRule="auto"/>
        <w:jc w:val="both"/>
        <w:rPr>
          <w:lang w:val="en-AU"/>
        </w:rPr>
      </w:pPr>
      <w:r>
        <w:rPr>
          <w:lang w:val="en-AU"/>
        </w:rPr>
        <w:tab/>
      </w:r>
      <w:r w:rsidR="000B0697" w:rsidRPr="000B0697">
        <w:rPr>
          <w:lang w:val="en-AU"/>
        </w:rPr>
        <w:object w:dxaOrig="5300" w:dyaOrig="1040">
          <v:shape id="_x0000_i1057" type="#_x0000_t75" style="width:264pt;height:51.25pt" o:ole="">
            <v:imagedata r:id="rId71" o:title=""/>
          </v:shape>
          <o:OLEObject Type="Embed" ProgID="Equation.3" ShapeID="_x0000_i1057" DrawAspect="Content" ObjectID="_1445969195" r:id="rId72"/>
        </w:object>
      </w:r>
      <w:r>
        <w:rPr>
          <w:lang w:val="en-AU"/>
        </w:rPr>
        <w:tab/>
        <w:t>(</w:t>
      </w:r>
      <w:r w:rsidR="000B0697" w:rsidRPr="00B2738D">
        <w:rPr>
          <w:sz w:val="22"/>
          <w:lang w:val="en-AU"/>
        </w:rPr>
        <w:t>16)</w:t>
      </w:r>
      <w:r w:rsidR="000B0697" w:rsidRPr="000B0697">
        <w:rPr>
          <w:lang w:val="en-AU"/>
        </w:rPr>
        <w:tab/>
      </w:r>
      <w:r w:rsidR="000B0697" w:rsidRPr="000B0697">
        <w:rPr>
          <w:lang w:val="en-AU"/>
        </w:rPr>
        <w:tab/>
      </w:r>
      <w:r w:rsidR="000B0697" w:rsidRPr="000B0697">
        <w:rPr>
          <w:lang w:val="en-AU"/>
        </w:rPr>
        <w:object w:dxaOrig="3440" w:dyaOrig="320">
          <v:shape id="_x0000_i1058" type="#_x0000_t75" style="width:172.9pt;height:15.8pt" o:ole="">
            <v:imagedata r:id="rId73" o:title=""/>
          </v:shape>
          <o:OLEObject Type="Embed" ProgID="Equation.3" ShapeID="_x0000_i1058" DrawAspect="Content" ObjectID="_1445969196" r:id="rId74"/>
        </w:object>
      </w:r>
      <w:r w:rsidR="00B2738D" w:rsidRPr="00B2738D">
        <w:rPr>
          <w:sz w:val="22"/>
          <w:lang w:val="en-AU"/>
        </w:rPr>
        <w:t xml:space="preserve">            </w:t>
      </w:r>
      <w:r>
        <w:rPr>
          <w:sz w:val="22"/>
          <w:lang w:val="en-AU"/>
        </w:rPr>
        <w:tab/>
      </w:r>
      <w:r>
        <w:rPr>
          <w:sz w:val="22"/>
          <w:lang w:val="en-AU"/>
        </w:rPr>
        <w:tab/>
      </w:r>
      <w:r w:rsidR="000B0697" w:rsidRPr="00B2738D">
        <w:rPr>
          <w:sz w:val="22"/>
          <w:lang w:val="en-AU"/>
        </w:rPr>
        <w:t>(16a)</w:t>
      </w:r>
    </w:p>
    <w:p w:rsidR="00F944A9" w:rsidRDefault="00F944A9" w:rsidP="007E4B5E">
      <w:pPr>
        <w:tabs>
          <w:tab w:val="left" w:pos="426"/>
          <w:tab w:val="right" w:pos="8931"/>
        </w:tabs>
        <w:spacing w:after="0" w:line="288" w:lineRule="auto"/>
        <w:jc w:val="both"/>
        <w:rPr>
          <w:lang w:val="en-AU"/>
        </w:rPr>
      </w:pPr>
    </w:p>
    <w:p w:rsidR="000B0697" w:rsidRDefault="000B0697" w:rsidP="007E4B5E">
      <w:pPr>
        <w:tabs>
          <w:tab w:val="left" w:pos="426"/>
          <w:tab w:val="right" w:pos="8931"/>
        </w:tabs>
        <w:spacing w:after="0" w:line="288" w:lineRule="auto"/>
        <w:jc w:val="both"/>
        <w:rPr>
          <w:lang w:val="en-AU"/>
        </w:rPr>
      </w:pPr>
      <w:proofErr w:type="gramStart"/>
      <w:r w:rsidRPr="000B0697">
        <w:rPr>
          <w:lang w:val="en-AU"/>
        </w:rPr>
        <w:t>where</w:t>
      </w:r>
      <w:proofErr w:type="gramEnd"/>
      <w:r w:rsidRPr="000B0697">
        <w:rPr>
          <w:lang w:val="en-AU"/>
        </w:rPr>
        <w:t xml:space="preserve"> the lower case letters are as defined earlier. From the above it can be seen that TFP can be estimated as a residual using either of the two equations; but equation (16a) is more convenient.</w:t>
      </w:r>
    </w:p>
    <w:p w:rsidR="006C625D" w:rsidRPr="000B0697" w:rsidRDefault="006C625D" w:rsidP="007E4B5E">
      <w:pPr>
        <w:tabs>
          <w:tab w:val="left" w:pos="426"/>
          <w:tab w:val="right" w:pos="8931"/>
        </w:tabs>
        <w:spacing w:after="0" w:line="288" w:lineRule="auto"/>
        <w:jc w:val="both"/>
        <w:rPr>
          <w:lang w:val="en-AU"/>
        </w:rPr>
      </w:pPr>
    </w:p>
    <w:p w:rsidR="000B0697" w:rsidRDefault="006C625D" w:rsidP="007E4B5E">
      <w:pPr>
        <w:tabs>
          <w:tab w:val="left" w:pos="426"/>
          <w:tab w:val="right" w:pos="8931"/>
        </w:tabs>
        <w:spacing w:after="0" w:line="288" w:lineRule="auto"/>
        <w:jc w:val="both"/>
        <w:rPr>
          <w:lang w:val="en-AU"/>
        </w:rPr>
      </w:pPr>
      <w:r>
        <w:rPr>
          <w:lang w:val="en-AU"/>
        </w:rPr>
        <w:tab/>
      </w:r>
      <w:r w:rsidR="000B0697" w:rsidRPr="000B0697">
        <w:rPr>
          <w:lang w:val="en-AU"/>
        </w:rPr>
        <w:t xml:space="preserve">The result in (16) shows that the estimate of the profit share α is critical because it affects TFP. From (16a) we can see </w:t>
      </w:r>
      <w:proofErr w:type="gramStart"/>
      <w:r w:rsidR="000B0697" w:rsidRPr="000B0697">
        <w:rPr>
          <w:lang w:val="en-AU"/>
        </w:rPr>
        <w:t xml:space="preserve">that </w:t>
      </w:r>
      <w:proofErr w:type="gramEnd"/>
      <w:r w:rsidR="000B0697" w:rsidRPr="000B0697">
        <w:rPr>
          <w:lang w:val="en-AU"/>
        </w:rPr>
        <w:object w:dxaOrig="1760" w:dyaOrig="620">
          <v:shape id="_x0000_i1059" type="#_x0000_t75" style="width:87.8pt;height:32.2pt" o:ole="">
            <v:imagedata r:id="rId75" o:title=""/>
          </v:shape>
          <o:OLEObject Type="Embed" ProgID="Equation.3" ShapeID="_x0000_i1059" DrawAspect="Content" ObjectID="_1445969197" r:id="rId76"/>
        </w:object>
      </w:r>
      <w:r w:rsidR="000B0697" w:rsidRPr="000B0697">
        <w:rPr>
          <w:lang w:val="en-AU"/>
        </w:rPr>
        <w:t xml:space="preserve">. This implies that using overestimated values of </w:t>
      </w:r>
      <w:r w:rsidR="00671057" w:rsidRPr="00671057">
        <w:rPr>
          <w:position w:val="-6"/>
          <w:lang w:val="en-AU"/>
        </w:rPr>
        <w:object w:dxaOrig="240" w:dyaOrig="220">
          <v:shape id="_x0000_i1060" type="#_x0000_t75" style="width:12pt;height:9.8pt" o:ole="">
            <v:imagedata r:id="rId61" o:title=""/>
          </v:shape>
          <o:OLEObject Type="Embed" ProgID="Equation.3" ShapeID="_x0000_i1060" DrawAspect="Content" ObjectID="_1445969198" r:id="rId77"/>
        </w:object>
      </w:r>
      <w:r w:rsidR="000B0697" w:rsidRPr="000B0697">
        <w:rPr>
          <w:lang w:val="en-AU"/>
        </w:rPr>
        <w:t xml:space="preserve"> in a GAE gives underestimated TFP values. This is unlikely to affect the regression results significantly when TFP is regressed on its potential determinants, because </w:t>
      </w:r>
      <w:r w:rsidR="00671057" w:rsidRPr="00671057">
        <w:rPr>
          <w:position w:val="-6"/>
          <w:lang w:val="en-AU"/>
        </w:rPr>
        <w:object w:dxaOrig="240" w:dyaOrig="220">
          <v:shape id="_x0000_i1061" type="#_x0000_t75" style="width:12pt;height:9.8pt" o:ole="">
            <v:imagedata r:id="rId61" o:title=""/>
          </v:shape>
          <o:OLEObject Type="Embed" ProgID="Equation.3" ShapeID="_x0000_i1061" DrawAspect="Content" ObjectID="_1445969199" r:id="rId78"/>
        </w:object>
      </w:r>
      <w:r w:rsidR="000B0697" w:rsidRPr="000B0697">
        <w:rPr>
          <w:lang w:val="en-AU"/>
        </w:rPr>
        <w:t xml:space="preserve">is held constant in the GAE. Therefore, the selected value for </w:t>
      </w:r>
      <w:r w:rsidR="00671057" w:rsidRPr="00671057">
        <w:rPr>
          <w:position w:val="-6"/>
          <w:lang w:val="en-AU"/>
        </w:rPr>
        <w:object w:dxaOrig="240" w:dyaOrig="220">
          <v:shape id="_x0000_i1062" type="#_x0000_t75" style="width:12pt;height:9.8pt" o:ole="">
            <v:imagedata r:id="rId61" o:title=""/>
          </v:shape>
          <o:OLEObject Type="Embed" ProgID="Equation.3" ShapeID="_x0000_i1062" DrawAspect="Content" ObjectID="_1445969200" r:id="rId79"/>
        </w:object>
      </w:r>
      <w:r w:rsidR="000B0697" w:rsidRPr="000B0697">
        <w:rPr>
          <w:lang w:val="en-AU"/>
        </w:rPr>
        <w:t xml:space="preserve">higher or </w:t>
      </w:r>
      <w:proofErr w:type="gramStart"/>
      <w:r w:rsidR="000B0697" w:rsidRPr="000B0697">
        <w:rPr>
          <w:lang w:val="en-AU"/>
        </w:rPr>
        <w:t>lower,</w:t>
      </w:r>
      <w:proofErr w:type="gramEnd"/>
      <w:r w:rsidR="000B0697" w:rsidRPr="000B0697">
        <w:rPr>
          <w:lang w:val="en-AU"/>
        </w:rPr>
        <w:t xml:space="preserve"> may yield similar coefficients for the determinants of TFP. </w:t>
      </w:r>
    </w:p>
    <w:p w:rsidR="005B788C" w:rsidRDefault="005B788C" w:rsidP="007E4B5E">
      <w:pPr>
        <w:tabs>
          <w:tab w:val="left" w:pos="426"/>
          <w:tab w:val="right" w:pos="8931"/>
        </w:tabs>
        <w:spacing w:after="0" w:line="288" w:lineRule="auto"/>
        <w:jc w:val="both"/>
        <w:rPr>
          <w:lang w:val="en-AU"/>
        </w:rPr>
      </w:pPr>
    </w:p>
    <w:p w:rsidR="005B788C" w:rsidRDefault="005A5EC1" w:rsidP="007E4B5E">
      <w:pPr>
        <w:pStyle w:val="ListParagraph"/>
        <w:numPr>
          <w:ilvl w:val="0"/>
          <w:numId w:val="1"/>
        </w:numPr>
        <w:tabs>
          <w:tab w:val="left" w:pos="426"/>
          <w:tab w:val="right" w:pos="8931"/>
        </w:tabs>
        <w:spacing w:after="0" w:line="288" w:lineRule="auto"/>
        <w:ind w:left="0" w:firstLine="0"/>
        <w:jc w:val="both"/>
        <w:rPr>
          <w:b/>
          <w:bCs/>
          <w:lang w:val="en-AU"/>
        </w:rPr>
      </w:pPr>
      <w:r w:rsidRPr="00C24164">
        <w:rPr>
          <w:b/>
          <w:bCs/>
          <w:lang w:val="en-AU"/>
        </w:rPr>
        <w:t>Estimation of Production Function and TFP</w:t>
      </w:r>
    </w:p>
    <w:p w:rsidR="006C625D" w:rsidRPr="006C625D" w:rsidRDefault="006C625D" w:rsidP="007E4B5E">
      <w:pPr>
        <w:pStyle w:val="ListParagraph"/>
        <w:tabs>
          <w:tab w:val="left" w:pos="426"/>
          <w:tab w:val="right" w:pos="8931"/>
        </w:tabs>
        <w:spacing w:after="0" w:line="288" w:lineRule="auto"/>
        <w:jc w:val="both"/>
        <w:rPr>
          <w:b/>
          <w:bCs/>
          <w:sz w:val="12"/>
          <w:szCs w:val="12"/>
          <w:lang w:val="en-AU"/>
        </w:rPr>
      </w:pPr>
    </w:p>
    <w:p w:rsidR="005A5EC1" w:rsidRDefault="005A5EC1" w:rsidP="007E4B5E">
      <w:pPr>
        <w:tabs>
          <w:tab w:val="left" w:pos="426"/>
          <w:tab w:val="right" w:pos="8931"/>
        </w:tabs>
        <w:spacing w:after="0" w:line="288" w:lineRule="auto"/>
        <w:jc w:val="both"/>
        <w:rPr>
          <w:lang w:val="en-AU"/>
        </w:rPr>
      </w:pPr>
      <w:r>
        <w:rPr>
          <w:lang w:val="en-AU"/>
        </w:rPr>
        <w:t xml:space="preserve">To estimate the production function based on </w:t>
      </w:r>
      <w:r w:rsidR="00D94A56">
        <w:rPr>
          <w:lang w:val="en-AU"/>
        </w:rPr>
        <w:t>Eq. (</w:t>
      </w:r>
      <w:r>
        <w:rPr>
          <w:lang w:val="en-AU"/>
        </w:rPr>
        <w:t>14</w:t>
      </w:r>
      <w:r w:rsidRPr="005A5EC1">
        <w:rPr>
          <w:lang w:val="en-AU"/>
        </w:rPr>
        <w:t>) it is first necessary to check the time series prope</w:t>
      </w:r>
      <w:r>
        <w:rPr>
          <w:lang w:val="en-AU"/>
        </w:rPr>
        <w:t xml:space="preserve">rties of the variables </w:t>
      </w:r>
      <w:r w:rsidR="003F7CFD">
        <w:rPr>
          <w:lang w:val="en-AU"/>
        </w:rPr>
        <w:t xml:space="preserve">and </w:t>
      </w:r>
      <w:r>
        <w:rPr>
          <w:lang w:val="en-AU"/>
        </w:rPr>
        <w:t xml:space="preserve">we have conducted the ADF </w:t>
      </w:r>
      <w:r w:rsidRPr="005A5EC1">
        <w:rPr>
          <w:lang w:val="en-AU"/>
        </w:rPr>
        <w:t xml:space="preserve">and DF-GLS </w:t>
      </w:r>
      <w:r w:rsidR="00D94A56">
        <w:rPr>
          <w:lang w:val="en-AU"/>
        </w:rPr>
        <w:t xml:space="preserve">unit roots </w:t>
      </w:r>
      <w:r w:rsidRPr="005A5EC1">
        <w:rPr>
          <w:lang w:val="en-AU"/>
        </w:rPr>
        <w:t xml:space="preserve">tests </w:t>
      </w:r>
      <w:r w:rsidR="003F7CFD">
        <w:rPr>
          <w:lang w:val="en-AU"/>
        </w:rPr>
        <w:t xml:space="preserve">to test if these variables are </w:t>
      </w:r>
      <w:r>
        <w:rPr>
          <w:lang w:val="en-AU"/>
        </w:rPr>
        <w:t xml:space="preserve">stationary </w:t>
      </w:r>
      <w:r w:rsidRPr="005A5EC1">
        <w:rPr>
          <w:lang w:val="en-AU"/>
        </w:rPr>
        <w:t xml:space="preserve">in </w:t>
      </w:r>
      <w:r>
        <w:rPr>
          <w:lang w:val="en-AU"/>
        </w:rPr>
        <w:t>their levels and</w:t>
      </w:r>
      <w:r w:rsidRPr="005A5EC1">
        <w:rPr>
          <w:lang w:val="en-AU"/>
        </w:rPr>
        <w:t xml:space="preserve"> in their first differences. ADF </w:t>
      </w:r>
      <w:r>
        <w:rPr>
          <w:lang w:val="en-AU"/>
        </w:rPr>
        <w:t>has</w:t>
      </w:r>
      <w:r w:rsidRPr="005A5EC1">
        <w:rPr>
          <w:lang w:val="en-AU"/>
        </w:rPr>
        <w:t xml:space="preserve"> less power against the null. In contrast the Elliot, Rothenberg and Stock (1996, 1992, hereafter ERS) DF-GLS test belongs to a class known as the efficient unit root tests.  These efficient tests have more power against the unit root null and less size distortions in comparison to the ADF test.  </w:t>
      </w:r>
      <w:r w:rsidR="00D94A56">
        <w:rPr>
          <w:lang w:val="en-AU"/>
        </w:rPr>
        <w:t xml:space="preserve">Based on the more efficient DF-GLS tests we found the logarithms of </w:t>
      </w:r>
      <w:r w:rsidR="003F7CFD">
        <w:rPr>
          <w:lang w:val="en-AU"/>
        </w:rPr>
        <w:t xml:space="preserve">the </w:t>
      </w:r>
      <w:r w:rsidR="00D94A56">
        <w:rPr>
          <w:lang w:val="en-AU"/>
        </w:rPr>
        <w:t xml:space="preserve">variables in Eq. (14) </w:t>
      </w:r>
      <w:r w:rsidR="003F7CFD">
        <w:rPr>
          <w:lang w:val="en-AU"/>
        </w:rPr>
        <w:t>are I(1) in levels and I(0) in their first difference</w:t>
      </w:r>
      <w:r w:rsidR="003F7CFD">
        <w:rPr>
          <w:rStyle w:val="FootnoteReference"/>
          <w:lang w:val="en-AU"/>
        </w:rPr>
        <w:footnoteReference w:id="3"/>
      </w:r>
      <w:r w:rsidR="003F7CFD">
        <w:rPr>
          <w:lang w:val="en-AU"/>
        </w:rPr>
        <w:t xml:space="preserve">.  </w:t>
      </w:r>
    </w:p>
    <w:p w:rsidR="003F7CFD" w:rsidRDefault="003F7CFD" w:rsidP="007E4B5E">
      <w:pPr>
        <w:tabs>
          <w:tab w:val="left" w:pos="426"/>
          <w:tab w:val="right" w:pos="8931"/>
        </w:tabs>
        <w:spacing w:after="0" w:line="288" w:lineRule="auto"/>
        <w:jc w:val="both"/>
        <w:rPr>
          <w:iCs/>
          <w:lang w:val="en-AU"/>
        </w:rPr>
      </w:pPr>
      <w:r>
        <w:rPr>
          <w:lang w:val="en-AU"/>
        </w:rPr>
        <w:lastRenderedPageBreak/>
        <w:tab/>
      </w:r>
      <w:r w:rsidRPr="003F7CFD">
        <w:rPr>
          <w:lang w:val="en-AU"/>
        </w:rPr>
        <w:t xml:space="preserve">For valid estimates </w:t>
      </w:r>
      <w:r w:rsidR="00333633">
        <w:rPr>
          <w:lang w:val="en-AU"/>
        </w:rPr>
        <w:t xml:space="preserve">of the production function </w:t>
      </w:r>
      <w:r w:rsidR="00841B32">
        <w:rPr>
          <w:lang w:val="en-AU"/>
        </w:rPr>
        <w:t xml:space="preserve">with </w:t>
      </w:r>
      <w:r w:rsidRPr="003F7CFD">
        <w:rPr>
          <w:iCs/>
          <w:lang w:val="en-AU"/>
        </w:rPr>
        <w:t>cointegration method</w:t>
      </w:r>
      <w:r>
        <w:rPr>
          <w:iCs/>
          <w:lang w:val="en-AU"/>
        </w:rPr>
        <w:t>,</w:t>
      </w:r>
      <w:r w:rsidRPr="003F7CFD">
        <w:rPr>
          <w:iCs/>
          <w:lang w:val="en-AU"/>
        </w:rPr>
        <w:t xml:space="preserve"> </w:t>
      </w:r>
      <w:r w:rsidRPr="003F7CFD">
        <w:rPr>
          <w:lang w:val="en-AU"/>
        </w:rPr>
        <w:t xml:space="preserve">it is necessary that all the variables should be </w:t>
      </w:r>
      <w:proofErr w:type="gramStart"/>
      <w:r w:rsidRPr="00C24164">
        <w:rPr>
          <w:iCs/>
          <w:lang w:val="en-AU"/>
        </w:rPr>
        <w:t>I(</w:t>
      </w:r>
      <w:proofErr w:type="gramEnd"/>
      <w:r w:rsidRPr="00C24164">
        <w:rPr>
          <w:iCs/>
          <w:lang w:val="en-AU"/>
        </w:rPr>
        <w:t>1)</w:t>
      </w:r>
      <w:r w:rsidRPr="003F7CFD">
        <w:rPr>
          <w:lang w:val="en-AU"/>
        </w:rPr>
        <w:t xml:space="preserve"> in levels</w:t>
      </w:r>
      <w:r>
        <w:rPr>
          <w:lang w:val="en-AU"/>
        </w:rPr>
        <w:t xml:space="preserve">. </w:t>
      </w:r>
      <w:r w:rsidR="00333633">
        <w:rPr>
          <w:lang w:val="en-AU"/>
        </w:rPr>
        <w:t xml:space="preserve">The unit roots test confirm that </w:t>
      </w:r>
      <w:r>
        <w:rPr>
          <w:lang w:val="en-AU"/>
        </w:rPr>
        <w:t xml:space="preserve">log of </w:t>
      </w:r>
      <w:r w:rsidR="00333633" w:rsidRPr="003F7CFD">
        <w:rPr>
          <w:position w:val="-10"/>
          <w:lang w:val="en-AU"/>
        </w:rPr>
        <w:object w:dxaOrig="220" w:dyaOrig="260">
          <v:shape id="_x0000_i1063" type="#_x0000_t75" style="width:9.8pt;height:14.2pt" o:ole="">
            <v:imagedata r:id="rId80" o:title=""/>
          </v:shape>
          <o:OLEObject Type="Embed" ProgID="Equation.3" ShapeID="_x0000_i1063" DrawAspect="Content" ObjectID="_1445969201" r:id="rId81"/>
        </w:object>
      </w:r>
      <w:r w:rsidRPr="003F7CFD">
        <w:rPr>
          <w:lang w:val="en-AU"/>
        </w:rPr>
        <w:t xml:space="preserve"> </w:t>
      </w:r>
      <w:r>
        <w:rPr>
          <w:lang w:val="en-AU"/>
        </w:rPr>
        <w:t xml:space="preserve">and </w:t>
      </w:r>
      <w:r w:rsidR="00333633" w:rsidRPr="003F7CFD">
        <w:rPr>
          <w:position w:val="-6"/>
          <w:lang w:val="en-AU"/>
        </w:rPr>
        <w:object w:dxaOrig="200" w:dyaOrig="279">
          <v:shape id="_x0000_i1064" type="#_x0000_t75" style="width:9.8pt;height:14.2pt" o:ole="">
            <v:imagedata r:id="rId82" o:title=""/>
          </v:shape>
          <o:OLEObject Type="Embed" ProgID="Equation.3" ShapeID="_x0000_i1064" DrawAspect="Content" ObjectID="_1445969202" r:id="rId83"/>
        </w:object>
      </w:r>
      <w:r>
        <w:rPr>
          <w:lang w:val="en-AU"/>
        </w:rPr>
        <w:t xml:space="preserve">are </w:t>
      </w:r>
      <w:proofErr w:type="gramStart"/>
      <w:r w:rsidRPr="00C24164">
        <w:rPr>
          <w:lang w:val="en-AU"/>
        </w:rPr>
        <w:t>I</w:t>
      </w:r>
      <w:r>
        <w:rPr>
          <w:lang w:val="en-AU"/>
        </w:rPr>
        <w:t>(</w:t>
      </w:r>
      <w:proofErr w:type="gramEnd"/>
      <w:r w:rsidRPr="003F7CFD">
        <w:rPr>
          <w:lang w:val="en-AU"/>
        </w:rPr>
        <w:t>1</w:t>
      </w:r>
      <w:r>
        <w:rPr>
          <w:lang w:val="en-AU"/>
        </w:rPr>
        <w:t>)</w:t>
      </w:r>
      <w:r w:rsidR="00333633">
        <w:rPr>
          <w:lang w:val="en-AU"/>
        </w:rPr>
        <w:t xml:space="preserve">, therefore we estimate the production function based on Eq. (14) using </w:t>
      </w:r>
      <w:r w:rsidR="00333633" w:rsidRPr="00333633">
        <w:rPr>
          <w:lang w:val="en-AU"/>
        </w:rPr>
        <w:t xml:space="preserve">with </w:t>
      </w:r>
      <w:r w:rsidR="00333633" w:rsidRPr="00333633">
        <w:rPr>
          <w:iCs/>
          <w:lang w:val="en-AU"/>
        </w:rPr>
        <w:t xml:space="preserve">the Phillips-Hansen fully modified </w:t>
      </w:r>
      <w:r w:rsidR="00333633" w:rsidRPr="00C24164">
        <w:rPr>
          <w:lang w:val="en-US"/>
        </w:rPr>
        <w:t>OLS</w:t>
      </w:r>
      <w:r w:rsidR="00333633" w:rsidRPr="00333633">
        <w:rPr>
          <w:iCs/>
          <w:lang w:val="en-AU"/>
        </w:rPr>
        <w:t xml:space="preserve"> (FMOLS)</w:t>
      </w:r>
      <w:r w:rsidR="00333633">
        <w:rPr>
          <w:iCs/>
          <w:lang w:val="en-AU"/>
        </w:rPr>
        <w:t>. We obtain a statistically significant estimate</w:t>
      </w:r>
      <w:r w:rsidR="00DA2231">
        <w:rPr>
          <w:rStyle w:val="FootnoteReference"/>
          <w:iCs/>
          <w:lang w:val="en-AU"/>
        </w:rPr>
        <w:footnoteReference w:id="4"/>
      </w:r>
      <w:r w:rsidR="00333633">
        <w:rPr>
          <w:iCs/>
          <w:lang w:val="en-AU"/>
        </w:rPr>
        <w:t xml:space="preserve"> of </w:t>
      </w:r>
      <w:r w:rsidR="00333633" w:rsidRPr="00333633">
        <w:rPr>
          <w:iCs/>
          <w:position w:val="-6"/>
          <w:lang w:val="en-AU"/>
        </w:rPr>
        <w:object w:dxaOrig="240" w:dyaOrig="220">
          <v:shape id="_x0000_i1065" type="#_x0000_t75" style="width:12pt;height:9.8pt" o:ole="">
            <v:imagedata r:id="rId84" o:title=""/>
          </v:shape>
          <o:OLEObject Type="Embed" ProgID="Equation.3" ShapeID="_x0000_i1065" DrawAspect="Content" ObjectID="_1445969203" r:id="rId85"/>
        </w:object>
      </w:r>
      <w:r w:rsidR="00333633">
        <w:rPr>
          <w:iCs/>
          <w:lang w:val="en-AU"/>
        </w:rPr>
        <w:t xml:space="preserve">equal to 0.49. </w:t>
      </w:r>
      <w:r w:rsidR="00333633" w:rsidRPr="00333633">
        <w:rPr>
          <w:iCs/>
          <w:lang w:val="en-AU"/>
        </w:rPr>
        <w:t>The stylised value of</w:t>
      </w:r>
      <w:r w:rsidR="00333633">
        <w:rPr>
          <w:iCs/>
          <w:lang w:val="en-AU"/>
        </w:rPr>
        <w:t xml:space="preserve"> </w:t>
      </w:r>
      <w:r w:rsidR="00333633" w:rsidRPr="00333633">
        <w:rPr>
          <w:iCs/>
          <w:position w:val="-6"/>
          <w:lang w:val="en-AU"/>
        </w:rPr>
        <w:object w:dxaOrig="240" w:dyaOrig="220">
          <v:shape id="_x0000_i1066" type="#_x0000_t75" style="width:12pt;height:9.8pt" o:ole="">
            <v:imagedata r:id="rId86" o:title=""/>
          </v:shape>
          <o:OLEObject Type="Embed" ProgID="Equation.3" ShapeID="_x0000_i1066" DrawAspect="Content" ObjectID="_1445969204" r:id="rId87"/>
        </w:object>
      </w:r>
      <w:r w:rsidR="00333633" w:rsidRPr="00333633">
        <w:rPr>
          <w:iCs/>
          <w:lang w:val="en-AU"/>
        </w:rPr>
        <w:t xml:space="preserve">used in many growth accounting exercises, especially for the developed countries, is </w:t>
      </w:r>
      <w:r w:rsidR="00333633">
        <w:rPr>
          <w:iCs/>
          <w:lang w:val="en-AU"/>
        </w:rPr>
        <w:t>0.33</w:t>
      </w:r>
      <w:r w:rsidR="00333633" w:rsidRPr="00333633">
        <w:rPr>
          <w:iCs/>
          <w:lang w:val="en-AU"/>
        </w:rPr>
        <w:t xml:space="preserve">. </w:t>
      </w:r>
      <w:proofErr w:type="gramStart"/>
      <w:r w:rsidR="00333633" w:rsidRPr="00333633">
        <w:rPr>
          <w:iCs/>
          <w:lang w:val="en-AU"/>
        </w:rPr>
        <w:t>But</w:t>
      </w:r>
      <w:r w:rsidR="00DA2231">
        <w:rPr>
          <w:iCs/>
          <w:lang w:val="en-AU"/>
        </w:rPr>
        <w:t xml:space="preserve"> </w:t>
      </w:r>
      <w:r w:rsidR="00333633" w:rsidRPr="00333633">
        <w:rPr>
          <w:iCs/>
          <w:lang w:val="en-AU"/>
        </w:rPr>
        <w:t xml:space="preserve">for the developing countries </w:t>
      </w:r>
      <w:r w:rsidR="00DA2231" w:rsidRPr="00333633">
        <w:rPr>
          <w:iCs/>
          <w:position w:val="-6"/>
          <w:lang w:val="en-AU"/>
        </w:rPr>
        <w:object w:dxaOrig="240" w:dyaOrig="220">
          <v:shape id="_x0000_i1067" type="#_x0000_t75" style="width:12pt;height:9.8pt" o:ole="">
            <v:imagedata r:id="rId86" o:title=""/>
          </v:shape>
          <o:OLEObject Type="Embed" ProgID="Equation.3" ShapeID="_x0000_i1067" DrawAspect="Content" ObjectID="_1445969205" r:id="rId88"/>
        </w:object>
      </w:r>
      <w:r w:rsidR="00333633" w:rsidRPr="00333633">
        <w:rPr>
          <w:iCs/>
          <w:lang w:val="en-AU"/>
        </w:rPr>
        <w:t>could be higher than the stylised value</w:t>
      </w:r>
      <w:r w:rsidR="00333633">
        <w:rPr>
          <w:iCs/>
          <w:lang w:val="en-AU"/>
        </w:rPr>
        <w:t>, which is explained in section 4.</w:t>
      </w:r>
      <w:proofErr w:type="gramEnd"/>
      <w:r w:rsidR="00333633">
        <w:rPr>
          <w:iCs/>
          <w:lang w:val="en-AU"/>
        </w:rPr>
        <w:t xml:space="preserve"> </w:t>
      </w:r>
      <w:r w:rsidR="00DA2231">
        <w:rPr>
          <w:iCs/>
          <w:lang w:val="en-AU"/>
        </w:rPr>
        <w:t>Given that Bangladesh is a developing country,</w:t>
      </w:r>
      <w:r w:rsidR="00333633">
        <w:rPr>
          <w:iCs/>
          <w:lang w:val="en-AU"/>
        </w:rPr>
        <w:t xml:space="preserve"> our estimate of </w:t>
      </w:r>
      <w:r w:rsidR="00333633" w:rsidRPr="00333633">
        <w:rPr>
          <w:iCs/>
          <w:position w:val="-6"/>
          <w:lang w:val="en-AU"/>
        </w:rPr>
        <w:object w:dxaOrig="240" w:dyaOrig="220">
          <v:shape id="_x0000_i1068" type="#_x0000_t75" style="width:12pt;height:9.8pt" o:ole="">
            <v:imagedata r:id="rId86" o:title=""/>
          </v:shape>
          <o:OLEObject Type="Embed" ProgID="Equation.3" ShapeID="_x0000_i1068" DrawAspect="Content" ObjectID="_1445969206" r:id="rId89"/>
        </w:object>
      </w:r>
      <w:r w:rsidR="00333633">
        <w:rPr>
          <w:iCs/>
          <w:lang w:val="en-AU"/>
        </w:rPr>
        <w:t xml:space="preserve">is </w:t>
      </w:r>
      <w:r w:rsidR="00DA2231">
        <w:rPr>
          <w:iCs/>
          <w:lang w:val="en-AU"/>
        </w:rPr>
        <w:t xml:space="preserve">quite standard. Good estimates of </w:t>
      </w:r>
      <w:r w:rsidR="00DA2231" w:rsidRPr="00DA2231">
        <w:rPr>
          <w:iCs/>
          <w:position w:val="-6"/>
          <w:lang w:val="en-AU"/>
        </w:rPr>
        <w:object w:dxaOrig="240" w:dyaOrig="220">
          <v:shape id="_x0000_i1069" type="#_x0000_t75" style="width:12pt;height:9.8pt" o:ole="">
            <v:imagedata r:id="rId90" o:title=""/>
          </v:shape>
          <o:OLEObject Type="Embed" ProgID="Equation.3" ShapeID="_x0000_i1069" DrawAspect="Content" ObjectID="_1445969207" r:id="rId91"/>
        </w:object>
      </w:r>
      <w:r w:rsidR="00DA2231">
        <w:rPr>
          <w:iCs/>
          <w:lang w:val="en-AU"/>
        </w:rPr>
        <w:t xml:space="preserve">is crucial because it influences the estimations of </w:t>
      </w:r>
      <w:r w:rsidR="00DA2231" w:rsidRPr="00C24164">
        <w:rPr>
          <w:i/>
          <w:lang w:val="en-AU"/>
        </w:rPr>
        <w:t>TFP</w:t>
      </w:r>
      <w:r w:rsidR="00DA2231">
        <w:rPr>
          <w:iCs/>
          <w:lang w:val="en-AU"/>
        </w:rPr>
        <w:t xml:space="preserve"> as it can be seen from Eq. (16.a). </w:t>
      </w:r>
    </w:p>
    <w:p w:rsidR="006C625D" w:rsidRDefault="006C625D" w:rsidP="007E4B5E">
      <w:pPr>
        <w:tabs>
          <w:tab w:val="left" w:pos="426"/>
          <w:tab w:val="right" w:pos="8931"/>
        </w:tabs>
        <w:spacing w:after="0" w:line="288" w:lineRule="auto"/>
        <w:jc w:val="both"/>
        <w:rPr>
          <w:iCs/>
          <w:lang w:val="en-AU"/>
        </w:rPr>
      </w:pPr>
    </w:p>
    <w:p w:rsidR="00DA2231" w:rsidRDefault="00DA2231" w:rsidP="007E4B5E">
      <w:pPr>
        <w:tabs>
          <w:tab w:val="left" w:pos="426"/>
          <w:tab w:val="right" w:pos="8931"/>
        </w:tabs>
        <w:spacing w:after="0" w:line="288" w:lineRule="auto"/>
        <w:jc w:val="both"/>
        <w:rPr>
          <w:iCs/>
          <w:lang w:val="en-AU"/>
        </w:rPr>
      </w:pPr>
      <w:r>
        <w:rPr>
          <w:iCs/>
          <w:lang w:val="en-AU"/>
        </w:rPr>
        <w:tab/>
      </w:r>
      <w:r w:rsidRPr="00DA2231">
        <w:rPr>
          <w:iCs/>
          <w:lang w:val="en-AU"/>
        </w:rPr>
        <w:t xml:space="preserve">From </w:t>
      </w:r>
      <w:r>
        <w:rPr>
          <w:iCs/>
          <w:lang w:val="en-AU"/>
        </w:rPr>
        <w:t>Eq. (16a),</w:t>
      </w:r>
      <w:r w:rsidRPr="00DA2231">
        <w:rPr>
          <w:iCs/>
          <w:lang w:val="en-AU"/>
        </w:rPr>
        <w:t xml:space="preserve"> it can be seen that </w:t>
      </w:r>
      <w:r w:rsidRPr="00DA2231">
        <w:rPr>
          <w:i/>
          <w:iCs/>
          <w:lang w:val="en-AU"/>
        </w:rPr>
        <w:t>TFP</w:t>
      </w:r>
      <w:r>
        <w:rPr>
          <w:iCs/>
          <w:lang w:val="en-AU"/>
        </w:rPr>
        <w:t xml:space="preserve"> can be estimated as a residual. </w:t>
      </w:r>
      <w:r w:rsidRPr="00DA2231">
        <w:rPr>
          <w:iCs/>
          <w:lang w:val="en-AU"/>
        </w:rPr>
        <w:t xml:space="preserve">We shall use </w:t>
      </w:r>
      <w:r>
        <w:rPr>
          <w:iCs/>
          <w:lang w:val="en-AU"/>
        </w:rPr>
        <w:t xml:space="preserve">our estimated value of </w:t>
      </w:r>
      <w:r w:rsidRPr="00333633">
        <w:rPr>
          <w:iCs/>
          <w:position w:val="-6"/>
          <w:lang w:val="en-AU"/>
        </w:rPr>
        <w:object w:dxaOrig="240" w:dyaOrig="220">
          <v:shape id="_x0000_i1070" type="#_x0000_t75" style="width:12pt;height:9.8pt" o:ole="">
            <v:imagedata r:id="rId84" o:title=""/>
          </v:shape>
          <o:OLEObject Type="Embed" ProgID="Equation.3" ShapeID="_x0000_i1070" DrawAspect="Content" ObjectID="_1445969208" r:id="rId92"/>
        </w:object>
      </w:r>
      <w:r w:rsidR="00AB0407">
        <w:rPr>
          <w:iCs/>
          <w:lang w:val="en-AU"/>
        </w:rPr>
        <w:t xml:space="preserve">= 0.49 </w:t>
      </w:r>
      <w:r>
        <w:rPr>
          <w:iCs/>
          <w:lang w:val="en-AU"/>
        </w:rPr>
        <w:t xml:space="preserve">for obtaining </w:t>
      </w:r>
      <w:r w:rsidRPr="00DA2231">
        <w:rPr>
          <w:i/>
          <w:lang w:val="en-AU"/>
        </w:rPr>
        <w:t>TFP</w:t>
      </w:r>
      <w:r>
        <w:rPr>
          <w:iCs/>
          <w:lang w:val="en-AU"/>
        </w:rPr>
        <w:t xml:space="preserve"> from Eq. (16a).</w:t>
      </w:r>
      <w:r w:rsidRPr="00DA2231">
        <w:rPr>
          <w:iCs/>
          <w:lang w:val="en-AU"/>
        </w:rPr>
        <w:t xml:space="preserve"> These values of </w:t>
      </w:r>
      <w:r w:rsidRPr="00DA2231">
        <w:rPr>
          <w:i/>
          <w:iCs/>
          <w:lang w:val="en-AU"/>
        </w:rPr>
        <w:t>TFP</w:t>
      </w:r>
      <w:r w:rsidRPr="00DA2231">
        <w:rPr>
          <w:iCs/>
          <w:lang w:val="en-AU"/>
        </w:rPr>
        <w:t xml:space="preserve"> are plotted</w:t>
      </w:r>
      <w:r w:rsidR="00AB0407">
        <w:rPr>
          <w:iCs/>
          <w:lang w:val="en-AU"/>
        </w:rPr>
        <w:t xml:space="preserve"> in Figure 4</w:t>
      </w:r>
      <w:r w:rsidRPr="00DA2231">
        <w:rPr>
          <w:iCs/>
          <w:lang w:val="en-AU"/>
        </w:rPr>
        <w:t xml:space="preserve">. </w:t>
      </w:r>
      <w:r w:rsidR="00FA7C1F">
        <w:rPr>
          <w:iCs/>
          <w:lang w:val="en-AU"/>
        </w:rPr>
        <w:t xml:space="preserve"> </w:t>
      </w:r>
      <w:r w:rsidR="00311053">
        <w:rPr>
          <w:iCs/>
          <w:lang w:val="en-AU"/>
        </w:rPr>
        <w:t>A</w:t>
      </w:r>
      <w:r w:rsidR="00FA7C1F">
        <w:rPr>
          <w:iCs/>
          <w:lang w:val="en-AU"/>
        </w:rPr>
        <w:t>fter 1971, during the time when Bangladesh became independent nation, huge</w:t>
      </w:r>
      <w:r w:rsidR="00FA7C1F" w:rsidRPr="00FA7C1F">
        <w:rPr>
          <w:iCs/>
          <w:lang w:val="en-AU"/>
        </w:rPr>
        <w:t xml:space="preserve"> negative shock</w:t>
      </w:r>
      <w:r w:rsidR="00FA7C1F">
        <w:rPr>
          <w:iCs/>
          <w:lang w:val="en-AU"/>
        </w:rPr>
        <w:t>s</w:t>
      </w:r>
      <w:r w:rsidR="00FA7C1F" w:rsidRPr="00FA7C1F">
        <w:rPr>
          <w:iCs/>
          <w:lang w:val="en-AU"/>
        </w:rPr>
        <w:t xml:space="preserve"> to </w:t>
      </w:r>
      <w:r w:rsidR="00FA7C1F" w:rsidRPr="00FA7C1F">
        <w:rPr>
          <w:i/>
          <w:lang w:val="en-AU"/>
        </w:rPr>
        <w:t>TFP</w:t>
      </w:r>
      <w:r w:rsidR="00FA7C1F">
        <w:rPr>
          <w:iCs/>
          <w:lang w:val="en-AU"/>
        </w:rPr>
        <w:t xml:space="preserve"> can be observed</w:t>
      </w:r>
      <w:r w:rsidR="00FA7C1F" w:rsidRPr="00FA7C1F">
        <w:rPr>
          <w:iCs/>
          <w:lang w:val="en-AU"/>
        </w:rPr>
        <w:t xml:space="preserve">. </w:t>
      </w:r>
      <w:r w:rsidR="00311053">
        <w:rPr>
          <w:iCs/>
          <w:lang w:val="en-AU"/>
        </w:rPr>
        <w:t xml:space="preserve">The negative trend in </w:t>
      </w:r>
      <w:r w:rsidR="00311053" w:rsidRPr="00311053">
        <w:rPr>
          <w:i/>
          <w:lang w:val="en-AU"/>
        </w:rPr>
        <w:t>TFP</w:t>
      </w:r>
      <w:r w:rsidR="00311053">
        <w:rPr>
          <w:iCs/>
          <w:lang w:val="en-AU"/>
        </w:rPr>
        <w:t xml:space="preserve"> slowly becomes eliminated from 1975 onwards. The </w:t>
      </w:r>
      <w:r w:rsidR="00FA7C1F" w:rsidRPr="00311053">
        <w:rPr>
          <w:i/>
          <w:lang w:val="en-AU"/>
        </w:rPr>
        <w:t>TFP</w:t>
      </w:r>
      <w:r w:rsidR="00FA7C1F">
        <w:rPr>
          <w:iCs/>
          <w:lang w:val="en-AU"/>
        </w:rPr>
        <w:t xml:space="preserve"> growth has been hove</w:t>
      </w:r>
      <w:r w:rsidR="00FA7C1F" w:rsidRPr="00FA7C1F">
        <w:rPr>
          <w:iCs/>
          <w:lang w:val="en-AU"/>
        </w:rPr>
        <w:t>r</w:t>
      </w:r>
      <w:r w:rsidR="00FA7C1F">
        <w:rPr>
          <w:iCs/>
          <w:lang w:val="en-AU"/>
        </w:rPr>
        <w:t>ing</w:t>
      </w:r>
      <w:r w:rsidR="00FA7C1F" w:rsidRPr="00FA7C1F">
        <w:rPr>
          <w:iCs/>
          <w:lang w:val="en-AU"/>
        </w:rPr>
        <w:t xml:space="preserve"> between -0.05 and 0.05</w:t>
      </w:r>
      <w:r w:rsidR="00FA7C1F">
        <w:rPr>
          <w:iCs/>
          <w:lang w:val="en-AU"/>
        </w:rPr>
        <w:t xml:space="preserve"> percentage points</w:t>
      </w:r>
      <w:r w:rsidR="00311053" w:rsidRPr="00311053">
        <w:t xml:space="preserve"> </w:t>
      </w:r>
      <w:r w:rsidR="00311053">
        <w:rPr>
          <w:iCs/>
          <w:lang w:val="en-AU"/>
        </w:rPr>
        <w:t>since the mid-70s</w:t>
      </w:r>
      <w:r w:rsidR="00FA7C1F" w:rsidRPr="00FA7C1F">
        <w:rPr>
          <w:iCs/>
          <w:lang w:val="en-AU"/>
        </w:rPr>
        <w:t xml:space="preserve">. It </w:t>
      </w:r>
      <w:r w:rsidR="00FA7C1F">
        <w:rPr>
          <w:iCs/>
          <w:lang w:val="en-AU"/>
        </w:rPr>
        <w:t>has been</w:t>
      </w:r>
      <w:r w:rsidR="00FA7C1F" w:rsidRPr="00FA7C1F">
        <w:rPr>
          <w:iCs/>
          <w:lang w:val="en-AU"/>
        </w:rPr>
        <w:t xml:space="preserve"> relatively volatile during the 70s and 80s, but </w:t>
      </w:r>
      <w:r w:rsidR="00FA7C1F">
        <w:rPr>
          <w:iCs/>
          <w:lang w:val="en-AU"/>
        </w:rPr>
        <w:t xml:space="preserve">has stabilised since 1990 </w:t>
      </w:r>
      <w:r w:rsidR="00311053">
        <w:rPr>
          <w:iCs/>
          <w:lang w:val="en-AU"/>
        </w:rPr>
        <w:t>when</w:t>
      </w:r>
      <w:r w:rsidR="00FA7C1F">
        <w:rPr>
          <w:iCs/>
          <w:lang w:val="en-AU"/>
        </w:rPr>
        <w:t xml:space="preserve"> structural adjustments and liberalisation</w:t>
      </w:r>
      <w:r w:rsidR="00311053">
        <w:rPr>
          <w:iCs/>
          <w:lang w:val="en-AU"/>
        </w:rPr>
        <w:t xml:space="preserve"> policies were undertaken</w:t>
      </w:r>
      <w:r w:rsidR="00FA7C1F">
        <w:rPr>
          <w:iCs/>
          <w:lang w:val="en-AU"/>
        </w:rPr>
        <w:t xml:space="preserve">. After the 90s </w:t>
      </w:r>
      <w:r w:rsidR="00FA7C1F" w:rsidRPr="00FA7C1F">
        <w:rPr>
          <w:iCs/>
          <w:lang w:val="en-AU"/>
        </w:rPr>
        <w:t xml:space="preserve">the general trend </w:t>
      </w:r>
      <w:r w:rsidR="00FA7C1F">
        <w:rPr>
          <w:iCs/>
          <w:lang w:val="en-AU"/>
        </w:rPr>
        <w:t xml:space="preserve">in </w:t>
      </w:r>
      <w:r w:rsidR="00FA7C1F" w:rsidRPr="00FA7C1F">
        <w:rPr>
          <w:i/>
          <w:lang w:val="en-AU"/>
        </w:rPr>
        <w:t>TFP</w:t>
      </w:r>
      <w:r w:rsidR="00FA7C1F">
        <w:rPr>
          <w:iCs/>
          <w:lang w:val="en-AU"/>
        </w:rPr>
        <w:t xml:space="preserve"> growth </w:t>
      </w:r>
      <w:r w:rsidR="00FA7C1F" w:rsidRPr="00FA7C1F">
        <w:rPr>
          <w:iCs/>
          <w:lang w:val="en-AU"/>
        </w:rPr>
        <w:t>has been slightly positive.</w:t>
      </w:r>
    </w:p>
    <w:p w:rsidR="00DA2231" w:rsidRDefault="00DA2231" w:rsidP="007E4B5E">
      <w:pPr>
        <w:tabs>
          <w:tab w:val="left" w:pos="426"/>
          <w:tab w:val="right" w:pos="8931"/>
        </w:tabs>
        <w:spacing w:after="0" w:line="288" w:lineRule="auto"/>
        <w:jc w:val="center"/>
        <w:rPr>
          <w:iCs/>
          <w:lang w:val="en-AU"/>
        </w:rPr>
      </w:pPr>
    </w:p>
    <w:p w:rsidR="00B2738D" w:rsidRDefault="00B2738D" w:rsidP="007E4B5E">
      <w:pPr>
        <w:tabs>
          <w:tab w:val="left" w:pos="426"/>
          <w:tab w:val="right" w:pos="8931"/>
        </w:tabs>
        <w:spacing w:after="0" w:line="288" w:lineRule="auto"/>
        <w:jc w:val="center"/>
        <w:rPr>
          <w:iCs/>
          <w:lang w:val="en-AU"/>
        </w:rPr>
      </w:pPr>
      <w:r w:rsidRPr="00B2738D">
        <w:rPr>
          <w:iCs/>
          <w:noProof/>
          <w:lang w:eastAsia="en-NZ"/>
        </w:rPr>
        <w:drawing>
          <wp:inline distT="0" distB="0" distL="0" distR="0">
            <wp:extent cx="5314950" cy="3894331"/>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6193" cy="3902569"/>
                    </a:xfrm>
                    <a:prstGeom prst="rect">
                      <a:avLst/>
                    </a:prstGeom>
                    <a:noFill/>
                    <a:ln>
                      <a:noFill/>
                    </a:ln>
                  </pic:spPr>
                </pic:pic>
              </a:graphicData>
            </a:graphic>
          </wp:inline>
        </w:drawing>
      </w:r>
    </w:p>
    <w:p w:rsidR="00544890" w:rsidRDefault="00544890" w:rsidP="007E4B5E">
      <w:pPr>
        <w:tabs>
          <w:tab w:val="right" w:pos="8931"/>
        </w:tabs>
        <w:rPr>
          <w:iCs/>
          <w:lang w:val="en-AU"/>
        </w:rPr>
      </w:pPr>
      <w:r>
        <w:rPr>
          <w:iCs/>
          <w:lang w:val="en-AU"/>
        </w:rPr>
        <w:br w:type="page"/>
      </w:r>
    </w:p>
    <w:p w:rsidR="00E84D83" w:rsidRPr="00B2738D" w:rsidRDefault="009C2580" w:rsidP="007E4B5E">
      <w:pPr>
        <w:pStyle w:val="ListParagraph"/>
        <w:numPr>
          <w:ilvl w:val="0"/>
          <w:numId w:val="1"/>
        </w:numPr>
        <w:tabs>
          <w:tab w:val="left" w:pos="426"/>
          <w:tab w:val="right" w:pos="8931"/>
        </w:tabs>
        <w:spacing w:after="0" w:line="288" w:lineRule="auto"/>
        <w:ind w:left="0" w:firstLine="0"/>
        <w:jc w:val="both"/>
        <w:rPr>
          <w:b/>
          <w:bCs/>
          <w:lang w:val="en-AU"/>
        </w:rPr>
      </w:pPr>
      <w:r w:rsidRPr="00B2738D">
        <w:rPr>
          <w:b/>
          <w:bCs/>
          <w:lang w:val="en-AU"/>
        </w:rPr>
        <w:lastRenderedPageBreak/>
        <w:t>Empirical Model and Results</w:t>
      </w:r>
    </w:p>
    <w:p w:rsidR="006C625D" w:rsidRPr="006C625D" w:rsidRDefault="006C625D" w:rsidP="007E4B5E">
      <w:pPr>
        <w:pStyle w:val="ListParagraph"/>
        <w:tabs>
          <w:tab w:val="left" w:pos="426"/>
          <w:tab w:val="right" w:pos="8931"/>
        </w:tabs>
        <w:spacing w:after="0" w:line="288" w:lineRule="auto"/>
        <w:jc w:val="both"/>
        <w:rPr>
          <w:b/>
          <w:bCs/>
          <w:sz w:val="12"/>
          <w:szCs w:val="12"/>
          <w:lang w:val="en-AU"/>
        </w:rPr>
      </w:pPr>
    </w:p>
    <w:p w:rsidR="00F5513C" w:rsidRDefault="009C2580" w:rsidP="007E4B5E">
      <w:pPr>
        <w:tabs>
          <w:tab w:val="left" w:pos="426"/>
          <w:tab w:val="right" w:pos="8931"/>
        </w:tabs>
        <w:spacing w:after="0" w:line="288" w:lineRule="auto"/>
        <w:jc w:val="both"/>
        <w:rPr>
          <w:lang w:val="en-AU"/>
        </w:rPr>
      </w:pPr>
      <w:r w:rsidRPr="009C2580">
        <w:rPr>
          <w:lang w:val="en-AU"/>
        </w:rPr>
        <w:t xml:space="preserve">The specifications </w:t>
      </w:r>
      <w:r w:rsidR="00841B32">
        <w:rPr>
          <w:lang w:val="en-AU"/>
        </w:rPr>
        <w:t>adopted</w:t>
      </w:r>
      <w:r w:rsidRPr="009C2580">
        <w:rPr>
          <w:lang w:val="en-AU"/>
        </w:rPr>
        <w:t xml:space="preserve"> for estimating the growth effects of one or another growth enhancing variable, in both the cross country</w:t>
      </w:r>
      <w:r w:rsidR="00C24164">
        <w:rPr>
          <w:lang w:val="en-AU"/>
        </w:rPr>
        <w:t xml:space="preserve"> and country specific studies, </w:t>
      </w:r>
      <w:r>
        <w:rPr>
          <w:lang w:val="en-AU"/>
        </w:rPr>
        <w:t>use per capita GDP growth as the dependent variable in the growth regressions</w:t>
      </w:r>
      <w:r w:rsidRPr="009C2580">
        <w:rPr>
          <w:lang w:val="en-AU"/>
        </w:rPr>
        <w:t xml:space="preserve">. </w:t>
      </w:r>
      <w:r w:rsidR="006D7875">
        <w:rPr>
          <w:lang w:val="en-AU"/>
        </w:rPr>
        <w:t>B</w:t>
      </w:r>
      <w:r w:rsidR="00E7220D">
        <w:rPr>
          <w:lang w:val="en-AU"/>
        </w:rPr>
        <w:t xml:space="preserve">ased on the Solow (1957) growth model and its extension by MRW, the long-run growth rate is equivalent to rate of growth in </w:t>
      </w:r>
      <w:r w:rsidR="00E7220D" w:rsidRPr="00E7220D">
        <w:rPr>
          <w:i/>
          <w:iCs/>
          <w:lang w:val="en-AU"/>
        </w:rPr>
        <w:t>TFP</w:t>
      </w:r>
      <w:r w:rsidR="00E7220D">
        <w:rPr>
          <w:lang w:val="en-AU"/>
        </w:rPr>
        <w:t>. Therefore, h</w:t>
      </w:r>
      <w:r w:rsidR="00E7220D" w:rsidRPr="00E7220D">
        <w:rPr>
          <w:lang w:val="en-AU"/>
        </w:rPr>
        <w:t xml:space="preserve">aving estimated the </w:t>
      </w:r>
      <w:r w:rsidR="00E7220D" w:rsidRPr="00E7220D">
        <w:rPr>
          <w:i/>
          <w:iCs/>
          <w:lang w:val="en-AU"/>
        </w:rPr>
        <w:t>TFP</w:t>
      </w:r>
      <w:r w:rsidR="00E7220D" w:rsidRPr="00E7220D">
        <w:rPr>
          <w:lang w:val="en-AU"/>
        </w:rPr>
        <w:t>, we can now proceed to empirically</w:t>
      </w:r>
      <w:r w:rsidR="00841B32">
        <w:rPr>
          <w:lang w:val="en-AU"/>
        </w:rPr>
        <w:t xml:space="preserve"> test our U-shaped hypothesis of </w:t>
      </w:r>
      <w:r w:rsidR="00E7220D">
        <w:rPr>
          <w:lang w:val="en-AU"/>
        </w:rPr>
        <w:t xml:space="preserve">how remittances affect long-run growth. The dependent variable in our regression is </w:t>
      </w:r>
      <w:r w:rsidR="00E7220D" w:rsidRPr="00E7220D">
        <w:rPr>
          <w:i/>
          <w:iCs/>
          <w:lang w:val="en-AU"/>
        </w:rPr>
        <w:t>TFP</w:t>
      </w:r>
      <w:r w:rsidR="00E7220D">
        <w:rPr>
          <w:lang w:val="en-AU"/>
        </w:rPr>
        <w:t xml:space="preserve"> and the empirical model is presented as follows:</w:t>
      </w:r>
    </w:p>
    <w:p w:rsidR="006C625D" w:rsidRDefault="006C625D" w:rsidP="007E4B5E">
      <w:pPr>
        <w:tabs>
          <w:tab w:val="left" w:pos="426"/>
          <w:tab w:val="right" w:pos="8931"/>
        </w:tabs>
        <w:spacing w:after="0" w:line="288" w:lineRule="auto"/>
        <w:jc w:val="both"/>
        <w:rPr>
          <w:lang w:val="en-AU"/>
        </w:rPr>
      </w:pPr>
    </w:p>
    <w:p w:rsidR="00E7220D" w:rsidRDefault="000540E7" w:rsidP="007E4B5E">
      <w:pPr>
        <w:tabs>
          <w:tab w:val="left" w:pos="426"/>
          <w:tab w:val="right" w:pos="8931"/>
        </w:tabs>
        <w:spacing w:after="0" w:line="288" w:lineRule="auto"/>
        <w:ind w:firstLine="720"/>
        <w:rPr>
          <w:lang w:val="en-AU"/>
        </w:rPr>
      </w:pPr>
      <w:r w:rsidRPr="00E7220D">
        <w:rPr>
          <w:position w:val="-32"/>
          <w:lang w:val="en-AU"/>
        </w:rPr>
        <w:object w:dxaOrig="7540" w:dyaOrig="760">
          <v:shape id="_x0000_i1071" type="#_x0000_t75" style="width:378pt;height:38.2pt" o:ole="">
            <v:imagedata r:id="rId94" o:title=""/>
          </v:shape>
          <o:OLEObject Type="Embed" ProgID="Equation.3" ShapeID="_x0000_i1071" DrawAspect="Content" ObjectID="_1445969209" r:id="rId95"/>
        </w:object>
      </w:r>
      <w:r w:rsidR="002A5215">
        <w:rPr>
          <w:lang w:val="en-AU"/>
        </w:rPr>
        <w:t xml:space="preserve"> </w:t>
      </w:r>
      <w:r w:rsidR="00F944A9">
        <w:rPr>
          <w:lang w:val="en-AU"/>
        </w:rPr>
        <w:tab/>
      </w:r>
      <w:r w:rsidR="00F5513C" w:rsidRPr="002A5215">
        <w:rPr>
          <w:sz w:val="22"/>
          <w:lang w:val="en-AU"/>
        </w:rPr>
        <w:t>(17)</w:t>
      </w:r>
    </w:p>
    <w:p w:rsidR="006C625D" w:rsidRDefault="006C625D" w:rsidP="007E4B5E">
      <w:pPr>
        <w:tabs>
          <w:tab w:val="left" w:pos="426"/>
          <w:tab w:val="right" w:pos="8931"/>
        </w:tabs>
        <w:spacing w:after="0" w:line="288" w:lineRule="auto"/>
        <w:jc w:val="both"/>
        <w:rPr>
          <w:lang w:val="en-AU"/>
        </w:rPr>
      </w:pPr>
    </w:p>
    <w:p w:rsidR="00AC0A22" w:rsidRDefault="00B2738D" w:rsidP="007E4B5E">
      <w:pPr>
        <w:tabs>
          <w:tab w:val="left" w:pos="426"/>
          <w:tab w:val="right" w:pos="8931"/>
        </w:tabs>
        <w:spacing w:after="0" w:line="288" w:lineRule="auto"/>
        <w:jc w:val="both"/>
      </w:pPr>
      <w:r>
        <w:rPr>
          <w:lang w:val="en-AU"/>
        </w:rPr>
        <w:t>w</w:t>
      </w:r>
      <w:r w:rsidR="00AC0A22" w:rsidRPr="00AC0A22">
        <w:rPr>
          <w:lang w:val="en-AU"/>
        </w:rPr>
        <w:t xml:space="preserve">here </w:t>
      </w:r>
      <w:r w:rsidR="00AC0A22" w:rsidRPr="00AC0A22">
        <w:rPr>
          <w:i/>
          <w:iCs/>
          <w:lang w:val="en-AU"/>
        </w:rPr>
        <w:t>Rem</w:t>
      </w:r>
      <w:r w:rsidR="00AC0A22" w:rsidRPr="00AC0A22">
        <w:rPr>
          <w:lang w:val="en-AU"/>
        </w:rPr>
        <w:t xml:space="preserve"> is remittances to GDP ratio, </w:t>
      </w:r>
      <w:r w:rsidR="00AC0A22" w:rsidRPr="00AC0A22">
        <w:rPr>
          <w:i/>
          <w:iCs/>
          <w:lang w:val="en-AU"/>
        </w:rPr>
        <w:t>FDI</w:t>
      </w:r>
      <w:r w:rsidR="00AC0A22" w:rsidRPr="00AC0A22">
        <w:rPr>
          <w:lang w:val="en-AU"/>
        </w:rPr>
        <w:t xml:space="preserve"> is the foreign direct investment to GDP ratio, </w:t>
      </w:r>
      <w:r w:rsidR="00AC0A22" w:rsidRPr="00AC0A22">
        <w:rPr>
          <w:i/>
          <w:iCs/>
          <w:lang w:val="en-AU"/>
        </w:rPr>
        <w:t>AID</w:t>
      </w:r>
      <w:r w:rsidR="00AC0A22" w:rsidRPr="00AC0A22">
        <w:rPr>
          <w:lang w:val="en-AU"/>
        </w:rPr>
        <w:t xml:space="preserve"> is foreign aid to GDP ratio, </w:t>
      </w:r>
      <w:r w:rsidR="00AC0A22" w:rsidRPr="00AC0A22">
        <w:rPr>
          <w:i/>
          <w:iCs/>
          <w:lang w:val="en-AU"/>
        </w:rPr>
        <w:t>OPEN</w:t>
      </w:r>
      <w:r w:rsidR="00AC0A22" w:rsidRPr="00AC0A22">
        <w:rPr>
          <w:lang w:val="en-AU"/>
        </w:rPr>
        <w:t xml:space="preserve"> is import plus export to GDP ratio, </w:t>
      </w:r>
      <w:r w:rsidR="00AC0A22" w:rsidRPr="00AC0A22">
        <w:rPr>
          <w:i/>
          <w:iCs/>
          <w:lang w:val="en-AU"/>
        </w:rPr>
        <w:t>GOV</w:t>
      </w:r>
      <w:r w:rsidR="00AC0A22" w:rsidRPr="00AC0A22">
        <w:rPr>
          <w:lang w:val="en-AU"/>
        </w:rPr>
        <w:t xml:space="preserve"> stands for government consumption expenditure to GDP ratio</w:t>
      </w:r>
      <w:r w:rsidR="006D7875">
        <w:rPr>
          <w:lang w:val="en-AU"/>
        </w:rPr>
        <w:t xml:space="preserve"> and </w:t>
      </w:r>
      <w:r w:rsidR="006D7875" w:rsidRPr="00AC0A22">
        <w:rPr>
          <w:i/>
          <w:iCs/>
          <w:lang w:val="en-AU"/>
        </w:rPr>
        <w:t>POP</w:t>
      </w:r>
      <w:r w:rsidR="006D7875" w:rsidRPr="00AC0A22">
        <w:rPr>
          <w:lang w:val="en-AU"/>
        </w:rPr>
        <w:t xml:space="preserve"> is population growth rate</w:t>
      </w:r>
      <w:r w:rsidR="00AC0A22" w:rsidRPr="00AC0A22">
        <w:rPr>
          <w:lang w:val="en-AU"/>
        </w:rPr>
        <w:t xml:space="preserve">. </w:t>
      </w:r>
      <w:r w:rsidR="000540E7" w:rsidRPr="0080097D">
        <w:rPr>
          <w:position w:val="-12"/>
        </w:rPr>
        <w:object w:dxaOrig="240" w:dyaOrig="360">
          <v:shape id="_x0000_i1072" type="#_x0000_t75" style="width:12pt;height:18pt" o:ole="">
            <v:imagedata r:id="rId96" o:title=""/>
          </v:shape>
          <o:OLEObject Type="Embed" ProgID="Equation.3" ShapeID="_x0000_i1072" DrawAspect="Content" ObjectID="_1445969210" r:id="rId97"/>
        </w:object>
      </w:r>
      <w:r w:rsidR="000540E7">
        <w:t xml:space="preserve"> </w:t>
      </w:r>
      <w:proofErr w:type="gramStart"/>
      <w:r w:rsidR="000540E7">
        <w:t>is</w:t>
      </w:r>
      <w:proofErr w:type="gramEnd"/>
      <w:r w:rsidR="000540E7">
        <w:t xml:space="preserve"> the error term of the regression model.</w:t>
      </w:r>
    </w:p>
    <w:p w:rsidR="006C625D" w:rsidRDefault="006C625D" w:rsidP="007E4B5E">
      <w:pPr>
        <w:tabs>
          <w:tab w:val="left" w:pos="426"/>
          <w:tab w:val="right" w:pos="8931"/>
        </w:tabs>
        <w:spacing w:after="0" w:line="288" w:lineRule="auto"/>
        <w:jc w:val="both"/>
        <w:rPr>
          <w:lang w:val="en-AU"/>
        </w:rPr>
      </w:pPr>
    </w:p>
    <w:p w:rsidR="006D7875" w:rsidRDefault="00AC0A22" w:rsidP="007E4B5E">
      <w:pPr>
        <w:tabs>
          <w:tab w:val="left" w:pos="426"/>
          <w:tab w:val="right" w:pos="8931"/>
        </w:tabs>
        <w:spacing w:after="0" w:line="288" w:lineRule="auto"/>
        <w:ind w:firstLine="720"/>
        <w:jc w:val="both"/>
        <w:rPr>
          <w:lang w:val="en-US"/>
        </w:rPr>
      </w:pPr>
      <w:r w:rsidRPr="00AC0A22">
        <w:rPr>
          <w:lang w:val="en-AU"/>
        </w:rPr>
        <w:t xml:space="preserve">There exist a large number of control variables that can be significant in empirical growth studies. For example </w:t>
      </w:r>
      <w:r w:rsidRPr="00AC0A22">
        <w:rPr>
          <w:lang w:val="en-US"/>
        </w:rPr>
        <w:t xml:space="preserve">Durlauf, Johnson, and Temple (2005) have shown that the number of potential growth improving variables used in the empirical works is as many as 145. However, </w:t>
      </w:r>
      <w:r>
        <w:rPr>
          <w:lang w:val="en-US"/>
        </w:rPr>
        <w:t xml:space="preserve">there is no clear guidance from the literature as to which </w:t>
      </w:r>
      <w:r w:rsidR="006D7875">
        <w:rPr>
          <w:lang w:val="en-US"/>
        </w:rPr>
        <w:t xml:space="preserve">of these </w:t>
      </w:r>
      <w:r>
        <w:rPr>
          <w:lang w:val="en-US"/>
        </w:rPr>
        <w:t xml:space="preserve">variables </w:t>
      </w:r>
      <w:r w:rsidR="00841B32">
        <w:rPr>
          <w:lang w:val="en-US"/>
        </w:rPr>
        <w:t>should be</w:t>
      </w:r>
      <w:r>
        <w:rPr>
          <w:lang w:val="en-US"/>
        </w:rPr>
        <w:t xml:space="preserve"> include</w:t>
      </w:r>
      <w:r w:rsidR="00841B32">
        <w:rPr>
          <w:lang w:val="en-US"/>
        </w:rPr>
        <w:t>d</w:t>
      </w:r>
      <w:r>
        <w:rPr>
          <w:lang w:val="en-US"/>
        </w:rPr>
        <w:t xml:space="preserve"> in the growth regressions. C</w:t>
      </w:r>
      <w:r w:rsidRPr="00AC0A22">
        <w:rPr>
          <w:lang w:val="en-US"/>
        </w:rPr>
        <w:t xml:space="preserve">ommenting on the unsatisfactory nature of specifications in the empirical works, Easterly, Levine and Roodman (2004) have noted that </w:t>
      </w:r>
      <w:r w:rsidR="00376D10">
        <w:rPr>
          <w:lang w:val="en-US"/>
        </w:rPr>
        <w:t>‘</w:t>
      </w:r>
      <w:r w:rsidRPr="00AC0A22">
        <w:rPr>
          <w:lang w:val="en-US"/>
        </w:rPr>
        <w:t>This literature has the usual limitations of choosing a specification without clear guidance from theory, which often means there are more plausible specifications than there are data points in the sample.</w:t>
      </w:r>
      <w:r w:rsidR="00376D10">
        <w:rPr>
          <w:lang w:val="en-US"/>
        </w:rPr>
        <w:t>’</w:t>
      </w:r>
      <w:r w:rsidRPr="00AC0A22">
        <w:rPr>
          <w:lang w:val="en-US"/>
        </w:rPr>
        <w:t xml:space="preserve"> </w:t>
      </w:r>
    </w:p>
    <w:p w:rsidR="006C625D" w:rsidRDefault="006C625D" w:rsidP="007E4B5E">
      <w:pPr>
        <w:tabs>
          <w:tab w:val="left" w:pos="426"/>
          <w:tab w:val="right" w:pos="8931"/>
        </w:tabs>
        <w:spacing w:after="0" w:line="288" w:lineRule="auto"/>
        <w:ind w:firstLine="720"/>
        <w:jc w:val="both"/>
        <w:rPr>
          <w:lang w:val="en-US"/>
        </w:rPr>
      </w:pPr>
    </w:p>
    <w:p w:rsidR="006C625D" w:rsidRDefault="006D7875" w:rsidP="007E4B5E">
      <w:pPr>
        <w:tabs>
          <w:tab w:val="left" w:pos="426"/>
          <w:tab w:val="right" w:pos="8931"/>
        </w:tabs>
        <w:spacing w:after="0" w:line="288" w:lineRule="auto"/>
        <w:ind w:firstLine="426"/>
        <w:jc w:val="both"/>
      </w:pPr>
      <w:r>
        <w:rPr>
          <w:lang w:val="en-US"/>
        </w:rPr>
        <w:t>In the light the discussion</w:t>
      </w:r>
      <w:r w:rsidR="00841B32">
        <w:rPr>
          <w:lang w:val="en-US"/>
        </w:rPr>
        <w:t>s</w:t>
      </w:r>
      <w:r>
        <w:rPr>
          <w:lang w:val="en-US"/>
        </w:rPr>
        <w:t xml:space="preserve"> in the preceding paragraph</w:t>
      </w:r>
      <w:r w:rsidR="00AC0A22">
        <w:rPr>
          <w:lang w:val="en-US"/>
        </w:rPr>
        <w:t>, the</w:t>
      </w:r>
      <w:r w:rsidR="00AC0A22" w:rsidRPr="00AC0A22">
        <w:rPr>
          <w:lang w:val="en-AU"/>
        </w:rPr>
        <w:t xml:space="preserve"> control variables are in </w:t>
      </w:r>
      <w:r w:rsidR="00AC0A22">
        <w:rPr>
          <w:lang w:val="en-AU"/>
        </w:rPr>
        <w:t xml:space="preserve">our econometric model </w:t>
      </w:r>
      <w:r w:rsidR="00CA0B08">
        <w:rPr>
          <w:lang w:val="en-AU"/>
        </w:rPr>
        <w:t>are</w:t>
      </w:r>
      <w:r w:rsidR="00CA0B08" w:rsidRPr="00CA0B08">
        <w:rPr>
          <w:lang w:val="en-AU"/>
        </w:rPr>
        <w:t xml:space="preserve"> chosen</w:t>
      </w:r>
      <w:r w:rsidR="00CA0B08">
        <w:rPr>
          <w:lang w:val="en-AU"/>
        </w:rPr>
        <w:t xml:space="preserve"> </w:t>
      </w:r>
      <w:r w:rsidR="00AC0A22">
        <w:rPr>
          <w:lang w:val="en-AU"/>
        </w:rPr>
        <w:t xml:space="preserve">in </w:t>
      </w:r>
      <w:r w:rsidR="00AC0A22" w:rsidRPr="00AC0A22">
        <w:rPr>
          <w:lang w:val="en-AU"/>
        </w:rPr>
        <w:t xml:space="preserve">such a manner so </w:t>
      </w:r>
      <w:r w:rsidR="00CA0B08">
        <w:rPr>
          <w:lang w:val="en-AU"/>
        </w:rPr>
        <w:t xml:space="preserve">that </w:t>
      </w:r>
      <w:r w:rsidR="00AC0A22" w:rsidRPr="00AC0A22">
        <w:rPr>
          <w:lang w:val="en-AU"/>
        </w:rPr>
        <w:t xml:space="preserve">the specification </w:t>
      </w:r>
      <w:r w:rsidR="00CA0B08">
        <w:rPr>
          <w:lang w:val="en-AU"/>
        </w:rPr>
        <w:t xml:space="preserve">is kept </w:t>
      </w:r>
      <w:r w:rsidR="00AC0A22" w:rsidRPr="00AC0A22">
        <w:rPr>
          <w:lang w:val="en-AU"/>
        </w:rPr>
        <w:t>simple</w:t>
      </w:r>
      <w:r w:rsidR="00AC0A22">
        <w:rPr>
          <w:lang w:val="en-AU"/>
        </w:rPr>
        <w:t>.</w:t>
      </w:r>
      <w:r w:rsidR="00AC0A22" w:rsidRPr="00AC0A22">
        <w:rPr>
          <w:lang w:val="en-AU"/>
        </w:rPr>
        <w:t xml:space="preserve"> </w:t>
      </w:r>
      <w:r w:rsidR="00CA0B08">
        <w:rPr>
          <w:lang w:val="en-AU"/>
        </w:rPr>
        <w:t>In addition, o</w:t>
      </w:r>
      <w:r w:rsidR="00AC0A22">
        <w:rPr>
          <w:lang w:val="en-AU"/>
        </w:rPr>
        <w:t xml:space="preserve">ur empirical specification is </w:t>
      </w:r>
      <w:r w:rsidR="005E3E70">
        <w:rPr>
          <w:lang w:val="en-AU"/>
        </w:rPr>
        <w:t xml:space="preserve">also </w:t>
      </w:r>
      <w:r w:rsidR="00AC0A22">
        <w:rPr>
          <w:lang w:val="en-AU"/>
        </w:rPr>
        <w:t xml:space="preserve">clearly </w:t>
      </w:r>
      <w:r>
        <w:rPr>
          <w:lang w:val="en-AU"/>
        </w:rPr>
        <w:t>guided by</w:t>
      </w:r>
      <w:r w:rsidR="00AC0A22">
        <w:rPr>
          <w:lang w:val="en-AU"/>
        </w:rPr>
        <w:t xml:space="preserve"> theory: all the variables included in the Eq. (17) can </w:t>
      </w:r>
      <w:r>
        <w:rPr>
          <w:lang w:val="en-AU"/>
        </w:rPr>
        <w:t xml:space="preserve">potentially </w:t>
      </w:r>
      <w:r w:rsidR="00AC0A22">
        <w:rPr>
          <w:lang w:val="en-AU"/>
        </w:rPr>
        <w:t>affect steady state growth</w:t>
      </w:r>
      <w:r>
        <w:rPr>
          <w:lang w:val="en-AU"/>
        </w:rPr>
        <w:t xml:space="preserve"> rate via </w:t>
      </w:r>
      <w:r w:rsidR="005E3E70">
        <w:rPr>
          <w:lang w:val="en-AU"/>
        </w:rPr>
        <w:t xml:space="preserve">influencing the parameters in </w:t>
      </w:r>
      <w:r>
        <w:rPr>
          <w:lang w:val="en-AU"/>
        </w:rPr>
        <w:t>Eq. (12).</w:t>
      </w:r>
      <w:r w:rsidR="00AC0A22">
        <w:rPr>
          <w:lang w:val="en-AU"/>
        </w:rPr>
        <w:t xml:space="preserve"> </w:t>
      </w:r>
      <w:proofErr w:type="spellStart"/>
      <w:r w:rsidR="00AC0A22" w:rsidRPr="00AC0A22">
        <w:rPr>
          <w:i/>
          <w:iCs/>
          <w:lang w:val="en-AU"/>
        </w:rPr>
        <w:t>Rem</w:t>
      </w:r>
      <w:proofErr w:type="spellEnd"/>
      <w:r w:rsidR="00AC0A22" w:rsidRPr="00AC0A22">
        <w:rPr>
          <w:lang w:val="en-AU"/>
        </w:rPr>
        <w:t xml:space="preserve"> is chosen as our variable of interest and given our U-shaped hypothesis; we expect </w:t>
      </w:r>
      <w:r w:rsidR="00AC0A22" w:rsidRPr="00AC0A22">
        <w:rPr>
          <w:position w:val="-10"/>
        </w:rPr>
        <w:object w:dxaOrig="260" w:dyaOrig="340">
          <v:shape id="_x0000_i1073" type="#_x0000_t75" style="width:14.2pt;height:15.8pt" o:ole="">
            <v:imagedata r:id="rId98" o:title=""/>
          </v:shape>
          <o:OLEObject Type="Embed" ProgID="Equation.3" ShapeID="_x0000_i1073" DrawAspect="Content" ObjectID="_1445969211" r:id="rId99"/>
        </w:object>
      </w:r>
      <w:r w:rsidR="00AC0A22" w:rsidRPr="00AC0A22">
        <w:t xml:space="preserve">&lt; 0 and </w:t>
      </w:r>
      <w:r w:rsidR="00AC0A22" w:rsidRPr="00AC0A22">
        <w:rPr>
          <w:position w:val="-10"/>
        </w:rPr>
        <w:object w:dxaOrig="300" w:dyaOrig="340">
          <v:shape id="_x0000_i1074" type="#_x0000_t75" style="width:15.8pt;height:15.8pt" o:ole="">
            <v:imagedata r:id="rId100" o:title=""/>
          </v:shape>
          <o:OLEObject Type="Embed" ProgID="Equation.3" ShapeID="_x0000_i1074" DrawAspect="Content" ObjectID="_1445969212" r:id="rId101"/>
        </w:object>
      </w:r>
      <w:r w:rsidR="00AC0A22" w:rsidRPr="00AC0A22">
        <w:t xml:space="preserve">&gt; 0. The reason for including </w:t>
      </w:r>
      <w:r w:rsidR="00AC0A22" w:rsidRPr="003E2228">
        <w:rPr>
          <w:i/>
          <w:iCs/>
        </w:rPr>
        <w:t>FDI</w:t>
      </w:r>
      <w:r w:rsidR="00AC0A22" w:rsidRPr="00AC0A22">
        <w:t xml:space="preserve"> and </w:t>
      </w:r>
      <w:r w:rsidR="00AC0A22" w:rsidRPr="003E2228">
        <w:rPr>
          <w:i/>
          <w:iCs/>
        </w:rPr>
        <w:t>AID</w:t>
      </w:r>
      <w:r w:rsidR="00AC0A22" w:rsidRPr="00AC0A22">
        <w:t xml:space="preserve"> is that</w:t>
      </w:r>
      <w:r w:rsidR="00CA0B08">
        <w:t>,</w:t>
      </w:r>
      <w:r w:rsidR="00841B32">
        <w:t xml:space="preserve"> </w:t>
      </w:r>
      <w:r w:rsidR="00841B32" w:rsidRPr="00841B32">
        <w:t>apart from remittances</w:t>
      </w:r>
      <w:r w:rsidR="00CA0B08">
        <w:t>,</w:t>
      </w:r>
      <w:r w:rsidR="00AC0A22" w:rsidRPr="00AC0A22">
        <w:t xml:space="preserve"> they are important external flows </w:t>
      </w:r>
      <w:r w:rsidR="00CA0B08">
        <w:t>in</w:t>
      </w:r>
      <w:r w:rsidR="00AC0A22" w:rsidRPr="00AC0A22">
        <w:t xml:space="preserve">to Bangladesh economy. </w:t>
      </w:r>
      <w:r w:rsidR="003E2228">
        <w:t xml:space="preserve">Moreover in many influential studies these two variables have been found to be significantly related to growth. For example, </w:t>
      </w:r>
      <w:r w:rsidR="000056E3">
        <w:t xml:space="preserve">Romer (1990) and Aghion and Howitt (1992) show how FDI </w:t>
      </w:r>
      <w:r w:rsidR="003E2228">
        <w:t>lead to transfer of technological knowledge</w:t>
      </w:r>
      <w:r w:rsidR="005E3E70">
        <w:t>. T</w:t>
      </w:r>
      <w:r w:rsidR="003E2228">
        <w:t xml:space="preserve">hus </w:t>
      </w:r>
      <w:r w:rsidR="005E3E70" w:rsidRPr="005E3E70">
        <w:rPr>
          <w:i/>
          <w:iCs/>
        </w:rPr>
        <w:t>FDI</w:t>
      </w:r>
      <w:r w:rsidR="005E3E70">
        <w:t xml:space="preserve"> </w:t>
      </w:r>
      <w:r w:rsidR="000056E3">
        <w:t xml:space="preserve">can be linked to endogenous technological change </w:t>
      </w:r>
      <w:r w:rsidR="003E2228">
        <w:t xml:space="preserve">in the economy </w:t>
      </w:r>
      <w:r w:rsidR="000056E3">
        <w:t>and contribute to long-run growth</w:t>
      </w:r>
      <w:r w:rsidR="005E3E70">
        <w:t xml:space="preserve"> and as a result we expect</w:t>
      </w:r>
      <w:r w:rsidR="005E3E70" w:rsidRPr="005E3E70">
        <w:rPr>
          <w:position w:val="-12"/>
        </w:rPr>
        <w:object w:dxaOrig="300" w:dyaOrig="360">
          <v:shape id="_x0000_i1075" type="#_x0000_t75" style="width:15.8pt;height:18pt" o:ole="">
            <v:imagedata r:id="rId102" o:title=""/>
          </v:shape>
          <o:OLEObject Type="Embed" ProgID="Equation.3" ShapeID="_x0000_i1075" DrawAspect="Content" ObjectID="_1445969213" r:id="rId103"/>
        </w:object>
      </w:r>
      <w:r w:rsidR="005E3E70">
        <w:t xml:space="preserve"> &gt; 0</w:t>
      </w:r>
      <w:r w:rsidR="000056E3">
        <w:t xml:space="preserve">. </w:t>
      </w:r>
    </w:p>
    <w:p w:rsidR="006C625D" w:rsidRDefault="006C625D" w:rsidP="007E4B5E">
      <w:pPr>
        <w:tabs>
          <w:tab w:val="left" w:pos="426"/>
          <w:tab w:val="right" w:pos="8931"/>
        </w:tabs>
        <w:spacing w:after="0" w:line="288" w:lineRule="auto"/>
        <w:ind w:firstLine="284"/>
        <w:jc w:val="both"/>
      </w:pPr>
    </w:p>
    <w:p w:rsidR="00E84D83" w:rsidRDefault="006C625D" w:rsidP="007E4B5E">
      <w:pPr>
        <w:tabs>
          <w:tab w:val="left" w:pos="426"/>
          <w:tab w:val="right" w:pos="8931"/>
        </w:tabs>
        <w:spacing w:after="0" w:line="288" w:lineRule="auto"/>
        <w:ind w:firstLine="284"/>
        <w:jc w:val="both"/>
      </w:pPr>
      <w:r>
        <w:lastRenderedPageBreak/>
        <w:tab/>
      </w:r>
      <w:r w:rsidR="003E2228">
        <w:t xml:space="preserve">With regard to </w:t>
      </w:r>
      <w:r w:rsidR="00675184" w:rsidRPr="00675184">
        <w:rPr>
          <w:i/>
          <w:iCs/>
        </w:rPr>
        <w:t>AID</w:t>
      </w:r>
      <w:r w:rsidR="00675184">
        <w:t>, a</w:t>
      </w:r>
      <w:r w:rsidR="000056E3">
        <w:t xml:space="preserve">lthough </w:t>
      </w:r>
      <w:r w:rsidR="00675184">
        <w:t>its</w:t>
      </w:r>
      <w:r w:rsidR="000056E3">
        <w:t xml:space="preserve"> effect</w:t>
      </w:r>
      <w:r w:rsidR="002609FA">
        <w:t>s</w:t>
      </w:r>
      <w:r w:rsidR="000056E3">
        <w:t xml:space="preserve"> on growth </w:t>
      </w:r>
      <w:r w:rsidR="002609FA">
        <w:t>are often considered</w:t>
      </w:r>
      <w:r w:rsidR="000056E3">
        <w:t xml:space="preserve"> controversial, foreign aid may have conditional growth effects as found in Burnside and Dollar (2000, 2004). </w:t>
      </w:r>
      <w:r w:rsidR="000878D0">
        <w:t>Therefore w</w:t>
      </w:r>
      <w:r w:rsidR="000056E3">
        <w:t xml:space="preserve">e add the </w:t>
      </w:r>
      <w:r w:rsidR="000056E3" w:rsidRPr="00675184">
        <w:rPr>
          <w:i/>
          <w:iCs/>
        </w:rPr>
        <w:t>AID</w:t>
      </w:r>
      <w:r w:rsidR="000056E3">
        <w:t xml:space="preserve"> </w:t>
      </w:r>
      <w:r w:rsidR="000878D0">
        <w:t>variables in our regression</w:t>
      </w:r>
      <w:r w:rsidR="00D55CDF">
        <w:t xml:space="preserve"> and expect </w:t>
      </w:r>
      <w:r w:rsidR="00D55CDF" w:rsidRPr="00D55CDF">
        <w:rPr>
          <w:position w:val="-10"/>
        </w:rPr>
        <w:object w:dxaOrig="300" w:dyaOrig="340">
          <v:shape id="_x0000_i1076" type="#_x0000_t75" style="width:15.8pt;height:15.8pt" o:ole="">
            <v:imagedata r:id="rId104" o:title=""/>
          </v:shape>
          <o:OLEObject Type="Embed" ProgID="Equation.3" ShapeID="_x0000_i1076" DrawAspect="Content" ObjectID="_1445969214" r:id="rId105"/>
        </w:object>
      </w:r>
      <w:r w:rsidR="00D55CDF">
        <w:t>&gt;0 or &lt;0.</w:t>
      </w:r>
      <w:r w:rsidR="00675184">
        <w:t xml:space="preserve"> The openness of the economy as measured by </w:t>
      </w:r>
      <w:r w:rsidR="00675184" w:rsidRPr="00675184">
        <w:rPr>
          <w:i/>
          <w:iCs/>
        </w:rPr>
        <w:t>OPEN</w:t>
      </w:r>
      <w:r w:rsidR="00675184">
        <w:t xml:space="preserve"> is a variable that can also lead to long-run growth. Through trade the country can increase the accumulation of capital and domestic investment</w:t>
      </w:r>
      <w:r w:rsidR="00D55CDF">
        <w:t xml:space="preserve"> and therefore</w:t>
      </w:r>
      <w:r w:rsidR="00D55CDF" w:rsidRPr="00D55CDF">
        <w:rPr>
          <w:position w:val="-12"/>
        </w:rPr>
        <w:object w:dxaOrig="300" w:dyaOrig="360">
          <v:shape id="_x0000_i1077" type="#_x0000_t75" style="width:15.8pt;height:18pt" o:ole="">
            <v:imagedata r:id="rId106" o:title=""/>
          </v:shape>
          <o:OLEObject Type="Embed" ProgID="Equation.3" ShapeID="_x0000_i1077" DrawAspect="Content" ObjectID="_1445969215" r:id="rId107"/>
        </w:object>
      </w:r>
      <w:r w:rsidR="00D55CDF">
        <w:t>is expected to be positive.</w:t>
      </w:r>
      <w:r w:rsidR="00675184">
        <w:t xml:space="preserve"> Also the balance in the trade account can generate offsetting transaction through the capital account </w:t>
      </w:r>
      <w:r w:rsidR="002609FA">
        <w:t>and can be instrumental in</w:t>
      </w:r>
      <w:r w:rsidR="00675184">
        <w:t xml:space="preserve"> generating the capital flows. </w:t>
      </w:r>
      <w:r w:rsidR="002C33EA">
        <w:t xml:space="preserve">The government expenditure variable </w:t>
      </w:r>
      <w:r w:rsidR="002C33EA" w:rsidRPr="002C33EA">
        <w:rPr>
          <w:i/>
          <w:iCs/>
        </w:rPr>
        <w:t>GOV</w:t>
      </w:r>
      <w:r w:rsidR="002C33EA">
        <w:t xml:space="preserve"> is added to control for the role of government in the growth process</w:t>
      </w:r>
      <w:r w:rsidR="00D55CDF">
        <w:t xml:space="preserve"> and we attach no a-priori expectation on its coefficient</w:t>
      </w:r>
      <w:r w:rsidR="00CA0B08">
        <w:t>, that is can be either positive or negative</w:t>
      </w:r>
      <w:r w:rsidR="002C33EA">
        <w:t xml:space="preserve">. Finally, to control for the population dynamics on long-run growth, population growth </w:t>
      </w:r>
      <w:r w:rsidR="002C33EA" w:rsidRPr="002C33EA">
        <w:rPr>
          <w:i/>
          <w:iCs/>
        </w:rPr>
        <w:t>POP</w:t>
      </w:r>
      <w:r w:rsidR="002C33EA">
        <w:t xml:space="preserve"> is adde</w:t>
      </w:r>
      <w:r w:rsidR="00D55CDF">
        <w:t xml:space="preserve">d to the econometric model. According to Solow (1956) model, an increase in population reduces capital per-worker and thus leads to a fall in long-run growth. </w:t>
      </w:r>
      <w:r w:rsidR="007E3A0B">
        <w:t xml:space="preserve"> </w:t>
      </w:r>
      <w:proofErr w:type="gramStart"/>
      <w:r w:rsidR="00D55CDF">
        <w:t xml:space="preserve">Therefore </w:t>
      </w:r>
      <w:r w:rsidR="00CA0B08">
        <w:t>the expected sign for</w:t>
      </w:r>
      <w:r w:rsidR="00CA0B08" w:rsidRPr="00CA0B08">
        <w:rPr>
          <w:position w:val="-12"/>
        </w:rPr>
        <w:object w:dxaOrig="300" w:dyaOrig="360">
          <v:shape id="_x0000_i1078" type="#_x0000_t75" style="width:15.8pt;height:18pt" o:ole="">
            <v:imagedata r:id="rId108" o:title=""/>
          </v:shape>
          <o:OLEObject Type="Embed" ProgID="Equation.3" ShapeID="_x0000_i1078" DrawAspect="Content" ObjectID="_1445969216" r:id="rId109"/>
        </w:object>
      </w:r>
      <w:r w:rsidR="00D55CDF" w:rsidRPr="00D55CDF">
        <w:t>&lt; 0.</w:t>
      </w:r>
      <w:proofErr w:type="gramEnd"/>
    </w:p>
    <w:p w:rsidR="004D4B00" w:rsidRPr="00D55CDF" w:rsidRDefault="004D4B00" w:rsidP="007E4B5E">
      <w:pPr>
        <w:tabs>
          <w:tab w:val="left" w:pos="426"/>
          <w:tab w:val="right" w:pos="8931"/>
        </w:tabs>
        <w:spacing w:after="0" w:line="288" w:lineRule="auto"/>
        <w:ind w:firstLine="720"/>
        <w:jc w:val="both"/>
      </w:pPr>
    </w:p>
    <w:p w:rsidR="00A47207" w:rsidRDefault="00407ED7" w:rsidP="007E4B5E">
      <w:pPr>
        <w:tabs>
          <w:tab w:val="left" w:pos="426"/>
          <w:tab w:val="right" w:pos="8931"/>
        </w:tabs>
        <w:spacing w:after="0" w:line="288" w:lineRule="auto"/>
        <w:ind w:firstLine="426"/>
        <w:jc w:val="both"/>
      </w:pPr>
      <w:r>
        <w:t>Before we estimate the econometric model in Eq. (17), we test for the time series properties of all variables. According to the ADF and DF-GLS tests, all variables are</w:t>
      </w:r>
      <w:r w:rsidR="00A47207">
        <w:t xml:space="preserve"> found to be</w:t>
      </w:r>
      <w:r>
        <w:t xml:space="preserve"> I(1) in levels and I(0) in first differences</w:t>
      </w:r>
      <w:r>
        <w:rPr>
          <w:rStyle w:val="FootnoteReference"/>
        </w:rPr>
        <w:footnoteReference w:id="5"/>
      </w:r>
      <w:r>
        <w:t xml:space="preserve">.  </w:t>
      </w:r>
      <w:r w:rsidR="005E3E70">
        <w:t>Having found that the variables are I(1), we</w:t>
      </w:r>
      <w:r w:rsidR="00CA0B08">
        <w:t xml:space="preserve"> can</w:t>
      </w:r>
      <w:r w:rsidR="005E3E70">
        <w:t xml:space="preserve"> </w:t>
      </w:r>
      <w:r w:rsidR="00A47207">
        <w:t>test</w:t>
      </w:r>
      <w:r w:rsidR="005E3E70">
        <w:t xml:space="preserve"> for the existence of a cointegrating relationship among them. We perform an Engel-Granger (EG) cointegration test based on the Eq. (17) where the null hypothesis is no cointegration. The EG tau-statistic and EG z-statistic </w:t>
      </w:r>
      <w:r w:rsidR="00A47207">
        <w:t>are</w:t>
      </w:r>
      <w:r w:rsidR="005E3E70">
        <w:t xml:space="preserve"> found </w:t>
      </w:r>
      <w:r w:rsidR="00A47207">
        <w:t xml:space="preserve">to </w:t>
      </w:r>
      <w:r w:rsidR="005E3E70">
        <w:t>be -6.75 and -38.67 respectively</w:t>
      </w:r>
      <w:r w:rsidR="00A47207">
        <w:t xml:space="preserve"> which clearly rejects the null in favour of the alternative. Therefore the series are cointegrated and </w:t>
      </w:r>
      <w:r w:rsidR="00C6345C">
        <w:t xml:space="preserve">hence </w:t>
      </w:r>
      <w:r w:rsidR="00A47207">
        <w:t>we may proceed towards estim</w:t>
      </w:r>
      <w:r w:rsidR="00CA0B08">
        <w:t>ating the long-run relationship.</w:t>
      </w:r>
    </w:p>
    <w:p w:rsidR="00B2738D" w:rsidRDefault="00B2738D" w:rsidP="007E4B5E">
      <w:pPr>
        <w:tabs>
          <w:tab w:val="left" w:pos="426"/>
          <w:tab w:val="right" w:pos="8931"/>
        </w:tabs>
        <w:spacing w:after="0" w:line="288" w:lineRule="auto"/>
        <w:ind w:firstLine="720"/>
        <w:jc w:val="both"/>
      </w:pPr>
    </w:p>
    <w:p w:rsidR="00407ED7" w:rsidRDefault="00A47207" w:rsidP="007E4B5E">
      <w:pPr>
        <w:tabs>
          <w:tab w:val="left" w:pos="426"/>
          <w:tab w:val="right" w:pos="8931"/>
        </w:tabs>
        <w:spacing w:after="0" w:line="288" w:lineRule="auto"/>
        <w:ind w:firstLine="426"/>
        <w:jc w:val="both"/>
      </w:pPr>
      <w:r w:rsidRPr="00A47207">
        <w:t>The long-run relationships</w:t>
      </w:r>
      <w:r w:rsidR="00407ED7">
        <w:t xml:space="preserve"> </w:t>
      </w:r>
      <w:r w:rsidR="00CA0B08" w:rsidRPr="00CA0B08">
        <w:t>of Eq. (17)</w:t>
      </w:r>
      <w:r w:rsidR="00CA0B08">
        <w:t xml:space="preserve"> </w:t>
      </w:r>
      <w:r w:rsidR="00407ED7">
        <w:t>are estimated with three single-equation cointegration techniques, namely, Fully Modified Ordinary Least Squares (FMOLS), Canonical Cointegrating Regression (CCR) and Dynamic Ordinary Least Square</w:t>
      </w:r>
      <w:r w:rsidR="00B2738D">
        <w:t>s (DOLS), for the period 1976-</w:t>
      </w:r>
      <w:r w:rsidR="00407ED7">
        <w:t xml:space="preserve">2009. These estimators are asymptotically equivalent and efficient. Results are in Table 1. </w:t>
      </w:r>
    </w:p>
    <w:p w:rsidR="00B2738D" w:rsidRDefault="00B2738D" w:rsidP="007E4B5E">
      <w:pPr>
        <w:tabs>
          <w:tab w:val="left" w:pos="426"/>
          <w:tab w:val="right" w:pos="8931"/>
        </w:tabs>
        <w:spacing w:after="0" w:line="288" w:lineRule="auto"/>
        <w:ind w:firstLine="426"/>
        <w:jc w:val="both"/>
      </w:pPr>
    </w:p>
    <w:p w:rsidR="00B2738D" w:rsidRDefault="00B2738D" w:rsidP="007E4B5E">
      <w:pPr>
        <w:tabs>
          <w:tab w:val="left" w:pos="426"/>
          <w:tab w:val="right" w:pos="8931"/>
        </w:tabs>
        <w:spacing w:after="0" w:line="288" w:lineRule="auto"/>
        <w:jc w:val="both"/>
      </w:pPr>
      <w:r>
        <w:tab/>
        <w:t>In Table 1, estimations of the long-run relationship are presented through columns 2 – 4. First, we present the FMOLS estimation followed by CCR and DOLS. The FMOLS uses Newey-West automatic bandwidth selection in computing the long-run variance matrix. In the DOLS leads and lags are selected according to SIC criteria. The standard errors for DOLS are calculated using the Newey-We</w:t>
      </w:r>
      <w:r w:rsidR="003B6F05">
        <w:t>st corrections. In all three coin</w:t>
      </w:r>
      <w:r>
        <w:t xml:space="preserve">tegrating relationships a dummy for 1980 representing the </w:t>
      </w:r>
      <w:r w:rsidRPr="00A10607">
        <w:t xml:space="preserve">year </w:t>
      </w:r>
      <w:r>
        <w:t>of political instability culminating in a military coup is added along with a dummy for 1990 signifying the year when the gradual democratisation process began together with a shift towards market liberalisation. Naturally, we expect a negative impact of year 1980 on the TFP and a positive impact of year 1990 on the same.</w:t>
      </w:r>
    </w:p>
    <w:p w:rsidR="00B2738D" w:rsidRDefault="00B2738D" w:rsidP="007E4B5E">
      <w:pPr>
        <w:tabs>
          <w:tab w:val="right" w:pos="8931"/>
        </w:tabs>
        <w:rPr>
          <w:lang w:val="en-AU"/>
        </w:rPr>
      </w:pPr>
    </w:p>
    <w:tbl>
      <w:tblPr>
        <w:tblStyle w:val="TableGrid"/>
        <w:tblW w:w="0" w:type="auto"/>
        <w:jc w:val="center"/>
        <w:tblBorders>
          <w:left w:val="none" w:sz="0" w:space="0" w:color="auto"/>
          <w:right w:val="none" w:sz="0" w:space="0" w:color="auto"/>
          <w:insideH w:val="none" w:sz="0" w:space="0" w:color="auto"/>
        </w:tblBorders>
        <w:tblLook w:val="04A0"/>
      </w:tblPr>
      <w:tblGrid>
        <w:gridCol w:w="2161"/>
        <w:gridCol w:w="1924"/>
        <w:gridCol w:w="1621"/>
        <w:gridCol w:w="1849"/>
      </w:tblGrid>
      <w:tr w:rsidR="004D4B00" w:rsidTr="006D235F">
        <w:trPr>
          <w:jc w:val="center"/>
        </w:trPr>
        <w:tc>
          <w:tcPr>
            <w:tcW w:w="7555" w:type="dxa"/>
            <w:gridSpan w:val="4"/>
            <w:tcBorders>
              <w:top w:val="nil"/>
              <w:bottom w:val="single" w:sz="4" w:space="0" w:color="auto"/>
            </w:tcBorders>
            <w:vAlign w:val="center"/>
          </w:tcPr>
          <w:p w:rsidR="004D4B00" w:rsidRDefault="004D4B00" w:rsidP="007E4B5E">
            <w:pPr>
              <w:tabs>
                <w:tab w:val="left" w:pos="426"/>
                <w:tab w:val="right" w:pos="8931"/>
              </w:tabs>
              <w:spacing w:line="288" w:lineRule="auto"/>
              <w:jc w:val="center"/>
              <w:rPr>
                <w:b/>
                <w:sz w:val="22"/>
              </w:rPr>
            </w:pPr>
            <w:r w:rsidRPr="004D4B00">
              <w:rPr>
                <w:b/>
                <w:sz w:val="22"/>
              </w:rPr>
              <w:lastRenderedPageBreak/>
              <w:t>Table 1</w:t>
            </w:r>
            <w:r w:rsidR="006D235F">
              <w:rPr>
                <w:b/>
                <w:sz w:val="22"/>
              </w:rPr>
              <w:t xml:space="preserve">.  </w:t>
            </w:r>
            <w:r>
              <w:rPr>
                <w:b/>
                <w:sz w:val="22"/>
              </w:rPr>
              <w:t xml:space="preserve">Long-run </w:t>
            </w:r>
            <w:r w:rsidR="00544890">
              <w:rPr>
                <w:b/>
                <w:sz w:val="22"/>
              </w:rPr>
              <w:t>E</w:t>
            </w:r>
            <w:r>
              <w:rPr>
                <w:b/>
                <w:sz w:val="22"/>
              </w:rPr>
              <w:t>stimation of Equation 17</w:t>
            </w:r>
            <w:r w:rsidRPr="004D4B00">
              <w:rPr>
                <w:b/>
                <w:sz w:val="22"/>
              </w:rPr>
              <w:t xml:space="preserve"> </w:t>
            </w:r>
          </w:p>
          <w:p w:rsidR="004D4B00" w:rsidRPr="004D4B00" w:rsidRDefault="007E3A0B" w:rsidP="007E4B5E">
            <w:pPr>
              <w:tabs>
                <w:tab w:val="left" w:pos="426"/>
                <w:tab w:val="right" w:pos="8931"/>
              </w:tabs>
              <w:spacing w:line="288" w:lineRule="auto"/>
              <w:jc w:val="center"/>
              <w:rPr>
                <w:sz w:val="22"/>
              </w:rPr>
            </w:pPr>
            <w:r>
              <w:rPr>
                <w:sz w:val="22"/>
              </w:rPr>
              <w:t>using Three Cointegration M</w:t>
            </w:r>
            <w:r w:rsidR="004D4B00" w:rsidRPr="004D4B00">
              <w:rPr>
                <w:sz w:val="22"/>
              </w:rPr>
              <w:t>ethods 1976-2009</w:t>
            </w:r>
          </w:p>
        </w:tc>
      </w:tr>
      <w:tr w:rsidR="004D4B00" w:rsidTr="006D235F">
        <w:trPr>
          <w:jc w:val="center"/>
        </w:trPr>
        <w:tc>
          <w:tcPr>
            <w:tcW w:w="2161" w:type="dxa"/>
            <w:tcBorders>
              <w:top w:val="single" w:sz="4" w:space="0" w:color="auto"/>
              <w:bottom w:val="nil"/>
              <w:right w:val="nil"/>
            </w:tcBorders>
            <w:vAlign w:val="center"/>
          </w:tcPr>
          <w:p w:rsidR="004D4B00" w:rsidRPr="004D4B00" w:rsidRDefault="004D4B00" w:rsidP="007E4B5E">
            <w:pPr>
              <w:tabs>
                <w:tab w:val="left" w:pos="426"/>
                <w:tab w:val="right" w:pos="8931"/>
              </w:tabs>
              <w:jc w:val="center"/>
              <w:rPr>
                <w:sz w:val="22"/>
              </w:rPr>
            </w:pPr>
          </w:p>
        </w:tc>
        <w:tc>
          <w:tcPr>
            <w:tcW w:w="1924" w:type="dxa"/>
            <w:tcBorders>
              <w:top w:val="single" w:sz="4" w:space="0" w:color="auto"/>
              <w:left w:val="nil"/>
              <w:bottom w:val="nil"/>
              <w:right w:val="nil"/>
            </w:tcBorders>
            <w:vAlign w:val="center"/>
          </w:tcPr>
          <w:p w:rsidR="004D4B00" w:rsidRPr="004D4B00" w:rsidRDefault="004D4B00" w:rsidP="00F944A9">
            <w:pPr>
              <w:tabs>
                <w:tab w:val="left" w:pos="426"/>
                <w:tab w:val="right" w:pos="8931"/>
              </w:tabs>
              <w:jc w:val="center"/>
              <w:rPr>
                <w:sz w:val="22"/>
              </w:rPr>
            </w:pPr>
            <w:r w:rsidRPr="004D4B00">
              <w:rPr>
                <w:sz w:val="22"/>
              </w:rPr>
              <w:t>FMOLS</w:t>
            </w:r>
          </w:p>
        </w:tc>
        <w:tc>
          <w:tcPr>
            <w:tcW w:w="1621" w:type="dxa"/>
            <w:tcBorders>
              <w:top w:val="single" w:sz="4" w:space="0" w:color="auto"/>
              <w:left w:val="nil"/>
              <w:bottom w:val="nil"/>
              <w:right w:val="nil"/>
            </w:tcBorders>
            <w:vAlign w:val="center"/>
          </w:tcPr>
          <w:p w:rsidR="004D4B00" w:rsidRPr="004D4B00" w:rsidRDefault="004D4B00" w:rsidP="00F944A9">
            <w:pPr>
              <w:tabs>
                <w:tab w:val="left" w:pos="426"/>
                <w:tab w:val="right" w:pos="8931"/>
              </w:tabs>
              <w:jc w:val="center"/>
              <w:rPr>
                <w:sz w:val="22"/>
              </w:rPr>
            </w:pPr>
            <w:r w:rsidRPr="004D4B00">
              <w:rPr>
                <w:sz w:val="22"/>
              </w:rPr>
              <w:t>CCR</w:t>
            </w:r>
          </w:p>
        </w:tc>
        <w:tc>
          <w:tcPr>
            <w:tcW w:w="1849" w:type="dxa"/>
            <w:tcBorders>
              <w:top w:val="single" w:sz="4" w:space="0" w:color="auto"/>
              <w:left w:val="nil"/>
              <w:bottom w:val="nil"/>
            </w:tcBorders>
            <w:vAlign w:val="center"/>
          </w:tcPr>
          <w:p w:rsidR="004D4B00" w:rsidRPr="004D4B00" w:rsidRDefault="004D4B00" w:rsidP="00F944A9">
            <w:pPr>
              <w:tabs>
                <w:tab w:val="left" w:pos="426"/>
                <w:tab w:val="right" w:pos="8931"/>
              </w:tabs>
              <w:jc w:val="center"/>
              <w:rPr>
                <w:sz w:val="22"/>
              </w:rPr>
            </w:pPr>
            <w:r w:rsidRPr="004D4B00">
              <w:rPr>
                <w:sz w:val="22"/>
              </w:rPr>
              <w:t>DOLS</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Rem</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-1.369</w:t>
            </w:r>
          </w:p>
          <w:p w:rsidR="004D4B00" w:rsidRPr="004D4B00" w:rsidRDefault="004D4B00" w:rsidP="00F944A9">
            <w:pPr>
              <w:tabs>
                <w:tab w:val="decimal" w:pos="801"/>
                <w:tab w:val="right" w:pos="8931"/>
              </w:tabs>
              <w:jc w:val="center"/>
              <w:rPr>
                <w:sz w:val="22"/>
              </w:rPr>
            </w:pPr>
            <w:r w:rsidRPr="004D4B00">
              <w:rPr>
                <w:sz w:val="22"/>
              </w:rPr>
              <w:t>(-4.26)***</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-1.263</w:t>
            </w:r>
          </w:p>
          <w:p w:rsidR="004D4B00" w:rsidRPr="004D4B00" w:rsidRDefault="004D4B00" w:rsidP="00F944A9">
            <w:pPr>
              <w:tabs>
                <w:tab w:val="decimal" w:pos="593"/>
                <w:tab w:val="right" w:pos="8931"/>
              </w:tabs>
              <w:jc w:val="center"/>
              <w:rPr>
                <w:sz w:val="22"/>
              </w:rPr>
            </w:pPr>
            <w:r w:rsidRPr="004D4B00">
              <w:rPr>
                <w:sz w:val="22"/>
              </w:rPr>
              <w:t>(-3.19)***</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-1.424</w:t>
            </w:r>
          </w:p>
          <w:p w:rsidR="004D4B00" w:rsidRPr="004D4B00" w:rsidRDefault="004D4B00" w:rsidP="00F944A9">
            <w:pPr>
              <w:tabs>
                <w:tab w:val="decimal" w:pos="761"/>
                <w:tab w:val="right" w:pos="8931"/>
              </w:tabs>
              <w:jc w:val="center"/>
              <w:rPr>
                <w:sz w:val="22"/>
              </w:rPr>
            </w:pPr>
            <w:r w:rsidRPr="004D4B00">
              <w:rPr>
                <w:sz w:val="22"/>
              </w:rPr>
              <w:t>(-3.853)***</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vertAlign w:val="superscript"/>
              </w:rPr>
            </w:pPr>
            <w:r w:rsidRPr="004D4B00">
              <w:rPr>
                <w:i/>
                <w:iCs/>
                <w:sz w:val="22"/>
              </w:rPr>
              <w:t>Rem</w:t>
            </w:r>
            <w:r w:rsidRPr="004D4B00">
              <w:rPr>
                <w:i/>
                <w:iCs/>
                <w:sz w:val="22"/>
                <w:vertAlign w:val="superscript"/>
              </w:rPr>
              <w:t>2</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8.352</w:t>
            </w:r>
          </w:p>
          <w:p w:rsidR="004D4B00" w:rsidRPr="004D4B00" w:rsidRDefault="004D4B00" w:rsidP="00F944A9">
            <w:pPr>
              <w:tabs>
                <w:tab w:val="decimal" w:pos="801"/>
                <w:tab w:val="right" w:pos="8931"/>
              </w:tabs>
              <w:jc w:val="center"/>
              <w:rPr>
                <w:sz w:val="22"/>
              </w:rPr>
            </w:pPr>
            <w:r w:rsidRPr="004D4B00">
              <w:rPr>
                <w:sz w:val="22"/>
              </w:rPr>
              <w:t>(4.13)***</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7.451</w:t>
            </w:r>
          </w:p>
          <w:p w:rsidR="004D4B00" w:rsidRPr="004D4B00" w:rsidRDefault="004D4B00" w:rsidP="00F944A9">
            <w:pPr>
              <w:tabs>
                <w:tab w:val="decimal" w:pos="593"/>
                <w:tab w:val="right" w:pos="8931"/>
              </w:tabs>
              <w:jc w:val="center"/>
              <w:rPr>
                <w:sz w:val="22"/>
              </w:rPr>
            </w:pPr>
            <w:r w:rsidRPr="004D4B00">
              <w:rPr>
                <w:sz w:val="22"/>
              </w:rPr>
              <w:t>(2.65)**</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8.719</w:t>
            </w:r>
          </w:p>
          <w:p w:rsidR="004D4B00" w:rsidRPr="004D4B00" w:rsidRDefault="004D4B00" w:rsidP="00F944A9">
            <w:pPr>
              <w:tabs>
                <w:tab w:val="decimal" w:pos="761"/>
                <w:tab w:val="right" w:pos="8931"/>
              </w:tabs>
              <w:jc w:val="center"/>
              <w:rPr>
                <w:sz w:val="22"/>
              </w:rPr>
            </w:pPr>
            <w:r w:rsidRPr="004D4B00">
              <w:rPr>
                <w:sz w:val="22"/>
              </w:rPr>
              <w:t>(3.79)***</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FDI</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1.923</w:t>
            </w:r>
          </w:p>
          <w:p w:rsidR="004D4B00" w:rsidRPr="004D4B00" w:rsidRDefault="004D4B00" w:rsidP="00F944A9">
            <w:pPr>
              <w:tabs>
                <w:tab w:val="decimal" w:pos="801"/>
                <w:tab w:val="right" w:pos="8931"/>
              </w:tabs>
              <w:jc w:val="center"/>
              <w:rPr>
                <w:sz w:val="22"/>
              </w:rPr>
            </w:pPr>
            <w:r w:rsidRPr="004D4B00">
              <w:rPr>
                <w:sz w:val="22"/>
              </w:rPr>
              <w:t>(3.05)***</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1.979</w:t>
            </w:r>
          </w:p>
          <w:p w:rsidR="004D4B00" w:rsidRPr="004D4B00" w:rsidRDefault="004D4B00" w:rsidP="00F944A9">
            <w:pPr>
              <w:tabs>
                <w:tab w:val="decimal" w:pos="593"/>
                <w:tab w:val="right" w:pos="8931"/>
              </w:tabs>
              <w:jc w:val="center"/>
              <w:rPr>
                <w:sz w:val="22"/>
              </w:rPr>
            </w:pPr>
            <w:r w:rsidRPr="004D4B00">
              <w:rPr>
                <w:sz w:val="22"/>
              </w:rPr>
              <w:t>(2.41)**</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1.811</w:t>
            </w:r>
          </w:p>
          <w:p w:rsidR="004D4B00" w:rsidRPr="004D4B00" w:rsidRDefault="004D4B00" w:rsidP="00F944A9">
            <w:pPr>
              <w:tabs>
                <w:tab w:val="decimal" w:pos="761"/>
                <w:tab w:val="right" w:pos="8931"/>
              </w:tabs>
              <w:jc w:val="center"/>
              <w:rPr>
                <w:sz w:val="22"/>
              </w:rPr>
            </w:pPr>
            <w:r w:rsidRPr="004D4B00">
              <w:rPr>
                <w:sz w:val="22"/>
              </w:rPr>
              <w:t>(2.38)**</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AID</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-0.411</w:t>
            </w:r>
          </w:p>
          <w:p w:rsidR="004D4B00" w:rsidRPr="004D4B00" w:rsidRDefault="004D4B00" w:rsidP="00F944A9">
            <w:pPr>
              <w:tabs>
                <w:tab w:val="decimal" w:pos="801"/>
                <w:tab w:val="right" w:pos="8931"/>
              </w:tabs>
              <w:jc w:val="center"/>
              <w:rPr>
                <w:sz w:val="22"/>
              </w:rPr>
            </w:pPr>
            <w:r w:rsidRPr="004D4B00">
              <w:rPr>
                <w:sz w:val="22"/>
              </w:rPr>
              <w:t>(-2.32)**</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-0.428</w:t>
            </w:r>
          </w:p>
          <w:p w:rsidR="004D4B00" w:rsidRPr="004D4B00" w:rsidRDefault="004D4B00" w:rsidP="00F944A9">
            <w:pPr>
              <w:tabs>
                <w:tab w:val="decimal" w:pos="593"/>
                <w:tab w:val="right" w:pos="8931"/>
              </w:tabs>
              <w:jc w:val="center"/>
              <w:rPr>
                <w:sz w:val="22"/>
              </w:rPr>
            </w:pPr>
            <w:r w:rsidRPr="004D4B00">
              <w:rPr>
                <w:sz w:val="22"/>
              </w:rPr>
              <w:t>(-1.67)</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-0.368</w:t>
            </w:r>
          </w:p>
          <w:p w:rsidR="004D4B00" w:rsidRPr="004D4B00" w:rsidRDefault="004D4B00" w:rsidP="00F944A9">
            <w:pPr>
              <w:tabs>
                <w:tab w:val="decimal" w:pos="761"/>
                <w:tab w:val="right" w:pos="8931"/>
              </w:tabs>
              <w:jc w:val="center"/>
              <w:rPr>
                <w:sz w:val="22"/>
              </w:rPr>
            </w:pPr>
            <w:r w:rsidRPr="004D4B00">
              <w:rPr>
                <w:sz w:val="22"/>
              </w:rPr>
              <w:t>(-1.89)*</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OPEN</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-0.070</w:t>
            </w:r>
          </w:p>
          <w:p w:rsidR="004D4B00" w:rsidRPr="004D4B00" w:rsidRDefault="004D4B00" w:rsidP="00F944A9">
            <w:pPr>
              <w:tabs>
                <w:tab w:val="decimal" w:pos="801"/>
                <w:tab w:val="right" w:pos="8931"/>
              </w:tabs>
              <w:jc w:val="center"/>
              <w:rPr>
                <w:sz w:val="22"/>
              </w:rPr>
            </w:pPr>
            <w:r w:rsidRPr="004D4B00">
              <w:rPr>
                <w:sz w:val="22"/>
              </w:rPr>
              <w:t>(-1.24)</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-0.081</w:t>
            </w:r>
          </w:p>
          <w:p w:rsidR="004D4B00" w:rsidRPr="004D4B00" w:rsidRDefault="004D4B00" w:rsidP="00F944A9">
            <w:pPr>
              <w:tabs>
                <w:tab w:val="decimal" w:pos="593"/>
                <w:tab w:val="right" w:pos="8931"/>
              </w:tabs>
              <w:jc w:val="center"/>
              <w:rPr>
                <w:sz w:val="22"/>
              </w:rPr>
            </w:pPr>
            <w:r w:rsidRPr="004D4B00">
              <w:rPr>
                <w:sz w:val="22"/>
              </w:rPr>
              <w:t>(-1.03)</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-0.052</w:t>
            </w:r>
          </w:p>
          <w:p w:rsidR="004D4B00" w:rsidRPr="004D4B00" w:rsidRDefault="004D4B00" w:rsidP="00F944A9">
            <w:pPr>
              <w:tabs>
                <w:tab w:val="decimal" w:pos="761"/>
                <w:tab w:val="right" w:pos="8931"/>
              </w:tabs>
              <w:jc w:val="center"/>
              <w:rPr>
                <w:sz w:val="22"/>
              </w:rPr>
            </w:pPr>
            <w:r w:rsidRPr="004D4B00">
              <w:rPr>
                <w:sz w:val="22"/>
              </w:rPr>
              <w:t>(-0.78)</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GOV</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0.084</w:t>
            </w:r>
          </w:p>
          <w:p w:rsidR="004D4B00" w:rsidRPr="004D4B00" w:rsidRDefault="004D4B00" w:rsidP="00F944A9">
            <w:pPr>
              <w:tabs>
                <w:tab w:val="decimal" w:pos="801"/>
                <w:tab w:val="right" w:pos="8931"/>
              </w:tabs>
              <w:jc w:val="center"/>
              <w:rPr>
                <w:sz w:val="22"/>
              </w:rPr>
            </w:pPr>
            <w:r w:rsidRPr="004D4B00">
              <w:rPr>
                <w:sz w:val="22"/>
              </w:rPr>
              <w:t>(2.08)**</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0.091</w:t>
            </w:r>
          </w:p>
          <w:p w:rsidR="004D4B00" w:rsidRPr="004D4B00" w:rsidRDefault="004D4B00" w:rsidP="00F944A9">
            <w:pPr>
              <w:tabs>
                <w:tab w:val="decimal" w:pos="593"/>
                <w:tab w:val="right" w:pos="8931"/>
              </w:tabs>
              <w:jc w:val="center"/>
              <w:rPr>
                <w:sz w:val="22"/>
              </w:rPr>
            </w:pPr>
            <w:r w:rsidRPr="004D4B00">
              <w:rPr>
                <w:sz w:val="22"/>
              </w:rPr>
              <w:t>(1.64)</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0.075</w:t>
            </w:r>
          </w:p>
          <w:p w:rsidR="004D4B00" w:rsidRPr="004D4B00" w:rsidRDefault="004D4B00" w:rsidP="00F944A9">
            <w:pPr>
              <w:tabs>
                <w:tab w:val="decimal" w:pos="761"/>
                <w:tab w:val="right" w:pos="8931"/>
              </w:tabs>
              <w:jc w:val="center"/>
              <w:rPr>
                <w:sz w:val="22"/>
              </w:rPr>
            </w:pPr>
            <w:r w:rsidRPr="004D4B00">
              <w:rPr>
                <w:sz w:val="22"/>
              </w:rPr>
              <w:t>(1.53)</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POP</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-0.011</w:t>
            </w:r>
          </w:p>
          <w:p w:rsidR="004D4B00" w:rsidRPr="004D4B00" w:rsidRDefault="004D4B00" w:rsidP="00F944A9">
            <w:pPr>
              <w:tabs>
                <w:tab w:val="decimal" w:pos="801"/>
                <w:tab w:val="right" w:pos="8931"/>
              </w:tabs>
              <w:jc w:val="center"/>
              <w:rPr>
                <w:sz w:val="22"/>
              </w:rPr>
            </w:pPr>
            <w:r w:rsidRPr="004D4B00">
              <w:rPr>
                <w:sz w:val="22"/>
              </w:rPr>
              <w:t>(-1.22)</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-0.012</w:t>
            </w:r>
          </w:p>
          <w:p w:rsidR="004D4B00" w:rsidRPr="004D4B00" w:rsidRDefault="004D4B00" w:rsidP="00F944A9">
            <w:pPr>
              <w:tabs>
                <w:tab w:val="decimal" w:pos="593"/>
                <w:tab w:val="right" w:pos="8931"/>
              </w:tabs>
              <w:jc w:val="center"/>
              <w:rPr>
                <w:sz w:val="22"/>
              </w:rPr>
            </w:pPr>
            <w:r w:rsidRPr="004D4B00">
              <w:rPr>
                <w:sz w:val="22"/>
              </w:rPr>
              <w:t>(-1.05)</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-0.010</w:t>
            </w:r>
          </w:p>
          <w:p w:rsidR="004D4B00" w:rsidRPr="004D4B00" w:rsidRDefault="004D4B00" w:rsidP="00F944A9">
            <w:pPr>
              <w:tabs>
                <w:tab w:val="decimal" w:pos="761"/>
                <w:tab w:val="right" w:pos="8931"/>
              </w:tabs>
              <w:jc w:val="center"/>
              <w:rPr>
                <w:sz w:val="22"/>
              </w:rPr>
            </w:pPr>
            <w:r w:rsidRPr="004D4B00">
              <w:rPr>
                <w:sz w:val="22"/>
              </w:rPr>
              <w:t>(-0.95)</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Year Dummy 1980</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-0.027</w:t>
            </w:r>
          </w:p>
          <w:p w:rsidR="004D4B00" w:rsidRPr="004D4B00" w:rsidRDefault="004D4B00" w:rsidP="00F944A9">
            <w:pPr>
              <w:tabs>
                <w:tab w:val="decimal" w:pos="801"/>
                <w:tab w:val="right" w:pos="8931"/>
              </w:tabs>
              <w:jc w:val="center"/>
              <w:rPr>
                <w:sz w:val="22"/>
              </w:rPr>
            </w:pPr>
            <w:r w:rsidRPr="004D4B00">
              <w:rPr>
                <w:sz w:val="22"/>
              </w:rPr>
              <w:t>(-4.17)***</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-0.025</w:t>
            </w:r>
          </w:p>
          <w:p w:rsidR="004D4B00" w:rsidRPr="004D4B00" w:rsidRDefault="004D4B00" w:rsidP="00F944A9">
            <w:pPr>
              <w:tabs>
                <w:tab w:val="decimal" w:pos="593"/>
                <w:tab w:val="right" w:pos="8931"/>
              </w:tabs>
              <w:jc w:val="center"/>
              <w:rPr>
                <w:sz w:val="22"/>
              </w:rPr>
            </w:pPr>
            <w:r w:rsidRPr="004D4B00">
              <w:rPr>
                <w:sz w:val="22"/>
              </w:rPr>
              <w:t>(-2.28)**</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-0.029</w:t>
            </w:r>
          </w:p>
          <w:p w:rsidR="004D4B00" w:rsidRPr="004D4B00" w:rsidRDefault="004D4B00" w:rsidP="00F944A9">
            <w:pPr>
              <w:tabs>
                <w:tab w:val="decimal" w:pos="761"/>
                <w:tab w:val="right" w:pos="8931"/>
              </w:tabs>
              <w:jc w:val="center"/>
              <w:rPr>
                <w:sz w:val="22"/>
              </w:rPr>
            </w:pPr>
            <w:r w:rsidRPr="004D4B00">
              <w:rPr>
                <w:sz w:val="22"/>
              </w:rPr>
              <w:t>(-3.63)***</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Year Dummy 1990</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0.022</w:t>
            </w:r>
          </w:p>
          <w:p w:rsidR="004D4B00" w:rsidRPr="004D4B00" w:rsidRDefault="004D4B00" w:rsidP="00F944A9">
            <w:pPr>
              <w:tabs>
                <w:tab w:val="decimal" w:pos="801"/>
                <w:tab w:val="right" w:pos="8931"/>
              </w:tabs>
              <w:jc w:val="center"/>
              <w:rPr>
                <w:sz w:val="22"/>
              </w:rPr>
            </w:pPr>
            <w:r w:rsidRPr="004D4B00">
              <w:rPr>
                <w:sz w:val="22"/>
              </w:rPr>
              <w:t>(3.09)***</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0.024</w:t>
            </w:r>
          </w:p>
          <w:p w:rsidR="004D4B00" w:rsidRPr="004D4B00" w:rsidRDefault="004D4B00" w:rsidP="00F944A9">
            <w:pPr>
              <w:tabs>
                <w:tab w:val="decimal" w:pos="593"/>
                <w:tab w:val="right" w:pos="8931"/>
              </w:tabs>
              <w:jc w:val="center"/>
              <w:rPr>
                <w:sz w:val="22"/>
              </w:rPr>
            </w:pPr>
            <w:r w:rsidRPr="004D4B00">
              <w:rPr>
                <w:sz w:val="22"/>
              </w:rPr>
              <w:t>(1.99)*</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0.020</w:t>
            </w:r>
          </w:p>
          <w:p w:rsidR="004D4B00" w:rsidRPr="004D4B00" w:rsidRDefault="004D4B00" w:rsidP="00F944A9">
            <w:pPr>
              <w:tabs>
                <w:tab w:val="decimal" w:pos="761"/>
                <w:tab w:val="right" w:pos="8931"/>
              </w:tabs>
              <w:jc w:val="center"/>
              <w:rPr>
                <w:sz w:val="22"/>
              </w:rPr>
            </w:pPr>
            <w:r w:rsidRPr="004D4B00">
              <w:rPr>
                <w:sz w:val="22"/>
              </w:rPr>
              <w:t>(2.31)**</w:t>
            </w:r>
          </w:p>
        </w:tc>
      </w:tr>
      <w:tr w:rsidR="004D4B00" w:rsidTr="006D235F">
        <w:trPr>
          <w:jc w:val="center"/>
        </w:trPr>
        <w:tc>
          <w:tcPr>
            <w:tcW w:w="2161" w:type="dxa"/>
            <w:tcBorders>
              <w:top w:val="nil"/>
              <w:bottom w:val="nil"/>
              <w:right w:val="nil"/>
            </w:tcBorders>
            <w:vAlign w:val="center"/>
          </w:tcPr>
          <w:p w:rsidR="004D4B00" w:rsidRPr="004D4B00" w:rsidRDefault="004D4B00" w:rsidP="007E4B5E">
            <w:pPr>
              <w:tabs>
                <w:tab w:val="left" w:pos="426"/>
                <w:tab w:val="right" w:pos="8931"/>
              </w:tabs>
              <w:rPr>
                <w:i/>
                <w:iCs/>
                <w:sz w:val="22"/>
              </w:rPr>
            </w:pPr>
            <w:r w:rsidRPr="004D4B00">
              <w:rPr>
                <w:i/>
                <w:iCs/>
                <w:sz w:val="22"/>
              </w:rPr>
              <w:t>Constant</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0.090</w:t>
            </w:r>
          </w:p>
          <w:p w:rsidR="004D4B00" w:rsidRPr="004D4B00" w:rsidRDefault="004D4B00" w:rsidP="00F944A9">
            <w:pPr>
              <w:tabs>
                <w:tab w:val="decimal" w:pos="801"/>
                <w:tab w:val="right" w:pos="8931"/>
              </w:tabs>
              <w:jc w:val="center"/>
              <w:rPr>
                <w:sz w:val="22"/>
              </w:rPr>
            </w:pPr>
            <w:r w:rsidRPr="004D4B00">
              <w:rPr>
                <w:sz w:val="22"/>
              </w:rPr>
              <w:t>(3.59)***</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0.091</w:t>
            </w:r>
          </w:p>
          <w:p w:rsidR="004D4B00" w:rsidRPr="004D4B00" w:rsidRDefault="004D4B00" w:rsidP="00F944A9">
            <w:pPr>
              <w:tabs>
                <w:tab w:val="decimal" w:pos="593"/>
                <w:tab w:val="right" w:pos="8931"/>
              </w:tabs>
              <w:jc w:val="center"/>
              <w:rPr>
                <w:sz w:val="22"/>
              </w:rPr>
            </w:pPr>
            <w:r w:rsidRPr="004D4B00">
              <w:rPr>
                <w:sz w:val="22"/>
              </w:rPr>
              <w:t>(3.29)***</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0.085</w:t>
            </w:r>
          </w:p>
          <w:p w:rsidR="004D4B00" w:rsidRPr="004D4B00" w:rsidRDefault="004D4B00" w:rsidP="00F944A9">
            <w:pPr>
              <w:tabs>
                <w:tab w:val="decimal" w:pos="761"/>
                <w:tab w:val="right" w:pos="8931"/>
              </w:tabs>
              <w:jc w:val="center"/>
              <w:rPr>
                <w:sz w:val="22"/>
              </w:rPr>
            </w:pPr>
            <w:r w:rsidRPr="004D4B00">
              <w:rPr>
                <w:sz w:val="22"/>
              </w:rPr>
              <w:t>(2.85)***</w:t>
            </w:r>
          </w:p>
        </w:tc>
      </w:tr>
      <w:tr w:rsidR="004D4B00" w:rsidTr="006D235F">
        <w:trPr>
          <w:jc w:val="center"/>
        </w:trPr>
        <w:tc>
          <w:tcPr>
            <w:tcW w:w="2161" w:type="dxa"/>
            <w:tcBorders>
              <w:top w:val="nil"/>
              <w:bottom w:val="nil"/>
              <w:right w:val="nil"/>
            </w:tcBorders>
            <w:vAlign w:val="center"/>
          </w:tcPr>
          <w:p w:rsidR="000074AF" w:rsidRDefault="000074AF" w:rsidP="007E4B5E">
            <w:pPr>
              <w:tabs>
                <w:tab w:val="left" w:pos="426"/>
                <w:tab w:val="right" w:pos="8931"/>
              </w:tabs>
              <w:rPr>
                <w:sz w:val="22"/>
              </w:rPr>
            </w:pPr>
          </w:p>
          <w:p w:rsidR="006D235F" w:rsidRDefault="004D4B00" w:rsidP="007E4B5E">
            <w:pPr>
              <w:tabs>
                <w:tab w:val="left" w:pos="426"/>
                <w:tab w:val="right" w:pos="8931"/>
              </w:tabs>
              <w:rPr>
                <w:sz w:val="22"/>
              </w:rPr>
            </w:pPr>
            <w:r w:rsidRPr="004D4B00">
              <w:rPr>
                <w:sz w:val="22"/>
              </w:rPr>
              <w:t xml:space="preserve">F-test on </w:t>
            </w:r>
            <w:r w:rsidRPr="004D4B00">
              <w:rPr>
                <w:i/>
                <w:iCs/>
                <w:sz w:val="22"/>
              </w:rPr>
              <w:t>Rem</w:t>
            </w:r>
            <w:r w:rsidRPr="004D4B00">
              <w:rPr>
                <w:sz w:val="22"/>
              </w:rPr>
              <w:t xml:space="preserve"> </w:t>
            </w:r>
          </w:p>
          <w:p w:rsidR="004D4B00" w:rsidRPr="004D4B00" w:rsidRDefault="004D4B00" w:rsidP="007E4B5E">
            <w:pPr>
              <w:tabs>
                <w:tab w:val="left" w:pos="426"/>
                <w:tab w:val="right" w:pos="8931"/>
              </w:tabs>
              <w:rPr>
                <w:sz w:val="22"/>
              </w:rPr>
            </w:pPr>
            <w:r w:rsidRPr="004D4B00">
              <w:rPr>
                <w:sz w:val="22"/>
              </w:rPr>
              <w:t xml:space="preserve">| </w:t>
            </w:r>
            <w:r w:rsidRPr="004D4B00">
              <w:rPr>
                <w:i/>
                <w:iCs/>
                <w:sz w:val="22"/>
              </w:rPr>
              <w:t>H</w:t>
            </w:r>
            <w:r w:rsidRPr="004D4B00">
              <w:rPr>
                <w:sz w:val="22"/>
                <w:vertAlign w:val="subscript"/>
              </w:rPr>
              <w:t>o</w:t>
            </w:r>
            <w:r w:rsidRPr="004D4B00">
              <w:rPr>
                <w:sz w:val="22"/>
              </w:rPr>
              <w:t>=</w:t>
            </w:r>
            <w:r w:rsidRPr="004D4B00">
              <w:rPr>
                <w:position w:val="-10"/>
                <w:sz w:val="22"/>
              </w:rPr>
              <w:object w:dxaOrig="1140" w:dyaOrig="340">
                <v:shape id="_x0000_i1079" type="#_x0000_t75" style="width:57.8pt;height:15.8pt" o:ole="">
                  <v:imagedata r:id="rId110" o:title=""/>
                </v:shape>
                <o:OLEObject Type="Embed" ProgID="Equation.3" ShapeID="_x0000_i1079" DrawAspect="Content" ObjectID="_1445969217" r:id="rId111"/>
              </w:objec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9.17***</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5.19**</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7.56**</w:t>
            </w:r>
          </w:p>
        </w:tc>
      </w:tr>
      <w:tr w:rsidR="004D4B00" w:rsidTr="006D235F">
        <w:trPr>
          <w:jc w:val="center"/>
        </w:trPr>
        <w:tc>
          <w:tcPr>
            <w:tcW w:w="2161" w:type="dxa"/>
            <w:tcBorders>
              <w:top w:val="nil"/>
              <w:bottom w:val="nil"/>
              <w:right w:val="nil"/>
            </w:tcBorders>
            <w:vAlign w:val="center"/>
          </w:tcPr>
          <w:p w:rsidR="000074AF" w:rsidRDefault="000074AF" w:rsidP="007E4B5E">
            <w:pPr>
              <w:tabs>
                <w:tab w:val="left" w:pos="426"/>
                <w:tab w:val="right" w:pos="8931"/>
              </w:tabs>
              <w:rPr>
                <w:sz w:val="22"/>
              </w:rPr>
            </w:pPr>
          </w:p>
          <w:p w:rsidR="004D4B00" w:rsidRPr="004D4B00" w:rsidRDefault="004D4B00" w:rsidP="007E4B5E">
            <w:pPr>
              <w:tabs>
                <w:tab w:val="left" w:pos="426"/>
                <w:tab w:val="right" w:pos="8931"/>
              </w:tabs>
              <w:rPr>
                <w:sz w:val="22"/>
                <w:vertAlign w:val="superscript"/>
              </w:rPr>
            </w:pPr>
            <w:r w:rsidRPr="004D4B00">
              <w:rPr>
                <w:sz w:val="22"/>
              </w:rPr>
              <w:t>Adjusted-R</w:t>
            </w:r>
            <w:r w:rsidRPr="004D4B00">
              <w:rPr>
                <w:sz w:val="22"/>
                <w:vertAlign w:val="superscript"/>
              </w:rPr>
              <w:t>2</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0.413</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0.566</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0.587</w:t>
            </w:r>
          </w:p>
        </w:tc>
      </w:tr>
      <w:tr w:rsidR="004D4B00" w:rsidTr="006D235F">
        <w:trPr>
          <w:jc w:val="center"/>
        </w:trPr>
        <w:tc>
          <w:tcPr>
            <w:tcW w:w="2161" w:type="dxa"/>
            <w:tcBorders>
              <w:top w:val="nil"/>
              <w:bottom w:val="nil"/>
              <w:right w:val="nil"/>
            </w:tcBorders>
            <w:vAlign w:val="center"/>
          </w:tcPr>
          <w:p w:rsidR="000074AF" w:rsidRDefault="000074AF" w:rsidP="007E4B5E">
            <w:pPr>
              <w:tabs>
                <w:tab w:val="left" w:pos="426"/>
                <w:tab w:val="right" w:pos="8931"/>
              </w:tabs>
              <w:rPr>
                <w:sz w:val="22"/>
              </w:rPr>
            </w:pPr>
          </w:p>
          <w:p w:rsidR="004D4B00" w:rsidRPr="004D4B00" w:rsidRDefault="004D4B00" w:rsidP="007E4B5E">
            <w:pPr>
              <w:tabs>
                <w:tab w:val="left" w:pos="426"/>
                <w:tab w:val="right" w:pos="8931"/>
              </w:tabs>
              <w:rPr>
                <w:sz w:val="22"/>
              </w:rPr>
            </w:pPr>
            <w:r w:rsidRPr="004D4B00">
              <w:rPr>
                <w:sz w:val="22"/>
              </w:rPr>
              <w:t>S.E. of Reg</w:t>
            </w:r>
          </w:p>
        </w:tc>
        <w:tc>
          <w:tcPr>
            <w:tcW w:w="1924" w:type="dxa"/>
            <w:tcBorders>
              <w:top w:val="nil"/>
              <w:left w:val="nil"/>
              <w:bottom w:val="nil"/>
              <w:right w:val="nil"/>
            </w:tcBorders>
            <w:vAlign w:val="center"/>
          </w:tcPr>
          <w:p w:rsidR="004D4B00" w:rsidRPr="004D4B00" w:rsidRDefault="004D4B00" w:rsidP="00F944A9">
            <w:pPr>
              <w:tabs>
                <w:tab w:val="decimal" w:pos="801"/>
                <w:tab w:val="right" w:pos="8931"/>
              </w:tabs>
              <w:jc w:val="center"/>
              <w:rPr>
                <w:sz w:val="22"/>
              </w:rPr>
            </w:pPr>
            <w:r w:rsidRPr="004D4B00">
              <w:rPr>
                <w:sz w:val="22"/>
              </w:rPr>
              <w:t>0.009</w:t>
            </w:r>
          </w:p>
        </w:tc>
        <w:tc>
          <w:tcPr>
            <w:tcW w:w="1621" w:type="dxa"/>
            <w:tcBorders>
              <w:top w:val="nil"/>
              <w:left w:val="nil"/>
              <w:bottom w:val="nil"/>
              <w:right w:val="nil"/>
            </w:tcBorders>
            <w:vAlign w:val="center"/>
          </w:tcPr>
          <w:p w:rsidR="004D4B00" w:rsidRPr="004D4B00" w:rsidRDefault="004D4B00" w:rsidP="00F944A9">
            <w:pPr>
              <w:tabs>
                <w:tab w:val="decimal" w:pos="593"/>
                <w:tab w:val="right" w:pos="8931"/>
              </w:tabs>
              <w:jc w:val="center"/>
              <w:rPr>
                <w:sz w:val="22"/>
              </w:rPr>
            </w:pPr>
            <w:r w:rsidRPr="004D4B00">
              <w:rPr>
                <w:sz w:val="22"/>
              </w:rPr>
              <w:t>0.009</w:t>
            </w:r>
          </w:p>
        </w:tc>
        <w:tc>
          <w:tcPr>
            <w:tcW w:w="1849" w:type="dxa"/>
            <w:tcBorders>
              <w:top w:val="nil"/>
              <w:left w:val="nil"/>
              <w:bottom w:val="nil"/>
            </w:tcBorders>
            <w:vAlign w:val="center"/>
          </w:tcPr>
          <w:p w:rsidR="004D4B00" w:rsidRPr="004D4B00" w:rsidRDefault="004D4B00" w:rsidP="00F944A9">
            <w:pPr>
              <w:tabs>
                <w:tab w:val="decimal" w:pos="761"/>
                <w:tab w:val="right" w:pos="8931"/>
              </w:tabs>
              <w:jc w:val="center"/>
              <w:rPr>
                <w:sz w:val="22"/>
              </w:rPr>
            </w:pPr>
            <w:r w:rsidRPr="004D4B00">
              <w:rPr>
                <w:sz w:val="22"/>
              </w:rPr>
              <w:t>0.009</w:t>
            </w:r>
          </w:p>
        </w:tc>
      </w:tr>
      <w:tr w:rsidR="004D4B00" w:rsidTr="006D235F">
        <w:trPr>
          <w:jc w:val="center"/>
        </w:trPr>
        <w:tc>
          <w:tcPr>
            <w:tcW w:w="2161" w:type="dxa"/>
            <w:tcBorders>
              <w:top w:val="nil"/>
              <w:bottom w:val="single" w:sz="4" w:space="0" w:color="auto"/>
              <w:right w:val="nil"/>
            </w:tcBorders>
            <w:vAlign w:val="center"/>
          </w:tcPr>
          <w:p w:rsidR="000074AF" w:rsidRDefault="000074AF" w:rsidP="007E4B5E">
            <w:pPr>
              <w:tabs>
                <w:tab w:val="left" w:pos="426"/>
                <w:tab w:val="right" w:pos="8931"/>
              </w:tabs>
              <w:rPr>
                <w:sz w:val="22"/>
              </w:rPr>
            </w:pPr>
          </w:p>
          <w:p w:rsidR="004D4B00" w:rsidRPr="004D4B00" w:rsidRDefault="004D4B00" w:rsidP="007E4B5E">
            <w:pPr>
              <w:tabs>
                <w:tab w:val="left" w:pos="426"/>
                <w:tab w:val="right" w:pos="8931"/>
              </w:tabs>
              <w:rPr>
                <w:sz w:val="22"/>
              </w:rPr>
            </w:pPr>
            <w:r w:rsidRPr="004D4B00">
              <w:rPr>
                <w:sz w:val="22"/>
              </w:rPr>
              <w:t>DW Stat</w:t>
            </w:r>
          </w:p>
        </w:tc>
        <w:tc>
          <w:tcPr>
            <w:tcW w:w="1924" w:type="dxa"/>
            <w:tcBorders>
              <w:top w:val="nil"/>
              <w:left w:val="nil"/>
              <w:bottom w:val="single" w:sz="4" w:space="0" w:color="auto"/>
              <w:right w:val="nil"/>
            </w:tcBorders>
            <w:vAlign w:val="center"/>
          </w:tcPr>
          <w:p w:rsidR="004D4B00" w:rsidRPr="004D4B00" w:rsidRDefault="004D4B00" w:rsidP="00F944A9">
            <w:pPr>
              <w:tabs>
                <w:tab w:val="decimal" w:pos="801"/>
                <w:tab w:val="right" w:pos="8931"/>
              </w:tabs>
              <w:jc w:val="center"/>
              <w:rPr>
                <w:sz w:val="22"/>
              </w:rPr>
            </w:pPr>
            <w:r w:rsidRPr="004D4B00">
              <w:rPr>
                <w:sz w:val="22"/>
              </w:rPr>
              <w:t>1.906</w:t>
            </w:r>
          </w:p>
        </w:tc>
        <w:tc>
          <w:tcPr>
            <w:tcW w:w="1621" w:type="dxa"/>
            <w:tcBorders>
              <w:top w:val="nil"/>
              <w:left w:val="nil"/>
              <w:bottom w:val="single" w:sz="4" w:space="0" w:color="auto"/>
              <w:right w:val="nil"/>
            </w:tcBorders>
            <w:vAlign w:val="center"/>
          </w:tcPr>
          <w:p w:rsidR="004D4B00" w:rsidRPr="004D4B00" w:rsidRDefault="004D4B00" w:rsidP="00F944A9">
            <w:pPr>
              <w:tabs>
                <w:tab w:val="decimal" w:pos="593"/>
                <w:tab w:val="right" w:pos="8931"/>
              </w:tabs>
              <w:jc w:val="center"/>
              <w:rPr>
                <w:sz w:val="22"/>
              </w:rPr>
            </w:pPr>
            <w:r w:rsidRPr="004D4B00">
              <w:rPr>
                <w:sz w:val="22"/>
              </w:rPr>
              <w:t>1.872</w:t>
            </w:r>
          </w:p>
        </w:tc>
        <w:tc>
          <w:tcPr>
            <w:tcW w:w="1849" w:type="dxa"/>
            <w:tcBorders>
              <w:top w:val="nil"/>
              <w:left w:val="nil"/>
              <w:bottom w:val="single" w:sz="4" w:space="0" w:color="auto"/>
            </w:tcBorders>
            <w:vAlign w:val="center"/>
          </w:tcPr>
          <w:p w:rsidR="004D4B00" w:rsidRPr="004D4B00" w:rsidRDefault="004D4B00" w:rsidP="00F944A9">
            <w:pPr>
              <w:tabs>
                <w:tab w:val="decimal" w:pos="761"/>
                <w:tab w:val="right" w:pos="8931"/>
              </w:tabs>
              <w:jc w:val="center"/>
              <w:rPr>
                <w:sz w:val="22"/>
              </w:rPr>
            </w:pPr>
            <w:r w:rsidRPr="004D4B00">
              <w:rPr>
                <w:sz w:val="22"/>
              </w:rPr>
              <w:t>2.13</w:t>
            </w:r>
          </w:p>
        </w:tc>
      </w:tr>
    </w:tbl>
    <w:p w:rsidR="00544890" w:rsidRDefault="006C625D" w:rsidP="007E4B5E">
      <w:pPr>
        <w:tabs>
          <w:tab w:val="left" w:pos="426"/>
          <w:tab w:val="right" w:pos="8931"/>
        </w:tabs>
        <w:spacing w:after="0" w:line="288" w:lineRule="auto"/>
        <w:jc w:val="both"/>
      </w:pPr>
      <w:r>
        <w:tab/>
      </w:r>
      <w:r w:rsidR="00A10607">
        <w:tab/>
      </w:r>
    </w:p>
    <w:p w:rsidR="00544890" w:rsidRDefault="00544890" w:rsidP="007E4B5E">
      <w:pPr>
        <w:tabs>
          <w:tab w:val="left" w:pos="426"/>
          <w:tab w:val="right" w:pos="8931"/>
        </w:tabs>
        <w:spacing w:after="0" w:line="288" w:lineRule="auto"/>
        <w:jc w:val="both"/>
      </w:pPr>
      <w:r>
        <w:tab/>
      </w:r>
    </w:p>
    <w:p w:rsidR="000074AF" w:rsidRDefault="00544890" w:rsidP="007E4B5E">
      <w:pPr>
        <w:tabs>
          <w:tab w:val="left" w:pos="426"/>
          <w:tab w:val="right" w:pos="8931"/>
        </w:tabs>
        <w:spacing w:after="0" w:line="288" w:lineRule="auto"/>
        <w:jc w:val="both"/>
      </w:pPr>
      <w:r>
        <w:tab/>
      </w:r>
      <w:r w:rsidR="00505AC2">
        <w:t>It can be seen that all</w:t>
      </w:r>
      <w:r w:rsidR="00A10607">
        <w:t xml:space="preserve"> </w:t>
      </w:r>
      <w:r w:rsidR="00505AC2">
        <w:t>three co</w:t>
      </w:r>
      <w:r w:rsidR="00E4142B">
        <w:t>i</w:t>
      </w:r>
      <w:r w:rsidR="00505AC2">
        <w:t>ntegrating equations</w:t>
      </w:r>
      <w:r w:rsidR="00A10607">
        <w:t xml:space="preserve"> </w:t>
      </w:r>
      <w:r w:rsidR="00505AC2">
        <w:t xml:space="preserve">supports our U-shaped hypothesis. It can be recalled that </w:t>
      </w:r>
      <w:r w:rsidR="00505AC2" w:rsidRPr="00AC0A22">
        <w:rPr>
          <w:lang w:val="en-AU"/>
        </w:rPr>
        <w:t>our U</w:t>
      </w:r>
      <w:r w:rsidR="00505AC2">
        <w:rPr>
          <w:lang w:val="en-AU"/>
        </w:rPr>
        <w:t>-shaped hypothesis require</w:t>
      </w:r>
      <w:r w:rsidR="00505AC2" w:rsidRPr="00AC0A22">
        <w:rPr>
          <w:position w:val="-10"/>
        </w:rPr>
        <w:object w:dxaOrig="260" w:dyaOrig="340">
          <v:shape id="_x0000_i1080" type="#_x0000_t75" style="width:14.2pt;height:15.8pt" o:ole="">
            <v:imagedata r:id="rId98" o:title=""/>
          </v:shape>
          <o:OLEObject Type="Embed" ProgID="Equation.3" ShapeID="_x0000_i1080" DrawAspect="Content" ObjectID="_1445969218" r:id="rId112"/>
        </w:object>
      </w:r>
      <w:r w:rsidR="00505AC2" w:rsidRPr="00AC0A22">
        <w:t xml:space="preserve">&lt; 0 and </w:t>
      </w:r>
      <w:r w:rsidR="00505AC2" w:rsidRPr="00AC0A22">
        <w:rPr>
          <w:position w:val="-10"/>
        </w:rPr>
        <w:object w:dxaOrig="300" w:dyaOrig="340">
          <v:shape id="_x0000_i1081" type="#_x0000_t75" style="width:15.8pt;height:15.8pt" o:ole="">
            <v:imagedata r:id="rId100" o:title=""/>
          </v:shape>
          <o:OLEObject Type="Embed" ProgID="Equation.3" ShapeID="_x0000_i1081" DrawAspect="Content" ObjectID="_1445969219" r:id="rId113"/>
        </w:object>
      </w:r>
      <w:r w:rsidR="00505AC2" w:rsidRPr="00AC0A22">
        <w:t>&gt; 0</w:t>
      </w:r>
      <w:r w:rsidR="00505AC2">
        <w:t xml:space="preserve"> in the long-run estimations of Eq. (17). In al</w:t>
      </w:r>
      <w:r w:rsidR="00C73218">
        <w:t>l three co</w:t>
      </w:r>
      <w:r w:rsidR="00E4142B">
        <w:t>i</w:t>
      </w:r>
      <w:r w:rsidR="00C73218">
        <w:t xml:space="preserve">ntegrating equations </w:t>
      </w:r>
      <w:r w:rsidR="00505AC2">
        <w:t xml:space="preserve">the estimated sign of </w:t>
      </w:r>
      <w:r w:rsidR="00505AC2" w:rsidRPr="00505AC2">
        <w:rPr>
          <w:i/>
          <w:iCs/>
        </w:rPr>
        <w:t>Rem</w:t>
      </w:r>
      <w:r w:rsidR="00505AC2">
        <w:t xml:space="preserve"> is negative and that of </w:t>
      </w:r>
      <w:r w:rsidR="00505AC2" w:rsidRPr="00505AC2">
        <w:rPr>
          <w:i/>
          <w:iCs/>
        </w:rPr>
        <w:t>Rem</w:t>
      </w:r>
      <w:r w:rsidR="00505AC2" w:rsidRPr="00505AC2">
        <w:rPr>
          <w:vertAlign w:val="superscript"/>
        </w:rPr>
        <w:t>2</w:t>
      </w:r>
      <w:r w:rsidR="00C73218">
        <w:t xml:space="preserve"> is positive and they both are highly significant. The </w:t>
      </w:r>
      <w:r w:rsidR="00E4142B">
        <w:t>magnitudes of the estimated long-run coefficients of remittances are</w:t>
      </w:r>
      <w:r w:rsidR="00C73218">
        <w:t xml:space="preserve"> also quite close in the alternative estimation methods. For instances estimated signs of </w:t>
      </w:r>
      <w:r w:rsidR="00C73218" w:rsidRPr="00C73218">
        <w:rPr>
          <w:i/>
          <w:iCs/>
        </w:rPr>
        <w:t>Rem</w:t>
      </w:r>
      <w:r w:rsidR="00C73218">
        <w:t xml:space="preserve"> are -1.4, -1.3 and -1.4 in the FMOLS, CCR and DOLS regressions respectively. Similarly for </w:t>
      </w:r>
      <w:r w:rsidR="00E4142B">
        <w:t xml:space="preserve">the squared remittances term </w:t>
      </w:r>
      <w:r w:rsidR="00C73218" w:rsidRPr="00505AC2">
        <w:rPr>
          <w:i/>
          <w:iCs/>
        </w:rPr>
        <w:t>Rem</w:t>
      </w:r>
      <w:r w:rsidR="00C73218" w:rsidRPr="00505AC2">
        <w:rPr>
          <w:vertAlign w:val="superscript"/>
        </w:rPr>
        <w:t>2</w:t>
      </w:r>
      <w:r w:rsidR="00C73218">
        <w:t xml:space="preserve"> the estimated signs are</w:t>
      </w:r>
      <w:r w:rsidR="00E4142B">
        <w:t xml:space="preserve"> found to be</w:t>
      </w:r>
      <w:r w:rsidR="00C73218">
        <w:t xml:space="preserve"> 8.4, 7.5 and 8.7</w:t>
      </w:r>
      <w:r w:rsidR="00E4142B">
        <w:t xml:space="preserve"> </w:t>
      </w:r>
      <w:r w:rsidR="00E4142B" w:rsidRPr="00E4142B">
        <w:t>in the FMOLS, CCR and DOLS regressions respectively.</w:t>
      </w:r>
      <w:r w:rsidR="00E4142B">
        <w:t xml:space="preserve"> </w:t>
      </w:r>
    </w:p>
    <w:p w:rsidR="000074AF" w:rsidRDefault="000074AF" w:rsidP="007E4B5E">
      <w:pPr>
        <w:tabs>
          <w:tab w:val="left" w:pos="426"/>
          <w:tab w:val="right" w:pos="8931"/>
        </w:tabs>
        <w:spacing w:after="0" w:line="288" w:lineRule="auto"/>
        <w:jc w:val="both"/>
      </w:pPr>
    </w:p>
    <w:p w:rsidR="007E3A0B" w:rsidRDefault="000074AF" w:rsidP="007E4B5E">
      <w:pPr>
        <w:tabs>
          <w:tab w:val="left" w:pos="426"/>
          <w:tab w:val="right" w:pos="8931"/>
        </w:tabs>
        <w:spacing w:after="0" w:line="288" w:lineRule="auto"/>
        <w:jc w:val="both"/>
      </w:pPr>
      <w:r>
        <w:tab/>
      </w:r>
      <w:r w:rsidR="00E4142B">
        <w:t xml:space="preserve">The </w:t>
      </w:r>
      <w:r w:rsidR="00CB59D8">
        <w:t>fact</w:t>
      </w:r>
      <w:r w:rsidR="00E4142B">
        <w:t xml:space="preserve"> that the estimated coefficients of the remittances term do no vary much from each other in alternative </w:t>
      </w:r>
      <w:r w:rsidR="00CB59D8">
        <w:t>estimation</w:t>
      </w:r>
      <w:r w:rsidR="00E4142B">
        <w:t xml:space="preserve"> method</w:t>
      </w:r>
      <w:r w:rsidR="00CB59D8">
        <w:t>s</w:t>
      </w:r>
      <w:r w:rsidR="00E4142B">
        <w:t xml:space="preserve">, gives us confidence in our estimations.  </w:t>
      </w:r>
      <w:r w:rsidR="00CB59D8">
        <w:t>We also find that the estimated remittances coefficients are all significant at 5 percent or less. However, because of the non-linear setting the marginal effect of</w:t>
      </w:r>
      <w:r w:rsidR="006C625D">
        <w:t xml:space="preserve"> remittances on TFP is given by</w:t>
      </w:r>
      <w:r w:rsidR="00CB59D8" w:rsidRPr="00CB59D8">
        <w:rPr>
          <w:position w:val="-10"/>
        </w:rPr>
        <w:object w:dxaOrig="3019" w:dyaOrig="340">
          <v:shape id="_x0000_i1082" type="#_x0000_t75" style="width:150pt;height:15.8pt" o:ole="">
            <v:imagedata r:id="rId114" o:title=""/>
          </v:shape>
          <o:OLEObject Type="Embed" ProgID="Equation.3" ShapeID="_x0000_i1082" DrawAspect="Content" ObjectID="_1445969220" r:id="rId115"/>
        </w:object>
      </w:r>
      <w:r w:rsidR="00CB59D8">
        <w:t xml:space="preserve">. </w:t>
      </w:r>
    </w:p>
    <w:p w:rsidR="007E3A0B" w:rsidRDefault="007E3A0B" w:rsidP="007E4B5E">
      <w:pPr>
        <w:tabs>
          <w:tab w:val="left" w:pos="426"/>
          <w:tab w:val="right" w:pos="8931"/>
        </w:tabs>
        <w:spacing w:after="0" w:line="288" w:lineRule="auto"/>
        <w:jc w:val="both"/>
      </w:pPr>
    </w:p>
    <w:p w:rsidR="00A10607" w:rsidRDefault="007E3A0B" w:rsidP="007E4B5E">
      <w:pPr>
        <w:tabs>
          <w:tab w:val="left" w:pos="426"/>
          <w:tab w:val="right" w:pos="8931"/>
        </w:tabs>
        <w:spacing w:after="0" w:line="288" w:lineRule="auto"/>
        <w:jc w:val="both"/>
      </w:pPr>
      <w:r>
        <w:tab/>
      </w:r>
      <w:r w:rsidR="00CB59D8">
        <w:t>The appropriate null hypothesis to test if the marginal effect of remittances on TFP is nil is</w:t>
      </w:r>
      <w:proofErr w:type="gramStart"/>
      <w:r w:rsidR="004074D1">
        <w:t>:</w:t>
      </w:r>
      <w:r w:rsidR="004074D1" w:rsidRPr="004074D1">
        <w:rPr>
          <w:position w:val="-12"/>
        </w:rPr>
        <w:object w:dxaOrig="1719" w:dyaOrig="360">
          <v:shape id="_x0000_i1083" type="#_x0000_t75" style="width:86.2pt;height:18pt" o:ole="">
            <v:imagedata r:id="rId116" o:title=""/>
          </v:shape>
          <o:OLEObject Type="Embed" ProgID="Equation.3" ShapeID="_x0000_i1083" DrawAspect="Content" ObjectID="_1445969221" r:id="rId117"/>
        </w:object>
      </w:r>
      <w:r w:rsidR="004074D1">
        <w:t>.</w:t>
      </w:r>
      <w:proofErr w:type="gramEnd"/>
      <w:r w:rsidR="004074D1">
        <w:t xml:space="preserve"> T</w:t>
      </w:r>
      <w:r w:rsidR="004074D1" w:rsidRPr="004074D1">
        <w:t xml:space="preserve">herefore </w:t>
      </w:r>
      <w:r w:rsidR="004074D1">
        <w:t xml:space="preserve">we carry out this Wald test to see if remittances and the squared remittances terms are jointly significant. The resulting F-statistics are reported in the table and it can be seen that the null is clearly rejected at 5 percent or less in all three cointegrating regressions. As a result we conclude that that the development effect of remittances </w:t>
      </w:r>
      <w:r w:rsidR="00F566C4">
        <w:t xml:space="preserve">is U-shaped and this </w:t>
      </w:r>
      <w:r w:rsidR="004074D1">
        <w:t>is ve</w:t>
      </w:r>
      <w:r w:rsidR="00F566C4">
        <w:t xml:space="preserve">rified from the Bangladesh data which show </w:t>
      </w:r>
      <w:r w:rsidR="00F566C4" w:rsidRPr="00F566C4">
        <w:t xml:space="preserve">that </w:t>
      </w:r>
      <w:r w:rsidR="00F566C4">
        <w:t xml:space="preserve">in estimating a long-run TFP equation, remittances and squared remittances terms have negative and positive coefficients respectively which are both individually and jointly significant.  </w:t>
      </w:r>
      <w:r w:rsidR="004074D1">
        <w:t xml:space="preserve"> </w:t>
      </w:r>
    </w:p>
    <w:p w:rsidR="00355AA6" w:rsidRDefault="00355AA6" w:rsidP="007E4B5E">
      <w:pPr>
        <w:tabs>
          <w:tab w:val="left" w:pos="426"/>
          <w:tab w:val="right" w:pos="8931"/>
        </w:tabs>
        <w:spacing w:after="0" w:line="288" w:lineRule="auto"/>
        <w:jc w:val="both"/>
      </w:pPr>
    </w:p>
    <w:p w:rsidR="000074AF" w:rsidRDefault="00184944" w:rsidP="007E4B5E">
      <w:pPr>
        <w:tabs>
          <w:tab w:val="left" w:pos="426"/>
          <w:tab w:val="right" w:pos="8931"/>
        </w:tabs>
        <w:spacing w:after="0" w:line="288" w:lineRule="auto"/>
        <w:jc w:val="both"/>
      </w:pPr>
      <w:r>
        <w:tab/>
        <w:t xml:space="preserve">The long-run coefficients of rest of the variables are as expected. The role of </w:t>
      </w:r>
      <w:r w:rsidRPr="006116FF">
        <w:rPr>
          <w:i/>
          <w:iCs/>
        </w:rPr>
        <w:t>FDI</w:t>
      </w:r>
      <w:r>
        <w:t xml:space="preserve"> is found </w:t>
      </w:r>
      <w:r w:rsidR="002C5522">
        <w:t xml:space="preserve">to be positive and significant but </w:t>
      </w:r>
      <w:r>
        <w:t xml:space="preserve">the effect of </w:t>
      </w:r>
      <w:r w:rsidRPr="006116FF">
        <w:rPr>
          <w:i/>
          <w:iCs/>
        </w:rPr>
        <w:t>AID</w:t>
      </w:r>
      <w:r>
        <w:t xml:space="preserve"> has been negative for long-run growth</w:t>
      </w:r>
      <w:r w:rsidR="002C5522">
        <w:t xml:space="preserve"> although not always significant</w:t>
      </w:r>
      <w:r>
        <w:t>. A surprising finding was the negative effect of the openness (</w:t>
      </w:r>
      <w:r w:rsidRPr="006116FF">
        <w:rPr>
          <w:i/>
          <w:iCs/>
        </w:rPr>
        <w:t>OPEN</w:t>
      </w:r>
      <w:r>
        <w:t xml:space="preserve">) variable although it </w:t>
      </w:r>
      <w:r w:rsidR="002C5522">
        <w:t>has not been</w:t>
      </w:r>
      <w:r>
        <w:t xml:space="preserve"> significant</w:t>
      </w:r>
      <w:r w:rsidR="007E3A0B">
        <w:t xml:space="preserve"> in any of the cointeg</w:t>
      </w:r>
      <w:r w:rsidR="002C5522">
        <w:t>r</w:t>
      </w:r>
      <w:r w:rsidR="007E3A0B">
        <w:t>a</w:t>
      </w:r>
      <w:r w:rsidR="002C5522">
        <w:t>ting equations</w:t>
      </w:r>
      <w:r>
        <w:t xml:space="preserve">. The effect of government expenditure is positive </w:t>
      </w:r>
      <w:r w:rsidR="002C5522">
        <w:t>but</w:t>
      </w:r>
      <w:r>
        <w:t xml:space="preserve"> significant only in the </w:t>
      </w:r>
      <w:r w:rsidRPr="006116FF">
        <w:t>FMOLS</w:t>
      </w:r>
      <w:r>
        <w:t xml:space="preserve"> estimation. Population growth has a negative effect on </w:t>
      </w:r>
      <w:r w:rsidRPr="006116FF">
        <w:rPr>
          <w:i/>
          <w:iCs/>
        </w:rPr>
        <w:t>TFP</w:t>
      </w:r>
      <w:r>
        <w:t xml:space="preserve"> but it is not found to be significant in any of the regression</w:t>
      </w:r>
      <w:r w:rsidR="006116FF">
        <w:t>s</w:t>
      </w:r>
      <w:r>
        <w:t xml:space="preserve">. </w:t>
      </w:r>
    </w:p>
    <w:p w:rsidR="000074AF" w:rsidRDefault="000074AF" w:rsidP="007E4B5E">
      <w:pPr>
        <w:tabs>
          <w:tab w:val="left" w:pos="426"/>
          <w:tab w:val="right" w:pos="8931"/>
        </w:tabs>
        <w:spacing w:after="0" w:line="288" w:lineRule="auto"/>
        <w:jc w:val="both"/>
      </w:pPr>
    </w:p>
    <w:p w:rsidR="00184944" w:rsidRDefault="000074AF" w:rsidP="007E4B5E">
      <w:pPr>
        <w:tabs>
          <w:tab w:val="left" w:pos="426"/>
          <w:tab w:val="right" w:pos="8931"/>
        </w:tabs>
        <w:spacing w:after="0" w:line="288" w:lineRule="auto"/>
        <w:jc w:val="both"/>
        <w:rPr>
          <w:lang w:val="en-US"/>
        </w:rPr>
      </w:pPr>
      <w:r>
        <w:tab/>
      </w:r>
      <w:r w:rsidR="00184944">
        <w:t xml:space="preserve">Finally, </w:t>
      </w:r>
      <w:r w:rsidR="006116FF">
        <w:t xml:space="preserve">as expected, </w:t>
      </w:r>
      <w:r w:rsidR="00184944">
        <w:t xml:space="preserve">the coefficient of the 1980 time dummy </w:t>
      </w:r>
      <w:r w:rsidR="002C5522">
        <w:t xml:space="preserve">representing the political crisis </w:t>
      </w:r>
      <w:r w:rsidR="00184944">
        <w:t>is found to be negative and significant whereas the same for the 1990 time dummy</w:t>
      </w:r>
      <w:r w:rsidR="002C5522">
        <w:t xml:space="preserve"> demarking the era of economic liberalisation</w:t>
      </w:r>
      <w:r w:rsidR="00184944">
        <w:t xml:space="preserve"> is </w:t>
      </w:r>
      <w:r w:rsidR="006116FF">
        <w:t xml:space="preserve">found </w:t>
      </w:r>
      <w:r w:rsidR="00184944">
        <w:t xml:space="preserve">positive and significant.  </w:t>
      </w:r>
      <w:r w:rsidR="00656625">
        <w:t xml:space="preserve">The standard error of regression is 0.009 for all three regressions and DW-statistics is close to or above 2, </w:t>
      </w:r>
      <w:r w:rsidR="006116FF">
        <w:t>implying that</w:t>
      </w:r>
      <w:r w:rsidR="00656625">
        <w:t xml:space="preserve"> the residuals do not suffer from autocorrelation. The DOLS regression has the highest Adjusted-R</w:t>
      </w:r>
      <w:r w:rsidR="00656625" w:rsidRPr="00656625">
        <w:rPr>
          <w:vertAlign w:val="superscript"/>
        </w:rPr>
        <w:t>2</w:t>
      </w:r>
      <w:r w:rsidR="00656625">
        <w:t xml:space="preserve"> equalling 0.587. That is roughly </w:t>
      </w:r>
      <w:r w:rsidR="00441E71">
        <w:t xml:space="preserve">equivalent to </w:t>
      </w:r>
      <w:r w:rsidR="00656625">
        <w:t>59 percent of the variation</w:t>
      </w:r>
      <w:r w:rsidR="00441E71">
        <w:t xml:space="preserve"> in TFP which</w:t>
      </w:r>
      <w:r w:rsidR="00656625">
        <w:t xml:space="preserve"> is explained by this model. </w:t>
      </w:r>
      <w:r w:rsidR="00441E71">
        <w:t xml:space="preserve">Therefore the </w:t>
      </w:r>
      <w:r w:rsidR="00656625">
        <w:t xml:space="preserve">DOLS is our preferred model. </w:t>
      </w:r>
      <w:r w:rsidR="00494CF0">
        <w:t>Also DOLS is a robust approach it</w:t>
      </w:r>
      <w:r w:rsidR="00494CF0" w:rsidRPr="00494CF0">
        <w:rPr>
          <w:lang w:val="en-US"/>
        </w:rPr>
        <w:t xml:space="preserve"> corrects for regressor endog</w:t>
      </w:r>
      <w:r w:rsidR="003B6F05">
        <w:rPr>
          <w:lang w:val="en-US"/>
        </w:rPr>
        <w:t>e</w:t>
      </w:r>
      <w:r w:rsidR="00494CF0" w:rsidRPr="00494CF0">
        <w:rPr>
          <w:lang w:val="en-US"/>
        </w:rPr>
        <w:t>neity by including leads and lags of the first differences of regressors, and for serially correlated errors by a GLS procedure.</w:t>
      </w:r>
    </w:p>
    <w:p w:rsidR="00355AA6" w:rsidRDefault="00355AA6" w:rsidP="007E4B5E">
      <w:pPr>
        <w:tabs>
          <w:tab w:val="left" w:pos="426"/>
          <w:tab w:val="right" w:pos="8931"/>
        </w:tabs>
        <w:spacing w:after="0" w:line="288" w:lineRule="auto"/>
        <w:jc w:val="both"/>
      </w:pPr>
    </w:p>
    <w:p w:rsidR="002C5522" w:rsidRDefault="002C5522" w:rsidP="007E4B5E">
      <w:pPr>
        <w:tabs>
          <w:tab w:val="left" w:pos="426"/>
          <w:tab w:val="right" w:pos="8931"/>
        </w:tabs>
        <w:spacing w:after="0" w:line="288" w:lineRule="auto"/>
        <w:jc w:val="both"/>
      </w:pPr>
      <w:r>
        <w:tab/>
        <w:t>Using the DOLS estimation we plot the U-shaped relationship between remittances and long-run g</w:t>
      </w:r>
      <w:r w:rsidR="003762AA">
        <w:t>rowth and present it in Figure 5</w:t>
      </w:r>
      <w:r>
        <w:t xml:space="preserve">. We plug in the average values </w:t>
      </w:r>
      <w:r w:rsidR="006C1133">
        <w:t xml:space="preserve">for </w:t>
      </w:r>
      <w:r w:rsidRPr="002C5522">
        <w:rPr>
          <w:i/>
          <w:iCs/>
        </w:rPr>
        <w:t>FDI</w:t>
      </w:r>
      <w:r>
        <w:t xml:space="preserve"> and </w:t>
      </w:r>
      <w:r w:rsidRPr="002C5522">
        <w:rPr>
          <w:i/>
          <w:iCs/>
        </w:rPr>
        <w:t>AID</w:t>
      </w:r>
      <w:r>
        <w:t xml:space="preserve"> </w:t>
      </w:r>
      <w:r w:rsidR="006C1133">
        <w:t xml:space="preserve">from the sample and </w:t>
      </w:r>
      <w:r>
        <w:t>disregard</w:t>
      </w:r>
      <w:r w:rsidR="006C1133">
        <w:t xml:space="preserve"> the</w:t>
      </w:r>
      <w:r>
        <w:t xml:space="preserve"> insignificant coefficients</w:t>
      </w:r>
      <w:r w:rsidR="006C1133">
        <w:t xml:space="preserve"> as well as the dummy variables. From the graph it can be seen that the effect of remittances on </w:t>
      </w:r>
      <w:r w:rsidR="006C1133" w:rsidRPr="006C1133">
        <w:rPr>
          <w:i/>
          <w:iCs/>
        </w:rPr>
        <w:t>TFP</w:t>
      </w:r>
      <w:r w:rsidR="006C1133">
        <w:t xml:space="preserve"> starts to take </w:t>
      </w:r>
      <w:r w:rsidR="00A6450E">
        <w:t xml:space="preserve">on </w:t>
      </w:r>
      <w:r w:rsidR="006C1133">
        <w:t>a rising a trend after remittances-to-GDP ratio is roughly 10 percent and the effect becomes positive when remittances-to-GDP ratio exceeds 17 percent. Thi</w:t>
      </w:r>
      <w:r w:rsidR="0023310F">
        <w:t xml:space="preserve">s estimation thus shows that </w:t>
      </w:r>
      <w:r w:rsidR="000372B1" w:rsidRPr="000372B1">
        <w:t>a substantial time</w:t>
      </w:r>
      <w:r w:rsidR="000372B1">
        <w:t xml:space="preserve"> period is required</w:t>
      </w:r>
      <w:r w:rsidR="000372B1" w:rsidRPr="000372B1">
        <w:t xml:space="preserve"> </w:t>
      </w:r>
      <w:r w:rsidR="0023310F">
        <w:t>for the developmental effect of remittances to become positive. It depends on how soon remittances have become large enough to meet the expenditure for necessary consumption and pay for the existing debt for the family so that savings out remittances income become positive.</w:t>
      </w:r>
    </w:p>
    <w:p w:rsidR="00544890" w:rsidRDefault="00544890" w:rsidP="007E4B5E">
      <w:pPr>
        <w:tabs>
          <w:tab w:val="right" w:pos="8931"/>
        </w:tabs>
      </w:pPr>
      <w:r>
        <w:br w:type="page"/>
      </w:r>
    </w:p>
    <w:p w:rsidR="00544890" w:rsidRDefault="00712B5A" w:rsidP="007E4B5E">
      <w:pPr>
        <w:tabs>
          <w:tab w:val="left" w:pos="426"/>
          <w:tab w:val="right" w:pos="8931"/>
        </w:tabs>
        <w:spacing w:after="0" w:line="288" w:lineRule="auto"/>
        <w:jc w:val="center"/>
      </w:pPr>
      <w:r w:rsidRPr="00712B5A">
        <w:rPr>
          <w:color w:val="000000" w:themeColor="text1"/>
        </w:rPr>
      </w:r>
      <w:r w:rsidRPr="00712B5A">
        <w:rPr>
          <w:color w:val="000000" w:themeColor="text1"/>
        </w:rPr>
        <w:pict>
          <v:group id="_x0000_s1087" editas="canvas" style="width:332pt;height:230pt;mso-position-horizontal-relative:char;mso-position-vertical-relative:line" coordsize="6640,4600">
            <o:lock v:ext="edit" aspectratio="t"/>
            <v:shape id="_x0000_s1086" type="#_x0000_t75" style="position:absolute;width:6640;height:4600" o:preferrelative="f">
              <v:fill o:detectmouseclick="t"/>
              <v:path o:extrusionok="t" o:connecttype="none"/>
              <o:lock v:ext="edit" text="t"/>
            </v:shape>
            <v:shape id="_x0000_s1088" type="#_x0000_t75" style="position:absolute;width:6641;height:4601">
              <v:imagedata r:id="rId118" o:title=""/>
            </v:shape>
            <w10:wrap type="none"/>
            <w10:anchorlock/>
          </v:group>
        </w:pict>
      </w:r>
      <w:r w:rsidR="00544890" w:rsidRPr="00544890">
        <w:t xml:space="preserve"> </w:t>
      </w:r>
    </w:p>
    <w:p w:rsidR="00544890" w:rsidRDefault="00544890" w:rsidP="007E4B5E">
      <w:pPr>
        <w:tabs>
          <w:tab w:val="left" w:pos="426"/>
          <w:tab w:val="right" w:pos="8931"/>
        </w:tabs>
        <w:spacing w:after="0" w:line="288" w:lineRule="auto"/>
        <w:jc w:val="center"/>
      </w:pPr>
    </w:p>
    <w:p w:rsidR="00544890" w:rsidRDefault="00544890" w:rsidP="007E4B5E">
      <w:pPr>
        <w:tabs>
          <w:tab w:val="left" w:pos="426"/>
          <w:tab w:val="right" w:pos="8931"/>
        </w:tabs>
        <w:spacing w:after="0" w:line="288" w:lineRule="auto"/>
        <w:jc w:val="center"/>
      </w:pPr>
    </w:p>
    <w:p w:rsidR="00C6345C" w:rsidRDefault="0023310F" w:rsidP="007E4B5E">
      <w:pPr>
        <w:pStyle w:val="ListParagraph"/>
        <w:numPr>
          <w:ilvl w:val="0"/>
          <w:numId w:val="1"/>
        </w:numPr>
        <w:tabs>
          <w:tab w:val="left" w:pos="426"/>
          <w:tab w:val="right" w:pos="8931"/>
        </w:tabs>
        <w:spacing w:after="0" w:line="288" w:lineRule="auto"/>
        <w:ind w:left="0" w:firstLine="0"/>
        <w:jc w:val="both"/>
        <w:rPr>
          <w:b/>
          <w:bCs/>
        </w:rPr>
      </w:pPr>
      <w:r w:rsidRPr="00C24164">
        <w:rPr>
          <w:b/>
          <w:bCs/>
        </w:rPr>
        <w:t>Conclusion</w:t>
      </w:r>
      <w:r w:rsidR="00740D59">
        <w:rPr>
          <w:b/>
          <w:bCs/>
        </w:rPr>
        <w:t>s</w:t>
      </w:r>
    </w:p>
    <w:p w:rsidR="00355AA6" w:rsidRPr="00355AA6" w:rsidRDefault="00355AA6" w:rsidP="007E4B5E">
      <w:pPr>
        <w:pStyle w:val="ListParagraph"/>
        <w:tabs>
          <w:tab w:val="left" w:pos="426"/>
          <w:tab w:val="right" w:pos="8931"/>
        </w:tabs>
        <w:spacing w:after="0" w:line="288" w:lineRule="auto"/>
        <w:ind w:left="0"/>
        <w:jc w:val="both"/>
        <w:rPr>
          <w:b/>
          <w:bCs/>
          <w:sz w:val="12"/>
          <w:szCs w:val="12"/>
        </w:rPr>
      </w:pPr>
    </w:p>
    <w:p w:rsidR="0023310F" w:rsidRDefault="000372B1" w:rsidP="007E4B5E">
      <w:pPr>
        <w:tabs>
          <w:tab w:val="left" w:pos="426"/>
          <w:tab w:val="right" w:pos="8931"/>
        </w:tabs>
        <w:spacing w:after="0" w:line="288" w:lineRule="auto"/>
        <w:jc w:val="both"/>
        <w:rPr>
          <w:lang w:val="en-AU"/>
        </w:rPr>
      </w:pPr>
      <w:r w:rsidRPr="000372B1">
        <w:rPr>
          <w:lang w:val="en-AU"/>
        </w:rPr>
        <w:t xml:space="preserve">Most studies </w:t>
      </w:r>
      <w:r>
        <w:rPr>
          <w:lang w:val="en-AU"/>
        </w:rPr>
        <w:t>in the</w:t>
      </w:r>
      <w:r w:rsidRPr="000372B1">
        <w:rPr>
          <w:lang w:val="en-AU"/>
        </w:rPr>
        <w:t xml:space="preserve"> development impact of remittances </w:t>
      </w:r>
      <w:r>
        <w:rPr>
          <w:lang w:val="en-AU"/>
        </w:rPr>
        <w:t xml:space="preserve">literature take a linear view </w:t>
      </w:r>
      <w:r w:rsidRPr="000372B1">
        <w:rPr>
          <w:lang w:val="en-AU"/>
        </w:rPr>
        <w:t xml:space="preserve">which ranges from it being </w:t>
      </w:r>
      <w:r>
        <w:rPr>
          <w:lang w:val="en-AU"/>
        </w:rPr>
        <w:t xml:space="preserve">either </w:t>
      </w:r>
      <w:r w:rsidRPr="000372B1">
        <w:rPr>
          <w:lang w:val="en-AU"/>
        </w:rPr>
        <w:t xml:space="preserve">positive </w:t>
      </w:r>
      <w:r>
        <w:rPr>
          <w:lang w:val="en-AU"/>
        </w:rPr>
        <w:t>or</w:t>
      </w:r>
      <w:r w:rsidRPr="000372B1">
        <w:rPr>
          <w:lang w:val="en-AU"/>
        </w:rPr>
        <w:t xml:space="preserve"> negative. This article provides an alternative view by recognising a non-linear developmental role of remittances. </w:t>
      </w:r>
      <w:r w:rsidR="00870910">
        <w:rPr>
          <w:lang w:val="en-AU"/>
        </w:rPr>
        <w:t>To be specific,</w:t>
      </w:r>
      <w:r>
        <w:rPr>
          <w:lang w:val="en-AU"/>
        </w:rPr>
        <w:t xml:space="preserve"> </w:t>
      </w:r>
      <w:r w:rsidR="00870910">
        <w:rPr>
          <w:lang w:val="en-AU"/>
        </w:rPr>
        <w:t>there</w:t>
      </w:r>
      <w:r>
        <w:rPr>
          <w:lang w:val="en-AU"/>
        </w:rPr>
        <w:t xml:space="preserve"> is</w:t>
      </w:r>
      <w:r w:rsidRPr="000372B1">
        <w:rPr>
          <w:lang w:val="en-AU"/>
        </w:rPr>
        <w:t xml:space="preserve"> a U-shaped relationship between remittances and long-run growth. That is the growth effects of remittances are initially negative but becomes positive later on.  </w:t>
      </w:r>
      <w:r>
        <w:rPr>
          <w:lang w:val="en-AU"/>
        </w:rPr>
        <w:t xml:space="preserve">This is because at earlier stage remittances are barely enough to </w:t>
      </w:r>
      <w:r w:rsidR="00C94693">
        <w:rPr>
          <w:lang w:val="en-AU"/>
        </w:rPr>
        <w:t xml:space="preserve">generate positive savings. But at the later stage, after the debt </w:t>
      </w:r>
      <w:r w:rsidR="00870910">
        <w:rPr>
          <w:lang w:val="en-AU"/>
        </w:rPr>
        <w:t xml:space="preserve">incurred to undertake migration </w:t>
      </w:r>
      <w:r w:rsidR="00C94693">
        <w:rPr>
          <w:lang w:val="en-AU"/>
        </w:rPr>
        <w:t xml:space="preserve">is repaid, savings out of remittances income </w:t>
      </w:r>
      <w:r w:rsidR="00870910">
        <w:rPr>
          <w:lang w:val="en-AU"/>
        </w:rPr>
        <w:t xml:space="preserve">by the migrant’s family </w:t>
      </w:r>
      <w:r w:rsidR="00C94693">
        <w:rPr>
          <w:lang w:val="en-AU"/>
        </w:rPr>
        <w:t xml:space="preserve">starts to become positive and are added to the national pool. </w:t>
      </w:r>
    </w:p>
    <w:p w:rsidR="00355AA6" w:rsidRDefault="00355AA6" w:rsidP="007E4B5E">
      <w:pPr>
        <w:tabs>
          <w:tab w:val="left" w:pos="426"/>
          <w:tab w:val="right" w:pos="8931"/>
        </w:tabs>
        <w:spacing w:after="0" w:line="288" w:lineRule="auto"/>
        <w:jc w:val="both"/>
        <w:rPr>
          <w:lang w:val="en-AU"/>
        </w:rPr>
      </w:pPr>
    </w:p>
    <w:p w:rsidR="00235FD7" w:rsidRDefault="00F13972" w:rsidP="007E4B5E">
      <w:pPr>
        <w:tabs>
          <w:tab w:val="left" w:pos="426"/>
          <w:tab w:val="right" w:pos="8931"/>
        </w:tabs>
        <w:spacing w:after="0" w:line="288" w:lineRule="auto"/>
        <w:ind w:firstLine="720"/>
        <w:jc w:val="both"/>
        <w:rPr>
          <w:lang w:val="en-AU"/>
        </w:rPr>
      </w:pPr>
      <w:r w:rsidRPr="00F13972">
        <w:rPr>
          <w:lang w:val="en-US"/>
        </w:rPr>
        <w:t xml:space="preserve">There are some significant differences in the specification and estimation in this paper compared to the earlier papers. Firstly, our specification is an improvement on the somewhat arbitrary specifications in the previous empirical works in that our specification is based on the well-known theoretical growth model of Solow. Secondly, </w:t>
      </w:r>
      <w:r>
        <w:rPr>
          <w:lang w:val="en-US"/>
        </w:rPr>
        <w:t xml:space="preserve">rather than </w:t>
      </w:r>
      <w:r w:rsidRPr="00F13972">
        <w:rPr>
          <w:lang w:val="en-US"/>
        </w:rPr>
        <w:t xml:space="preserve">regressing the </w:t>
      </w:r>
      <w:r w:rsidR="00870910">
        <w:rPr>
          <w:lang w:val="en-US"/>
        </w:rPr>
        <w:t xml:space="preserve">GDP </w:t>
      </w:r>
      <w:r w:rsidRPr="00F13972">
        <w:rPr>
          <w:lang w:val="en-US"/>
        </w:rPr>
        <w:t xml:space="preserve">growth rate on a few control variables and remittances </w:t>
      </w:r>
      <w:r>
        <w:rPr>
          <w:lang w:val="en-US"/>
        </w:rPr>
        <w:t xml:space="preserve">to </w:t>
      </w:r>
      <w:r w:rsidRPr="00F13972">
        <w:rPr>
          <w:lang w:val="en-US"/>
        </w:rPr>
        <w:t xml:space="preserve">show </w:t>
      </w:r>
      <w:r w:rsidR="007A23E1">
        <w:rPr>
          <w:lang w:val="en-US"/>
        </w:rPr>
        <w:t>whether</w:t>
      </w:r>
      <w:r w:rsidRPr="00F13972">
        <w:rPr>
          <w:lang w:val="en-US"/>
        </w:rPr>
        <w:t xml:space="preserve"> remittances may </w:t>
      </w:r>
      <w:r>
        <w:rPr>
          <w:lang w:val="en-US"/>
        </w:rPr>
        <w:t xml:space="preserve">or may </w:t>
      </w:r>
      <w:r w:rsidRPr="00F13972">
        <w:rPr>
          <w:lang w:val="en-US"/>
        </w:rPr>
        <w:t>not have significant growth effects</w:t>
      </w:r>
      <w:r>
        <w:rPr>
          <w:lang w:val="en-US"/>
        </w:rPr>
        <w:t xml:space="preserve"> like in the earlier papers, </w:t>
      </w:r>
      <w:r w:rsidRPr="00F13972">
        <w:rPr>
          <w:lang w:val="en-US"/>
        </w:rPr>
        <w:t xml:space="preserve"> </w:t>
      </w:r>
      <w:r>
        <w:rPr>
          <w:lang w:val="en-US"/>
        </w:rPr>
        <w:t>we have estimated the effect</w:t>
      </w:r>
      <w:r w:rsidR="00235FD7">
        <w:rPr>
          <w:lang w:val="en-US"/>
        </w:rPr>
        <w:t>s</w:t>
      </w:r>
      <w:r>
        <w:rPr>
          <w:lang w:val="en-US"/>
        </w:rPr>
        <w:t xml:space="preserve"> of remittances on </w:t>
      </w:r>
      <w:r w:rsidRPr="00235FD7">
        <w:rPr>
          <w:lang w:val="en-US"/>
        </w:rPr>
        <w:t>TFP</w:t>
      </w:r>
      <w:r>
        <w:rPr>
          <w:lang w:val="en-US"/>
        </w:rPr>
        <w:t xml:space="preserve"> which is equivalent to long-run growth. </w:t>
      </w:r>
      <w:r w:rsidRPr="00F13972">
        <w:rPr>
          <w:lang w:val="en-US"/>
        </w:rPr>
        <w:t xml:space="preserve">Thirdly, we have used </w:t>
      </w:r>
      <w:r w:rsidR="00AD6C8F">
        <w:rPr>
          <w:lang w:val="en-US"/>
        </w:rPr>
        <w:t xml:space="preserve">three single equation </w:t>
      </w:r>
      <w:r w:rsidR="00AD6C8F" w:rsidRPr="00AD6C8F">
        <w:rPr>
          <w:iCs/>
          <w:lang w:val="en-US"/>
        </w:rPr>
        <w:t>cointegration</w:t>
      </w:r>
      <w:r w:rsidR="00AD6C8F" w:rsidRPr="00AD6C8F">
        <w:rPr>
          <w:lang w:val="en-US"/>
        </w:rPr>
        <w:t xml:space="preserve"> method</w:t>
      </w:r>
      <w:r w:rsidR="00AD6C8F">
        <w:rPr>
          <w:lang w:val="en-US"/>
        </w:rPr>
        <w:t>s:</w:t>
      </w:r>
      <w:r w:rsidR="00AD6C8F" w:rsidRPr="00AD6C8F">
        <w:rPr>
          <w:lang w:val="en-US"/>
        </w:rPr>
        <w:t xml:space="preserve"> </w:t>
      </w:r>
      <w:r w:rsidR="00AD6C8F" w:rsidRPr="00AD6C8F">
        <w:rPr>
          <w:iCs/>
          <w:lang w:val="en-US"/>
        </w:rPr>
        <w:t>DOLS</w:t>
      </w:r>
      <w:r w:rsidR="00AD6C8F">
        <w:rPr>
          <w:i/>
          <w:lang w:val="en-US"/>
        </w:rPr>
        <w:t xml:space="preserve">, </w:t>
      </w:r>
      <w:r w:rsidR="00AD6C8F">
        <w:rPr>
          <w:lang w:val="en-US"/>
        </w:rPr>
        <w:t xml:space="preserve">FMOLS and CCR. </w:t>
      </w:r>
      <w:r w:rsidR="00870910">
        <w:rPr>
          <w:lang w:val="en-US"/>
        </w:rPr>
        <w:t>O</w:t>
      </w:r>
      <w:r w:rsidR="00AD6C8F" w:rsidRPr="00AD6C8F">
        <w:rPr>
          <w:lang w:val="en-US"/>
        </w:rPr>
        <w:t xml:space="preserve">ur preferred method of estimating the long-run relationship </w:t>
      </w:r>
      <w:r w:rsidR="00870910">
        <w:rPr>
          <w:lang w:val="en-US"/>
        </w:rPr>
        <w:t xml:space="preserve">is </w:t>
      </w:r>
      <w:r w:rsidR="00AD6C8F">
        <w:rPr>
          <w:lang w:val="en-US"/>
        </w:rPr>
        <w:t>t</w:t>
      </w:r>
      <w:r w:rsidR="00AD6C8F" w:rsidRPr="00AD6C8F">
        <w:rPr>
          <w:lang w:val="en-US"/>
        </w:rPr>
        <w:t xml:space="preserve">he DOLS estimator </w:t>
      </w:r>
      <w:r w:rsidR="00870910">
        <w:rPr>
          <w:lang w:val="en-US"/>
        </w:rPr>
        <w:t xml:space="preserve">which </w:t>
      </w:r>
      <w:r w:rsidR="00AD6C8F" w:rsidRPr="00AD6C8F">
        <w:rPr>
          <w:lang w:val="en-US"/>
        </w:rPr>
        <w:t xml:space="preserve">is a robust single equation </w:t>
      </w:r>
      <w:r w:rsidR="00870910">
        <w:rPr>
          <w:lang w:val="en-US"/>
        </w:rPr>
        <w:t xml:space="preserve">cointegration </w:t>
      </w:r>
      <w:r w:rsidR="00AD6C8F" w:rsidRPr="00AD6C8F">
        <w:rPr>
          <w:lang w:val="en-US"/>
        </w:rPr>
        <w:t xml:space="preserve">approach </w:t>
      </w:r>
      <w:r w:rsidR="001D2BCE">
        <w:rPr>
          <w:lang w:val="en-US"/>
        </w:rPr>
        <w:t>that</w:t>
      </w:r>
      <w:r w:rsidR="00AD6C8F" w:rsidRPr="00AD6C8F">
        <w:rPr>
          <w:lang w:val="en-US"/>
        </w:rPr>
        <w:t xml:space="preserve"> corrects for regressor endogneity and for serially correlated errors. </w:t>
      </w:r>
      <w:r w:rsidR="00235FD7" w:rsidRPr="00235FD7">
        <w:rPr>
          <w:lang w:val="en-AU"/>
        </w:rPr>
        <w:t>We took data from Bangladesh during the period 1976-2009 and tested our h</w:t>
      </w:r>
      <w:r w:rsidR="001D2BCE">
        <w:rPr>
          <w:lang w:val="en-AU"/>
        </w:rPr>
        <w:t>ypothesis. Our empirical analyse</w:t>
      </w:r>
      <w:r w:rsidR="00235FD7" w:rsidRPr="00235FD7">
        <w:rPr>
          <w:lang w:val="en-AU"/>
        </w:rPr>
        <w:t xml:space="preserve">s </w:t>
      </w:r>
      <w:r w:rsidR="001D2BCE">
        <w:rPr>
          <w:lang w:val="en-AU"/>
        </w:rPr>
        <w:t>support</w:t>
      </w:r>
      <w:r w:rsidR="00235FD7" w:rsidRPr="00235FD7">
        <w:rPr>
          <w:lang w:val="en-AU"/>
        </w:rPr>
        <w:t xml:space="preserve"> the U-shaped relationship between remittances and long-run growth.</w:t>
      </w:r>
    </w:p>
    <w:p w:rsidR="00355AA6" w:rsidRDefault="00355AA6" w:rsidP="007E4B5E">
      <w:pPr>
        <w:tabs>
          <w:tab w:val="left" w:pos="426"/>
          <w:tab w:val="right" w:pos="8931"/>
        </w:tabs>
        <w:spacing w:after="0" w:line="288" w:lineRule="auto"/>
        <w:ind w:firstLine="720"/>
        <w:jc w:val="both"/>
        <w:rPr>
          <w:lang w:val="en-AU"/>
        </w:rPr>
      </w:pPr>
    </w:p>
    <w:p w:rsidR="00081ABE" w:rsidRDefault="001D2BCE" w:rsidP="007E4B5E">
      <w:pPr>
        <w:tabs>
          <w:tab w:val="left" w:pos="426"/>
          <w:tab w:val="right" w:pos="8931"/>
        </w:tabs>
        <w:spacing w:after="0" w:line="288" w:lineRule="auto"/>
        <w:ind w:firstLine="720"/>
        <w:jc w:val="both"/>
        <w:rPr>
          <w:lang w:val="en-AU"/>
        </w:rPr>
      </w:pPr>
      <w:r>
        <w:rPr>
          <w:lang w:val="en-AU"/>
        </w:rPr>
        <w:lastRenderedPageBreak/>
        <w:t>Finally, to accelerate the positive developmental effect of remittances in Bangladesh, there are two policy implications from our paper</w:t>
      </w:r>
      <w:r w:rsidR="00235FD7">
        <w:rPr>
          <w:lang w:val="en-AU"/>
        </w:rPr>
        <w:t xml:space="preserve">. One is </w:t>
      </w:r>
      <w:r w:rsidR="00B537DE">
        <w:rPr>
          <w:lang w:val="en-AU"/>
        </w:rPr>
        <w:t xml:space="preserve">that some agency within the economy </w:t>
      </w:r>
      <w:r w:rsidR="007A23E1">
        <w:rPr>
          <w:lang w:val="en-AU"/>
        </w:rPr>
        <w:t>is required</w:t>
      </w:r>
      <w:r w:rsidR="00B537DE">
        <w:rPr>
          <w:lang w:val="en-AU"/>
        </w:rPr>
        <w:t xml:space="preserve"> to</w:t>
      </w:r>
      <w:r w:rsidR="00235FD7">
        <w:rPr>
          <w:lang w:val="en-AU"/>
        </w:rPr>
        <w:t xml:space="preserve"> monitor the </w:t>
      </w:r>
      <w:r w:rsidR="00B537DE">
        <w:rPr>
          <w:lang w:val="en-AU"/>
        </w:rPr>
        <w:t>pre-</w:t>
      </w:r>
      <w:r w:rsidR="00235FD7">
        <w:rPr>
          <w:lang w:val="en-AU"/>
        </w:rPr>
        <w:t xml:space="preserve">migration process to </w:t>
      </w:r>
      <w:r w:rsidR="00B537DE">
        <w:rPr>
          <w:lang w:val="en-AU"/>
        </w:rPr>
        <w:t>ensure</w:t>
      </w:r>
      <w:r w:rsidR="00B537DE" w:rsidRPr="00B537DE">
        <w:rPr>
          <w:lang w:val="en-AU"/>
        </w:rPr>
        <w:t xml:space="preserve"> </w:t>
      </w:r>
      <w:r w:rsidR="00235FD7">
        <w:rPr>
          <w:lang w:val="en-AU"/>
        </w:rPr>
        <w:t>that the migrant</w:t>
      </w:r>
      <w:r>
        <w:rPr>
          <w:lang w:val="en-AU"/>
        </w:rPr>
        <w:t>’s</w:t>
      </w:r>
      <w:r w:rsidR="00235FD7">
        <w:rPr>
          <w:lang w:val="en-AU"/>
        </w:rPr>
        <w:t xml:space="preserve"> family can secure the </w:t>
      </w:r>
      <w:r w:rsidR="00CE2CE5">
        <w:rPr>
          <w:lang w:val="en-AU"/>
        </w:rPr>
        <w:t>migration-</w:t>
      </w:r>
      <w:r w:rsidR="00235FD7">
        <w:rPr>
          <w:lang w:val="en-AU"/>
        </w:rPr>
        <w:t>loan</w:t>
      </w:r>
      <w:r>
        <w:rPr>
          <w:lang w:val="en-AU"/>
        </w:rPr>
        <w:t xml:space="preserve"> </w:t>
      </w:r>
      <w:r w:rsidR="00235FD7">
        <w:rPr>
          <w:lang w:val="en-AU"/>
        </w:rPr>
        <w:t xml:space="preserve">at a cheaper rate with </w:t>
      </w:r>
      <w:r w:rsidR="00C549B0">
        <w:rPr>
          <w:lang w:val="en-AU"/>
        </w:rPr>
        <w:t>earlier</w:t>
      </w:r>
      <w:r w:rsidR="00235FD7">
        <w:rPr>
          <w:lang w:val="en-AU"/>
        </w:rPr>
        <w:t xml:space="preserve"> repayment</w:t>
      </w:r>
      <w:r w:rsidR="00B537DE">
        <w:rPr>
          <w:lang w:val="en-AU"/>
        </w:rPr>
        <w:t xml:space="preserve"> options. With regard to this </w:t>
      </w:r>
      <w:r w:rsidR="00F944A9">
        <w:rPr>
          <w:lang w:val="en-AU"/>
        </w:rPr>
        <w:t xml:space="preserve">point, </w:t>
      </w:r>
      <w:r w:rsidR="00C549B0">
        <w:rPr>
          <w:lang w:val="en-AU"/>
        </w:rPr>
        <w:t xml:space="preserve">the </w:t>
      </w:r>
      <w:r w:rsidR="00B537DE">
        <w:rPr>
          <w:lang w:val="en-AU"/>
        </w:rPr>
        <w:t>micro</w:t>
      </w:r>
      <w:r w:rsidR="00235FD7">
        <w:rPr>
          <w:lang w:val="en-AU"/>
        </w:rPr>
        <w:t>finance institutions</w:t>
      </w:r>
      <w:r w:rsidR="0039342E">
        <w:rPr>
          <w:lang w:val="en-AU"/>
        </w:rPr>
        <w:t xml:space="preserve"> (MFI)</w:t>
      </w:r>
      <w:r w:rsidR="00235FD7">
        <w:rPr>
          <w:lang w:val="en-AU"/>
        </w:rPr>
        <w:t xml:space="preserve"> could </w:t>
      </w:r>
      <w:r w:rsidR="00B537DE">
        <w:rPr>
          <w:lang w:val="en-AU"/>
        </w:rPr>
        <w:t xml:space="preserve">play </w:t>
      </w:r>
      <w:r w:rsidR="00C549B0">
        <w:rPr>
          <w:lang w:val="en-AU"/>
        </w:rPr>
        <w:t xml:space="preserve">an </w:t>
      </w:r>
      <w:r w:rsidR="00B537DE">
        <w:rPr>
          <w:lang w:val="en-AU"/>
        </w:rPr>
        <w:t>important role by ext</w:t>
      </w:r>
      <w:r w:rsidR="00C549B0">
        <w:rPr>
          <w:lang w:val="en-AU"/>
        </w:rPr>
        <w:t xml:space="preserve">ending formal credit facilities to the </w:t>
      </w:r>
      <w:r w:rsidR="00CE2CE5">
        <w:rPr>
          <w:lang w:val="en-AU"/>
        </w:rPr>
        <w:t xml:space="preserve">migrant’s </w:t>
      </w:r>
      <w:r w:rsidR="00C549B0">
        <w:rPr>
          <w:lang w:val="en-AU"/>
        </w:rPr>
        <w:t xml:space="preserve">families </w:t>
      </w:r>
      <w:r w:rsidR="00B537DE">
        <w:rPr>
          <w:lang w:val="en-AU"/>
        </w:rPr>
        <w:t xml:space="preserve">for undertaking </w:t>
      </w:r>
      <w:r w:rsidR="00C549B0">
        <w:rPr>
          <w:lang w:val="en-AU"/>
        </w:rPr>
        <w:t xml:space="preserve">the cost </w:t>
      </w:r>
      <w:r w:rsidR="00B537DE">
        <w:rPr>
          <w:lang w:val="en-AU"/>
        </w:rPr>
        <w:t>migration</w:t>
      </w:r>
      <w:r w:rsidR="00C549B0">
        <w:rPr>
          <w:lang w:val="en-AU"/>
        </w:rPr>
        <w:t xml:space="preserve"> of its member</w:t>
      </w:r>
      <w:r w:rsidR="00235FD7">
        <w:rPr>
          <w:lang w:val="en-AU"/>
        </w:rPr>
        <w:t xml:space="preserve">. </w:t>
      </w:r>
      <w:r w:rsidR="00C549B0">
        <w:rPr>
          <w:lang w:val="en-AU"/>
        </w:rPr>
        <w:t>S</w:t>
      </w:r>
      <w:r w:rsidR="00235FD7">
        <w:rPr>
          <w:lang w:val="en-AU"/>
        </w:rPr>
        <w:t xml:space="preserve">econd </w:t>
      </w:r>
      <w:r w:rsidR="00C549B0">
        <w:rPr>
          <w:lang w:val="en-AU"/>
        </w:rPr>
        <w:t>is</w:t>
      </w:r>
      <w:r w:rsidR="00235FD7">
        <w:rPr>
          <w:lang w:val="en-AU"/>
        </w:rPr>
        <w:t xml:space="preserve"> to give these families incentive</w:t>
      </w:r>
      <w:r w:rsidR="00C549B0">
        <w:rPr>
          <w:lang w:val="en-AU"/>
        </w:rPr>
        <w:t>s</w:t>
      </w:r>
      <w:r w:rsidR="00235FD7">
        <w:rPr>
          <w:lang w:val="en-AU"/>
        </w:rPr>
        <w:t xml:space="preserve"> to save </w:t>
      </w:r>
      <w:r w:rsidR="00C549B0">
        <w:rPr>
          <w:lang w:val="en-AU"/>
        </w:rPr>
        <w:t xml:space="preserve">more </w:t>
      </w:r>
      <w:r w:rsidR="00235FD7">
        <w:rPr>
          <w:lang w:val="en-AU"/>
        </w:rPr>
        <w:t>through various schemes</w:t>
      </w:r>
      <w:r w:rsidR="00C549B0">
        <w:rPr>
          <w:lang w:val="en-AU"/>
        </w:rPr>
        <w:t xml:space="preserve"> such as deposit premium scheme which is </w:t>
      </w:r>
      <w:r w:rsidR="007A23E1">
        <w:rPr>
          <w:lang w:val="en-AU"/>
        </w:rPr>
        <w:t xml:space="preserve">a </w:t>
      </w:r>
      <w:r w:rsidR="00CE2CE5">
        <w:rPr>
          <w:lang w:val="en-AU"/>
        </w:rPr>
        <w:t>series</w:t>
      </w:r>
      <w:r w:rsidR="00C549B0">
        <w:rPr>
          <w:lang w:val="en-AU"/>
        </w:rPr>
        <w:t xml:space="preserve"> of small monthly fixed </w:t>
      </w:r>
      <w:r w:rsidR="007A23E1">
        <w:rPr>
          <w:lang w:val="en-AU"/>
        </w:rPr>
        <w:t>deposits</w:t>
      </w:r>
      <w:r w:rsidR="00C549B0">
        <w:rPr>
          <w:lang w:val="en-AU"/>
        </w:rPr>
        <w:t xml:space="preserve"> </w:t>
      </w:r>
      <w:r w:rsidR="00870910">
        <w:rPr>
          <w:lang w:val="en-AU"/>
        </w:rPr>
        <w:t xml:space="preserve">up to a certain period after which </w:t>
      </w:r>
      <w:r w:rsidR="00C549B0">
        <w:rPr>
          <w:lang w:val="en-AU"/>
        </w:rPr>
        <w:t xml:space="preserve">a </w:t>
      </w:r>
      <w:r w:rsidR="007A23E1">
        <w:rPr>
          <w:lang w:val="en-AU"/>
        </w:rPr>
        <w:t xml:space="preserve">top-up </w:t>
      </w:r>
      <w:r w:rsidR="00C549B0">
        <w:rPr>
          <w:lang w:val="en-AU"/>
        </w:rPr>
        <w:t xml:space="preserve">premium </w:t>
      </w:r>
      <w:r w:rsidR="00870910">
        <w:rPr>
          <w:lang w:val="en-AU"/>
        </w:rPr>
        <w:t xml:space="preserve">is paid </w:t>
      </w:r>
      <w:r w:rsidR="007A23E1">
        <w:rPr>
          <w:lang w:val="en-AU"/>
        </w:rPr>
        <w:t xml:space="preserve">on </w:t>
      </w:r>
      <w:r w:rsidR="00870910">
        <w:rPr>
          <w:lang w:val="en-AU"/>
        </w:rPr>
        <w:t>the return on investments</w:t>
      </w:r>
      <w:r w:rsidR="0039342E">
        <w:rPr>
          <w:lang w:val="en-AU"/>
        </w:rPr>
        <w:t xml:space="preserve">. </w:t>
      </w:r>
      <w:r w:rsidR="00870910">
        <w:rPr>
          <w:lang w:val="en-AU"/>
        </w:rPr>
        <w:t>As before</w:t>
      </w:r>
      <w:r w:rsidR="00C549B0">
        <w:rPr>
          <w:lang w:val="en-AU"/>
        </w:rPr>
        <w:t xml:space="preserve">, the MFI </w:t>
      </w:r>
      <w:r w:rsidR="0039342E">
        <w:rPr>
          <w:lang w:val="en-AU"/>
        </w:rPr>
        <w:t xml:space="preserve">can be </w:t>
      </w:r>
      <w:r w:rsidR="00C549B0">
        <w:rPr>
          <w:lang w:val="en-AU"/>
        </w:rPr>
        <w:t>instrumental in this saving</w:t>
      </w:r>
      <w:r w:rsidR="00CE2CE5">
        <w:rPr>
          <w:lang w:val="en-AU"/>
        </w:rPr>
        <w:t>s</w:t>
      </w:r>
      <w:r w:rsidR="00C549B0">
        <w:rPr>
          <w:lang w:val="en-AU"/>
        </w:rPr>
        <w:t xml:space="preserve"> generation process by collecting the deposit at source when remittances funds are received</w:t>
      </w:r>
      <w:r w:rsidR="0039342E">
        <w:rPr>
          <w:lang w:val="en-AU"/>
        </w:rPr>
        <w:t>.</w:t>
      </w:r>
    </w:p>
    <w:p w:rsidR="00081ABE" w:rsidRDefault="00081ABE" w:rsidP="007E4B5E">
      <w:pPr>
        <w:tabs>
          <w:tab w:val="left" w:pos="426"/>
          <w:tab w:val="right" w:pos="8931"/>
        </w:tabs>
        <w:spacing w:after="0" w:line="288" w:lineRule="auto"/>
        <w:jc w:val="center"/>
        <w:rPr>
          <w:rFonts w:cs="Times New Roman"/>
          <w:szCs w:val="24"/>
        </w:rPr>
      </w:pPr>
    </w:p>
    <w:tbl>
      <w:tblPr>
        <w:tblW w:w="0" w:type="auto"/>
        <w:tblLook w:val="01E0"/>
      </w:tblPr>
      <w:tblGrid>
        <w:gridCol w:w="817"/>
        <w:gridCol w:w="2263"/>
        <w:gridCol w:w="3074"/>
        <w:gridCol w:w="7"/>
        <w:gridCol w:w="3081"/>
      </w:tblGrid>
      <w:tr w:rsidR="00081ABE" w:rsidRPr="00376D10" w:rsidTr="00740D59">
        <w:trPr>
          <w:trHeight w:val="426"/>
        </w:trPr>
        <w:tc>
          <w:tcPr>
            <w:tcW w:w="9242" w:type="dxa"/>
            <w:gridSpan w:val="5"/>
            <w:tcBorders>
              <w:bottom w:val="single" w:sz="4" w:space="0" w:color="auto"/>
            </w:tcBorders>
            <w:shd w:val="clear" w:color="auto" w:fill="auto"/>
          </w:tcPr>
          <w:p w:rsidR="00740D59" w:rsidRDefault="00B72C5B" w:rsidP="007E4B5E">
            <w:pPr>
              <w:tabs>
                <w:tab w:val="left" w:pos="426"/>
                <w:tab w:val="right" w:pos="8931"/>
              </w:tabs>
              <w:spacing w:after="0" w:line="288" w:lineRule="auto"/>
              <w:jc w:val="center"/>
              <w:rPr>
                <w:rFonts w:cs="Times New Roman"/>
                <w:szCs w:val="24"/>
              </w:rPr>
            </w:pPr>
            <w:r>
              <w:rPr>
                <w:rFonts w:cs="Times New Roman"/>
                <w:szCs w:val="24"/>
              </w:rPr>
              <w:br w:type="page"/>
            </w:r>
          </w:p>
          <w:p w:rsidR="00740D59" w:rsidRDefault="00740D59" w:rsidP="007E4B5E">
            <w:pPr>
              <w:tabs>
                <w:tab w:val="left" w:pos="426"/>
                <w:tab w:val="right" w:pos="8931"/>
              </w:tabs>
              <w:spacing w:after="0" w:line="288" w:lineRule="auto"/>
              <w:jc w:val="center"/>
              <w:rPr>
                <w:rFonts w:cs="Times New Roman"/>
                <w:szCs w:val="24"/>
              </w:rPr>
            </w:pPr>
          </w:p>
          <w:p w:rsidR="00081ABE" w:rsidRDefault="00081ABE" w:rsidP="007E4B5E">
            <w:pPr>
              <w:tabs>
                <w:tab w:val="left" w:pos="426"/>
                <w:tab w:val="right" w:pos="8931"/>
              </w:tabs>
              <w:spacing w:after="0" w:line="288" w:lineRule="auto"/>
              <w:jc w:val="center"/>
              <w:rPr>
                <w:rFonts w:cs="Times New Roman"/>
                <w:b/>
                <w:sz w:val="22"/>
                <w:lang w:val="en-AU"/>
              </w:rPr>
            </w:pPr>
            <w:r w:rsidRPr="00376D10">
              <w:rPr>
                <w:rFonts w:cs="Times New Roman"/>
                <w:b/>
                <w:sz w:val="22"/>
                <w:lang w:val="en-AU"/>
              </w:rPr>
              <w:t>Data Appendix</w:t>
            </w:r>
          </w:p>
          <w:p w:rsidR="000074AF" w:rsidRPr="000074AF" w:rsidRDefault="000074AF" w:rsidP="007E4B5E">
            <w:pPr>
              <w:tabs>
                <w:tab w:val="left" w:pos="426"/>
                <w:tab w:val="right" w:pos="8931"/>
              </w:tabs>
              <w:spacing w:after="0" w:line="288" w:lineRule="auto"/>
              <w:jc w:val="center"/>
              <w:rPr>
                <w:rFonts w:cs="Times New Roman"/>
                <w:b/>
                <w:sz w:val="10"/>
                <w:szCs w:val="10"/>
                <w:lang w:val="en-AU"/>
              </w:rPr>
            </w:pPr>
          </w:p>
        </w:tc>
      </w:tr>
      <w:tr w:rsidR="00081ABE" w:rsidRPr="00376D10" w:rsidTr="00740D59">
        <w:trPr>
          <w:trHeight w:val="418"/>
        </w:trPr>
        <w:tc>
          <w:tcPr>
            <w:tcW w:w="3080" w:type="dxa"/>
            <w:gridSpan w:val="2"/>
            <w:tcBorders>
              <w:top w:val="single" w:sz="4" w:space="0" w:color="auto"/>
              <w:bottom w:val="single" w:sz="4" w:space="0" w:color="auto"/>
            </w:tcBorders>
            <w:shd w:val="clear" w:color="auto" w:fill="auto"/>
          </w:tcPr>
          <w:p w:rsidR="00081ABE" w:rsidRPr="00445A3C" w:rsidRDefault="00081ABE" w:rsidP="007E4B5E">
            <w:pPr>
              <w:tabs>
                <w:tab w:val="left" w:pos="426"/>
                <w:tab w:val="right" w:pos="8931"/>
              </w:tabs>
              <w:spacing w:before="60" w:after="0" w:line="288" w:lineRule="auto"/>
              <w:rPr>
                <w:rFonts w:cs="Times New Roman"/>
                <w:b/>
                <w:bCs/>
                <w:sz w:val="22"/>
                <w:lang w:val="en-AU"/>
              </w:rPr>
            </w:pPr>
            <w:r w:rsidRPr="00445A3C">
              <w:rPr>
                <w:rFonts w:cs="Times New Roman"/>
                <w:b/>
                <w:bCs/>
                <w:sz w:val="22"/>
                <w:lang w:val="en-AU"/>
              </w:rPr>
              <w:t>Variables</w:t>
            </w:r>
          </w:p>
        </w:tc>
        <w:tc>
          <w:tcPr>
            <w:tcW w:w="3081" w:type="dxa"/>
            <w:gridSpan w:val="2"/>
            <w:tcBorders>
              <w:top w:val="single" w:sz="4" w:space="0" w:color="auto"/>
              <w:bottom w:val="single" w:sz="4" w:space="0" w:color="auto"/>
            </w:tcBorders>
            <w:shd w:val="clear" w:color="auto" w:fill="auto"/>
          </w:tcPr>
          <w:p w:rsidR="00081ABE" w:rsidRPr="00445A3C" w:rsidRDefault="00081ABE" w:rsidP="007E4B5E">
            <w:pPr>
              <w:tabs>
                <w:tab w:val="left" w:pos="426"/>
                <w:tab w:val="right" w:pos="8931"/>
              </w:tabs>
              <w:spacing w:before="60" w:after="0" w:line="288" w:lineRule="auto"/>
              <w:rPr>
                <w:rFonts w:cs="Times New Roman"/>
                <w:b/>
                <w:bCs/>
                <w:sz w:val="22"/>
                <w:lang w:val="en-AU"/>
              </w:rPr>
            </w:pPr>
            <w:r w:rsidRPr="00445A3C">
              <w:rPr>
                <w:rFonts w:cs="Times New Roman"/>
                <w:b/>
                <w:bCs/>
                <w:sz w:val="22"/>
                <w:lang w:val="en-AU"/>
              </w:rPr>
              <w:t>Definition</w:t>
            </w:r>
          </w:p>
        </w:tc>
        <w:tc>
          <w:tcPr>
            <w:tcW w:w="3081" w:type="dxa"/>
            <w:tcBorders>
              <w:top w:val="single" w:sz="4" w:space="0" w:color="auto"/>
              <w:bottom w:val="single" w:sz="4" w:space="0" w:color="auto"/>
            </w:tcBorders>
            <w:shd w:val="clear" w:color="auto" w:fill="auto"/>
          </w:tcPr>
          <w:p w:rsidR="00081ABE" w:rsidRPr="00445A3C" w:rsidRDefault="00081ABE" w:rsidP="007E4B5E">
            <w:pPr>
              <w:tabs>
                <w:tab w:val="left" w:pos="426"/>
                <w:tab w:val="right" w:pos="8931"/>
              </w:tabs>
              <w:spacing w:before="60" w:after="0" w:line="288" w:lineRule="auto"/>
              <w:rPr>
                <w:rFonts w:cs="Times New Roman"/>
                <w:b/>
                <w:bCs/>
                <w:sz w:val="22"/>
                <w:lang w:val="en-AU"/>
              </w:rPr>
            </w:pPr>
            <w:r w:rsidRPr="00445A3C">
              <w:rPr>
                <w:rFonts w:cs="Times New Roman"/>
                <w:b/>
                <w:bCs/>
                <w:sz w:val="22"/>
                <w:lang w:val="en-AU"/>
              </w:rPr>
              <w:t>Source</w:t>
            </w:r>
          </w:p>
        </w:tc>
      </w:tr>
      <w:tr w:rsidR="00081ABE" w:rsidRPr="00376D10" w:rsidTr="00740D59">
        <w:tc>
          <w:tcPr>
            <w:tcW w:w="817" w:type="dxa"/>
            <w:tcBorders>
              <w:top w:val="single" w:sz="4" w:space="0" w:color="auto"/>
            </w:tcBorders>
            <w:shd w:val="clear" w:color="auto" w:fill="auto"/>
          </w:tcPr>
          <w:p w:rsidR="00081ABE" w:rsidRPr="00630A27" w:rsidRDefault="00081ABE" w:rsidP="007E4B5E">
            <w:pPr>
              <w:tabs>
                <w:tab w:val="left" w:pos="426"/>
                <w:tab w:val="right" w:pos="8931"/>
              </w:tabs>
              <w:spacing w:before="60" w:after="0" w:line="240" w:lineRule="auto"/>
              <w:rPr>
                <w:rFonts w:cs="Times New Roman"/>
                <w:i/>
                <w:sz w:val="22"/>
                <w:lang w:val="en-AU"/>
              </w:rPr>
            </w:pPr>
            <w:r w:rsidRPr="00630A27">
              <w:rPr>
                <w:rFonts w:cs="Times New Roman"/>
                <w:i/>
                <w:sz w:val="22"/>
                <w:lang w:val="en-AU"/>
              </w:rPr>
              <w:t>Y</w:t>
            </w:r>
          </w:p>
        </w:tc>
        <w:tc>
          <w:tcPr>
            <w:tcW w:w="5337" w:type="dxa"/>
            <w:gridSpan w:val="2"/>
            <w:tcBorders>
              <w:top w:val="single" w:sz="4" w:space="0" w:color="auto"/>
            </w:tcBorders>
            <w:shd w:val="clear" w:color="auto" w:fill="auto"/>
          </w:tcPr>
          <w:p w:rsidR="00081ABE" w:rsidRPr="00376D10" w:rsidRDefault="00081ABE" w:rsidP="007E4B5E">
            <w:pPr>
              <w:tabs>
                <w:tab w:val="left" w:pos="426"/>
                <w:tab w:val="right" w:pos="8931"/>
              </w:tabs>
              <w:spacing w:before="60" w:after="0" w:line="240" w:lineRule="auto"/>
              <w:rPr>
                <w:rFonts w:cs="Times New Roman"/>
                <w:sz w:val="22"/>
                <w:lang w:val="en-AU"/>
              </w:rPr>
            </w:pPr>
            <w:r w:rsidRPr="00376D10">
              <w:rPr>
                <w:rFonts w:cs="Times New Roman"/>
                <w:sz w:val="22"/>
                <w:lang w:val="en-AU"/>
              </w:rPr>
              <w:t>Real Gross Domestic Product</w:t>
            </w:r>
          </w:p>
        </w:tc>
        <w:tc>
          <w:tcPr>
            <w:tcW w:w="3088" w:type="dxa"/>
            <w:gridSpan w:val="2"/>
            <w:tcBorders>
              <w:top w:val="single" w:sz="4" w:space="0" w:color="auto"/>
            </w:tcBorders>
            <w:shd w:val="clear" w:color="auto" w:fill="auto"/>
          </w:tcPr>
          <w:p w:rsidR="00081ABE" w:rsidRPr="00376D10" w:rsidRDefault="00081ABE" w:rsidP="007E4B5E">
            <w:pPr>
              <w:tabs>
                <w:tab w:val="left" w:pos="426"/>
                <w:tab w:val="right" w:pos="8931"/>
              </w:tabs>
              <w:spacing w:before="60" w:after="0" w:line="240" w:lineRule="auto"/>
              <w:rPr>
                <w:rFonts w:cs="Times New Roman"/>
                <w:sz w:val="22"/>
                <w:lang w:val="en-AU"/>
              </w:rPr>
            </w:pPr>
            <w:r w:rsidRPr="00376D10">
              <w:rPr>
                <w:rFonts w:cs="Times New Roman"/>
                <w:sz w:val="22"/>
                <w:lang w:val="en-AU"/>
              </w:rPr>
              <w:t>World Development Indicators (WDI) 2010, World Bank</w:t>
            </w:r>
          </w:p>
        </w:tc>
      </w:tr>
      <w:tr w:rsidR="00081ABE" w:rsidRPr="00376D10" w:rsidTr="00445A3C">
        <w:tc>
          <w:tcPr>
            <w:tcW w:w="817" w:type="dxa"/>
            <w:shd w:val="clear" w:color="auto" w:fill="auto"/>
          </w:tcPr>
          <w:p w:rsidR="00081ABE" w:rsidRPr="00630A27" w:rsidRDefault="00081ABE" w:rsidP="007E4B5E">
            <w:pPr>
              <w:tabs>
                <w:tab w:val="left" w:pos="426"/>
                <w:tab w:val="right" w:pos="8931"/>
              </w:tabs>
              <w:spacing w:after="0" w:line="240" w:lineRule="auto"/>
              <w:rPr>
                <w:rFonts w:cs="Times New Roman"/>
                <w:i/>
                <w:sz w:val="22"/>
                <w:lang w:val="en-AU"/>
              </w:rPr>
            </w:pPr>
            <w:r w:rsidRPr="00630A27">
              <w:rPr>
                <w:rFonts w:cs="Times New Roman"/>
                <w:i/>
                <w:sz w:val="22"/>
                <w:lang w:val="en-AU"/>
              </w:rPr>
              <w:t>K</w:t>
            </w:r>
          </w:p>
        </w:tc>
        <w:tc>
          <w:tcPr>
            <w:tcW w:w="5337" w:type="dxa"/>
            <w:gridSpan w:val="2"/>
            <w:shd w:val="clear" w:color="auto" w:fill="auto"/>
          </w:tcPr>
          <w:p w:rsidR="00081ABE" w:rsidRPr="00376D10" w:rsidRDefault="00D44CFC" w:rsidP="007E4B5E">
            <w:pPr>
              <w:tabs>
                <w:tab w:val="left" w:pos="426"/>
                <w:tab w:val="right" w:pos="8931"/>
              </w:tabs>
              <w:spacing w:after="0" w:line="240" w:lineRule="auto"/>
              <w:rPr>
                <w:rFonts w:cs="Times New Roman"/>
                <w:sz w:val="22"/>
                <w:lang w:val="en-AU"/>
              </w:rPr>
            </w:pPr>
            <w:r>
              <w:rPr>
                <w:rFonts w:cs="Times New Roman"/>
                <w:sz w:val="22"/>
                <w:lang w:val="en-AU"/>
              </w:rPr>
              <w:t>Capital Stock.</w:t>
            </w:r>
            <w:r w:rsidR="00081ABE" w:rsidRPr="00376D10">
              <w:rPr>
                <w:rFonts w:cs="Times New Roman"/>
                <w:sz w:val="22"/>
                <w:lang w:val="en-AU"/>
              </w:rPr>
              <w:t xml:space="preserve"> Derived using perpetual inventory method </w:t>
            </w:r>
          </w:p>
          <w:p w:rsidR="00081ABE" w:rsidRPr="00376D10" w:rsidRDefault="00081ABE" w:rsidP="007E4B5E">
            <w:pPr>
              <w:tabs>
                <w:tab w:val="left" w:pos="426"/>
                <w:tab w:val="right" w:pos="8931"/>
              </w:tabs>
              <w:spacing w:after="0" w:line="240" w:lineRule="auto"/>
              <w:rPr>
                <w:rFonts w:cs="Times New Roman"/>
                <w:sz w:val="22"/>
                <w:lang w:val="en-AU"/>
              </w:rPr>
            </w:pPr>
            <w:r w:rsidRPr="00D44CFC">
              <w:rPr>
                <w:rFonts w:cs="Times New Roman"/>
                <w:i/>
                <w:sz w:val="22"/>
                <w:lang w:val="en-AU"/>
              </w:rPr>
              <w:t>K</w:t>
            </w:r>
            <w:r w:rsidRPr="00D44CFC">
              <w:rPr>
                <w:rFonts w:cs="Times New Roman"/>
                <w:i/>
                <w:sz w:val="22"/>
                <w:vertAlign w:val="subscript"/>
                <w:lang w:val="en-AU"/>
              </w:rPr>
              <w:t>t</w:t>
            </w:r>
            <w:r w:rsidRPr="00376D10">
              <w:rPr>
                <w:rFonts w:cs="Times New Roman"/>
                <w:sz w:val="22"/>
                <w:lang w:val="en-AU"/>
              </w:rPr>
              <w:t xml:space="preserve"> = .95 * </w:t>
            </w:r>
            <w:r w:rsidRPr="00D44CFC">
              <w:rPr>
                <w:rFonts w:cs="Times New Roman"/>
                <w:i/>
                <w:sz w:val="22"/>
                <w:lang w:val="en-AU"/>
              </w:rPr>
              <w:t>K</w:t>
            </w:r>
            <w:r w:rsidRPr="00D44CFC">
              <w:rPr>
                <w:rFonts w:cs="Times New Roman"/>
                <w:i/>
                <w:sz w:val="22"/>
                <w:vertAlign w:val="subscript"/>
                <w:lang w:val="en-AU"/>
              </w:rPr>
              <w:t>t</w:t>
            </w:r>
            <w:r w:rsidRPr="00376D10">
              <w:rPr>
                <w:rFonts w:cs="Times New Roman"/>
                <w:sz w:val="22"/>
                <w:vertAlign w:val="subscript"/>
                <w:lang w:val="en-AU"/>
              </w:rPr>
              <w:t>-1</w:t>
            </w:r>
            <w:r w:rsidRPr="00376D10">
              <w:rPr>
                <w:rFonts w:cs="Times New Roman"/>
                <w:sz w:val="22"/>
                <w:lang w:val="en-AU"/>
              </w:rPr>
              <w:t xml:space="preserve"> + </w:t>
            </w:r>
            <w:r w:rsidRPr="00D44CFC">
              <w:rPr>
                <w:rFonts w:cs="Times New Roman"/>
                <w:i/>
                <w:sz w:val="22"/>
                <w:lang w:val="en-AU"/>
              </w:rPr>
              <w:t>I</w:t>
            </w:r>
            <w:r w:rsidRPr="00D44CFC">
              <w:rPr>
                <w:rFonts w:cs="Times New Roman"/>
                <w:i/>
                <w:sz w:val="22"/>
                <w:vertAlign w:val="subscript"/>
                <w:lang w:val="en-AU"/>
              </w:rPr>
              <w:t>t</w:t>
            </w:r>
            <w:r w:rsidRPr="00376D10">
              <w:rPr>
                <w:rFonts w:cs="Times New Roman"/>
                <w:sz w:val="22"/>
                <w:lang w:val="en-AU"/>
              </w:rPr>
              <w:t>.</w:t>
            </w:r>
          </w:p>
          <w:p w:rsidR="00081ABE" w:rsidRPr="00376D10" w:rsidRDefault="00081ABE" w:rsidP="007E4B5E">
            <w:pPr>
              <w:tabs>
                <w:tab w:val="left" w:pos="426"/>
                <w:tab w:val="right" w:pos="8931"/>
              </w:tabs>
              <w:spacing w:after="0" w:line="240" w:lineRule="auto"/>
              <w:rPr>
                <w:rFonts w:cs="Times New Roman"/>
                <w:sz w:val="22"/>
                <w:lang w:val="en-AU"/>
              </w:rPr>
            </w:pPr>
            <w:r w:rsidRPr="00376D10">
              <w:rPr>
                <w:rFonts w:cs="Times New Roman"/>
                <w:sz w:val="22"/>
                <w:lang w:val="en-AU"/>
              </w:rPr>
              <w:t xml:space="preserve"> I</w:t>
            </w:r>
            <w:r w:rsidRPr="00376D10">
              <w:rPr>
                <w:rFonts w:cs="Times New Roman"/>
                <w:sz w:val="22"/>
                <w:vertAlign w:val="subscript"/>
                <w:lang w:val="en-AU"/>
              </w:rPr>
              <w:t>t</w:t>
            </w:r>
            <w:r w:rsidRPr="00376D10">
              <w:rPr>
                <w:rFonts w:cs="Times New Roman"/>
                <w:sz w:val="22"/>
                <w:lang w:val="en-AU"/>
              </w:rPr>
              <w:t xml:space="preserve"> is real gross domestic fixed investment</w:t>
            </w:r>
          </w:p>
        </w:tc>
        <w:tc>
          <w:tcPr>
            <w:tcW w:w="3088" w:type="dxa"/>
            <w:gridSpan w:val="2"/>
            <w:shd w:val="clear" w:color="auto" w:fill="auto"/>
          </w:tcPr>
          <w:p w:rsidR="00081ABE" w:rsidRPr="00376D10" w:rsidRDefault="00081ABE" w:rsidP="007E4B5E">
            <w:pPr>
              <w:tabs>
                <w:tab w:val="left" w:pos="426"/>
                <w:tab w:val="right" w:pos="8931"/>
              </w:tabs>
              <w:spacing w:after="0" w:line="240" w:lineRule="auto"/>
              <w:rPr>
                <w:rFonts w:cs="Times New Roman"/>
                <w:sz w:val="22"/>
                <w:lang w:val="en-AU"/>
              </w:rPr>
            </w:pPr>
            <w:r w:rsidRPr="00376D10">
              <w:rPr>
                <w:rFonts w:cs="Times New Roman"/>
                <w:sz w:val="22"/>
                <w:lang w:val="en-AU"/>
              </w:rPr>
              <w:t>International Financial Statistics, IMF</w:t>
            </w:r>
          </w:p>
        </w:tc>
      </w:tr>
      <w:tr w:rsidR="00081ABE" w:rsidRPr="00376D10" w:rsidTr="00445A3C">
        <w:tc>
          <w:tcPr>
            <w:tcW w:w="817" w:type="dxa"/>
            <w:shd w:val="clear" w:color="auto" w:fill="auto"/>
          </w:tcPr>
          <w:p w:rsidR="00081ABE" w:rsidRPr="00630A27" w:rsidRDefault="00081ABE" w:rsidP="007E4B5E">
            <w:pPr>
              <w:tabs>
                <w:tab w:val="left" w:pos="426"/>
                <w:tab w:val="right" w:pos="8931"/>
              </w:tabs>
              <w:spacing w:after="0" w:line="240" w:lineRule="auto"/>
              <w:rPr>
                <w:rFonts w:cs="Times New Roman"/>
                <w:i/>
                <w:sz w:val="22"/>
              </w:rPr>
            </w:pPr>
            <w:r w:rsidRPr="00630A27">
              <w:rPr>
                <w:rFonts w:cs="Times New Roman"/>
                <w:i/>
                <w:sz w:val="22"/>
              </w:rPr>
              <w:t>H</w:t>
            </w:r>
          </w:p>
        </w:tc>
        <w:tc>
          <w:tcPr>
            <w:tcW w:w="5337" w:type="dxa"/>
            <w:gridSpan w:val="2"/>
            <w:shd w:val="clear" w:color="auto" w:fill="auto"/>
          </w:tcPr>
          <w:p w:rsidR="00081ABE" w:rsidRPr="00376D10" w:rsidRDefault="00D44CFC" w:rsidP="007E4B5E">
            <w:pPr>
              <w:tabs>
                <w:tab w:val="left" w:pos="426"/>
                <w:tab w:val="right" w:pos="8931"/>
              </w:tabs>
              <w:spacing w:after="0" w:line="240" w:lineRule="auto"/>
              <w:rPr>
                <w:rFonts w:cs="Times New Roman"/>
                <w:sz w:val="22"/>
              </w:rPr>
            </w:pPr>
            <w:r>
              <w:rPr>
                <w:rFonts w:cs="Times New Roman"/>
                <w:sz w:val="22"/>
              </w:rPr>
              <w:t>Human capital.</w:t>
            </w:r>
            <w:r w:rsidR="00081ABE" w:rsidRPr="00376D10">
              <w:rPr>
                <w:rFonts w:cs="Times New Roman"/>
                <w:sz w:val="22"/>
              </w:rPr>
              <w:t xml:space="preserve"> An average of the Barro-Lee and Cohen-Soto data set and it incorporates a </w:t>
            </w:r>
            <w:r>
              <w:rPr>
                <w:rFonts w:cs="Times New Roman"/>
                <w:sz w:val="22"/>
              </w:rPr>
              <w:t>seven</w:t>
            </w:r>
            <w:r w:rsidR="00081ABE" w:rsidRPr="00376D10">
              <w:rPr>
                <w:rFonts w:cs="Times New Roman"/>
                <w:sz w:val="22"/>
              </w:rPr>
              <w:t xml:space="preserve"> percent rate of Return to each year of education.</w:t>
            </w:r>
          </w:p>
        </w:tc>
        <w:tc>
          <w:tcPr>
            <w:tcW w:w="3088" w:type="dxa"/>
            <w:gridSpan w:val="2"/>
            <w:shd w:val="clear" w:color="auto" w:fill="auto"/>
          </w:tcPr>
          <w:p w:rsidR="00081ABE" w:rsidRPr="00376D10" w:rsidRDefault="00081ABE" w:rsidP="007E4B5E">
            <w:pPr>
              <w:tabs>
                <w:tab w:val="left" w:pos="426"/>
                <w:tab w:val="right" w:pos="8931"/>
              </w:tabs>
              <w:spacing w:after="0" w:line="240" w:lineRule="auto"/>
              <w:rPr>
                <w:rFonts w:cs="Times New Roman"/>
                <w:sz w:val="22"/>
              </w:rPr>
            </w:pPr>
            <w:r w:rsidRPr="00376D10">
              <w:rPr>
                <w:rFonts w:cs="Times New Roman"/>
                <w:sz w:val="22"/>
              </w:rPr>
              <w:t>Barro-Lee and Cohen-Soto data set.</w:t>
            </w:r>
          </w:p>
        </w:tc>
      </w:tr>
      <w:tr w:rsidR="00081ABE" w:rsidRPr="00376D10" w:rsidTr="00445A3C">
        <w:tc>
          <w:tcPr>
            <w:tcW w:w="817" w:type="dxa"/>
            <w:shd w:val="clear" w:color="auto" w:fill="auto"/>
          </w:tcPr>
          <w:p w:rsidR="00081ABE" w:rsidRPr="00630A27" w:rsidRDefault="00081ABE" w:rsidP="007E4B5E">
            <w:pPr>
              <w:tabs>
                <w:tab w:val="left" w:pos="426"/>
                <w:tab w:val="right" w:pos="8931"/>
              </w:tabs>
              <w:spacing w:after="0" w:line="240" w:lineRule="auto"/>
              <w:rPr>
                <w:rFonts w:cs="Times New Roman"/>
                <w:i/>
                <w:sz w:val="22"/>
                <w:lang w:val="en-AU"/>
              </w:rPr>
            </w:pPr>
            <w:r w:rsidRPr="00630A27">
              <w:rPr>
                <w:rFonts w:cs="Times New Roman"/>
                <w:i/>
                <w:sz w:val="22"/>
                <w:lang w:val="en-AU"/>
              </w:rPr>
              <w:t>L</w:t>
            </w:r>
          </w:p>
        </w:tc>
        <w:tc>
          <w:tcPr>
            <w:tcW w:w="5337" w:type="dxa"/>
            <w:gridSpan w:val="2"/>
            <w:shd w:val="clear" w:color="auto" w:fill="auto"/>
          </w:tcPr>
          <w:p w:rsidR="00081ABE" w:rsidRPr="00376D10" w:rsidRDefault="00081ABE" w:rsidP="007E4B5E">
            <w:pPr>
              <w:tabs>
                <w:tab w:val="left" w:pos="426"/>
                <w:tab w:val="right" w:pos="8931"/>
              </w:tabs>
              <w:spacing w:after="0" w:line="240" w:lineRule="auto"/>
              <w:rPr>
                <w:rFonts w:cs="Times New Roman"/>
                <w:sz w:val="22"/>
                <w:lang w:val="en-AU"/>
              </w:rPr>
            </w:pPr>
            <w:r w:rsidRPr="00376D10">
              <w:rPr>
                <w:rFonts w:cs="Times New Roman"/>
                <w:sz w:val="22"/>
                <w:lang w:val="en-AU"/>
              </w:rPr>
              <w:t>Labour Force</w:t>
            </w:r>
          </w:p>
        </w:tc>
        <w:tc>
          <w:tcPr>
            <w:tcW w:w="3088" w:type="dxa"/>
            <w:gridSpan w:val="2"/>
            <w:shd w:val="clear" w:color="auto" w:fill="auto"/>
          </w:tcPr>
          <w:p w:rsidR="00081ABE" w:rsidRPr="00376D10" w:rsidRDefault="00081ABE" w:rsidP="007E4B5E">
            <w:pPr>
              <w:tabs>
                <w:tab w:val="left" w:pos="426"/>
                <w:tab w:val="right" w:pos="8931"/>
              </w:tabs>
              <w:spacing w:after="0" w:line="240" w:lineRule="auto"/>
              <w:rPr>
                <w:rFonts w:cs="Times New Roman"/>
                <w:sz w:val="22"/>
                <w:lang w:val="en-AU"/>
              </w:rPr>
            </w:pPr>
            <w:r w:rsidRPr="00376D10">
              <w:rPr>
                <w:rFonts w:cs="Times New Roman"/>
                <w:sz w:val="22"/>
                <w:lang w:val="en-AU"/>
              </w:rPr>
              <w:t>WDI 2010</w:t>
            </w:r>
          </w:p>
        </w:tc>
      </w:tr>
      <w:tr w:rsidR="007D4B4B" w:rsidRPr="00376D10" w:rsidTr="00445A3C">
        <w:tc>
          <w:tcPr>
            <w:tcW w:w="817" w:type="dxa"/>
            <w:shd w:val="clear" w:color="auto" w:fill="auto"/>
          </w:tcPr>
          <w:p w:rsidR="007D4B4B" w:rsidRPr="00376D10" w:rsidRDefault="007D4B4B" w:rsidP="007E4B5E">
            <w:pPr>
              <w:tabs>
                <w:tab w:val="left" w:pos="426"/>
                <w:tab w:val="right" w:pos="8931"/>
              </w:tabs>
              <w:spacing w:after="0" w:line="240" w:lineRule="auto"/>
              <w:rPr>
                <w:rFonts w:cs="Times New Roman"/>
                <w:i/>
                <w:iCs/>
                <w:sz w:val="22"/>
                <w:lang w:val="en-AU"/>
              </w:rPr>
            </w:pPr>
            <w:r w:rsidRPr="00376D10">
              <w:rPr>
                <w:rFonts w:cs="Times New Roman"/>
                <w:i/>
                <w:iCs/>
                <w:sz w:val="22"/>
                <w:lang w:val="en-AU"/>
              </w:rPr>
              <w:t>y</w:t>
            </w:r>
          </w:p>
        </w:tc>
        <w:tc>
          <w:tcPr>
            <w:tcW w:w="5337" w:type="dxa"/>
            <w:gridSpan w:val="2"/>
            <w:shd w:val="clear" w:color="auto" w:fill="auto"/>
          </w:tcPr>
          <w:p w:rsidR="007D4B4B" w:rsidRPr="00D44CFC" w:rsidRDefault="007D4B4B" w:rsidP="007E4B5E">
            <w:pPr>
              <w:tabs>
                <w:tab w:val="left" w:pos="426"/>
                <w:tab w:val="right" w:pos="8931"/>
              </w:tabs>
              <w:spacing w:after="0" w:line="240" w:lineRule="auto"/>
              <w:rPr>
                <w:rFonts w:cs="Times New Roman"/>
                <w:i/>
                <w:sz w:val="22"/>
                <w:lang w:val="en-AU"/>
              </w:rPr>
            </w:pPr>
            <w:r w:rsidRPr="00D44CFC">
              <w:rPr>
                <w:rFonts w:cs="Times New Roman"/>
                <w:i/>
                <w:sz w:val="22"/>
                <w:lang w:val="en-AU"/>
              </w:rPr>
              <w:t>Y/LH</w:t>
            </w:r>
          </w:p>
        </w:tc>
        <w:tc>
          <w:tcPr>
            <w:tcW w:w="3088" w:type="dxa"/>
            <w:gridSpan w:val="2"/>
            <w:shd w:val="clear" w:color="auto" w:fill="auto"/>
          </w:tcPr>
          <w:p w:rsidR="007D4B4B" w:rsidRPr="00376D10" w:rsidRDefault="00740D59" w:rsidP="007E4B5E">
            <w:pPr>
              <w:tabs>
                <w:tab w:val="left" w:pos="426"/>
                <w:tab w:val="right" w:pos="8931"/>
              </w:tabs>
              <w:spacing w:after="0" w:line="240" w:lineRule="auto"/>
              <w:rPr>
                <w:rFonts w:cs="Times New Roman"/>
                <w:sz w:val="22"/>
                <w:lang w:val="en-AU"/>
              </w:rPr>
            </w:pPr>
            <w:r>
              <w:rPr>
                <w:rFonts w:cs="Times New Roman"/>
                <w:sz w:val="22"/>
                <w:lang w:val="en-AU"/>
              </w:rPr>
              <w:t>Computed by Author</w:t>
            </w:r>
          </w:p>
        </w:tc>
      </w:tr>
      <w:tr w:rsidR="007D4B4B" w:rsidRPr="00376D10" w:rsidTr="00445A3C">
        <w:tc>
          <w:tcPr>
            <w:tcW w:w="817" w:type="dxa"/>
            <w:shd w:val="clear" w:color="auto" w:fill="auto"/>
          </w:tcPr>
          <w:p w:rsidR="007D4B4B" w:rsidRPr="00376D10" w:rsidRDefault="007D4B4B" w:rsidP="007E4B5E">
            <w:pPr>
              <w:tabs>
                <w:tab w:val="left" w:pos="426"/>
                <w:tab w:val="right" w:pos="8931"/>
              </w:tabs>
              <w:spacing w:after="0" w:line="240" w:lineRule="auto"/>
              <w:rPr>
                <w:rFonts w:cs="Times New Roman"/>
                <w:i/>
                <w:iCs/>
                <w:sz w:val="22"/>
                <w:lang w:val="en-AU"/>
              </w:rPr>
            </w:pPr>
            <w:r w:rsidRPr="00376D10">
              <w:rPr>
                <w:rFonts w:cs="Times New Roman"/>
                <w:i/>
                <w:iCs/>
                <w:sz w:val="22"/>
                <w:lang w:val="en-AU"/>
              </w:rPr>
              <w:t>k</w:t>
            </w:r>
          </w:p>
        </w:tc>
        <w:tc>
          <w:tcPr>
            <w:tcW w:w="5337" w:type="dxa"/>
            <w:gridSpan w:val="2"/>
            <w:shd w:val="clear" w:color="auto" w:fill="auto"/>
          </w:tcPr>
          <w:p w:rsidR="007D4B4B" w:rsidRPr="00D44CFC" w:rsidRDefault="007D4B4B" w:rsidP="007E4B5E">
            <w:pPr>
              <w:tabs>
                <w:tab w:val="left" w:pos="426"/>
                <w:tab w:val="right" w:pos="8931"/>
              </w:tabs>
              <w:spacing w:after="0" w:line="240" w:lineRule="auto"/>
              <w:rPr>
                <w:rFonts w:cs="Times New Roman"/>
                <w:i/>
                <w:sz w:val="22"/>
                <w:lang w:val="en-AU"/>
              </w:rPr>
            </w:pPr>
            <w:r w:rsidRPr="00D44CFC">
              <w:rPr>
                <w:rFonts w:cs="Times New Roman"/>
                <w:i/>
                <w:sz w:val="22"/>
                <w:lang w:val="en-AU"/>
              </w:rPr>
              <w:t>K/LH</w:t>
            </w:r>
          </w:p>
        </w:tc>
        <w:tc>
          <w:tcPr>
            <w:tcW w:w="3088" w:type="dxa"/>
            <w:gridSpan w:val="2"/>
            <w:shd w:val="clear" w:color="auto" w:fill="auto"/>
          </w:tcPr>
          <w:p w:rsidR="007D4B4B" w:rsidRPr="00376D10" w:rsidRDefault="00740D59" w:rsidP="007E4B5E">
            <w:pPr>
              <w:tabs>
                <w:tab w:val="left" w:pos="426"/>
                <w:tab w:val="right" w:pos="8931"/>
              </w:tabs>
              <w:spacing w:after="0" w:line="240" w:lineRule="auto"/>
              <w:rPr>
                <w:rFonts w:cs="Times New Roman"/>
                <w:sz w:val="22"/>
                <w:lang w:val="en-AU"/>
              </w:rPr>
            </w:pPr>
            <w:r>
              <w:rPr>
                <w:rFonts w:cs="Times New Roman"/>
                <w:sz w:val="22"/>
                <w:lang w:val="en-AU"/>
              </w:rPr>
              <w:t>Computed by Author</w:t>
            </w:r>
          </w:p>
        </w:tc>
      </w:tr>
      <w:tr w:rsidR="007D4B4B" w:rsidRPr="00376D10" w:rsidTr="00445A3C">
        <w:tc>
          <w:tcPr>
            <w:tcW w:w="817" w:type="dxa"/>
            <w:shd w:val="clear" w:color="auto" w:fill="auto"/>
            <w:vAlign w:val="center"/>
          </w:tcPr>
          <w:p w:rsidR="007D4B4B" w:rsidRPr="00630A27" w:rsidRDefault="007D4B4B" w:rsidP="007E4B5E">
            <w:pPr>
              <w:tabs>
                <w:tab w:val="left" w:pos="426"/>
                <w:tab w:val="right" w:pos="8931"/>
              </w:tabs>
              <w:spacing w:after="0" w:line="240" w:lineRule="auto"/>
              <w:rPr>
                <w:rFonts w:cs="Times New Roman"/>
                <w:i/>
                <w:sz w:val="22"/>
                <w:lang w:val="en-AU"/>
              </w:rPr>
            </w:pPr>
            <w:r w:rsidRPr="00630A27">
              <w:rPr>
                <w:rFonts w:cs="Times New Roman"/>
                <w:i/>
                <w:sz w:val="22"/>
                <w:lang w:val="en-AU"/>
              </w:rPr>
              <w:t>TFP</w:t>
            </w:r>
          </w:p>
        </w:tc>
        <w:tc>
          <w:tcPr>
            <w:tcW w:w="5337" w:type="dxa"/>
            <w:gridSpan w:val="2"/>
            <w:shd w:val="clear" w:color="auto" w:fill="auto"/>
            <w:vAlign w:val="center"/>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Total Factor Productivity</w:t>
            </w:r>
          </w:p>
        </w:tc>
        <w:tc>
          <w:tcPr>
            <w:tcW w:w="3088" w:type="dxa"/>
            <w:gridSpan w:val="2"/>
            <w:shd w:val="clear" w:color="auto" w:fill="auto"/>
            <w:vAlign w:val="center"/>
          </w:tcPr>
          <w:p w:rsidR="007D4B4B" w:rsidRPr="00376D10" w:rsidRDefault="00740D59" w:rsidP="007E4B5E">
            <w:pPr>
              <w:tabs>
                <w:tab w:val="left" w:pos="426"/>
                <w:tab w:val="right" w:pos="8931"/>
              </w:tabs>
              <w:spacing w:after="0" w:line="240" w:lineRule="auto"/>
              <w:rPr>
                <w:rFonts w:cs="Times New Roman"/>
                <w:sz w:val="22"/>
                <w:lang w:val="en-AU"/>
              </w:rPr>
            </w:pPr>
            <w:r>
              <w:rPr>
                <w:rFonts w:cs="Times New Roman"/>
                <w:sz w:val="22"/>
                <w:lang w:val="en-AU"/>
              </w:rPr>
              <w:t>Computed by Author</w:t>
            </w:r>
            <w:r w:rsidR="007D4B4B" w:rsidRPr="00376D10">
              <w:rPr>
                <w:rFonts w:cs="Times New Roman"/>
                <w:sz w:val="22"/>
                <w:lang w:val="en-AU"/>
              </w:rPr>
              <w:t xml:space="preserve"> </w:t>
            </w:r>
          </w:p>
        </w:tc>
      </w:tr>
      <w:tr w:rsidR="007D4B4B" w:rsidRPr="00376D10" w:rsidTr="00445A3C">
        <w:tc>
          <w:tcPr>
            <w:tcW w:w="817" w:type="dxa"/>
            <w:shd w:val="clear" w:color="auto" w:fill="auto"/>
          </w:tcPr>
          <w:p w:rsidR="007D4B4B" w:rsidRPr="00630A27" w:rsidRDefault="007D4B4B" w:rsidP="007E4B5E">
            <w:pPr>
              <w:tabs>
                <w:tab w:val="left" w:pos="426"/>
                <w:tab w:val="right" w:pos="8931"/>
              </w:tabs>
              <w:spacing w:after="0" w:line="240" w:lineRule="auto"/>
              <w:rPr>
                <w:rFonts w:cs="Times New Roman"/>
                <w:i/>
                <w:sz w:val="22"/>
                <w:lang w:val="en-AU"/>
              </w:rPr>
            </w:pPr>
            <w:r w:rsidRPr="00630A27">
              <w:rPr>
                <w:rFonts w:cs="Times New Roman"/>
                <w:i/>
                <w:sz w:val="22"/>
                <w:lang w:val="en-AU"/>
              </w:rPr>
              <w:t>Rem</w:t>
            </w:r>
          </w:p>
        </w:tc>
        <w:tc>
          <w:tcPr>
            <w:tcW w:w="5337"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Workers’ remittances and compensation of employees to GDP ratio.</w:t>
            </w:r>
          </w:p>
        </w:tc>
        <w:tc>
          <w:tcPr>
            <w:tcW w:w="3088"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World Development Indicators (WDI) 2010</w:t>
            </w:r>
          </w:p>
        </w:tc>
      </w:tr>
      <w:tr w:rsidR="007D4B4B" w:rsidRPr="00376D10" w:rsidTr="00445A3C">
        <w:tc>
          <w:tcPr>
            <w:tcW w:w="817" w:type="dxa"/>
            <w:shd w:val="clear" w:color="auto" w:fill="auto"/>
          </w:tcPr>
          <w:p w:rsidR="007D4B4B" w:rsidRPr="00630A27" w:rsidRDefault="007D4B4B" w:rsidP="007E4B5E">
            <w:pPr>
              <w:tabs>
                <w:tab w:val="left" w:pos="426"/>
                <w:tab w:val="right" w:pos="8931"/>
              </w:tabs>
              <w:spacing w:after="0" w:line="240" w:lineRule="auto"/>
              <w:rPr>
                <w:rFonts w:cs="Times New Roman"/>
                <w:i/>
                <w:sz w:val="22"/>
                <w:lang w:val="en-AU"/>
              </w:rPr>
            </w:pPr>
            <w:r w:rsidRPr="00630A27">
              <w:rPr>
                <w:rFonts w:cs="Times New Roman"/>
                <w:i/>
                <w:sz w:val="22"/>
                <w:lang w:val="en-AU"/>
              </w:rPr>
              <w:t>AID</w:t>
            </w:r>
          </w:p>
        </w:tc>
        <w:tc>
          <w:tcPr>
            <w:tcW w:w="5337"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Overseas development aid to GDP ratio.</w:t>
            </w:r>
          </w:p>
        </w:tc>
        <w:tc>
          <w:tcPr>
            <w:tcW w:w="3088"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World Development Indicators (WDI) 2010</w:t>
            </w:r>
          </w:p>
        </w:tc>
      </w:tr>
      <w:tr w:rsidR="007D4B4B" w:rsidRPr="00376D10" w:rsidTr="00445A3C">
        <w:tc>
          <w:tcPr>
            <w:tcW w:w="817" w:type="dxa"/>
            <w:shd w:val="clear" w:color="auto" w:fill="auto"/>
          </w:tcPr>
          <w:p w:rsidR="007D4B4B" w:rsidRPr="00630A27" w:rsidRDefault="007D4B4B" w:rsidP="007E4B5E">
            <w:pPr>
              <w:tabs>
                <w:tab w:val="left" w:pos="426"/>
                <w:tab w:val="right" w:pos="8931"/>
              </w:tabs>
              <w:spacing w:after="0" w:line="240" w:lineRule="auto"/>
              <w:rPr>
                <w:rFonts w:cs="Times New Roman"/>
                <w:i/>
                <w:sz w:val="22"/>
                <w:lang w:val="en-AU"/>
              </w:rPr>
            </w:pPr>
            <w:r w:rsidRPr="00630A27">
              <w:rPr>
                <w:rFonts w:cs="Times New Roman"/>
                <w:i/>
                <w:sz w:val="22"/>
                <w:lang w:val="en-AU"/>
              </w:rPr>
              <w:t>FDI</w:t>
            </w:r>
          </w:p>
        </w:tc>
        <w:tc>
          <w:tcPr>
            <w:tcW w:w="5337"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Foreign direct investment to GDP ratio.</w:t>
            </w:r>
          </w:p>
        </w:tc>
        <w:tc>
          <w:tcPr>
            <w:tcW w:w="3088"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World Development Indicators (WDI) 2010</w:t>
            </w:r>
          </w:p>
        </w:tc>
      </w:tr>
      <w:tr w:rsidR="007D4B4B" w:rsidRPr="00376D10" w:rsidTr="00445A3C">
        <w:tc>
          <w:tcPr>
            <w:tcW w:w="817" w:type="dxa"/>
            <w:shd w:val="clear" w:color="auto" w:fill="auto"/>
          </w:tcPr>
          <w:p w:rsidR="007D4B4B" w:rsidRPr="00630A27" w:rsidRDefault="007D4B4B" w:rsidP="007E4B5E">
            <w:pPr>
              <w:tabs>
                <w:tab w:val="left" w:pos="426"/>
                <w:tab w:val="right" w:pos="8931"/>
              </w:tabs>
              <w:spacing w:after="0" w:line="240" w:lineRule="auto"/>
              <w:rPr>
                <w:rFonts w:cs="Times New Roman"/>
                <w:i/>
                <w:sz w:val="22"/>
                <w:lang w:val="en-AU"/>
              </w:rPr>
            </w:pPr>
            <w:r w:rsidRPr="00630A27">
              <w:rPr>
                <w:rFonts w:cs="Times New Roman"/>
                <w:i/>
                <w:sz w:val="22"/>
                <w:lang w:val="en-AU"/>
              </w:rPr>
              <w:t>GOV</w:t>
            </w:r>
          </w:p>
        </w:tc>
        <w:tc>
          <w:tcPr>
            <w:tcW w:w="5337"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General government final consumption expenditure to GDP ratio.</w:t>
            </w:r>
          </w:p>
        </w:tc>
        <w:tc>
          <w:tcPr>
            <w:tcW w:w="3088"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World Development Indicators (WDI) 2010</w:t>
            </w:r>
          </w:p>
        </w:tc>
      </w:tr>
      <w:tr w:rsidR="007D4B4B" w:rsidRPr="00376D10" w:rsidTr="00740D59">
        <w:tc>
          <w:tcPr>
            <w:tcW w:w="817" w:type="dxa"/>
            <w:shd w:val="clear" w:color="auto" w:fill="auto"/>
          </w:tcPr>
          <w:p w:rsidR="007D4B4B" w:rsidRPr="00630A27" w:rsidRDefault="007D4B4B" w:rsidP="007E4B5E">
            <w:pPr>
              <w:tabs>
                <w:tab w:val="left" w:pos="426"/>
                <w:tab w:val="right" w:pos="8931"/>
              </w:tabs>
              <w:spacing w:after="0" w:line="240" w:lineRule="auto"/>
              <w:rPr>
                <w:rFonts w:cs="Times New Roman"/>
                <w:i/>
                <w:sz w:val="22"/>
                <w:lang w:val="en-AU"/>
              </w:rPr>
            </w:pPr>
            <w:r w:rsidRPr="00630A27">
              <w:rPr>
                <w:rFonts w:cs="Times New Roman"/>
                <w:i/>
                <w:sz w:val="22"/>
                <w:lang w:val="en-AU"/>
              </w:rPr>
              <w:t>OPEN</w:t>
            </w:r>
          </w:p>
        </w:tc>
        <w:tc>
          <w:tcPr>
            <w:tcW w:w="5337"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Sum of export plus import of goods and services to GDP ratio.</w:t>
            </w:r>
          </w:p>
        </w:tc>
        <w:tc>
          <w:tcPr>
            <w:tcW w:w="3088" w:type="dxa"/>
            <w:gridSpan w:val="2"/>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World Development Indicators (WDI) 2010</w:t>
            </w:r>
          </w:p>
        </w:tc>
      </w:tr>
      <w:tr w:rsidR="007D4B4B" w:rsidRPr="00376D10" w:rsidTr="00740D59">
        <w:tc>
          <w:tcPr>
            <w:tcW w:w="817" w:type="dxa"/>
            <w:tcBorders>
              <w:bottom w:val="single" w:sz="4" w:space="0" w:color="auto"/>
            </w:tcBorders>
            <w:shd w:val="clear" w:color="auto" w:fill="auto"/>
          </w:tcPr>
          <w:p w:rsidR="007D4B4B" w:rsidRPr="00630A27" w:rsidRDefault="007D4B4B" w:rsidP="007E4B5E">
            <w:pPr>
              <w:tabs>
                <w:tab w:val="left" w:pos="426"/>
                <w:tab w:val="right" w:pos="8931"/>
              </w:tabs>
              <w:spacing w:after="0" w:line="240" w:lineRule="auto"/>
              <w:rPr>
                <w:rFonts w:cs="Times New Roman"/>
                <w:i/>
                <w:sz w:val="22"/>
                <w:lang w:val="en-AU"/>
              </w:rPr>
            </w:pPr>
            <w:r w:rsidRPr="00630A27">
              <w:rPr>
                <w:rFonts w:cs="Times New Roman"/>
                <w:i/>
                <w:sz w:val="22"/>
                <w:lang w:val="en-AU"/>
              </w:rPr>
              <w:t>POP</w:t>
            </w:r>
          </w:p>
        </w:tc>
        <w:tc>
          <w:tcPr>
            <w:tcW w:w="5337" w:type="dxa"/>
            <w:gridSpan w:val="2"/>
            <w:tcBorders>
              <w:bottom w:val="single" w:sz="4" w:space="0" w:color="auto"/>
            </w:tcBorders>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Population growth</w:t>
            </w:r>
          </w:p>
        </w:tc>
        <w:tc>
          <w:tcPr>
            <w:tcW w:w="3088" w:type="dxa"/>
            <w:gridSpan w:val="2"/>
            <w:tcBorders>
              <w:bottom w:val="single" w:sz="4" w:space="0" w:color="auto"/>
            </w:tcBorders>
            <w:shd w:val="clear" w:color="auto" w:fill="auto"/>
          </w:tcPr>
          <w:p w:rsidR="007D4B4B" w:rsidRPr="00376D10" w:rsidRDefault="007D4B4B" w:rsidP="007E4B5E">
            <w:pPr>
              <w:tabs>
                <w:tab w:val="left" w:pos="426"/>
                <w:tab w:val="right" w:pos="8931"/>
              </w:tabs>
              <w:spacing w:after="0" w:line="240" w:lineRule="auto"/>
              <w:rPr>
                <w:rFonts w:cs="Times New Roman"/>
                <w:sz w:val="22"/>
                <w:lang w:val="en-AU"/>
              </w:rPr>
            </w:pPr>
            <w:r w:rsidRPr="00376D10">
              <w:rPr>
                <w:rFonts w:cs="Times New Roman"/>
                <w:sz w:val="22"/>
                <w:lang w:val="en-AU"/>
              </w:rPr>
              <w:t>World Development Indicators (WDI) 2010</w:t>
            </w:r>
          </w:p>
        </w:tc>
      </w:tr>
    </w:tbl>
    <w:p w:rsidR="00544890" w:rsidRDefault="00544890" w:rsidP="007E4B5E">
      <w:pPr>
        <w:tabs>
          <w:tab w:val="left" w:pos="426"/>
          <w:tab w:val="right" w:pos="8931"/>
        </w:tabs>
        <w:autoSpaceDE w:val="0"/>
        <w:autoSpaceDN w:val="0"/>
        <w:adjustRightInd w:val="0"/>
        <w:spacing w:after="0" w:line="288" w:lineRule="auto"/>
        <w:ind w:left="720" w:hanging="720"/>
        <w:rPr>
          <w:rFonts w:cs="Times New Roman"/>
          <w:b/>
          <w:bCs/>
          <w:szCs w:val="24"/>
        </w:rPr>
      </w:pPr>
    </w:p>
    <w:p w:rsidR="00544890" w:rsidRDefault="00544890" w:rsidP="007E4B5E">
      <w:pPr>
        <w:tabs>
          <w:tab w:val="right" w:pos="8931"/>
        </w:tabs>
        <w:rPr>
          <w:rFonts w:cs="Times New Roman"/>
          <w:b/>
          <w:bCs/>
          <w:szCs w:val="24"/>
        </w:rPr>
      </w:pPr>
      <w:r>
        <w:rPr>
          <w:rFonts w:cs="Times New Roman"/>
          <w:b/>
          <w:bCs/>
          <w:szCs w:val="24"/>
        </w:rPr>
        <w:br w:type="page"/>
      </w:r>
    </w:p>
    <w:p w:rsidR="00041379" w:rsidRDefault="00041379" w:rsidP="007E4B5E">
      <w:pPr>
        <w:tabs>
          <w:tab w:val="left" w:pos="426"/>
          <w:tab w:val="right" w:pos="8931"/>
        </w:tabs>
        <w:autoSpaceDE w:val="0"/>
        <w:autoSpaceDN w:val="0"/>
        <w:adjustRightInd w:val="0"/>
        <w:spacing w:after="0" w:line="288" w:lineRule="auto"/>
        <w:ind w:left="720" w:hanging="720"/>
        <w:rPr>
          <w:rFonts w:cs="Times New Roman"/>
          <w:b/>
          <w:bCs/>
          <w:szCs w:val="24"/>
        </w:rPr>
      </w:pPr>
      <w:r w:rsidRPr="00081ABE">
        <w:rPr>
          <w:rFonts w:cs="Times New Roman"/>
          <w:b/>
          <w:bCs/>
          <w:szCs w:val="24"/>
        </w:rPr>
        <w:lastRenderedPageBreak/>
        <w:t>References</w:t>
      </w:r>
    </w:p>
    <w:p w:rsidR="00376D10" w:rsidRPr="00376D10" w:rsidRDefault="00376D10" w:rsidP="007E4B5E">
      <w:pPr>
        <w:tabs>
          <w:tab w:val="left" w:pos="426"/>
          <w:tab w:val="right" w:pos="8931"/>
        </w:tabs>
        <w:autoSpaceDE w:val="0"/>
        <w:autoSpaceDN w:val="0"/>
        <w:adjustRightInd w:val="0"/>
        <w:spacing w:after="0" w:line="288" w:lineRule="auto"/>
        <w:ind w:left="720" w:hanging="720"/>
        <w:rPr>
          <w:rFonts w:cs="Times New Roman"/>
          <w:sz w:val="12"/>
          <w:szCs w:val="12"/>
        </w:rPr>
      </w:pPr>
    </w:p>
    <w:p w:rsidR="00041379" w:rsidRPr="00376D10" w:rsidRDefault="00376D10" w:rsidP="007E4B5E">
      <w:pPr>
        <w:tabs>
          <w:tab w:val="left" w:pos="426"/>
          <w:tab w:val="right" w:pos="8931"/>
        </w:tabs>
        <w:autoSpaceDE w:val="0"/>
        <w:autoSpaceDN w:val="0"/>
        <w:adjustRightInd w:val="0"/>
        <w:spacing w:after="0" w:line="240" w:lineRule="auto"/>
        <w:ind w:left="425" w:hanging="425"/>
        <w:jc w:val="both"/>
        <w:rPr>
          <w:rFonts w:cs="Times New Roman"/>
          <w:sz w:val="22"/>
        </w:rPr>
      </w:pPr>
      <w:r>
        <w:rPr>
          <w:rFonts w:cs="Times New Roman"/>
          <w:sz w:val="22"/>
        </w:rPr>
        <w:t>Adams, R. and</w:t>
      </w:r>
      <w:r w:rsidR="00041379" w:rsidRPr="00376D10">
        <w:rPr>
          <w:rFonts w:cs="Times New Roman"/>
          <w:sz w:val="22"/>
        </w:rPr>
        <w:t xml:space="preserve"> Page, J. (2005). Do International Migration and Remittances Reduce Poverty in Developing Countries? </w:t>
      </w:r>
      <w:r w:rsidR="00041379" w:rsidRPr="00376D10">
        <w:rPr>
          <w:rFonts w:cs="Times New Roman"/>
          <w:i/>
          <w:iCs/>
          <w:sz w:val="22"/>
        </w:rPr>
        <w:t>World Development, 33</w:t>
      </w:r>
      <w:r w:rsidR="00041379" w:rsidRPr="00376D10">
        <w:rPr>
          <w:rFonts w:cs="Times New Roman"/>
          <w:sz w:val="22"/>
        </w:rPr>
        <w:t xml:space="preserve">(10), 1645-1669.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Adams, R. J. (2005). Remittances, household expenditure and investment in Guatemala </w:t>
      </w:r>
      <w:r w:rsidRPr="00376D10">
        <w:rPr>
          <w:rFonts w:cs="Times New Roman"/>
          <w:i/>
          <w:iCs/>
          <w:sz w:val="22"/>
        </w:rPr>
        <w:t>Policy Research Working Paper Series 3532</w:t>
      </w:r>
      <w:r w:rsidRPr="00376D10">
        <w:rPr>
          <w:rFonts w:cs="Times New Roman"/>
          <w:sz w:val="22"/>
        </w:rPr>
        <w:t>. Washington DC: The World Bank.</w:t>
      </w:r>
    </w:p>
    <w:p w:rsidR="00041379" w:rsidRPr="00376D10" w:rsidRDefault="00376D10" w:rsidP="007E4B5E">
      <w:pPr>
        <w:tabs>
          <w:tab w:val="left" w:pos="426"/>
          <w:tab w:val="right" w:pos="8931"/>
        </w:tabs>
        <w:autoSpaceDE w:val="0"/>
        <w:autoSpaceDN w:val="0"/>
        <w:adjustRightInd w:val="0"/>
        <w:spacing w:after="0" w:line="240" w:lineRule="auto"/>
        <w:ind w:left="425" w:hanging="425"/>
        <w:jc w:val="both"/>
        <w:rPr>
          <w:rFonts w:cs="Times New Roman"/>
          <w:sz w:val="22"/>
        </w:rPr>
      </w:pPr>
      <w:r>
        <w:rPr>
          <w:rFonts w:cs="Times New Roman"/>
          <w:sz w:val="22"/>
        </w:rPr>
        <w:t>Aghion, P. and</w:t>
      </w:r>
      <w:r w:rsidR="00041379" w:rsidRPr="00376D10">
        <w:rPr>
          <w:rFonts w:cs="Times New Roman"/>
          <w:sz w:val="22"/>
        </w:rPr>
        <w:t xml:space="preserve"> Howitt, P. (1992). A Model of Growth Through Creative Destruction. </w:t>
      </w:r>
      <w:r w:rsidR="00041379" w:rsidRPr="00376D10">
        <w:rPr>
          <w:rFonts w:cs="Times New Roman"/>
          <w:i/>
          <w:iCs/>
          <w:sz w:val="22"/>
        </w:rPr>
        <w:t>Econometrica, 60</w:t>
      </w:r>
      <w:r w:rsidR="00041379" w:rsidRPr="00376D10">
        <w:rPr>
          <w:rFonts w:cs="Times New Roman"/>
          <w:sz w:val="22"/>
        </w:rPr>
        <w:t>(2), 323-351.</w:t>
      </w:r>
    </w:p>
    <w:p w:rsidR="00041379" w:rsidRPr="00376D10" w:rsidRDefault="00376D10"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sidRPr="003762AA">
        <w:rPr>
          <w:rFonts w:cs="Times New Roman"/>
          <w:sz w:val="22"/>
          <w:lang w:val="es-ES"/>
        </w:rPr>
        <w:t>Amuedo-Dorantes, C. and</w:t>
      </w:r>
      <w:r w:rsidR="00041379" w:rsidRPr="003762AA">
        <w:rPr>
          <w:rFonts w:cs="Times New Roman"/>
          <w:sz w:val="22"/>
          <w:lang w:val="es-ES"/>
        </w:rPr>
        <w:t xml:space="preserve"> Pozo, S. (2004). </w:t>
      </w:r>
      <w:r>
        <w:rPr>
          <w:rFonts w:cs="Times New Roman"/>
          <w:sz w:val="22"/>
          <w:lang w:val="en-AU"/>
        </w:rPr>
        <w:t>‘</w:t>
      </w:r>
      <w:r w:rsidR="00041379" w:rsidRPr="00376D10">
        <w:rPr>
          <w:rFonts w:cs="Times New Roman"/>
          <w:sz w:val="22"/>
          <w:lang w:val="en-AU"/>
        </w:rPr>
        <w:t>Workers’ Remittances and the Real Exchange Rate: A Paradox of Gifts.</w:t>
      </w:r>
      <w:r>
        <w:rPr>
          <w:rFonts w:cs="Times New Roman"/>
          <w:sz w:val="22"/>
          <w:lang w:val="en-AU"/>
        </w:rPr>
        <w:t>’</w:t>
      </w:r>
      <w:r w:rsidR="00041379" w:rsidRPr="00376D10">
        <w:rPr>
          <w:rFonts w:cs="Times New Roman"/>
          <w:sz w:val="22"/>
          <w:lang w:val="en-AU"/>
        </w:rPr>
        <w:t xml:space="preserve"> </w:t>
      </w:r>
      <w:r w:rsidR="00041379" w:rsidRPr="00376D10">
        <w:rPr>
          <w:rFonts w:cs="Times New Roman"/>
          <w:i/>
          <w:iCs/>
          <w:sz w:val="22"/>
          <w:lang w:val="en-AU"/>
        </w:rPr>
        <w:t>World Development</w:t>
      </w:r>
      <w:r w:rsidR="00041379" w:rsidRPr="00376D10">
        <w:rPr>
          <w:rFonts w:cs="Times New Roman"/>
          <w:sz w:val="22"/>
          <w:lang w:val="en-AU"/>
        </w:rPr>
        <w:t xml:space="preserve"> 32:1407-1417.</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Barajas, A., Chami, R., Fullenkamp, C., Gapen, M., </w:t>
      </w:r>
      <w:r w:rsidR="00376D10">
        <w:rPr>
          <w:rFonts w:cs="Times New Roman"/>
          <w:sz w:val="22"/>
        </w:rPr>
        <w:t>and</w:t>
      </w:r>
      <w:r w:rsidRPr="00376D10">
        <w:rPr>
          <w:rFonts w:cs="Times New Roman"/>
          <w:sz w:val="22"/>
        </w:rPr>
        <w:t xml:space="preserve"> Montiel, P. (2009). Do Workers’ Remittances Promote Economic Growth? </w:t>
      </w:r>
      <w:r w:rsidRPr="00376D10">
        <w:rPr>
          <w:rFonts w:cs="Times New Roman"/>
          <w:i/>
          <w:iCs/>
          <w:sz w:val="22"/>
        </w:rPr>
        <w:t>IMF Working Paper No. WP/09/153</w:t>
      </w:r>
      <w:r w:rsidRPr="00376D10">
        <w:rPr>
          <w:rFonts w:cs="Times New Roman"/>
          <w:sz w:val="22"/>
        </w:rPr>
        <w:t xml:space="preserve">. Washington, D.C.: International Monetary Fund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Burnside, C., </w:t>
      </w:r>
      <w:r w:rsidR="00376D10">
        <w:rPr>
          <w:rFonts w:cs="Times New Roman"/>
          <w:sz w:val="22"/>
        </w:rPr>
        <w:t>and</w:t>
      </w:r>
      <w:r w:rsidRPr="00376D10">
        <w:rPr>
          <w:rFonts w:cs="Times New Roman"/>
          <w:sz w:val="22"/>
        </w:rPr>
        <w:t xml:space="preserve"> Dollar, D. (2000). Aid, Policies and Growth. </w:t>
      </w:r>
      <w:r w:rsidRPr="00376D10">
        <w:rPr>
          <w:rFonts w:cs="Times New Roman"/>
          <w:i/>
          <w:iCs/>
          <w:sz w:val="22"/>
        </w:rPr>
        <w:t>American Economic Review, 90</w:t>
      </w:r>
      <w:r w:rsidRPr="00376D10">
        <w:rPr>
          <w:rFonts w:cs="Times New Roman"/>
          <w:sz w:val="22"/>
        </w:rPr>
        <w:t>(4), 847-868.</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Burnside, C., </w:t>
      </w:r>
      <w:r w:rsidR="00376D10">
        <w:rPr>
          <w:rFonts w:cs="Times New Roman"/>
          <w:sz w:val="22"/>
        </w:rPr>
        <w:t>and</w:t>
      </w:r>
      <w:r w:rsidRPr="00376D10">
        <w:rPr>
          <w:rFonts w:cs="Times New Roman"/>
          <w:sz w:val="22"/>
        </w:rPr>
        <w:t xml:space="preserve"> Dollar, D. (2004). Aid, Policies and Growth: Reply. </w:t>
      </w:r>
      <w:r w:rsidRPr="00376D10">
        <w:rPr>
          <w:rFonts w:cs="Times New Roman"/>
          <w:i/>
          <w:iCs/>
          <w:sz w:val="22"/>
        </w:rPr>
        <w:t>American Economic Review, 94</w:t>
      </w:r>
      <w:r w:rsidRPr="00376D10">
        <w:rPr>
          <w:rFonts w:cs="Times New Roman"/>
          <w:sz w:val="22"/>
        </w:rPr>
        <w:t>(3), 781-784.</w:t>
      </w:r>
    </w:p>
    <w:p w:rsidR="00041379" w:rsidRPr="00376D10" w:rsidRDefault="00376D10"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Pr>
          <w:rFonts w:cs="Times New Roman"/>
          <w:sz w:val="22"/>
        </w:rPr>
        <w:t>Catrinescu, N., Leon-Ledesma, M., Piracha, M.</w:t>
      </w:r>
      <w:r w:rsidR="00041379" w:rsidRPr="00376D10">
        <w:rPr>
          <w:rFonts w:cs="Times New Roman"/>
          <w:sz w:val="22"/>
        </w:rPr>
        <w:t xml:space="preserve"> and </w:t>
      </w:r>
      <w:r w:rsidR="00041379" w:rsidRPr="00376D10">
        <w:rPr>
          <w:rFonts w:cs="Times New Roman"/>
          <w:sz w:val="22"/>
          <w:lang w:val="en-AU"/>
        </w:rPr>
        <w:t xml:space="preserve">Quillin., </w:t>
      </w:r>
      <w:r w:rsidR="00041379" w:rsidRPr="00376D10">
        <w:rPr>
          <w:rFonts w:cs="Times New Roman"/>
          <w:sz w:val="22"/>
        </w:rPr>
        <w:t xml:space="preserve">B. </w:t>
      </w:r>
      <w:r w:rsidR="00041379" w:rsidRPr="00376D10">
        <w:rPr>
          <w:rFonts w:cs="Times New Roman"/>
          <w:sz w:val="22"/>
          <w:lang w:val="en-AU"/>
        </w:rPr>
        <w:t xml:space="preserve">(2009). </w:t>
      </w:r>
      <w:r>
        <w:rPr>
          <w:rFonts w:cs="Times New Roman"/>
          <w:sz w:val="22"/>
          <w:lang w:val="en-AU"/>
        </w:rPr>
        <w:t>‘</w:t>
      </w:r>
      <w:r w:rsidR="00041379" w:rsidRPr="00376D10">
        <w:rPr>
          <w:rFonts w:cs="Times New Roman"/>
          <w:sz w:val="22"/>
          <w:lang w:val="en-AU"/>
        </w:rPr>
        <w:t>Remittances, Institutions, and Economic Growth.</w:t>
      </w:r>
      <w:r>
        <w:rPr>
          <w:rFonts w:cs="Times New Roman"/>
          <w:sz w:val="22"/>
          <w:lang w:val="en-AU"/>
        </w:rPr>
        <w:t>’</w:t>
      </w:r>
      <w:r w:rsidR="00041379" w:rsidRPr="00376D10">
        <w:rPr>
          <w:rFonts w:cs="Times New Roman"/>
          <w:sz w:val="22"/>
          <w:lang w:val="en-AU"/>
        </w:rPr>
        <w:t xml:space="preserve"> </w:t>
      </w:r>
      <w:r w:rsidR="00041379" w:rsidRPr="00376D10">
        <w:rPr>
          <w:rFonts w:cs="Times New Roman"/>
          <w:i/>
          <w:iCs/>
          <w:sz w:val="22"/>
          <w:lang w:val="en-AU"/>
        </w:rPr>
        <w:t>World Development</w:t>
      </w:r>
      <w:r w:rsidR="00041379" w:rsidRPr="00376D10">
        <w:rPr>
          <w:rFonts w:cs="Times New Roman"/>
          <w:sz w:val="22"/>
          <w:lang w:val="en-AU"/>
        </w:rPr>
        <w:t xml:space="preserve"> 37: 81-92.</w:t>
      </w:r>
    </w:p>
    <w:p w:rsidR="00041379" w:rsidRPr="00376D10" w:rsidRDefault="00376D10" w:rsidP="007E4B5E">
      <w:pPr>
        <w:tabs>
          <w:tab w:val="left" w:pos="426"/>
          <w:tab w:val="right" w:pos="8931"/>
        </w:tabs>
        <w:autoSpaceDE w:val="0"/>
        <w:autoSpaceDN w:val="0"/>
        <w:adjustRightInd w:val="0"/>
        <w:spacing w:after="0" w:line="240" w:lineRule="auto"/>
        <w:ind w:left="425" w:hanging="425"/>
        <w:jc w:val="both"/>
        <w:rPr>
          <w:rFonts w:cs="Times New Roman"/>
          <w:sz w:val="22"/>
        </w:rPr>
      </w:pPr>
      <w:r>
        <w:rPr>
          <w:rFonts w:cs="Times New Roman"/>
          <w:sz w:val="22"/>
        </w:rPr>
        <w:t>Chami, R., Hakura, D.</w:t>
      </w:r>
      <w:r w:rsidR="00041379" w:rsidRPr="00376D10">
        <w:rPr>
          <w:rFonts w:cs="Times New Roman"/>
          <w:sz w:val="22"/>
        </w:rPr>
        <w:t xml:space="preserve"> </w:t>
      </w:r>
      <w:r>
        <w:rPr>
          <w:rFonts w:cs="Times New Roman"/>
          <w:sz w:val="22"/>
        </w:rPr>
        <w:t>and</w:t>
      </w:r>
      <w:r w:rsidR="00041379" w:rsidRPr="00376D10">
        <w:rPr>
          <w:rFonts w:cs="Times New Roman"/>
          <w:sz w:val="22"/>
        </w:rPr>
        <w:t xml:space="preserve"> Montiel, P. (2009). Remittances: An Automatic Output Stabilizer? </w:t>
      </w:r>
      <w:r w:rsidR="00041379" w:rsidRPr="00376D10">
        <w:rPr>
          <w:rFonts w:cs="Times New Roman"/>
          <w:i/>
          <w:iCs/>
          <w:sz w:val="22"/>
        </w:rPr>
        <w:t>IMF Working Papers 09/91</w:t>
      </w:r>
      <w:r w:rsidR="00041379" w:rsidRPr="00376D10">
        <w:rPr>
          <w:rFonts w:cs="Times New Roman"/>
          <w:sz w:val="22"/>
        </w:rPr>
        <w:t xml:space="preserve">.  Washington DC: International Monetary Fund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Chami, R., Barajas, A., Cosimano</w:t>
      </w:r>
      <w:r w:rsidR="00376D10">
        <w:rPr>
          <w:rFonts w:cs="Times New Roman"/>
          <w:sz w:val="22"/>
        </w:rPr>
        <w:t>, T., Fullenkamp, C., Gapen, M.</w:t>
      </w:r>
      <w:r w:rsidRPr="00376D10">
        <w:rPr>
          <w:rFonts w:cs="Times New Roman"/>
          <w:sz w:val="22"/>
        </w:rPr>
        <w:t xml:space="preserve"> </w:t>
      </w:r>
      <w:r w:rsidR="00376D10">
        <w:rPr>
          <w:rFonts w:cs="Times New Roman"/>
          <w:sz w:val="22"/>
        </w:rPr>
        <w:t>and</w:t>
      </w:r>
      <w:r w:rsidRPr="00376D10">
        <w:rPr>
          <w:rFonts w:cs="Times New Roman"/>
          <w:sz w:val="22"/>
        </w:rPr>
        <w:t xml:space="preserve"> Montiel, P. (2008). Macroeconomic Consequences of Remittances </w:t>
      </w:r>
      <w:r w:rsidRPr="00376D10">
        <w:rPr>
          <w:rFonts w:cs="Times New Roman"/>
          <w:i/>
          <w:iCs/>
          <w:sz w:val="22"/>
        </w:rPr>
        <w:t>Occasional Paper No. 259</w:t>
      </w:r>
      <w:r w:rsidRPr="00376D10">
        <w:rPr>
          <w:rFonts w:cs="Times New Roman"/>
          <w:sz w:val="22"/>
        </w:rPr>
        <w:t xml:space="preserve">. Washington, D.C. : International Monetary Fund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Chami, R., Fullenkamp, C., </w:t>
      </w:r>
      <w:r w:rsidR="00376D10">
        <w:rPr>
          <w:rFonts w:cs="Times New Roman"/>
          <w:sz w:val="22"/>
        </w:rPr>
        <w:t>and</w:t>
      </w:r>
      <w:r w:rsidRPr="00376D10">
        <w:rPr>
          <w:rFonts w:cs="Times New Roman"/>
          <w:sz w:val="22"/>
        </w:rPr>
        <w:t xml:space="preserve"> Jahjah, S. (2003). Are Immigrant Remittance Flows a Source of Capital for Development? </w:t>
      </w:r>
      <w:r w:rsidRPr="00376D10">
        <w:rPr>
          <w:rFonts w:cs="Times New Roman"/>
          <w:i/>
          <w:iCs/>
          <w:sz w:val="22"/>
        </w:rPr>
        <w:t>IMF Working Paper 03/189</w:t>
      </w:r>
      <w:r w:rsidRPr="00376D10">
        <w:rPr>
          <w:rFonts w:cs="Times New Roman"/>
          <w:sz w:val="22"/>
        </w:rPr>
        <w:t>. Washington, DC: International Monetary Fund.</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Chami, R., Fullenkamp, C., </w:t>
      </w:r>
      <w:r w:rsidR="00376D10">
        <w:rPr>
          <w:rFonts w:cs="Times New Roman"/>
          <w:sz w:val="22"/>
        </w:rPr>
        <w:t>and</w:t>
      </w:r>
      <w:r w:rsidRPr="00376D10">
        <w:rPr>
          <w:rFonts w:cs="Times New Roman"/>
          <w:sz w:val="22"/>
        </w:rPr>
        <w:t xml:space="preserve"> Jahjah, S. (2005). Are Immigrant Remittance Flows a Source of Capital for Development. </w:t>
      </w:r>
      <w:r w:rsidRPr="00376D10">
        <w:rPr>
          <w:rFonts w:cs="Times New Roman"/>
          <w:i/>
          <w:iCs/>
          <w:sz w:val="22"/>
        </w:rPr>
        <w:t xml:space="preserve">IMF Stuff Papers, 52 </w:t>
      </w:r>
      <w:r w:rsidRPr="00376D10">
        <w:rPr>
          <w:rFonts w:cs="Times New Roman"/>
          <w:sz w:val="22"/>
        </w:rPr>
        <w:t xml:space="preserve">(April), 55-81.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Cox Edwards, A., </w:t>
      </w:r>
      <w:r w:rsidR="00376D10">
        <w:rPr>
          <w:rFonts w:cs="Times New Roman"/>
          <w:sz w:val="22"/>
        </w:rPr>
        <w:t>and</w:t>
      </w:r>
      <w:r w:rsidRPr="00376D10">
        <w:rPr>
          <w:rFonts w:cs="Times New Roman"/>
          <w:sz w:val="22"/>
        </w:rPr>
        <w:t xml:space="preserve"> Ureta, M. (2003). International Migration, Remittances and Schooling: Evidence from El Salvatdor. </w:t>
      </w:r>
      <w:r w:rsidRPr="00376D10">
        <w:rPr>
          <w:rFonts w:cs="Times New Roman"/>
          <w:i/>
          <w:iCs/>
          <w:sz w:val="22"/>
        </w:rPr>
        <w:t xml:space="preserve">Journal of Development Economics, 72 </w:t>
      </w:r>
      <w:r w:rsidRPr="00376D10">
        <w:rPr>
          <w:rFonts w:cs="Times New Roman"/>
          <w:sz w:val="22"/>
        </w:rPr>
        <w:t xml:space="preserve">(2), 429-461.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sidRPr="00376D10">
        <w:rPr>
          <w:rFonts w:cs="Times New Roman"/>
          <w:sz w:val="22"/>
          <w:lang w:val="en-AU"/>
        </w:rPr>
        <w:t xml:space="preserve">Durlauf, S., Johnson, P., </w:t>
      </w:r>
      <w:r w:rsidR="00376D10">
        <w:rPr>
          <w:rFonts w:cs="Times New Roman"/>
          <w:sz w:val="22"/>
          <w:lang w:val="en-AU"/>
        </w:rPr>
        <w:t>and</w:t>
      </w:r>
      <w:r w:rsidRPr="00376D10">
        <w:rPr>
          <w:rFonts w:cs="Times New Roman"/>
          <w:sz w:val="22"/>
          <w:lang w:val="en-AU"/>
        </w:rPr>
        <w:t xml:space="preserve"> Temple, J. (2005). </w:t>
      </w:r>
      <w:r w:rsidR="00376D10">
        <w:rPr>
          <w:rFonts w:cs="Times New Roman"/>
          <w:sz w:val="22"/>
          <w:lang w:val="en-AU"/>
        </w:rPr>
        <w:t>‘</w:t>
      </w:r>
      <w:r w:rsidRPr="00376D10">
        <w:rPr>
          <w:rFonts w:cs="Times New Roman"/>
          <w:sz w:val="22"/>
          <w:lang w:val="en-AU"/>
        </w:rPr>
        <w:t>Growth Econometrics</w:t>
      </w:r>
      <w:r w:rsidR="00376D10">
        <w:rPr>
          <w:rFonts w:cs="Times New Roman"/>
          <w:sz w:val="22"/>
          <w:lang w:val="en-AU"/>
        </w:rPr>
        <w:t>’</w:t>
      </w:r>
      <w:r w:rsidRPr="00376D10">
        <w:rPr>
          <w:rFonts w:cs="Times New Roman"/>
          <w:sz w:val="22"/>
          <w:lang w:val="en-AU"/>
        </w:rPr>
        <w:t xml:space="preserve"> Pp. 555–677 in </w:t>
      </w:r>
      <w:r w:rsidRPr="00376D10">
        <w:rPr>
          <w:rFonts w:cs="Times New Roman"/>
          <w:i/>
          <w:iCs/>
          <w:sz w:val="22"/>
          <w:lang w:val="en-AU"/>
        </w:rPr>
        <w:t>Handbook of Economic Growth</w:t>
      </w:r>
      <w:r w:rsidRPr="00376D10">
        <w:rPr>
          <w:rFonts w:cs="Times New Roman"/>
          <w:sz w:val="22"/>
          <w:lang w:val="en-AU"/>
        </w:rPr>
        <w:t>, vol. 1 Chapter 8, edited by P. Aghion, and Durlauf, S.</w:t>
      </w:r>
      <w:r w:rsidR="000074AF">
        <w:rPr>
          <w:rFonts w:cs="Times New Roman"/>
          <w:sz w:val="22"/>
          <w:lang w:val="en-AU"/>
        </w:rPr>
        <w:t>, Amsterdam: North-Holland.</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De, P., </w:t>
      </w:r>
      <w:r w:rsidR="00376D10">
        <w:rPr>
          <w:rFonts w:cs="Times New Roman"/>
          <w:sz w:val="22"/>
        </w:rPr>
        <w:t>and</w:t>
      </w:r>
      <w:r w:rsidRPr="00376D10">
        <w:rPr>
          <w:rFonts w:cs="Times New Roman"/>
          <w:sz w:val="22"/>
        </w:rPr>
        <w:t xml:space="preserve"> Ratha, D. (2005). Remittance Income and Household Welfare: Evidence from Sri Lanka Integrated Household Survey </w:t>
      </w:r>
      <w:r w:rsidRPr="00376D10">
        <w:rPr>
          <w:rFonts w:cs="Times New Roman"/>
          <w:i/>
          <w:iCs/>
          <w:sz w:val="22"/>
        </w:rPr>
        <w:t>Development Research Group</w:t>
      </w:r>
      <w:r w:rsidRPr="00376D10">
        <w:rPr>
          <w:rFonts w:cs="Times New Roman"/>
          <w:sz w:val="22"/>
        </w:rPr>
        <w:t>. Washington, DC: The World Bank.</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sidRPr="00376D10">
        <w:rPr>
          <w:rFonts w:cs="Times New Roman"/>
          <w:sz w:val="22"/>
          <w:lang w:val="en-AU"/>
        </w:rPr>
        <w:t xml:space="preserve">Easterly, W., Levine, R.  </w:t>
      </w:r>
      <w:r w:rsidR="00376D10">
        <w:rPr>
          <w:rFonts w:cs="Times New Roman"/>
          <w:sz w:val="22"/>
          <w:lang w:val="en-AU"/>
        </w:rPr>
        <w:t>and</w:t>
      </w:r>
      <w:r w:rsidRPr="00376D10">
        <w:rPr>
          <w:rFonts w:cs="Times New Roman"/>
          <w:sz w:val="22"/>
          <w:lang w:val="en-AU"/>
        </w:rPr>
        <w:t xml:space="preserve"> Roodman, D.  (2004). New data, New doubts: A Comment on Burnside and Dollar's </w:t>
      </w:r>
      <w:r w:rsidR="00376D10">
        <w:rPr>
          <w:rFonts w:cs="Times New Roman"/>
          <w:sz w:val="22"/>
          <w:lang w:val="en-AU"/>
        </w:rPr>
        <w:t>‘</w:t>
      </w:r>
      <w:r w:rsidRPr="00376D10">
        <w:rPr>
          <w:rFonts w:cs="Times New Roman"/>
          <w:sz w:val="22"/>
          <w:lang w:val="en-AU"/>
        </w:rPr>
        <w:t>Aid, Policies, and Growth.</w:t>
      </w:r>
      <w:r w:rsidR="00376D10">
        <w:rPr>
          <w:rFonts w:cs="Times New Roman"/>
          <w:sz w:val="22"/>
          <w:lang w:val="en-AU"/>
        </w:rPr>
        <w:t>’</w:t>
      </w:r>
      <w:r w:rsidRPr="00376D10">
        <w:rPr>
          <w:rFonts w:cs="Times New Roman"/>
          <w:sz w:val="22"/>
          <w:lang w:val="en-AU"/>
        </w:rPr>
        <w:t xml:space="preserve">. </w:t>
      </w:r>
      <w:r w:rsidRPr="00376D10">
        <w:rPr>
          <w:rFonts w:cs="Times New Roman"/>
          <w:i/>
          <w:iCs/>
          <w:sz w:val="22"/>
          <w:lang w:val="en-AU"/>
        </w:rPr>
        <w:t>American Economic Review</w:t>
      </w:r>
      <w:r w:rsidRPr="00376D10">
        <w:rPr>
          <w:rFonts w:cs="Times New Roman"/>
          <w:sz w:val="22"/>
          <w:lang w:val="en-AU"/>
        </w:rPr>
        <w:t xml:space="preserve"> 94, 774–780.</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Elliott, G., Rothenberg, T. </w:t>
      </w:r>
      <w:r w:rsidR="00376D10">
        <w:rPr>
          <w:rFonts w:cs="Times New Roman"/>
          <w:sz w:val="22"/>
        </w:rPr>
        <w:t>and</w:t>
      </w:r>
      <w:r w:rsidRPr="00376D10">
        <w:rPr>
          <w:rFonts w:cs="Times New Roman"/>
          <w:sz w:val="22"/>
        </w:rPr>
        <w:t xml:space="preserve"> Stock, J. (1992). Efficient Tests for an Autoregressive Unit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Root. </w:t>
      </w:r>
      <w:r w:rsidRPr="00376D10">
        <w:rPr>
          <w:rFonts w:cs="Times New Roman"/>
          <w:i/>
          <w:iCs/>
          <w:sz w:val="22"/>
        </w:rPr>
        <w:t>NBER Technical Working Paper No. 130</w:t>
      </w:r>
      <w:r w:rsidRPr="00376D10">
        <w:rPr>
          <w:rFonts w:cs="Times New Roman"/>
          <w:sz w:val="22"/>
        </w:rPr>
        <w:t>. Washington DC: National Bureau of Economic Research</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Elliott, G., Rothenberg, T. </w:t>
      </w:r>
      <w:r w:rsidR="00376D10">
        <w:rPr>
          <w:rFonts w:cs="Times New Roman"/>
          <w:sz w:val="22"/>
        </w:rPr>
        <w:t>and</w:t>
      </w:r>
      <w:r w:rsidRPr="00376D10">
        <w:rPr>
          <w:rFonts w:cs="Times New Roman"/>
          <w:sz w:val="22"/>
        </w:rPr>
        <w:t xml:space="preserve"> Stock, J. (1992). Efficient Tests for an Autoregressive Unit Root. </w:t>
      </w:r>
      <w:r w:rsidRPr="00376D10">
        <w:rPr>
          <w:rFonts w:cs="Times New Roman"/>
          <w:i/>
          <w:iCs/>
          <w:sz w:val="22"/>
        </w:rPr>
        <w:t>Econometrica</w:t>
      </w:r>
      <w:r w:rsidRPr="00376D10">
        <w:rPr>
          <w:rFonts w:cs="Times New Roman"/>
          <w:sz w:val="22"/>
        </w:rPr>
        <w:t>, 64, 813-836.</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Faaland, J., </w:t>
      </w:r>
      <w:r w:rsidR="00376D10">
        <w:rPr>
          <w:rFonts w:cs="Times New Roman"/>
          <w:sz w:val="22"/>
        </w:rPr>
        <w:t>and</w:t>
      </w:r>
      <w:r w:rsidRPr="00376D10">
        <w:rPr>
          <w:rFonts w:cs="Times New Roman"/>
          <w:sz w:val="22"/>
        </w:rPr>
        <w:t xml:space="preserve"> Parkinson, J. (1976). </w:t>
      </w:r>
      <w:r w:rsidRPr="00376D10">
        <w:rPr>
          <w:rFonts w:cs="Times New Roman"/>
          <w:i/>
          <w:iCs/>
          <w:sz w:val="22"/>
        </w:rPr>
        <w:t>Bangladesh: The Test Case of Development</w:t>
      </w:r>
      <w:r w:rsidRPr="00376D10">
        <w:rPr>
          <w:rFonts w:cs="Times New Roman"/>
          <w:sz w:val="22"/>
        </w:rPr>
        <w:t>. Boulder: Westview Press.</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Frank, R., </w:t>
      </w:r>
      <w:r w:rsidR="00376D10">
        <w:rPr>
          <w:rFonts w:cs="Times New Roman"/>
          <w:sz w:val="22"/>
        </w:rPr>
        <w:t>and</w:t>
      </w:r>
      <w:r w:rsidRPr="00376D10">
        <w:rPr>
          <w:rFonts w:cs="Times New Roman"/>
          <w:sz w:val="22"/>
        </w:rPr>
        <w:t xml:space="preserve"> Hummer, R. (2002). The Other Side of the Paradox: The Risk of Low Birth Weight among Infants of Migrant and Nonmigrant Households within Mexico. </w:t>
      </w:r>
      <w:r w:rsidRPr="00376D10">
        <w:rPr>
          <w:rFonts w:cs="Times New Roman"/>
          <w:i/>
          <w:iCs/>
          <w:sz w:val="22"/>
        </w:rPr>
        <w:t>International Migration Review, 36</w:t>
      </w:r>
      <w:r w:rsidRPr="00376D10">
        <w:rPr>
          <w:rFonts w:cs="Times New Roman"/>
          <w:sz w:val="22"/>
        </w:rPr>
        <w:t xml:space="preserve">(3), 746-765.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Frankel, J. (2011). Are Bilateral Remittances Countercyclical </w:t>
      </w:r>
      <w:r w:rsidRPr="00376D10">
        <w:rPr>
          <w:rFonts w:cs="Times New Roman"/>
          <w:i/>
          <w:iCs/>
          <w:sz w:val="22"/>
        </w:rPr>
        <w:t>Open Economics Review, 22</w:t>
      </w:r>
      <w:r w:rsidRPr="00376D10">
        <w:rPr>
          <w:rFonts w:cs="Times New Roman"/>
          <w:sz w:val="22"/>
        </w:rPr>
        <w:t xml:space="preserve">, 1-16.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lang w:val="it-IT"/>
        </w:rPr>
        <w:t xml:space="preserve">Giuliano, P., </w:t>
      </w:r>
      <w:r w:rsidR="00376D10">
        <w:rPr>
          <w:rFonts w:cs="Times New Roman"/>
          <w:sz w:val="22"/>
          <w:lang w:val="it-IT"/>
        </w:rPr>
        <w:t>and</w:t>
      </w:r>
      <w:r w:rsidRPr="00376D10">
        <w:rPr>
          <w:rFonts w:cs="Times New Roman"/>
          <w:sz w:val="22"/>
          <w:lang w:val="it-IT"/>
        </w:rPr>
        <w:t xml:space="preserve"> Ruiz-Arranz, M. (2009). </w:t>
      </w:r>
      <w:r w:rsidRPr="00376D10">
        <w:rPr>
          <w:rFonts w:cs="Times New Roman"/>
          <w:sz w:val="22"/>
        </w:rPr>
        <w:t xml:space="preserve">Remittances, Financial Development, and Growth. </w:t>
      </w:r>
      <w:r w:rsidRPr="00376D10">
        <w:rPr>
          <w:rFonts w:cs="Times New Roman"/>
          <w:i/>
          <w:iCs/>
          <w:sz w:val="22"/>
        </w:rPr>
        <w:t>Journal of Development Economics 90</w:t>
      </w:r>
      <w:r w:rsidRPr="00376D10">
        <w:rPr>
          <w:rFonts w:cs="Times New Roman"/>
          <w:sz w:val="22"/>
        </w:rPr>
        <w:t>, 144-152.</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2AA">
        <w:rPr>
          <w:rFonts w:cs="Times New Roman"/>
          <w:sz w:val="22"/>
        </w:rPr>
        <w:t xml:space="preserve">Gupta, S., Pattillo, C., </w:t>
      </w:r>
      <w:r w:rsidR="00376D10" w:rsidRPr="003762AA">
        <w:rPr>
          <w:rFonts w:cs="Times New Roman"/>
          <w:sz w:val="22"/>
        </w:rPr>
        <w:t>and</w:t>
      </w:r>
      <w:r w:rsidRPr="003762AA">
        <w:rPr>
          <w:rFonts w:cs="Times New Roman"/>
          <w:sz w:val="22"/>
        </w:rPr>
        <w:t xml:space="preserve"> Wagh, S. (2009). </w:t>
      </w:r>
      <w:r w:rsidRPr="00376D10">
        <w:rPr>
          <w:rFonts w:cs="Times New Roman"/>
          <w:sz w:val="22"/>
        </w:rPr>
        <w:t xml:space="preserve">Effect of Remittances on Poverty and Financial Development in Sub-Saharan Africa. </w:t>
      </w:r>
      <w:r w:rsidRPr="00376D10">
        <w:rPr>
          <w:rFonts w:cs="Times New Roman"/>
          <w:i/>
          <w:iCs/>
          <w:sz w:val="22"/>
        </w:rPr>
        <w:t>World Development 37</w:t>
      </w:r>
      <w:r w:rsidRPr="00376D10">
        <w:rPr>
          <w:rFonts w:cs="Times New Roman"/>
          <w:sz w:val="22"/>
        </w:rPr>
        <w:t xml:space="preserve">(1), 104-115.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Hanson, G., </w:t>
      </w:r>
      <w:r w:rsidR="00376D10">
        <w:rPr>
          <w:rFonts w:cs="Times New Roman"/>
          <w:sz w:val="22"/>
        </w:rPr>
        <w:t>and</w:t>
      </w:r>
      <w:r w:rsidRPr="00376D10">
        <w:rPr>
          <w:rFonts w:cs="Times New Roman"/>
          <w:sz w:val="22"/>
        </w:rPr>
        <w:t xml:space="preserve"> Woodruff, C. (2003). </w:t>
      </w:r>
      <w:r w:rsidRPr="00376D10">
        <w:rPr>
          <w:rFonts w:cs="Times New Roman"/>
          <w:i/>
          <w:iCs/>
          <w:sz w:val="22"/>
        </w:rPr>
        <w:t>Emigration and Education Attainment in Mexico</w:t>
      </w:r>
      <w:r w:rsidRPr="00376D10">
        <w:rPr>
          <w:rFonts w:cs="Times New Roman"/>
          <w:sz w:val="22"/>
        </w:rPr>
        <w:t xml:space="preserve">. mimeo. University of California. Riverside.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lastRenderedPageBreak/>
        <w:t xml:space="preserve">Hassan, G., </w:t>
      </w:r>
      <w:r w:rsidR="00376D10">
        <w:rPr>
          <w:rFonts w:cs="Times New Roman"/>
          <w:sz w:val="22"/>
        </w:rPr>
        <w:t>and</w:t>
      </w:r>
      <w:r w:rsidRPr="00376D10">
        <w:rPr>
          <w:rFonts w:cs="Times New Roman"/>
          <w:sz w:val="22"/>
        </w:rPr>
        <w:t xml:space="preserve"> Holmes, M. (2013). Remittances and the Real Effective Exchange Rate. </w:t>
      </w:r>
      <w:r w:rsidRPr="00376D10">
        <w:rPr>
          <w:rFonts w:cs="Times New Roman"/>
          <w:i/>
          <w:iCs/>
          <w:sz w:val="22"/>
        </w:rPr>
        <w:t>Applied Economics, 45</w:t>
      </w:r>
      <w:r w:rsidRPr="00376D10">
        <w:rPr>
          <w:rFonts w:cs="Times New Roman"/>
          <w:sz w:val="22"/>
        </w:rPr>
        <w:t>(35), 4959-4970.</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Hildebrant, N., </w:t>
      </w:r>
      <w:r w:rsidR="00376D10">
        <w:rPr>
          <w:rFonts w:cs="Times New Roman"/>
          <w:sz w:val="22"/>
        </w:rPr>
        <w:t>and</w:t>
      </w:r>
      <w:r w:rsidRPr="00376D10">
        <w:rPr>
          <w:rFonts w:cs="Times New Roman"/>
          <w:sz w:val="22"/>
        </w:rPr>
        <w:t xml:space="preserve"> McKenzie, D. (2005). The Effect of Migration on Child Health in Mexico </w:t>
      </w:r>
      <w:r w:rsidRPr="00376D10">
        <w:rPr>
          <w:rFonts w:cs="Times New Roman"/>
          <w:i/>
          <w:iCs/>
          <w:sz w:val="22"/>
        </w:rPr>
        <w:t>World Bank Policy Research Working Paper 3573 and Department of Economics, Stanford University</w:t>
      </w:r>
      <w:r w:rsidRPr="00376D10">
        <w:rPr>
          <w:rFonts w:cs="Times New Roman"/>
          <w:sz w:val="22"/>
        </w:rPr>
        <w:t>. Washington, DC: The World Bank.</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IOM. (2005). </w:t>
      </w:r>
      <w:r w:rsidRPr="00376D10">
        <w:rPr>
          <w:rFonts w:cs="Times New Roman"/>
          <w:i/>
          <w:iCs/>
          <w:sz w:val="22"/>
        </w:rPr>
        <w:t>Dynamics of Remittance Utilization in Bangladesh</w:t>
      </w:r>
      <w:r w:rsidRPr="00376D10">
        <w:rPr>
          <w:rFonts w:cs="Times New Roman"/>
          <w:sz w:val="22"/>
        </w:rPr>
        <w:t>. Geneva: International Organisation for Migration.</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sidRPr="003762AA">
        <w:rPr>
          <w:rFonts w:cs="Times New Roman"/>
          <w:sz w:val="22"/>
        </w:rPr>
        <w:t xml:space="preserve">Mankiw, N., Romer, D., </w:t>
      </w:r>
      <w:r w:rsidR="00376D10" w:rsidRPr="003762AA">
        <w:rPr>
          <w:rFonts w:cs="Times New Roman"/>
          <w:sz w:val="22"/>
        </w:rPr>
        <w:t>and</w:t>
      </w:r>
      <w:r w:rsidRPr="003762AA">
        <w:rPr>
          <w:rFonts w:cs="Times New Roman"/>
          <w:sz w:val="22"/>
        </w:rPr>
        <w:t xml:space="preserve"> Weil, D. (1992). </w:t>
      </w:r>
      <w:r w:rsidRPr="00376D10">
        <w:rPr>
          <w:rFonts w:cs="Times New Roman"/>
          <w:sz w:val="22"/>
          <w:lang w:val="en-AU"/>
        </w:rPr>
        <w:t xml:space="preserve">A Contribution to the Empirics of Economic Growth. </w:t>
      </w:r>
      <w:r w:rsidRPr="00376D10">
        <w:rPr>
          <w:rFonts w:cs="Times New Roman"/>
          <w:i/>
          <w:iCs/>
          <w:sz w:val="22"/>
          <w:lang w:val="en-AU"/>
        </w:rPr>
        <w:t>Quarterly Journal of Economics,</w:t>
      </w:r>
      <w:r w:rsidRPr="00376D10">
        <w:rPr>
          <w:rFonts w:cs="Times New Roman"/>
          <w:sz w:val="22"/>
          <w:lang w:val="en-AU"/>
        </w:rPr>
        <w:t xml:space="preserve"> 107, 407-437.</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McKenzie, D., </w:t>
      </w:r>
      <w:r w:rsidR="00376D10">
        <w:rPr>
          <w:rFonts w:cs="Times New Roman"/>
          <w:sz w:val="22"/>
        </w:rPr>
        <w:t>and</w:t>
      </w:r>
      <w:r w:rsidRPr="00376D10">
        <w:rPr>
          <w:rFonts w:cs="Times New Roman"/>
          <w:sz w:val="22"/>
        </w:rPr>
        <w:t xml:space="preserve"> Rapoport, H. (2004). Network Effects and the Dynamics of Migration and Inequality: Theory and Evidence from Mexico. </w:t>
      </w:r>
      <w:r w:rsidRPr="00376D10">
        <w:rPr>
          <w:rFonts w:cs="Times New Roman"/>
          <w:i/>
          <w:iCs/>
          <w:sz w:val="22"/>
        </w:rPr>
        <w:t>BREAD Working Paper No 063</w:t>
      </w:r>
      <w:r w:rsidRPr="00376D10">
        <w:rPr>
          <w:rFonts w:cs="Times New Roman"/>
          <w:sz w:val="22"/>
        </w:rPr>
        <w:t>.</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Mishra, P. (2005). Macroeconomic Impact of Remittances in the Caribbean </w:t>
      </w:r>
      <w:r w:rsidRPr="00376D10">
        <w:rPr>
          <w:rFonts w:cs="Times New Roman"/>
          <w:i/>
          <w:iCs/>
          <w:sz w:val="22"/>
        </w:rPr>
        <w:t>IMF Working Paper</w:t>
      </w:r>
      <w:r w:rsidRPr="00376D10">
        <w:rPr>
          <w:rFonts w:cs="Times New Roman"/>
          <w:sz w:val="22"/>
        </w:rPr>
        <w:t>. Washington, DC: International Monetary Fund.</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Page, J., </w:t>
      </w:r>
      <w:r w:rsidR="00376D10">
        <w:rPr>
          <w:rFonts w:cs="Times New Roman"/>
          <w:sz w:val="22"/>
        </w:rPr>
        <w:t>and</w:t>
      </w:r>
      <w:r w:rsidRPr="00376D10">
        <w:rPr>
          <w:rFonts w:cs="Times New Roman"/>
          <w:sz w:val="22"/>
        </w:rPr>
        <w:t xml:space="preserve"> Plaza, S. (2006). Migration Remittances and Development: A Review of Global Evidence. </w:t>
      </w:r>
      <w:r w:rsidRPr="00376D10">
        <w:rPr>
          <w:rFonts w:cs="Times New Roman"/>
          <w:i/>
          <w:iCs/>
          <w:sz w:val="22"/>
        </w:rPr>
        <w:t>Journal of African Economies, 15</w:t>
      </w:r>
      <w:r w:rsidRPr="00376D10">
        <w:rPr>
          <w:rFonts w:cs="Times New Roman"/>
          <w:sz w:val="22"/>
        </w:rPr>
        <w:t xml:space="preserve">(2), 245-336.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Quarterly, P., </w:t>
      </w:r>
      <w:r w:rsidR="00376D10">
        <w:rPr>
          <w:rFonts w:cs="Times New Roman"/>
          <w:sz w:val="22"/>
        </w:rPr>
        <w:t>and</w:t>
      </w:r>
      <w:r w:rsidRPr="00376D10">
        <w:rPr>
          <w:rFonts w:cs="Times New Roman"/>
          <w:sz w:val="22"/>
        </w:rPr>
        <w:t xml:space="preserve"> Blankson, T. (2004). Do Migrant Remittances Minimize the Impact of Macro-Volatility on the Poor in Ghana: Global Development Network (GDN).</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lang w:val="en-AU"/>
        </w:rPr>
        <w:t xml:space="preserve">Rao, B.,  and  Hassan, G. (2012). </w:t>
      </w:r>
      <w:r w:rsidR="00376D10">
        <w:rPr>
          <w:rFonts w:cs="Times New Roman"/>
          <w:sz w:val="22"/>
          <w:lang w:val="en-AU"/>
        </w:rPr>
        <w:t>‘</w:t>
      </w:r>
      <w:r w:rsidRPr="00376D10">
        <w:rPr>
          <w:rFonts w:cs="Times New Roman"/>
          <w:sz w:val="22"/>
          <w:lang w:val="en-AU"/>
        </w:rPr>
        <w:t>Are Direct and Indirect Growth Effects of Remittances Significant?</w:t>
      </w:r>
      <w:r w:rsidR="00376D10">
        <w:rPr>
          <w:rFonts w:cs="Times New Roman"/>
          <w:sz w:val="22"/>
          <w:lang w:val="en-AU"/>
        </w:rPr>
        <w:t>’</w:t>
      </w:r>
      <w:r w:rsidRPr="00376D10">
        <w:rPr>
          <w:rFonts w:cs="Times New Roman"/>
          <w:sz w:val="22"/>
          <w:lang w:val="en-AU"/>
        </w:rPr>
        <w:t xml:space="preserve"> </w:t>
      </w:r>
      <w:r w:rsidRPr="00376D10">
        <w:rPr>
          <w:rFonts w:cs="Times New Roman"/>
          <w:i/>
          <w:iCs/>
          <w:sz w:val="22"/>
          <w:lang w:val="en-AU"/>
        </w:rPr>
        <w:t>The World Economy</w:t>
      </w:r>
      <w:r w:rsidRPr="00376D10">
        <w:rPr>
          <w:rFonts w:cs="Times New Roman"/>
          <w:sz w:val="22"/>
          <w:lang w:val="en-AU"/>
        </w:rPr>
        <w:t>, 35 (3), 351-372.</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Ratha, D. (2009). Leveraging Remittances for Development </w:t>
      </w:r>
      <w:r w:rsidRPr="00376D10">
        <w:rPr>
          <w:rFonts w:cs="Times New Roman"/>
          <w:i/>
          <w:iCs/>
          <w:sz w:val="22"/>
        </w:rPr>
        <w:t>Policy Brief, June</w:t>
      </w:r>
      <w:r w:rsidRPr="00376D10">
        <w:rPr>
          <w:rFonts w:cs="Times New Roman"/>
          <w:sz w:val="22"/>
        </w:rPr>
        <w:t>. Washington D.C.: Migration Policy Institute.</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2AA">
        <w:rPr>
          <w:rFonts w:cs="Times New Roman"/>
          <w:sz w:val="22"/>
          <w:lang w:val="fr-FR"/>
        </w:rPr>
        <w:t xml:space="preserve">Romer, P. (1990). Endogenous Technical Change. </w:t>
      </w:r>
      <w:r w:rsidRPr="00376D10">
        <w:rPr>
          <w:rFonts w:cs="Times New Roman"/>
          <w:i/>
          <w:iCs/>
          <w:sz w:val="22"/>
        </w:rPr>
        <w:t>Journal of Political Economy, 98</w:t>
      </w:r>
      <w:r w:rsidRPr="00376D10">
        <w:rPr>
          <w:rFonts w:cs="Times New Roman"/>
          <w:sz w:val="22"/>
        </w:rPr>
        <w:t>(5), 71-102.</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Sayan, S. (2006). Business Cycles and Workers’ Remittances: How do Migrant Workers Respond to Cyclical Movements of GDP at Home? </w:t>
      </w:r>
      <w:r w:rsidRPr="00376D10">
        <w:rPr>
          <w:rFonts w:cs="Times New Roman"/>
          <w:i/>
          <w:iCs/>
          <w:sz w:val="22"/>
        </w:rPr>
        <w:t>IMF Working Paper No. 06/52</w:t>
      </w:r>
      <w:r w:rsidRPr="00376D10">
        <w:rPr>
          <w:rFonts w:cs="Times New Roman"/>
          <w:sz w:val="22"/>
        </w:rPr>
        <w:t>. Washington, DC: International Monetary Fund.</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sidRPr="00376D10">
        <w:rPr>
          <w:rFonts w:cs="Times New Roman"/>
          <w:sz w:val="22"/>
          <w:lang w:val="en-AU"/>
        </w:rPr>
        <w:t>Senhadji, A. (2000). Sources of Economic Growth: An Extensive Growth Accounting Exercise.</w:t>
      </w:r>
      <w:r w:rsidRPr="00376D10">
        <w:rPr>
          <w:rFonts w:cs="Times New Roman"/>
          <w:i/>
          <w:iCs/>
          <w:sz w:val="22"/>
          <w:lang w:val="en-AU"/>
        </w:rPr>
        <w:t xml:space="preserve"> IMF Staff Papers, </w:t>
      </w:r>
      <w:r w:rsidRPr="00376D10">
        <w:rPr>
          <w:rFonts w:cs="Times New Roman"/>
          <w:sz w:val="22"/>
          <w:lang w:val="en-AU"/>
        </w:rPr>
        <w:t>47,129-157.</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Siddidue, A., Selvanathan, E., </w:t>
      </w:r>
      <w:r w:rsidR="00376D10">
        <w:rPr>
          <w:rFonts w:cs="Times New Roman"/>
          <w:sz w:val="22"/>
        </w:rPr>
        <w:t>and</w:t>
      </w:r>
      <w:r w:rsidRPr="00376D10">
        <w:rPr>
          <w:rFonts w:cs="Times New Roman"/>
          <w:sz w:val="22"/>
        </w:rPr>
        <w:t xml:space="preserve"> Selvanathan, S. (2013). Remittances and Economic Growth: Empirical Evidence from Bangladesh, India and Sri Lanka. </w:t>
      </w:r>
      <w:r w:rsidRPr="00376D10">
        <w:rPr>
          <w:rFonts w:cs="Times New Roman"/>
          <w:i/>
          <w:iCs/>
          <w:sz w:val="22"/>
        </w:rPr>
        <w:t>The Journal of Development Studies, 48</w:t>
      </w:r>
      <w:r w:rsidRPr="00376D10">
        <w:rPr>
          <w:rFonts w:cs="Times New Roman"/>
          <w:sz w:val="22"/>
        </w:rPr>
        <w:t>(8), 1045-1062.</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Siddqui, T. (2004). </w:t>
      </w:r>
      <w:r w:rsidRPr="00376D10">
        <w:rPr>
          <w:rFonts w:cs="Times New Roman"/>
          <w:i/>
          <w:iCs/>
          <w:sz w:val="22"/>
        </w:rPr>
        <w:t>Institutionalizing Diaspora Linkage. The Emigrant Bangladeshis in UK and USA.</w:t>
      </w:r>
      <w:r w:rsidRPr="00376D10">
        <w:rPr>
          <w:rFonts w:cs="Times New Roman"/>
          <w:sz w:val="22"/>
        </w:rPr>
        <w:t xml:space="preserve"> Geneva: International Organisation for Migration.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Siddqui, T. (2003). </w:t>
      </w:r>
      <w:r w:rsidRPr="00376D10">
        <w:rPr>
          <w:rFonts w:cs="Times New Roman"/>
          <w:i/>
          <w:iCs/>
          <w:sz w:val="22"/>
        </w:rPr>
        <w:t>Migration as a livelihood strategy of the poor: the Bangladesh case</w:t>
      </w:r>
      <w:r w:rsidRPr="00376D10">
        <w:rPr>
          <w:rFonts w:cs="Times New Roman"/>
          <w:sz w:val="22"/>
        </w:rPr>
        <w:t>. Paper presented at the Migration, Development and Pro-poor Policy Choices in Asia, Refugee and Migratory Movements Research Unit (RMMRU), University of Dhaka.</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sidRPr="00376D10">
        <w:rPr>
          <w:rFonts w:cs="Times New Roman"/>
          <w:sz w:val="22"/>
          <w:lang w:val="en-AU"/>
        </w:rPr>
        <w:t xml:space="preserve">Solow, R. (1956). A Contribution to the Theory of Economic Growth. </w:t>
      </w:r>
      <w:r w:rsidRPr="00376D10">
        <w:rPr>
          <w:rFonts w:cs="Times New Roman"/>
          <w:i/>
          <w:iCs/>
          <w:sz w:val="22"/>
          <w:lang w:val="en-AU"/>
        </w:rPr>
        <w:t xml:space="preserve">Quarterly Journal of Economics, </w:t>
      </w:r>
      <w:r w:rsidRPr="00376D10">
        <w:rPr>
          <w:rFonts w:cs="Times New Roman"/>
          <w:sz w:val="22"/>
          <w:lang w:val="en-AU"/>
        </w:rPr>
        <w:t>70, 65-94.</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i/>
          <w:iCs/>
          <w:sz w:val="22"/>
          <w:lang w:val="en-AU"/>
        </w:rPr>
      </w:pPr>
      <w:r w:rsidRPr="00376D10">
        <w:rPr>
          <w:rFonts w:cs="Times New Roman"/>
          <w:sz w:val="22"/>
          <w:lang w:val="en-AU"/>
        </w:rPr>
        <w:t xml:space="preserve">Solow, R. (1957). Technological Change and the Aggregate Production Function. </w:t>
      </w:r>
      <w:r w:rsidRPr="00376D10">
        <w:rPr>
          <w:rFonts w:cs="Times New Roman"/>
          <w:i/>
          <w:iCs/>
          <w:sz w:val="22"/>
          <w:lang w:val="en-AU"/>
        </w:rPr>
        <w:t xml:space="preserve">Review of </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lang w:val="en-AU"/>
        </w:rPr>
      </w:pPr>
      <w:r w:rsidRPr="00376D10">
        <w:rPr>
          <w:rFonts w:cs="Times New Roman"/>
          <w:i/>
          <w:iCs/>
          <w:sz w:val="22"/>
          <w:lang w:val="en-AU"/>
        </w:rPr>
        <w:t>Economics and Statistics</w:t>
      </w:r>
      <w:r w:rsidRPr="00376D10">
        <w:rPr>
          <w:rFonts w:cs="Times New Roman"/>
          <w:sz w:val="22"/>
          <w:lang w:val="en-AU"/>
        </w:rPr>
        <w:t>, 39, 312-20.</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Stahl, C., </w:t>
      </w:r>
      <w:r w:rsidR="00376D10">
        <w:rPr>
          <w:rFonts w:cs="Times New Roman"/>
          <w:sz w:val="22"/>
        </w:rPr>
        <w:t>and</w:t>
      </w:r>
      <w:r w:rsidRPr="00376D10">
        <w:rPr>
          <w:rFonts w:cs="Times New Roman"/>
          <w:sz w:val="22"/>
        </w:rPr>
        <w:t xml:space="preserve"> Arnold, F. (1986). Overseas Workers' Remittances in Asian Development. </w:t>
      </w:r>
      <w:r w:rsidRPr="00376D10">
        <w:rPr>
          <w:rFonts w:cs="Times New Roman"/>
          <w:i/>
          <w:iCs/>
          <w:sz w:val="22"/>
        </w:rPr>
        <w:t>International Migration Review, 20</w:t>
      </w:r>
      <w:r w:rsidRPr="00376D10">
        <w:rPr>
          <w:rFonts w:cs="Times New Roman"/>
          <w:sz w:val="22"/>
        </w:rPr>
        <w:t>(4), 899-925.</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Yang, D. (2008). International Migration, Remittances and Household Investment: Evidence from Philippine Migrants’ Exchange Rate Shocks. </w:t>
      </w:r>
      <w:r w:rsidRPr="00376D10">
        <w:rPr>
          <w:rFonts w:cs="Times New Roman"/>
          <w:i/>
          <w:iCs/>
          <w:sz w:val="22"/>
        </w:rPr>
        <w:t>The Economic Journal, 118</w:t>
      </w:r>
      <w:r w:rsidRPr="00376D10">
        <w:rPr>
          <w:rFonts w:cs="Times New Roman"/>
          <w:sz w:val="22"/>
        </w:rPr>
        <w:t>(528), 591–630.</w:t>
      </w:r>
    </w:p>
    <w:p w:rsidR="00041379" w:rsidRPr="00376D10" w:rsidRDefault="00041379" w:rsidP="007E4B5E">
      <w:pPr>
        <w:tabs>
          <w:tab w:val="left" w:pos="426"/>
          <w:tab w:val="right" w:pos="8931"/>
        </w:tabs>
        <w:autoSpaceDE w:val="0"/>
        <w:autoSpaceDN w:val="0"/>
        <w:adjustRightInd w:val="0"/>
        <w:spacing w:after="0" w:line="240" w:lineRule="auto"/>
        <w:ind w:left="425" w:hanging="425"/>
        <w:jc w:val="both"/>
        <w:rPr>
          <w:rFonts w:cs="Times New Roman"/>
          <w:sz w:val="22"/>
        </w:rPr>
      </w:pPr>
      <w:r w:rsidRPr="00376D10">
        <w:rPr>
          <w:rFonts w:cs="Times New Roman"/>
          <w:sz w:val="22"/>
        </w:rPr>
        <w:t xml:space="preserve">Yang, D., </w:t>
      </w:r>
      <w:r w:rsidR="00376D10">
        <w:rPr>
          <w:rFonts w:cs="Times New Roman"/>
          <w:sz w:val="22"/>
        </w:rPr>
        <w:t>and</w:t>
      </w:r>
      <w:r w:rsidRPr="00376D10">
        <w:rPr>
          <w:rFonts w:cs="Times New Roman"/>
          <w:sz w:val="22"/>
        </w:rPr>
        <w:t xml:space="preserve"> Choi, H. (2007). Are Remittances Insurance? Evidence from Rainfall Shocks in the Philippines.</w:t>
      </w:r>
      <w:r w:rsidRPr="00376D10">
        <w:rPr>
          <w:rFonts w:cs="Times New Roman"/>
          <w:i/>
          <w:iCs/>
          <w:sz w:val="22"/>
        </w:rPr>
        <w:t xml:space="preserve"> World Bank Economic Review 21 </w:t>
      </w:r>
      <w:r w:rsidRPr="00376D10">
        <w:rPr>
          <w:rFonts w:cs="Times New Roman"/>
          <w:sz w:val="22"/>
        </w:rPr>
        <w:t xml:space="preserve">(2), 219–248. </w:t>
      </w:r>
    </w:p>
    <w:p w:rsidR="00F13972" w:rsidRPr="00376D10" w:rsidRDefault="00041379" w:rsidP="007E4B5E">
      <w:pPr>
        <w:tabs>
          <w:tab w:val="left" w:pos="426"/>
          <w:tab w:val="right" w:pos="8931"/>
        </w:tabs>
        <w:autoSpaceDE w:val="0"/>
        <w:autoSpaceDN w:val="0"/>
        <w:adjustRightInd w:val="0"/>
        <w:spacing w:after="0" w:line="240" w:lineRule="auto"/>
        <w:ind w:left="425" w:hanging="425"/>
        <w:jc w:val="both"/>
        <w:rPr>
          <w:sz w:val="22"/>
          <w:lang w:val="en-AU"/>
        </w:rPr>
      </w:pPr>
      <w:r w:rsidRPr="00376D10">
        <w:rPr>
          <w:rFonts w:cs="Times New Roman"/>
          <w:sz w:val="22"/>
        </w:rPr>
        <w:t xml:space="preserve">World Bank (2011). </w:t>
      </w:r>
      <w:r w:rsidRPr="00376D10">
        <w:rPr>
          <w:rFonts w:cs="Times New Roman"/>
          <w:i/>
          <w:iCs/>
          <w:sz w:val="22"/>
        </w:rPr>
        <w:t>Migration and Remittances Factbook 2011: 2</w:t>
      </w:r>
      <w:r w:rsidRPr="00376D10">
        <w:rPr>
          <w:rFonts w:cs="Times New Roman"/>
          <w:i/>
          <w:iCs/>
          <w:sz w:val="22"/>
          <w:vertAlign w:val="superscript"/>
        </w:rPr>
        <w:t>nd</w:t>
      </w:r>
      <w:r w:rsidRPr="00376D10">
        <w:rPr>
          <w:rFonts w:cs="Times New Roman"/>
          <w:i/>
          <w:iCs/>
          <w:sz w:val="22"/>
        </w:rPr>
        <w:t xml:space="preserve"> Edition.</w:t>
      </w:r>
      <w:r w:rsidRPr="00376D10">
        <w:rPr>
          <w:rFonts w:cs="Times New Roman"/>
          <w:sz w:val="22"/>
        </w:rPr>
        <w:t xml:space="preserve"> Washington DC: The World Bank.</w:t>
      </w:r>
    </w:p>
    <w:sectPr w:rsidR="00F13972" w:rsidRPr="00376D10" w:rsidSect="00C56AA2">
      <w:footerReference w:type="first" r:id="rId119"/>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DD" w:rsidRDefault="007964DD" w:rsidP="00281F4A">
      <w:pPr>
        <w:spacing w:after="0" w:line="240" w:lineRule="auto"/>
      </w:pPr>
      <w:r>
        <w:separator/>
      </w:r>
    </w:p>
  </w:endnote>
  <w:endnote w:type="continuationSeparator" w:id="0">
    <w:p w:rsidR="007964DD" w:rsidRDefault="007964DD" w:rsidP="00281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E" w:rsidRDefault="007E4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DD" w:rsidRDefault="007964DD" w:rsidP="00281F4A">
      <w:pPr>
        <w:spacing w:after="0" w:line="240" w:lineRule="auto"/>
      </w:pPr>
      <w:r>
        <w:separator/>
      </w:r>
    </w:p>
  </w:footnote>
  <w:footnote w:type="continuationSeparator" w:id="0">
    <w:p w:rsidR="007964DD" w:rsidRDefault="007964DD" w:rsidP="00281F4A">
      <w:pPr>
        <w:spacing w:after="0" w:line="240" w:lineRule="auto"/>
      </w:pPr>
      <w:r>
        <w:continuationSeparator/>
      </w:r>
    </w:p>
  </w:footnote>
  <w:footnote w:id="1">
    <w:p w:rsidR="007E4B5E" w:rsidRPr="00B706F7" w:rsidRDefault="007E4B5E" w:rsidP="000074AF">
      <w:pPr>
        <w:pStyle w:val="FootnoteText"/>
        <w:ind w:left="284" w:hanging="284"/>
        <w:jc w:val="both"/>
        <w:rPr>
          <w:sz w:val="22"/>
          <w:szCs w:val="22"/>
          <w:lang w:val="en-US"/>
        </w:rPr>
      </w:pPr>
      <w:r w:rsidRPr="00B706F7">
        <w:rPr>
          <w:rStyle w:val="FootnoteReference"/>
          <w:sz w:val="22"/>
          <w:szCs w:val="22"/>
        </w:rPr>
        <w:footnoteRef/>
      </w:r>
      <w:r w:rsidRPr="00B706F7">
        <w:rPr>
          <w:sz w:val="22"/>
          <w:szCs w:val="22"/>
          <w:lang w:val="fr-FR"/>
        </w:rPr>
        <w:t xml:space="preserve"> </w:t>
      </w:r>
      <w:r w:rsidRPr="00B706F7">
        <w:rPr>
          <w:sz w:val="22"/>
          <w:szCs w:val="22"/>
          <w:lang w:val="fr-FR"/>
        </w:rPr>
        <w:tab/>
      </w:r>
      <w:proofErr w:type="spellStart"/>
      <w:r w:rsidRPr="00B706F7">
        <w:rPr>
          <w:sz w:val="22"/>
          <w:szCs w:val="22"/>
          <w:lang w:val="fr-FR"/>
        </w:rPr>
        <w:t>Ratha</w:t>
      </w:r>
      <w:proofErr w:type="spellEnd"/>
      <w:r w:rsidRPr="00B706F7">
        <w:rPr>
          <w:sz w:val="22"/>
          <w:szCs w:val="22"/>
          <w:lang w:val="fr-FR"/>
        </w:rPr>
        <w:t xml:space="preserve"> </w:t>
      </w:r>
      <w:r w:rsidRPr="00B706F7">
        <w:rPr>
          <w:i/>
          <w:sz w:val="22"/>
          <w:szCs w:val="22"/>
          <w:lang w:val="fr-FR"/>
        </w:rPr>
        <w:t>et al</w:t>
      </w:r>
      <w:r w:rsidRPr="00B706F7">
        <w:rPr>
          <w:sz w:val="22"/>
          <w:szCs w:val="22"/>
          <w:lang w:val="fr-FR"/>
        </w:rPr>
        <w:t xml:space="preserve">. </w:t>
      </w:r>
      <w:r w:rsidRPr="003762AA">
        <w:rPr>
          <w:sz w:val="22"/>
          <w:szCs w:val="22"/>
          <w:lang w:val="fr-FR"/>
        </w:rPr>
        <w:t xml:space="preserve">(2009). Barajas </w:t>
      </w:r>
      <w:r w:rsidRPr="003762AA">
        <w:rPr>
          <w:i/>
          <w:sz w:val="22"/>
          <w:szCs w:val="22"/>
          <w:lang w:val="fr-FR"/>
        </w:rPr>
        <w:t>et al</w:t>
      </w:r>
      <w:r w:rsidRPr="003762AA">
        <w:rPr>
          <w:sz w:val="22"/>
          <w:szCs w:val="22"/>
          <w:lang w:val="fr-FR"/>
        </w:rPr>
        <w:t xml:space="preserve">. (2009) and Chami </w:t>
      </w:r>
      <w:r w:rsidRPr="003762AA">
        <w:rPr>
          <w:i/>
          <w:sz w:val="22"/>
          <w:szCs w:val="22"/>
          <w:lang w:val="fr-FR"/>
        </w:rPr>
        <w:t>et al</w:t>
      </w:r>
      <w:r w:rsidRPr="003762AA">
        <w:rPr>
          <w:sz w:val="22"/>
          <w:szCs w:val="22"/>
          <w:lang w:val="fr-FR"/>
        </w:rPr>
        <w:t xml:space="preserve">. </w:t>
      </w:r>
      <w:r w:rsidRPr="00B706F7">
        <w:rPr>
          <w:sz w:val="22"/>
          <w:szCs w:val="22"/>
        </w:rPr>
        <w:t>(2008) have reported that during 2007, remittances through official channels were $300 billion in addition to unknown transfers through unofficial channels, which are estimated to be about 40 percent of flows through the official channels.</w:t>
      </w:r>
    </w:p>
  </w:footnote>
  <w:footnote w:id="2">
    <w:p w:rsidR="007E4B5E" w:rsidRPr="00B2738D" w:rsidRDefault="007E4B5E" w:rsidP="000074AF">
      <w:pPr>
        <w:pStyle w:val="FootnoteText"/>
        <w:ind w:left="284" w:hanging="284"/>
        <w:rPr>
          <w:sz w:val="22"/>
          <w:szCs w:val="22"/>
        </w:rPr>
      </w:pPr>
      <w:r w:rsidRPr="00AE68F3">
        <w:rPr>
          <w:rStyle w:val="FootnoteReference"/>
        </w:rPr>
        <w:footnoteRef/>
      </w:r>
      <w:r w:rsidRPr="00AE68F3">
        <w:t xml:space="preserve"> </w:t>
      </w:r>
      <w:r>
        <w:tab/>
      </w:r>
      <w:r w:rsidRPr="00B2738D">
        <w:rPr>
          <w:sz w:val="22"/>
          <w:szCs w:val="22"/>
        </w:rPr>
        <w:t>MRW used a Cobb-Douglas function with three input factors of the following type:</w:t>
      </w:r>
    </w:p>
    <w:p w:rsidR="007E4B5E" w:rsidRPr="00B2738D" w:rsidRDefault="007E4B5E" w:rsidP="000074AF">
      <w:pPr>
        <w:pStyle w:val="FootnoteText"/>
        <w:ind w:left="284" w:hanging="284"/>
        <w:rPr>
          <w:sz w:val="22"/>
          <w:szCs w:val="22"/>
        </w:rPr>
      </w:pPr>
      <w:r w:rsidRPr="00B2738D">
        <w:rPr>
          <w:sz w:val="22"/>
          <w:szCs w:val="22"/>
        </w:rPr>
        <w:tab/>
      </w:r>
      <w:r w:rsidRPr="00B2738D">
        <w:rPr>
          <w:sz w:val="22"/>
          <w:szCs w:val="22"/>
        </w:rPr>
        <w:tab/>
      </w:r>
      <w:r w:rsidRPr="00B2738D">
        <w:rPr>
          <w:position w:val="-12"/>
          <w:sz w:val="22"/>
          <w:szCs w:val="22"/>
        </w:rPr>
        <w:object w:dxaOrig="5200" w:dyaOrig="380">
          <v:shape id="_x0000_i1084" type="#_x0000_t75" style="width:259.1pt;height:19.1pt" o:ole="">
            <v:imagedata r:id="rId1" o:title=""/>
          </v:shape>
          <o:OLEObject Type="Embed" ProgID="Equation.DSMT4" ShapeID="_x0000_i1084" DrawAspect="Content" ObjectID="_1445969222" r:id="rId2"/>
        </w:object>
      </w:r>
    </w:p>
    <w:p w:rsidR="007E4B5E" w:rsidRPr="00B2738D" w:rsidRDefault="007E4B5E" w:rsidP="000074AF">
      <w:pPr>
        <w:pStyle w:val="FootnoteText"/>
        <w:ind w:left="284" w:hanging="284"/>
        <w:jc w:val="both"/>
        <w:rPr>
          <w:sz w:val="22"/>
          <w:szCs w:val="22"/>
        </w:rPr>
      </w:pPr>
      <w:r w:rsidRPr="00B2738D">
        <w:rPr>
          <w:sz w:val="22"/>
          <w:szCs w:val="22"/>
        </w:rPr>
        <w:tab/>
        <w:t xml:space="preserve">However, they used secondary school enrolment ratios as a proxy for human capital and this was much criticised. </w:t>
      </w:r>
      <w:proofErr w:type="spellStart"/>
      <w:r w:rsidRPr="00B2738D">
        <w:rPr>
          <w:sz w:val="22"/>
          <w:szCs w:val="22"/>
        </w:rPr>
        <w:t>Senhadji’s</w:t>
      </w:r>
      <w:proofErr w:type="spellEnd"/>
      <w:r w:rsidRPr="00B2738D">
        <w:rPr>
          <w:sz w:val="22"/>
          <w:szCs w:val="22"/>
        </w:rPr>
        <w:t xml:space="preserve"> specification reduces the above to one parameter for estimation instead of two.</w:t>
      </w:r>
    </w:p>
  </w:footnote>
  <w:footnote w:id="3">
    <w:p w:rsidR="007E4B5E" w:rsidRPr="00B2738D" w:rsidRDefault="007E4B5E" w:rsidP="00F944A9">
      <w:pPr>
        <w:pStyle w:val="FootnoteText"/>
        <w:ind w:left="284" w:hanging="284"/>
        <w:jc w:val="both"/>
        <w:rPr>
          <w:sz w:val="22"/>
          <w:szCs w:val="22"/>
        </w:rPr>
      </w:pPr>
      <w:r w:rsidRPr="00B2738D">
        <w:rPr>
          <w:rStyle w:val="FootnoteReference"/>
          <w:sz w:val="22"/>
          <w:szCs w:val="22"/>
        </w:rPr>
        <w:footnoteRef/>
      </w:r>
      <w:r w:rsidRPr="00B2738D">
        <w:rPr>
          <w:sz w:val="22"/>
          <w:szCs w:val="22"/>
        </w:rPr>
        <w:t xml:space="preserve"> </w:t>
      </w:r>
      <w:r>
        <w:rPr>
          <w:sz w:val="22"/>
          <w:szCs w:val="22"/>
        </w:rPr>
        <w:tab/>
      </w:r>
      <w:r w:rsidRPr="00B2738D">
        <w:rPr>
          <w:sz w:val="22"/>
          <w:szCs w:val="22"/>
        </w:rPr>
        <w:t xml:space="preserve">We conduct the unit roots tests with the variables in logarithms because production function based of Eq. (14) is estimated in log-log form. The unit roots results are not reported but can be obtained from the author. </w:t>
      </w:r>
    </w:p>
  </w:footnote>
  <w:footnote w:id="4">
    <w:p w:rsidR="007E4B5E" w:rsidRDefault="007E4B5E" w:rsidP="00B2738D">
      <w:pPr>
        <w:pStyle w:val="FootnoteText"/>
        <w:ind w:left="142" w:hanging="142"/>
      </w:pPr>
      <w:r>
        <w:rPr>
          <w:rStyle w:val="FootnoteReference"/>
        </w:rPr>
        <w:footnoteRef/>
      </w:r>
      <w:r>
        <w:t xml:space="preserve"> </w:t>
      </w:r>
      <w:r>
        <w:tab/>
        <w:t>The FMOLS results are not reported, but can be obtained from the corresponding author.</w:t>
      </w:r>
    </w:p>
    <w:p w:rsidR="007E4B5E" w:rsidRDefault="007E4B5E">
      <w:pPr>
        <w:pStyle w:val="FootnoteText"/>
      </w:pPr>
    </w:p>
  </w:footnote>
  <w:footnote w:id="5">
    <w:p w:rsidR="007E4B5E" w:rsidRPr="00B2738D" w:rsidRDefault="007E4B5E" w:rsidP="000074AF">
      <w:pPr>
        <w:pStyle w:val="FootnoteText"/>
        <w:ind w:left="284" w:hanging="284"/>
        <w:rPr>
          <w:sz w:val="22"/>
          <w:szCs w:val="22"/>
        </w:rPr>
      </w:pPr>
      <w:r w:rsidRPr="00B2738D">
        <w:rPr>
          <w:rStyle w:val="FootnoteReference"/>
          <w:sz w:val="22"/>
          <w:szCs w:val="22"/>
        </w:rPr>
        <w:footnoteRef/>
      </w:r>
      <w:r w:rsidRPr="00B2738D">
        <w:rPr>
          <w:sz w:val="22"/>
          <w:szCs w:val="22"/>
        </w:rPr>
        <w:t xml:space="preserve"> </w:t>
      </w:r>
      <w:r>
        <w:rPr>
          <w:sz w:val="22"/>
          <w:szCs w:val="22"/>
        </w:rPr>
        <w:tab/>
      </w:r>
      <w:r w:rsidRPr="00B2738D">
        <w:rPr>
          <w:sz w:val="22"/>
          <w:szCs w:val="22"/>
        </w:rPr>
        <w:t xml:space="preserve">These tests are not reported can be made available upon request.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F12"/>
    <w:multiLevelType w:val="hybridMultilevel"/>
    <w:tmpl w:val="49CA61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applyBreakingRules/>
    <w:useFELayout/>
  </w:compat>
  <w:rsids>
    <w:rsidRoot w:val="00281F4A"/>
    <w:rsid w:val="000026E3"/>
    <w:rsid w:val="000056E3"/>
    <w:rsid w:val="000074AF"/>
    <w:rsid w:val="00020BE5"/>
    <w:rsid w:val="000248DA"/>
    <w:rsid w:val="000316E1"/>
    <w:rsid w:val="000372B1"/>
    <w:rsid w:val="00041379"/>
    <w:rsid w:val="00042540"/>
    <w:rsid w:val="000540E7"/>
    <w:rsid w:val="000545BF"/>
    <w:rsid w:val="00067895"/>
    <w:rsid w:val="00081ABE"/>
    <w:rsid w:val="000878D0"/>
    <w:rsid w:val="00096C1A"/>
    <w:rsid w:val="000A4E3E"/>
    <w:rsid w:val="000B0697"/>
    <w:rsid w:val="00132279"/>
    <w:rsid w:val="00134F6F"/>
    <w:rsid w:val="00141D4F"/>
    <w:rsid w:val="00144CC1"/>
    <w:rsid w:val="001620C4"/>
    <w:rsid w:val="00162C37"/>
    <w:rsid w:val="00183461"/>
    <w:rsid w:val="00184944"/>
    <w:rsid w:val="001878BE"/>
    <w:rsid w:val="0019419F"/>
    <w:rsid w:val="001961A5"/>
    <w:rsid w:val="00197409"/>
    <w:rsid w:val="001A7D60"/>
    <w:rsid w:val="001B122D"/>
    <w:rsid w:val="001B71AE"/>
    <w:rsid w:val="001C47D8"/>
    <w:rsid w:val="001D2BCE"/>
    <w:rsid w:val="001D7CCA"/>
    <w:rsid w:val="002028E5"/>
    <w:rsid w:val="0023310F"/>
    <w:rsid w:val="00235FD7"/>
    <w:rsid w:val="00245B4E"/>
    <w:rsid w:val="0025203C"/>
    <w:rsid w:val="002609FA"/>
    <w:rsid w:val="002659BF"/>
    <w:rsid w:val="00281F4A"/>
    <w:rsid w:val="0029107A"/>
    <w:rsid w:val="00296F47"/>
    <w:rsid w:val="002A5215"/>
    <w:rsid w:val="002B02DB"/>
    <w:rsid w:val="002B68BA"/>
    <w:rsid w:val="002C2B50"/>
    <w:rsid w:val="002C33EA"/>
    <w:rsid w:val="002C5522"/>
    <w:rsid w:val="002C6559"/>
    <w:rsid w:val="002D7D6B"/>
    <w:rsid w:val="002E3FD3"/>
    <w:rsid w:val="002F3DBC"/>
    <w:rsid w:val="00311053"/>
    <w:rsid w:val="00314671"/>
    <w:rsid w:val="00333633"/>
    <w:rsid w:val="00342FAF"/>
    <w:rsid w:val="00344BE8"/>
    <w:rsid w:val="00351F6C"/>
    <w:rsid w:val="00355AA6"/>
    <w:rsid w:val="00362731"/>
    <w:rsid w:val="003753C0"/>
    <w:rsid w:val="003762AA"/>
    <w:rsid w:val="00376D10"/>
    <w:rsid w:val="00381024"/>
    <w:rsid w:val="0039094C"/>
    <w:rsid w:val="0039342E"/>
    <w:rsid w:val="003A23EE"/>
    <w:rsid w:val="003B6F05"/>
    <w:rsid w:val="003E1C4A"/>
    <w:rsid w:val="003E2228"/>
    <w:rsid w:val="003E2552"/>
    <w:rsid w:val="003E2604"/>
    <w:rsid w:val="003F7CFD"/>
    <w:rsid w:val="004008B6"/>
    <w:rsid w:val="0040107E"/>
    <w:rsid w:val="004074D1"/>
    <w:rsid w:val="00407ED7"/>
    <w:rsid w:val="0041289E"/>
    <w:rsid w:val="00421B57"/>
    <w:rsid w:val="004240F6"/>
    <w:rsid w:val="004243AC"/>
    <w:rsid w:val="00441E71"/>
    <w:rsid w:val="00445A3C"/>
    <w:rsid w:val="0045680C"/>
    <w:rsid w:val="00456CDB"/>
    <w:rsid w:val="0046733D"/>
    <w:rsid w:val="00476167"/>
    <w:rsid w:val="00476843"/>
    <w:rsid w:val="0048090C"/>
    <w:rsid w:val="00484C67"/>
    <w:rsid w:val="00490F3B"/>
    <w:rsid w:val="00494410"/>
    <w:rsid w:val="00494CF0"/>
    <w:rsid w:val="004A0C4D"/>
    <w:rsid w:val="004A2BC6"/>
    <w:rsid w:val="004D4B00"/>
    <w:rsid w:val="00505AC2"/>
    <w:rsid w:val="00512DCD"/>
    <w:rsid w:val="00513A5E"/>
    <w:rsid w:val="00523A4E"/>
    <w:rsid w:val="00544890"/>
    <w:rsid w:val="00567B27"/>
    <w:rsid w:val="00594AE0"/>
    <w:rsid w:val="005A1B72"/>
    <w:rsid w:val="005A5EC1"/>
    <w:rsid w:val="005B788C"/>
    <w:rsid w:val="005C5773"/>
    <w:rsid w:val="005C5784"/>
    <w:rsid w:val="005C68B3"/>
    <w:rsid w:val="005E3E70"/>
    <w:rsid w:val="00605AD2"/>
    <w:rsid w:val="006116FF"/>
    <w:rsid w:val="00611E46"/>
    <w:rsid w:val="006133FA"/>
    <w:rsid w:val="00625C15"/>
    <w:rsid w:val="00630A27"/>
    <w:rsid w:val="00637850"/>
    <w:rsid w:val="00656625"/>
    <w:rsid w:val="0066545B"/>
    <w:rsid w:val="0066701A"/>
    <w:rsid w:val="00671057"/>
    <w:rsid w:val="00671BCB"/>
    <w:rsid w:val="00675184"/>
    <w:rsid w:val="006933F8"/>
    <w:rsid w:val="00697B8E"/>
    <w:rsid w:val="006C1133"/>
    <w:rsid w:val="006C2E96"/>
    <w:rsid w:val="006C625D"/>
    <w:rsid w:val="006D235F"/>
    <w:rsid w:val="006D255F"/>
    <w:rsid w:val="006D7875"/>
    <w:rsid w:val="006E1324"/>
    <w:rsid w:val="00701FD6"/>
    <w:rsid w:val="00712B5A"/>
    <w:rsid w:val="00713492"/>
    <w:rsid w:val="00740D59"/>
    <w:rsid w:val="00742B38"/>
    <w:rsid w:val="00755CF4"/>
    <w:rsid w:val="00757D9B"/>
    <w:rsid w:val="00784833"/>
    <w:rsid w:val="00793B06"/>
    <w:rsid w:val="007964DD"/>
    <w:rsid w:val="007A0BD1"/>
    <w:rsid w:val="007A23E1"/>
    <w:rsid w:val="007D4B4B"/>
    <w:rsid w:val="007D60B8"/>
    <w:rsid w:val="007D7D96"/>
    <w:rsid w:val="007E3371"/>
    <w:rsid w:val="007E3A0B"/>
    <w:rsid w:val="007E4B5E"/>
    <w:rsid w:val="007F3725"/>
    <w:rsid w:val="008100DC"/>
    <w:rsid w:val="00824401"/>
    <w:rsid w:val="008256E2"/>
    <w:rsid w:val="00833CF1"/>
    <w:rsid w:val="00841B32"/>
    <w:rsid w:val="008509EC"/>
    <w:rsid w:val="00870910"/>
    <w:rsid w:val="0089031D"/>
    <w:rsid w:val="008B67DC"/>
    <w:rsid w:val="008C4DCC"/>
    <w:rsid w:val="008D3454"/>
    <w:rsid w:val="008D3DE5"/>
    <w:rsid w:val="008D6087"/>
    <w:rsid w:val="008F2CC3"/>
    <w:rsid w:val="00902F9F"/>
    <w:rsid w:val="0090593D"/>
    <w:rsid w:val="00913F81"/>
    <w:rsid w:val="00914493"/>
    <w:rsid w:val="009158C6"/>
    <w:rsid w:val="009217C4"/>
    <w:rsid w:val="009316EA"/>
    <w:rsid w:val="00955EC1"/>
    <w:rsid w:val="00963784"/>
    <w:rsid w:val="009665B8"/>
    <w:rsid w:val="00975D09"/>
    <w:rsid w:val="00983DC6"/>
    <w:rsid w:val="00995F7B"/>
    <w:rsid w:val="009B3DFC"/>
    <w:rsid w:val="009C2580"/>
    <w:rsid w:val="009C488C"/>
    <w:rsid w:val="009D3A32"/>
    <w:rsid w:val="009D76C6"/>
    <w:rsid w:val="009D7CE9"/>
    <w:rsid w:val="00A02C9D"/>
    <w:rsid w:val="00A10607"/>
    <w:rsid w:val="00A12DBD"/>
    <w:rsid w:val="00A15630"/>
    <w:rsid w:val="00A24155"/>
    <w:rsid w:val="00A31BB4"/>
    <w:rsid w:val="00A43873"/>
    <w:rsid w:val="00A4630A"/>
    <w:rsid w:val="00A47207"/>
    <w:rsid w:val="00A64154"/>
    <w:rsid w:val="00A6450E"/>
    <w:rsid w:val="00A662FD"/>
    <w:rsid w:val="00A72514"/>
    <w:rsid w:val="00A76D22"/>
    <w:rsid w:val="00A86921"/>
    <w:rsid w:val="00A90111"/>
    <w:rsid w:val="00A91B9D"/>
    <w:rsid w:val="00A94ED6"/>
    <w:rsid w:val="00AA11CD"/>
    <w:rsid w:val="00AA1F42"/>
    <w:rsid w:val="00AB0407"/>
    <w:rsid w:val="00AB73F3"/>
    <w:rsid w:val="00AC0A22"/>
    <w:rsid w:val="00AC5AD5"/>
    <w:rsid w:val="00AD6C8F"/>
    <w:rsid w:val="00AE0CCA"/>
    <w:rsid w:val="00AE2373"/>
    <w:rsid w:val="00AE55C6"/>
    <w:rsid w:val="00AF4DB9"/>
    <w:rsid w:val="00AF7726"/>
    <w:rsid w:val="00B11487"/>
    <w:rsid w:val="00B20AA1"/>
    <w:rsid w:val="00B220AA"/>
    <w:rsid w:val="00B2738D"/>
    <w:rsid w:val="00B33CF4"/>
    <w:rsid w:val="00B47246"/>
    <w:rsid w:val="00B534F6"/>
    <w:rsid w:val="00B537DE"/>
    <w:rsid w:val="00B60B37"/>
    <w:rsid w:val="00B6230E"/>
    <w:rsid w:val="00B706F7"/>
    <w:rsid w:val="00B72C5B"/>
    <w:rsid w:val="00B910F0"/>
    <w:rsid w:val="00B94F39"/>
    <w:rsid w:val="00B96491"/>
    <w:rsid w:val="00B96D6C"/>
    <w:rsid w:val="00BB5E84"/>
    <w:rsid w:val="00BC5ADE"/>
    <w:rsid w:val="00BE5FD1"/>
    <w:rsid w:val="00BF7670"/>
    <w:rsid w:val="00C1179B"/>
    <w:rsid w:val="00C1697D"/>
    <w:rsid w:val="00C22369"/>
    <w:rsid w:val="00C24164"/>
    <w:rsid w:val="00C26A2B"/>
    <w:rsid w:val="00C27288"/>
    <w:rsid w:val="00C312D4"/>
    <w:rsid w:val="00C35F3F"/>
    <w:rsid w:val="00C36B9A"/>
    <w:rsid w:val="00C549B0"/>
    <w:rsid w:val="00C56AA2"/>
    <w:rsid w:val="00C6345C"/>
    <w:rsid w:val="00C728FC"/>
    <w:rsid w:val="00C73218"/>
    <w:rsid w:val="00C94693"/>
    <w:rsid w:val="00CA0B08"/>
    <w:rsid w:val="00CB59D8"/>
    <w:rsid w:val="00CC2D6A"/>
    <w:rsid w:val="00CE2CE5"/>
    <w:rsid w:val="00CE4842"/>
    <w:rsid w:val="00CF1E36"/>
    <w:rsid w:val="00D2326C"/>
    <w:rsid w:val="00D44CFC"/>
    <w:rsid w:val="00D515FF"/>
    <w:rsid w:val="00D55CDF"/>
    <w:rsid w:val="00D629D9"/>
    <w:rsid w:val="00D62C64"/>
    <w:rsid w:val="00D7393E"/>
    <w:rsid w:val="00D81F6A"/>
    <w:rsid w:val="00D8284D"/>
    <w:rsid w:val="00D82E7E"/>
    <w:rsid w:val="00D85638"/>
    <w:rsid w:val="00D876CD"/>
    <w:rsid w:val="00D94A56"/>
    <w:rsid w:val="00DA2231"/>
    <w:rsid w:val="00DA3395"/>
    <w:rsid w:val="00DA760A"/>
    <w:rsid w:val="00DB4EF7"/>
    <w:rsid w:val="00DC3266"/>
    <w:rsid w:val="00DD3E59"/>
    <w:rsid w:val="00DF00F5"/>
    <w:rsid w:val="00DF3E75"/>
    <w:rsid w:val="00E02DF1"/>
    <w:rsid w:val="00E07534"/>
    <w:rsid w:val="00E13166"/>
    <w:rsid w:val="00E149BF"/>
    <w:rsid w:val="00E15D6D"/>
    <w:rsid w:val="00E27231"/>
    <w:rsid w:val="00E35007"/>
    <w:rsid w:val="00E4142B"/>
    <w:rsid w:val="00E562FC"/>
    <w:rsid w:val="00E65995"/>
    <w:rsid w:val="00E7220D"/>
    <w:rsid w:val="00E84D83"/>
    <w:rsid w:val="00EB2D4D"/>
    <w:rsid w:val="00EC3014"/>
    <w:rsid w:val="00ED3043"/>
    <w:rsid w:val="00ED7726"/>
    <w:rsid w:val="00EE61E6"/>
    <w:rsid w:val="00EE7763"/>
    <w:rsid w:val="00F13972"/>
    <w:rsid w:val="00F21B02"/>
    <w:rsid w:val="00F357F5"/>
    <w:rsid w:val="00F5513C"/>
    <w:rsid w:val="00F566C4"/>
    <w:rsid w:val="00F71089"/>
    <w:rsid w:val="00F838A9"/>
    <w:rsid w:val="00F84F1A"/>
    <w:rsid w:val="00F90949"/>
    <w:rsid w:val="00F944A9"/>
    <w:rsid w:val="00FA2035"/>
    <w:rsid w:val="00FA7C1F"/>
    <w:rsid w:val="00FC4A0C"/>
    <w:rsid w:val="00FD15E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F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F4A"/>
    <w:rPr>
      <w:sz w:val="20"/>
      <w:szCs w:val="20"/>
    </w:rPr>
  </w:style>
  <w:style w:type="character" w:styleId="FootnoteReference">
    <w:name w:val="footnote reference"/>
    <w:basedOn w:val="DefaultParagraphFont"/>
    <w:semiHidden/>
    <w:unhideWhenUsed/>
    <w:rsid w:val="00281F4A"/>
    <w:rPr>
      <w:vertAlign w:val="superscript"/>
    </w:rPr>
  </w:style>
  <w:style w:type="paragraph" w:styleId="ListParagraph">
    <w:name w:val="List Paragraph"/>
    <w:basedOn w:val="Normal"/>
    <w:uiPriority w:val="34"/>
    <w:qFormat/>
    <w:rsid w:val="0029107A"/>
    <w:pPr>
      <w:ind w:left="720"/>
      <w:contextualSpacing/>
    </w:pPr>
  </w:style>
  <w:style w:type="paragraph" w:styleId="BalloonText">
    <w:name w:val="Balloon Text"/>
    <w:basedOn w:val="Normal"/>
    <w:link w:val="BalloonTextChar"/>
    <w:uiPriority w:val="99"/>
    <w:semiHidden/>
    <w:unhideWhenUsed/>
    <w:rsid w:val="007A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E1"/>
    <w:rPr>
      <w:rFonts w:ascii="Tahoma" w:hAnsi="Tahoma" w:cs="Tahoma"/>
      <w:sz w:val="16"/>
      <w:szCs w:val="16"/>
    </w:rPr>
  </w:style>
  <w:style w:type="table" w:styleId="TableGrid">
    <w:name w:val="Table Grid"/>
    <w:basedOn w:val="TableNormal"/>
    <w:uiPriority w:val="59"/>
    <w:rsid w:val="0008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F39"/>
    <w:rPr>
      <w:color w:val="0000FF" w:themeColor="hyperlink"/>
      <w:u w:val="single"/>
    </w:rPr>
  </w:style>
  <w:style w:type="paragraph" w:styleId="BodyText">
    <w:name w:val="Body Text"/>
    <w:basedOn w:val="Normal"/>
    <w:link w:val="BodyTextChar"/>
    <w:rsid w:val="00902F9F"/>
    <w:pPr>
      <w:spacing w:after="0" w:line="240" w:lineRule="auto"/>
      <w:jc w:val="both"/>
    </w:pPr>
    <w:rPr>
      <w:rFonts w:eastAsia="Times New Roman" w:cs="Times New Roman"/>
      <w:szCs w:val="24"/>
      <w:lang w:val="en-AU" w:eastAsia="en-US"/>
    </w:rPr>
  </w:style>
  <w:style w:type="character" w:customStyle="1" w:styleId="BodyTextChar">
    <w:name w:val="Body Text Char"/>
    <w:basedOn w:val="DefaultParagraphFont"/>
    <w:link w:val="BodyText"/>
    <w:rsid w:val="00902F9F"/>
    <w:rPr>
      <w:rFonts w:eastAsia="Times New Roman" w:cs="Times New Roman"/>
      <w:szCs w:val="24"/>
      <w:lang w:val="en-AU" w:eastAsia="en-US"/>
    </w:rPr>
  </w:style>
  <w:style w:type="paragraph" w:customStyle="1" w:styleId="Default">
    <w:name w:val="Default"/>
    <w:rsid w:val="00902F9F"/>
    <w:pPr>
      <w:autoSpaceDE w:val="0"/>
      <w:autoSpaceDN w:val="0"/>
      <w:adjustRightInd w:val="0"/>
      <w:spacing w:after="0" w:line="240" w:lineRule="auto"/>
    </w:pPr>
    <w:rPr>
      <w:rFonts w:eastAsia="Times New Roman" w:cs="Times New Roman"/>
      <w:color w:val="000000"/>
      <w:szCs w:val="24"/>
      <w:lang w:eastAsia="en-NZ"/>
    </w:rPr>
  </w:style>
  <w:style w:type="paragraph" w:styleId="PlainText">
    <w:name w:val="Plain Text"/>
    <w:basedOn w:val="Normal"/>
    <w:link w:val="PlainTextChar"/>
    <w:unhideWhenUsed/>
    <w:rsid w:val="00902F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02F9F"/>
    <w:rPr>
      <w:rFonts w:ascii="Consolas" w:hAnsi="Consolas" w:cs="Consolas"/>
      <w:sz w:val="21"/>
      <w:szCs w:val="21"/>
    </w:rPr>
  </w:style>
  <w:style w:type="paragraph" w:customStyle="1" w:styleId="CM3">
    <w:name w:val="CM3"/>
    <w:basedOn w:val="Default"/>
    <w:next w:val="Default"/>
    <w:rsid w:val="00902F9F"/>
    <w:pPr>
      <w:widowControl w:val="0"/>
    </w:pPr>
    <w:rPr>
      <w:color w:val="auto"/>
      <w:lang w:val="en-US" w:eastAsia="en-US"/>
    </w:rPr>
  </w:style>
  <w:style w:type="paragraph" w:customStyle="1" w:styleId="CM4">
    <w:name w:val="CM4"/>
    <w:basedOn w:val="Default"/>
    <w:next w:val="Default"/>
    <w:rsid w:val="00902F9F"/>
    <w:pPr>
      <w:widowControl w:val="0"/>
      <w:spacing w:line="253" w:lineRule="atLeast"/>
    </w:pPr>
    <w:rPr>
      <w:color w:val="auto"/>
      <w:lang w:val="en-US" w:eastAsia="en-US"/>
    </w:rPr>
  </w:style>
  <w:style w:type="paragraph" w:customStyle="1" w:styleId="CM23">
    <w:name w:val="CM23"/>
    <w:basedOn w:val="Default"/>
    <w:next w:val="Default"/>
    <w:rsid w:val="00902F9F"/>
    <w:pPr>
      <w:widowControl w:val="0"/>
      <w:spacing w:after="233"/>
    </w:pPr>
    <w:rPr>
      <w:color w:val="auto"/>
      <w:lang w:val="en-US" w:eastAsia="en-US"/>
    </w:rPr>
  </w:style>
  <w:style w:type="paragraph" w:styleId="Header">
    <w:name w:val="header"/>
    <w:basedOn w:val="Normal"/>
    <w:link w:val="HeaderChar"/>
    <w:uiPriority w:val="99"/>
    <w:semiHidden/>
    <w:unhideWhenUsed/>
    <w:rsid w:val="007134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492"/>
  </w:style>
  <w:style w:type="paragraph" w:styleId="Footer">
    <w:name w:val="footer"/>
    <w:basedOn w:val="Normal"/>
    <w:link w:val="FooterChar"/>
    <w:uiPriority w:val="99"/>
    <w:unhideWhenUsed/>
    <w:rsid w:val="0071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F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F4A"/>
    <w:rPr>
      <w:sz w:val="20"/>
      <w:szCs w:val="20"/>
    </w:rPr>
  </w:style>
  <w:style w:type="character" w:styleId="FootnoteReference">
    <w:name w:val="footnote reference"/>
    <w:basedOn w:val="DefaultParagraphFont"/>
    <w:semiHidden/>
    <w:unhideWhenUsed/>
    <w:rsid w:val="00281F4A"/>
    <w:rPr>
      <w:vertAlign w:val="superscript"/>
    </w:rPr>
  </w:style>
  <w:style w:type="paragraph" w:styleId="ListParagraph">
    <w:name w:val="List Paragraph"/>
    <w:basedOn w:val="Normal"/>
    <w:uiPriority w:val="34"/>
    <w:qFormat/>
    <w:rsid w:val="0029107A"/>
    <w:pPr>
      <w:ind w:left="720"/>
      <w:contextualSpacing/>
    </w:pPr>
  </w:style>
  <w:style w:type="paragraph" w:styleId="BalloonText">
    <w:name w:val="Balloon Text"/>
    <w:basedOn w:val="Normal"/>
    <w:link w:val="BalloonTextChar"/>
    <w:uiPriority w:val="99"/>
    <w:semiHidden/>
    <w:unhideWhenUsed/>
    <w:rsid w:val="007A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E1"/>
    <w:rPr>
      <w:rFonts w:ascii="Tahoma" w:hAnsi="Tahoma" w:cs="Tahoma"/>
      <w:sz w:val="16"/>
      <w:szCs w:val="16"/>
    </w:rPr>
  </w:style>
  <w:style w:type="table" w:styleId="TableGrid">
    <w:name w:val="Table Grid"/>
    <w:basedOn w:val="TableNormal"/>
    <w:uiPriority w:val="59"/>
    <w:rsid w:val="0008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4F39"/>
    <w:rPr>
      <w:color w:val="0000FF" w:themeColor="hyperlink"/>
      <w:u w:val="single"/>
    </w:rPr>
  </w:style>
  <w:style w:type="paragraph" w:styleId="BodyText">
    <w:name w:val="Body Text"/>
    <w:basedOn w:val="Normal"/>
    <w:link w:val="BodyTextChar"/>
    <w:rsid w:val="00902F9F"/>
    <w:pPr>
      <w:spacing w:after="0" w:line="240" w:lineRule="auto"/>
      <w:jc w:val="both"/>
    </w:pPr>
    <w:rPr>
      <w:rFonts w:eastAsia="Times New Roman" w:cs="Times New Roman"/>
      <w:szCs w:val="24"/>
      <w:lang w:val="en-AU" w:eastAsia="en-US"/>
    </w:rPr>
  </w:style>
  <w:style w:type="character" w:customStyle="1" w:styleId="BodyTextChar">
    <w:name w:val="Body Text Char"/>
    <w:basedOn w:val="DefaultParagraphFont"/>
    <w:link w:val="BodyText"/>
    <w:rsid w:val="00902F9F"/>
    <w:rPr>
      <w:rFonts w:eastAsia="Times New Roman" w:cs="Times New Roman"/>
      <w:szCs w:val="24"/>
      <w:lang w:val="en-AU" w:eastAsia="en-US"/>
    </w:rPr>
  </w:style>
  <w:style w:type="paragraph" w:customStyle="1" w:styleId="Default">
    <w:name w:val="Default"/>
    <w:rsid w:val="00902F9F"/>
    <w:pPr>
      <w:autoSpaceDE w:val="0"/>
      <w:autoSpaceDN w:val="0"/>
      <w:adjustRightInd w:val="0"/>
      <w:spacing w:after="0" w:line="240" w:lineRule="auto"/>
    </w:pPr>
    <w:rPr>
      <w:rFonts w:eastAsia="Times New Roman" w:cs="Times New Roman"/>
      <w:color w:val="000000"/>
      <w:szCs w:val="24"/>
      <w:lang w:eastAsia="en-NZ"/>
    </w:rPr>
  </w:style>
  <w:style w:type="paragraph" w:styleId="PlainText">
    <w:name w:val="Plain Text"/>
    <w:basedOn w:val="Normal"/>
    <w:link w:val="PlainTextChar"/>
    <w:unhideWhenUsed/>
    <w:rsid w:val="00902F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02F9F"/>
    <w:rPr>
      <w:rFonts w:ascii="Consolas" w:hAnsi="Consolas" w:cs="Consolas"/>
      <w:sz w:val="21"/>
      <w:szCs w:val="21"/>
    </w:rPr>
  </w:style>
  <w:style w:type="paragraph" w:customStyle="1" w:styleId="CM3">
    <w:name w:val="CM3"/>
    <w:basedOn w:val="Default"/>
    <w:next w:val="Default"/>
    <w:rsid w:val="00902F9F"/>
    <w:pPr>
      <w:widowControl w:val="0"/>
    </w:pPr>
    <w:rPr>
      <w:color w:val="auto"/>
      <w:lang w:val="en-US" w:eastAsia="en-US"/>
    </w:rPr>
  </w:style>
  <w:style w:type="paragraph" w:customStyle="1" w:styleId="CM4">
    <w:name w:val="CM4"/>
    <w:basedOn w:val="Default"/>
    <w:next w:val="Default"/>
    <w:rsid w:val="00902F9F"/>
    <w:pPr>
      <w:widowControl w:val="0"/>
      <w:spacing w:line="253" w:lineRule="atLeast"/>
    </w:pPr>
    <w:rPr>
      <w:color w:val="auto"/>
      <w:lang w:val="en-US" w:eastAsia="en-US"/>
    </w:rPr>
  </w:style>
  <w:style w:type="paragraph" w:customStyle="1" w:styleId="CM23">
    <w:name w:val="CM23"/>
    <w:basedOn w:val="Default"/>
    <w:next w:val="Default"/>
    <w:rsid w:val="00902F9F"/>
    <w:pPr>
      <w:widowControl w:val="0"/>
      <w:spacing w:after="233"/>
    </w:pPr>
    <w:rPr>
      <w:color w:val="auto"/>
      <w:lang w:val="en-US" w:eastAsia="en-US"/>
    </w:rPr>
  </w:style>
  <w:style w:type="paragraph" w:styleId="Header">
    <w:name w:val="header"/>
    <w:basedOn w:val="Normal"/>
    <w:link w:val="HeaderChar"/>
    <w:uiPriority w:val="99"/>
    <w:semiHidden/>
    <w:unhideWhenUsed/>
    <w:rsid w:val="007134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492"/>
  </w:style>
  <w:style w:type="paragraph" w:styleId="Footer">
    <w:name w:val="footer"/>
    <w:basedOn w:val="Normal"/>
    <w:link w:val="FooterChar"/>
    <w:uiPriority w:val="99"/>
    <w:unhideWhenUsed/>
    <w:rsid w:val="00713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4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9.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oleObject" Target="embeddings/oleObject56.bin"/><Relationship Id="rId16" Type="http://schemas.openxmlformats.org/officeDocument/2006/relationships/oleObject" Target="embeddings/oleObject3.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8.bin"/><Relationship Id="rId102"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image" Target="media/image38.wmf"/><Relationship Id="rId90" Type="http://schemas.openxmlformats.org/officeDocument/2006/relationships/image" Target="media/image41.wmf"/><Relationship Id="rId95" Type="http://schemas.openxmlformats.org/officeDocument/2006/relationships/oleObject" Target="embeddings/oleObject47.bin"/><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2.bin"/><Relationship Id="rId113" Type="http://schemas.openxmlformats.org/officeDocument/2006/relationships/oleObject" Target="embeddings/oleObject57.bin"/><Relationship Id="rId118" Type="http://schemas.openxmlformats.org/officeDocument/2006/relationships/image" Target="media/image54.png"/><Relationship Id="rId8" Type="http://schemas.openxmlformats.org/officeDocument/2006/relationships/image" Target="media/image1.emf"/><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image" Target="media/image37.wmf"/><Relationship Id="rId85" Type="http://schemas.openxmlformats.org/officeDocument/2006/relationships/oleObject" Target="embeddings/oleObject41.bin"/><Relationship Id="rId93" Type="http://schemas.openxmlformats.org/officeDocument/2006/relationships/image" Target="media/image42.emf"/><Relationship Id="rId98" Type="http://schemas.openxmlformats.org/officeDocument/2006/relationships/image" Target="media/image45.w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51.bin"/><Relationship Id="rId108" Type="http://schemas.openxmlformats.org/officeDocument/2006/relationships/image" Target="media/image50.wmf"/><Relationship Id="rId116" Type="http://schemas.openxmlformats.org/officeDocument/2006/relationships/image" Target="media/image53.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49.wmf"/><Relationship Id="rId114" Type="http://schemas.openxmlformats.org/officeDocument/2006/relationships/image" Target="media/image52.wmf"/><Relationship Id="rId119" Type="http://schemas.openxmlformats.org/officeDocument/2006/relationships/footer" Target="footer1.xml"/><Relationship Id="rId10" Type="http://schemas.openxmlformats.org/officeDocument/2006/relationships/image" Target="media/image3.e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40.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8.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290A-CFE3-45F9-8806-394A731F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7553</Words>
  <Characters>43054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Hassan</dc:creator>
  <cp:lastModifiedBy>Brian Silverstone</cp:lastModifiedBy>
  <cp:revision>2</cp:revision>
  <cp:lastPrinted>2013-10-16T23:33:00Z</cp:lastPrinted>
  <dcterms:created xsi:type="dcterms:W3CDTF">2013-11-14T08:18:00Z</dcterms:created>
  <dcterms:modified xsi:type="dcterms:W3CDTF">2013-11-14T08:18:00Z</dcterms:modified>
</cp:coreProperties>
</file>