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64" w:rsidRDefault="009F2264" w:rsidP="00592D34">
      <w:pPr>
        <w:pStyle w:val="Default"/>
        <w:jc w:val="center"/>
        <w:rPr>
          <w:b/>
          <w:bCs/>
          <w:sz w:val="28"/>
          <w:szCs w:val="28"/>
        </w:rPr>
      </w:pPr>
    </w:p>
    <w:p w:rsidR="009F2264" w:rsidRDefault="009F2264" w:rsidP="00592D34">
      <w:pPr>
        <w:pStyle w:val="Default"/>
        <w:jc w:val="center"/>
        <w:rPr>
          <w:b/>
          <w:bCs/>
          <w:sz w:val="28"/>
          <w:szCs w:val="28"/>
        </w:rPr>
      </w:pPr>
    </w:p>
    <w:p w:rsidR="009F2264" w:rsidRDefault="009F2264" w:rsidP="00592D34">
      <w:pPr>
        <w:pStyle w:val="Default"/>
        <w:jc w:val="center"/>
        <w:rPr>
          <w:b/>
          <w:bCs/>
          <w:sz w:val="28"/>
          <w:szCs w:val="28"/>
        </w:rPr>
      </w:pPr>
    </w:p>
    <w:p w:rsidR="009F2264" w:rsidRDefault="009F2264" w:rsidP="00592D34">
      <w:pPr>
        <w:pStyle w:val="Default"/>
        <w:jc w:val="center"/>
        <w:rPr>
          <w:b/>
          <w:bCs/>
          <w:sz w:val="28"/>
          <w:szCs w:val="28"/>
        </w:rPr>
      </w:pPr>
    </w:p>
    <w:p w:rsidR="009F2264" w:rsidRDefault="009F2264" w:rsidP="00592D34">
      <w:pPr>
        <w:pStyle w:val="Default"/>
        <w:jc w:val="center"/>
        <w:rPr>
          <w:b/>
          <w:bCs/>
          <w:sz w:val="28"/>
          <w:szCs w:val="28"/>
        </w:rPr>
      </w:pPr>
    </w:p>
    <w:p w:rsidR="00592D34" w:rsidRPr="00976543" w:rsidRDefault="00592D34" w:rsidP="00592D34">
      <w:pPr>
        <w:pStyle w:val="Default"/>
        <w:jc w:val="center"/>
        <w:rPr>
          <w:b/>
          <w:bCs/>
          <w:sz w:val="28"/>
          <w:szCs w:val="28"/>
        </w:rPr>
      </w:pPr>
      <w:r>
        <w:rPr>
          <w:b/>
          <w:bCs/>
          <w:sz w:val="28"/>
          <w:szCs w:val="28"/>
        </w:rPr>
        <w:t>UN</w:t>
      </w:r>
      <w:r w:rsidRPr="00976543">
        <w:rPr>
          <w:b/>
          <w:bCs/>
          <w:sz w:val="28"/>
          <w:szCs w:val="28"/>
        </w:rPr>
        <w:t>IVERSITY OF WAIKATO</w:t>
      </w:r>
    </w:p>
    <w:p w:rsidR="00592D34" w:rsidRPr="00976543" w:rsidRDefault="00592D34" w:rsidP="00592D34">
      <w:pPr>
        <w:pStyle w:val="Default"/>
        <w:jc w:val="center"/>
        <w:rPr>
          <w:b/>
          <w:bCs/>
          <w:sz w:val="28"/>
          <w:szCs w:val="28"/>
        </w:rPr>
      </w:pPr>
      <w:r w:rsidRPr="00976543">
        <w:rPr>
          <w:b/>
          <w:bCs/>
          <w:sz w:val="28"/>
          <w:szCs w:val="28"/>
        </w:rPr>
        <w:br/>
        <w:t>Hamilton</w:t>
      </w:r>
    </w:p>
    <w:p w:rsidR="00592D34" w:rsidRPr="00976543" w:rsidRDefault="00592D34" w:rsidP="00592D34">
      <w:pPr>
        <w:pStyle w:val="CM1"/>
        <w:spacing w:line="240" w:lineRule="auto"/>
        <w:jc w:val="center"/>
        <w:rPr>
          <w:b/>
          <w:bCs/>
          <w:sz w:val="28"/>
          <w:szCs w:val="28"/>
        </w:rPr>
      </w:pPr>
      <w:r w:rsidRPr="00976543">
        <w:rPr>
          <w:b/>
          <w:bCs/>
          <w:sz w:val="28"/>
          <w:szCs w:val="28"/>
        </w:rPr>
        <w:t xml:space="preserve">New Zealand </w:t>
      </w:r>
    </w:p>
    <w:p w:rsidR="00592D34" w:rsidRPr="00976543" w:rsidRDefault="00592D34" w:rsidP="00592D34">
      <w:pPr>
        <w:pStyle w:val="Default"/>
      </w:pPr>
    </w:p>
    <w:p w:rsidR="00592D34" w:rsidRDefault="00592D34" w:rsidP="00592D34">
      <w:pPr>
        <w:pStyle w:val="Default"/>
      </w:pPr>
    </w:p>
    <w:p w:rsidR="009F2264" w:rsidRPr="00976543" w:rsidRDefault="009F2264" w:rsidP="00592D34">
      <w:pPr>
        <w:pStyle w:val="Default"/>
      </w:pPr>
    </w:p>
    <w:p w:rsidR="00592D34" w:rsidRDefault="00592D34" w:rsidP="00592D34">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rsidR="00592D34" w:rsidRDefault="00592D34" w:rsidP="00592D34">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Capitalizing Performance of 'Free' Schools and the</w:t>
      </w:r>
    </w:p>
    <w:p w:rsidR="00592D34" w:rsidRDefault="00592D34" w:rsidP="00592D34">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Difficulty of Reforming School Attendance Boundaries</w:t>
      </w:r>
    </w:p>
    <w:p w:rsidR="00592D34" w:rsidRPr="00BF00CD" w:rsidRDefault="00592D34" w:rsidP="00592D34">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14"/>
          <w:szCs w:val="14"/>
        </w:rPr>
      </w:pPr>
    </w:p>
    <w:p w:rsidR="00592D34" w:rsidRPr="00EC103C" w:rsidRDefault="00CF66F0" w:rsidP="00592D34">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b w:val="0"/>
          <w:sz w:val="28"/>
          <w:szCs w:val="28"/>
        </w:rPr>
      </w:pPr>
      <w:r>
        <w:rPr>
          <w:rFonts w:ascii="Times New Roman" w:hAnsi="Times New Roman"/>
          <w:b w:val="0"/>
          <w:sz w:val="28"/>
          <w:szCs w:val="28"/>
        </w:rPr>
        <w:t>John Gibson and Geua Boe-Gibson</w:t>
      </w:r>
    </w:p>
    <w:p w:rsidR="00592D34" w:rsidRPr="00976543" w:rsidRDefault="00592D34" w:rsidP="00592D34">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rsidR="00592D34" w:rsidRPr="00976543" w:rsidRDefault="00592D34" w:rsidP="00592D34">
      <w:pPr>
        <w:pStyle w:val="Default"/>
      </w:pPr>
    </w:p>
    <w:p w:rsidR="00592D34" w:rsidRPr="00976543" w:rsidRDefault="00592D34" w:rsidP="00592D34">
      <w:pPr>
        <w:pStyle w:val="CM20"/>
        <w:spacing w:after="0"/>
        <w:jc w:val="center"/>
        <w:rPr>
          <w:i/>
          <w:iCs/>
        </w:rPr>
      </w:pPr>
    </w:p>
    <w:p w:rsidR="00592D34" w:rsidRDefault="00592D34" w:rsidP="00592D34">
      <w:pPr>
        <w:pStyle w:val="Default"/>
      </w:pPr>
    </w:p>
    <w:p w:rsidR="009F2264" w:rsidRPr="00976543" w:rsidRDefault="009F2264" w:rsidP="00592D34">
      <w:pPr>
        <w:pStyle w:val="Default"/>
      </w:pPr>
    </w:p>
    <w:p w:rsidR="00592D34" w:rsidRPr="00976543" w:rsidRDefault="00592D34" w:rsidP="00592D34">
      <w:pPr>
        <w:pStyle w:val="CM21"/>
        <w:spacing w:after="0"/>
        <w:jc w:val="center"/>
        <w:rPr>
          <w:sz w:val="28"/>
          <w:szCs w:val="28"/>
        </w:rPr>
      </w:pPr>
      <w:r w:rsidRPr="00976543">
        <w:rPr>
          <w:b/>
          <w:bCs/>
          <w:sz w:val="28"/>
          <w:szCs w:val="28"/>
        </w:rPr>
        <w:t xml:space="preserve">Department of Economics </w:t>
      </w:r>
    </w:p>
    <w:p w:rsidR="00592D34" w:rsidRPr="00976543" w:rsidRDefault="00592D34" w:rsidP="00592D34">
      <w:pPr>
        <w:pStyle w:val="Default"/>
        <w:rPr>
          <w:color w:val="auto"/>
        </w:rPr>
      </w:pPr>
    </w:p>
    <w:p w:rsidR="00592D34" w:rsidRPr="00976543" w:rsidRDefault="00592D34" w:rsidP="00592D34">
      <w:pPr>
        <w:pStyle w:val="CM22"/>
        <w:spacing w:after="0"/>
        <w:jc w:val="center"/>
        <w:rPr>
          <w:b/>
          <w:bCs/>
          <w:sz w:val="28"/>
          <w:szCs w:val="28"/>
        </w:rPr>
      </w:pPr>
      <w:r w:rsidRPr="00976543">
        <w:rPr>
          <w:b/>
          <w:bCs/>
          <w:sz w:val="28"/>
          <w:szCs w:val="28"/>
        </w:rPr>
        <w:t xml:space="preserve">Working Paper in </w:t>
      </w:r>
      <w:r w:rsidR="00D576BE">
        <w:rPr>
          <w:b/>
          <w:bCs/>
          <w:sz w:val="28"/>
          <w:szCs w:val="28"/>
        </w:rPr>
        <w:t>Economics 8</w:t>
      </w:r>
      <w:r w:rsidRPr="00976543">
        <w:rPr>
          <w:b/>
          <w:bCs/>
          <w:sz w:val="28"/>
          <w:szCs w:val="28"/>
        </w:rPr>
        <w:t>/</w:t>
      </w:r>
      <w:r w:rsidR="00D576BE">
        <w:rPr>
          <w:b/>
          <w:bCs/>
          <w:sz w:val="28"/>
          <w:szCs w:val="28"/>
        </w:rPr>
        <w:t>14</w:t>
      </w:r>
    </w:p>
    <w:p w:rsidR="00592D34" w:rsidRPr="00976543" w:rsidRDefault="00592D34" w:rsidP="00592D34">
      <w:pPr>
        <w:pStyle w:val="CM22"/>
        <w:spacing w:after="0"/>
        <w:jc w:val="center"/>
        <w:rPr>
          <w:sz w:val="28"/>
          <w:szCs w:val="28"/>
        </w:rPr>
      </w:pPr>
      <w:r w:rsidRPr="00976543">
        <w:rPr>
          <w:b/>
          <w:bCs/>
          <w:sz w:val="28"/>
          <w:szCs w:val="28"/>
        </w:rPr>
        <w:t xml:space="preserve"> </w:t>
      </w:r>
    </w:p>
    <w:p w:rsidR="00592D34" w:rsidRPr="00976543" w:rsidRDefault="00D576BE" w:rsidP="00592D34">
      <w:pPr>
        <w:pStyle w:val="CM3"/>
        <w:jc w:val="center"/>
        <w:rPr>
          <w:sz w:val="28"/>
          <w:szCs w:val="28"/>
        </w:rPr>
      </w:pPr>
      <w:r>
        <w:rPr>
          <w:sz w:val="28"/>
          <w:szCs w:val="28"/>
        </w:rPr>
        <w:t>July 2014</w:t>
      </w:r>
    </w:p>
    <w:p w:rsidR="00592D34" w:rsidRDefault="00592D34" w:rsidP="00592D34">
      <w:pPr>
        <w:pStyle w:val="CM4"/>
        <w:spacing w:line="240" w:lineRule="auto"/>
        <w:jc w:val="center"/>
        <w:rPr>
          <w:b/>
          <w:bCs/>
          <w:sz w:val="22"/>
          <w:szCs w:val="22"/>
        </w:rPr>
      </w:pPr>
    </w:p>
    <w:p w:rsidR="00592D34" w:rsidRDefault="00592D34" w:rsidP="00592D34">
      <w:pPr>
        <w:pStyle w:val="Default"/>
      </w:pPr>
    </w:p>
    <w:p w:rsidR="00592D34" w:rsidRDefault="00592D34" w:rsidP="00592D34">
      <w:pPr>
        <w:pStyle w:val="Default"/>
      </w:pPr>
    </w:p>
    <w:p w:rsidR="00592D34" w:rsidRPr="007E6B57" w:rsidRDefault="00592D34" w:rsidP="00592D34">
      <w:pPr>
        <w:pStyle w:val="Default"/>
      </w:pPr>
    </w:p>
    <w:p w:rsidR="00592D34" w:rsidRDefault="00592D34" w:rsidP="00592D34">
      <w:pPr>
        <w:pStyle w:val="CM4"/>
        <w:spacing w:line="240" w:lineRule="auto"/>
        <w:jc w:val="center"/>
        <w:rPr>
          <w:b/>
          <w:bCs/>
          <w:sz w:val="22"/>
          <w:szCs w:val="22"/>
        </w:rPr>
      </w:pPr>
    </w:p>
    <w:tbl>
      <w:tblPr>
        <w:tblW w:w="0" w:type="auto"/>
        <w:tblLook w:val="04A0" w:firstRow="1" w:lastRow="0" w:firstColumn="1" w:lastColumn="0" w:noHBand="0" w:noVBand="1"/>
      </w:tblPr>
      <w:tblGrid>
        <w:gridCol w:w="4621"/>
        <w:gridCol w:w="4621"/>
      </w:tblGrid>
      <w:tr w:rsidR="00592D34" w:rsidTr="00F22345">
        <w:tc>
          <w:tcPr>
            <w:tcW w:w="4621" w:type="dxa"/>
          </w:tcPr>
          <w:p w:rsidR="00592D34" w:rsidRPr="00173AF5" w:rsidRDefault="00592D34" w:rsidP="00F22345">
            <w:pPr>
              <w:pStyle w:val="CM4"/>
              <w:spacing w:line="240" w:lineRule="auto"/>
              <w:jc w:val="center"/>
              <w:rPr>
                <w:bCs/>
                <w:i/>
                <w:sz w:val="22"/>
                <w:szCs w:val="22"/>
              </w:rPr>
            </w:pPr>
            <w:r w:rsidRPr="00173AF5">
              <w:rPr>
                <w:bCs/>
                <w:i/>
                <w:sz w:val="22"/>
                <w:szCs w:val="22"/>
              </w:rPr>
              <w:t>Corresponding Author</w:t>
            </w:r>
          </w:p>
          <w:p w:rsidR="00592D34" w:rsidRPr="00F11504" w:rsidRDefault="00592D34" w:rsidP="00F22345">
            <w:pPr>
              <w:pStyle w:val="CM4"/>
              <w:spacing w:line="240" w:lineRule="auto"/>
              <w:jc w:val="center"/>
              <w:rPr>
                <w:b/>
                <w:bCs/>
                <w:sz w:val="8"/>
                <w:szCs w:val="8"/>
              </w:rPr>
            </w:pPr>
          </w:p>
          <w:p w:rsidR="00592D34" w:rsidRPr="00976543" w:rsidRDefault="00592D34" w:rsidP="00F22345">
            <w:pPr>
              <w:pStyle w:val="CM4"/>
              <w:spacing w:line="240" w:lineRule="auto"/>
              <w:jc w:val="center"/>
            </w:pPr>
            <w:r>
              <w:rPr>
                <w:b/>
                <w:bCs/>
              </w:rPr>
              <w:t>John Gibson</w:t>
            </w:r>
          </w:p>
          <w:p w:rsidR="00592D34" w:rsidRPr="00F11504" w:rsidRDefault="00592D34" w:rsidP="00F22345">
            <w:pPr>
              <w:pStyle w:val="CM23"/>
              <w:spacing w:after="0"/>
              <w:jc w:val="center"/>
              <w:rPr>
                <w:sz w:val="12"/>
                <w:szCs w:val="12"/>
              </w:rPr>
            </w:pPr>
          </w:p>
          <w:p w:rsidR="00592D34" w:rsidRPr="00976543" w:rsidRDefault="00592D34" w:rsidP="00F22345">
            <w:pPr>
              <w:pStyle w:val="CM23"/>
              <w:spacing w:after="0"/>
              <w:jc w:val="center"/>
            </w:pPr>
            <w:r>
              <w:t>Department of Economics</w:t>
            </w:r>
          </w:p>
          <w:p w:rsidR="00592D34" w:rsidRDefault="00592D34" w:rsidP="00F22345">
            <w:pPr>
              <w:pStyle w:val="CM23"/>
              <w:spacing w:after="0"/>
              <w:jc w:val="center"/>
            </w:pPr>
            <w:r w:rsidRPr="00976543">
              <w:t>University of Waikato</w:t>
            </w:r>
          </w:p>
          <w:p w:rsidR="00592D34" w:rsidRDefault="00592D34" w:rsidP="00F22345">
            <w:pPr>
              <w:pStyle w:val="CM23"/>
              <w:spacing w:after="0"/>
              <w:jc w:val="center"/>
            </w:pPr>
            <w:r w:rsidRPr="00976543">
              <w:t>Private Bag 3105</w:t>
            </w:r>
          </w:p>
          <w:p w:rsidR="00592D34" w:rsidRPr="00976543" w:rsidRDefault="00592D34" w:rsidP="00F22345">
            <w:pPr>
              <w:pStyle w:val="CM23"/>
              <w:spacing w:after="0"/>
              <w:jc w:val="center"/>
            </w:pPr>
            <w:r w:rsidRPr="00976543">
              <w:t xml:space="preserve">Hamilton, New Zealand </w:t>
            </w:r>
          </w:p>
          <w:p w:rsidR="00592D34" w:rsidRPr="00173AF5" w:rsidRDefault="00592D34" w:rsidP="00F22345">
            <w:pPr>
              <w:pStyle w:val="Default"/>
              <w:rPr>
                <w:sz w:val="12"/>
                <w:szCs w:val="12"/>
              </w:rPr>
            </w:pPr>
          </w:p>
          <w:p w:rsidR="00592D34" w:rsidRPr="00976543" w:rsidRDefault="00592D34" w:rsidP="00F22345">
            <w:pPr>
              <w:pStyle w:val="Default"/>
              <w:jc w:val="center"/>
            </w:pPr>
            <w:r>
              <w:t>Tel: +64 (7) 838 4289</w:t>
            </w:r>
          </w:p>
          <w:p w:rsidR="00592D34" w:rsidRPr="00F11504" w:rsidRDefault="00592D34" w:rsidP="00F22345">
            <w:pPr>
              <w:pStyle w:val="CM3"/>
              <w:jc w:val="center"/>
              <w:rPr>
                <w:bCs/>
                <w:sz w:val="12"/>
                <w:szCs w:val="12"/>
              </w:rPr>
            </w:pPr>
          </w:p>
          <w:p w:rsidR="00592D34" w:rsidRPr="00F11504" w:rsidRDefault="00592D34" w:rsidP="00F22345">
            <w:pPr>
              <w:pStyle w:val="CM3"/>
              <w:jc w:val="center"/>
              <w:rPr>
                <w:bCs/>
              </w:rPr>
            </w:pPr>
            <w:r>
              <w:rPr>
                <w:bCs/>
              </w:rPr>
              <w:t>Email: jkgibson</w:t>
            </w:r>
            <w:r w:rsidRPr="00F11504">
              <w:rPr>
                <w:bCs/>
              </w:rPr>
              <w:t>@waikato.ac.nz</w:t>
            </w:r>
          </w:p>
          <w:p w:rsidR="00592D34" w:rsidRDefault="00592D34" w:rsidP="00F22345">
            <w:pPr>
              <w:pStyle w:val="Default"/>
              <w:jc w:val="center"/>
            </w:pPr>
          </w:p>
        </w:tc>
        <w:tc>
          <w:tcPr>
            <w:tcW w:w="4621" w:type="dxa"/>
          </w:tcPr>
          <w:p w:rsidR="00592D34" w:rsidRPr="00F11504" w:rsidRDefault="00592D34" w:rsidP="00F22345">
            <w:pPr>
              <w:pStyle w:val="Default"/>
              <w:jc w:val="center"/>
              <w:rPr>
                <w:b/>
              </w:rPr>
            </w:pPr>
          </w:p>
          <w:p w:rsidR="00592D34" w:rsidRPr="00F11504" w:rsidRDefault="00592D34" w:rsidP="00F22345">
            <w:pPr>
              <w:pStyle w:val="CM4"/>
              <w:spacing w:line="240" w:lineRule="auto"/>
              <w:jc w:val="center"/>
              <w:rPr>
                <w:b/>
                <w:bCs/>
                <w:sz w:val="8"/>
                <w:szCs w:val="8"/>
              </w:rPr>
            </w:pPr>
          </w:p>
          <w:p w:rsidR="00592D34" w:rsidRPr="00976543" w:rsidRDefault="00CF66F0" w:rsidP="00F22345">
            <w:pPr>
              <w:pStyle w:val="CM4"/>
              <w:spacing w:line="240" w:lineRule="auto"/>
              <w:jc w:val="center"/>
            </w:pPr>
            <w:r>
              <w:rPr>
                <w:b/>
                <w:bCs/>
              </w:rPr>
              <w:t>Geua Boe-Gibson</w:t>
            </w:r>
          </w:p>
          <w:p w:rsidR="00592D34" w:rsidRPr="00F11504" w:rsidRDefault="00592D34" w:rsidP="00F22345">
            <w:pPr>
              <w:pStyle w:val="CM23"/>
              <w:spacing w:after="0"/>
              <w:jc w:val="center"/>
              <w:rPr>
                <w:sz w:val="12"/>
                <w:szCs w:val="12"/>
              </w:rPr>
            </w:pPr>
          </w:p>
          <w:p w:rsidR="002276F3" w:rsidRPr="00976543" w:rsidRDefault="002276F3" w:rsidP="002276F3">
            <w:pPr>
              <w:pStyle w:val="CM23"/>
              <w:spacing w:after="0"/>
              <w:jc w:val="center"/>
            </w:pPr>
            <w:r>
              <w:t>Department of Economics</w:t>
            </w:r>
          </w:p>
          <w:p w:rsidR="002276F3" w:rsidRDefault="002276F3" w:rsidP="002276F3">
            <w:pPr>
              <w:pStyle w:val="CM23"/>
              <w:spacing w:after="0"/>
              <w:jc w:val="center"/>
            </w:pPr>
            <w:r w:rsidRPr="00976543">
              <w:t>University of Waikato</w:t>
            </w:r>
          </w:p>
          <w:p w:rsidR="002276F3" w:rsidRDefault="002276F3" w:rsidP="002276F3">
            <w:pPr>
              <w:pStyle w:val="CM23"/>
              <w:spacing w:after="0"/>
              <w:jc w:val="center"/>
            </w:pPr>
            <w:r w:rsidRPr="00976543">
              <w:t>Private Bag 3105</w:t>
            </w:r>
          </w:p>
          <w:p w:rsidR="002276F3" w:rsidRPr="00976543" w:rsidRDefault="002276F3" w:rsidP="002276F3">
            <w:pPr>
              <w:pStyle w:val="CM23"/>
              <w:spacing w:after="0"/>
              <w:jc w:val="center"/>
            </w:pPr>
            <w:r w:rsidRPr="00976543">
              <w:t xml:space="preserve">Hamilton, New Zealand </w:t>
            </w:r>
          </w:p>
          <w:p w:rsidR="002276F3" w:rsidRPr="00173AF5" w:rsidRDefault="002276F3" w:rsidP="002276F3">
            <w:pPr>
              <w:pStyle w:val="Default"/>
              <w:rPr>
                <w:sz w:val="12"/>
                <w:szCs w:val="12"/>
              </w:rPr>
            </w:pPr>
          </w:p>
          <w:p w:rsidR="002276F3" w:rsidRPr="00976543" w:rsidRDefault="00CF4796" w:rsidP="002276F3">
            <w:pPr>
              <w:pStyle w:val="Default"/>
              <w:jc w:val="center"/>
            </w:pPr>
            <w:r>
              <w:t>T</w:t>
            </w:r>
            <w:r w:rsidR="008000AC">
              <w:t>el: +64 (7) 838 4466,</w:t>
            </w:r>
            <w:r>
              <w:t xml:space="preserve"> Extn:4882</w:t>
            </w:r>
          </w:p>
          <w:p w:rsidR="00592D34" w:rsidRDefault="00592D34" w:rsidP="00F22345">
            <w:pPr>
              <w:pStyle w:val="Default"/>
              <w:rPr>
                <w:sz w:val="12"/>
                <w:szCs w:val="12"/>
              </w:rPr>
            </w:pPr>
          </w:p>
          <w:p w:rsidR="00592D34" w:rsidRPr="00F11504" w:rsidRDefault="002276F3" w:rsidP="00F22345">
            <w:pPr>
              <w:pStyle w:val="CM3"/>
              <w:jc w:val="center"/>
              <w:rPr>
                <w:bCs/>
              </w:rPr>
            </w:pPr>
            <w:r>
              <w:rPr>
                <w:bCs/>
              </w:rPr>
              <w:t>Email: geuaboe@waikato.ac.nz</w:t>
            </w:r>
          </w:p>
          <w:p w:rsidR="00592D34" w:rsidRPr="00F11504" w:rsidRDefault="00592D34" w:rsidP="00F22345">
            <w:pPr>
              <w:pStyle w:val="CM3"/>
              <w:jc w:val="center"/>
              <w:rPr>
                <w:b/>
              </w:rPr>
            </w:pPr>
          </w:p>
        </w:tc>
      </w:tr>
    </w:tbl>
    <w:p w:rsidR="00592D34" w:rsidRDefault="00592D34" w:rsidP="00592D34">
      <w:pPr>
        <w:pStyle w:val="Default"/>
      </w:pPr>
    </w:p>
    <w:p w:rsidR="00B370F8" w:rsidRPr="00232F90" w:rsidRDefault="00B370F8" w:rsidP="00B441BB">
      <w:pPr>
        <w:spacing w:line="288" w:lineRule="auto"/>
        <w:jc w:val="right"/>
        <w:rPr>
          <w:b/>
          <w:iCs/>
        </w:rPr>
      </w:pPr>
    </w:p>
    <w:p w:rsidR="00B370F8" w:rsidRPr="00232F90" w:rsidRDefault="00B370F8" w:rsidP="00B441BB">
      <w:pPr>
        <w:spacing w:line="288" w:lineRule="auto"/>
        <w:jc w:val="right"/>
        <w:rPr>
          <w:b/>
          <w:iCs/>
        </w:rPr>
      </w:pPr>
    </w:p>
    <w:p w:rsidR="00B370F8" w:rsidRPr="00232F90" w:rsidRDefault="00B370F8" w:rsidP="00B441BB">
      <w:pPr>
        <w:spacing w:line="288" w:lineRule="auto"/>
        <w:jc w:val="center"/>
        <w:rPr>
          <w:b/>
          <w:iCs/>
        </w:rPr>
      </w:pPr>
    </w:p>
    <w:p w:rsidR="0070428D" w:rsidRPr="00232F90" w:rsidRDefault="0070428D" w:rsidP="00B441BB">
      <w:pPr>
        <w:spacing w:line="288" w:lineRule="auto"/>
        <w:jc w:val="center"/>
        <w:rPr>
          <w:b/>
          <w:iCs/>
        </w:rPr>
      </w:pPr>
    </w:p>
    <w:p w:rsidR="0070428D" w:rsidRPr="00232F90" w:rsidRDefault="0070428D" w:rsidP="00B441BB">
      <w:pPr>
        <w:spacing w:line="288" w:lineRule="auto"/>
      </w:pPr>
    </w:p>
    <w:p w:rsidR="00637E29" w:rsidRPr="00232F90" w:rsidRDefault="00637E29" w:rsidP="00B441BB">
      <w:pPr>
        <w:spacing w:line="288" w:lineRule="auto"/>
      </w:pPr>
    </w:p>
    <w:p w:rsidR="0070428D" w:rsidRDefault="006576C5" w:rsidP="009F2264">
      <w:pPr>
        <w:spacing w:line="288" w:lineRule="auto"/>
        <w:jc w:val="center"/>
        <w:rPr>
          <w:b/>
        </w:rPr>
      </w:pPr>
      <w:r>
        <w:rPr>
          <w:b/>
        </w:rPr>
        <w:t>Abstract</w:t>
      </w:r>
    </w:p>
    <w:p w:rsidR="00121DCB" w:rsidRPr="00121DCB" w:rsidRDefault="00121DCB" w:rsidP="006576C5">
      <w:pPr>
        <w:spacing w:line="288" w:lineRule="auto"/>
        <w:jc w:val="center"/>
        <w:rPr>
          <w:b/>
          <w:sz w:val="12"/>
          <w:szCs w:val="12"/>
        </w:rPr>
      </w:pPr>
    </w:p>
    <w:p w:rsidR="00330077" w:rsidRPr="00232F90" w:rsidRDefault="00AB7343" w:rsidP="00B441BB">
      <w:pPr>
        <w:spacing w:line="288" w:lineRule="auto"/>
        <w:jc w:val="both"/>
        <w:rPr>
          <w:lang w:eastAsia="en-NZ"/>
        </w:rPr>
      </w:pPr>
      <w:r>
        <w:t xml:space="preserve">School attendance boundaries are a contentious issue in New Zealand, and have been relaxed and re-imposed depending upon political sentiment. Critics contend that a supposedly egalitarian state school system becomes one of selection by mortgage, with the value of ‘free’ schools capitalized into property prices. Attendance boundaries restrict the schooling opportunity set facing a student, who typically is unable to study at nearby high-performing </w:t>
      </w:r>
      <w:r w:rsidR="003F113B">
        <w:t>schools if they live outside their</w:t>
      </w:r>
      <w:r>
        <w:t xml:space="preserve"> boundary. We relate schooling opportunity sets to sales prices of over 8000 houses in Christchurch, controlling for dwelling attr</w:t>
      </w:r>
      <w:r w:rsidR="00F76075">
        <w:t>ibutes, neighbo</w:t>
      </w:r>
      <w:r>
        <w:t xml:space="preserve">rhood characteristics and geographic accessibility to a wide range of services. Our model explains over three-quarters of the variation in prices and we use this model to predict property prices </w:t>
      </w:r>
      <w:r w:rsidR="00430A3E">
        <w:t xml:space="preserve">if there were no </w:t>
      </w:r>
      <w:r>
        <w:t xml:space="preserve">attendance boundaries. Abolishing boundaries expands </w:t>
      </w:r>
      <w:r w:rsidR="003F113B">
        <w:t xml:space="preserve">most </w:t>
      </w:r>
      <w:r>
        <w:t xml:space="preserve">schooling opportunity sets and predicted house prices generally rise. But prices would fall in some </w:t>
      </w:r>
      <w:r w:rsidR="00F76075">
        <w:t>higher income neighbo</w:t>
      </w:r>
      <w:r>
        <w:t xml:space="preserve">rhoods with highly educated residents, who are likely to </w:t>
      </w:r>
      <w:r w:rsidR="00126CA5">
        <w:t>oppo</w:t>
      </w:r>
      <w:r>
        <w:t>s</w:t>
      </w:r>
      <w:r w:rsidR="00126CA5">
        <w:t>e</w:t>
      </w:r>
      <w:r>
        <w:t xml:space="preserve"> </w:t>
      </w:r>
      <w:r w:rsidR="00126CA5">
        <w:t>reform</w:t>
      </w:r>
      <w:r>
        <w:t xml:space="preserve"> of school attendance boundaries.</w:t>
      </w:r>
    </w:p>
    <w:p w:rsidR="00330077" w:rsidRPr="00232F90" w:rsidRDefault="00330077" w:rsidP="00B441BB">
      <w:pPr>
        <w:autoSpaceDE w:val="0"/>
        <w:autoSpaceDN w:val="0"/>
        <w:adjustRightInd w:val="0"/>
        <w:spacing w:line="288" w:lineRule="auto"/>
        <w:rPr>
          <w:lang w:eastAsia="en-NZ"/>
        </w:rPr>
      </w:pPr>
    </w:p>
    <w:p w:rsidR="002119F7" w:rsidRPr="00232F90" w:rsidRDefault="002119F7" w:rsidP="00B441BB">
      <w:pPr>
        <w:spacing w:line="288" w:lineRule="auto"/>
      </w:pPr>
    </w:p>
    <w:p w:rsidR="00B370F8" w:rsidRPr="00232F90" w:rsidRDefault="00B370F8" w:rsidP="00B441BB">
      <w:pPr>
        <w:spacing w:line="288" w:lineRule="auto"/>
      </w:pPr>
    </w:p>
    <w:p w:rsidR="00121DCB" w:rsidRDefault="00637E29" w:rsidP="00121DCB">
      <w:pPr>
        <w:spacing w:line="288" w:lineRule="auto"/>
        <w:jc w:val="center"/>
        <w:rPr>
          <w:b/>
        </w:rPr>
      </w:pPr>
      <w:r w:rsidRPr="00121DCB">
        <w:rPr>
          <w:b/>
        </w:rPr>
        <w:t>Keywords</w:t>
      </w:r>
    </w:p>
    <w:p w:rsidR="00121DCB" w:rsidRPr="00121DCB" w:rsidRDefault="00121DCB" w:rsidP="00121DCB">
      <w:pPr>
        <w:spacing w:line="288" w:lineRule="auto"/>
        <w:jc w:val="center"/>
        <w:rPr>
          <w:sz w:val="12"/>
          <w:szCs w:val="12"/>
        </w:rPr>
      </w:pPr>
    </w:p>
    <w:p w:rsidR="00121DCB" w:rsidRDefault="00121DCB" w:rsidP="00121DCB">
      <w:pPr>
        <w:spacing w:line="288" w:lineRule="auto"/>
        <w:jc w:val="center"/>
      </w:pPr>
      <w:proofErr w:type="gramStart"/>
      <w:r>
        <w:t>attendance</w:t>
      </w:r>
      <w:proofErr w:type="gramEnd"/>
      <w:r>
        <w:t xml:space="preserve"> boundaries</w:t>
      </w:r>
    </w:p>
    <w:p w:rsidR="00121DCB" w:rsidRDefault="00121DCB" w:rsidP="00121DCB">
      <w:pPr>
        <w:spacing w:line="288" w:lineRule="auto"/>
        <w:jc w:val="center"/>
      </w:pPr>
      <w:proofErr w:type="gramStart"/>
      <w:r>
        <w:t>house</w:t>
      </w:r>
      <w:proofErr w:type="gramEnd"/>
      <w:r>
        <w:t xml:space="preserve"> prices</w:t>
      </w:r>
    </w:p>
    <w:p w:rsidR="00637E29" w:rsidRPr="00232F90" w:rsidRDefault="00AB7343" w:rsidP="00121DCB">
      <w:pPr>
        <w:spacing w:line="288" w:lineRule="auto"/>
        <w:jc w:val="center"/>
      </w:pPr>
      <w:proofErr w:type="gramStart"/>
      <w:r>
        <w:t>school</w:t>
      </w:r>
      <w:proofErr w:type="gramEnd"/>
      <w:r>
        <w:t xml:space="preserve"> quality</w:t>
      </w:r>
    </w:p>
    <w:p w:rsidR="00283CC9" w:rsidRDefault="00283CC9" w:rsidP="00B441BB">
      <w:pPr>
        <w:spacing w:line="288" w:lineRule="auto"/>
      </w:pPr>
    </w:p>
    <w:p w:rsidR="009012DE" w:rsidRPr="00232F90" w:rsidRDefault="009012DE" w:rsidP="00B441BB">
      <w:pPr>
        <w:spacing w:line="288" w:lineRule="auto"/>
      </w:pPr>
    </w:p>
    <w:p w:rsidR="00121DCB" w:rsidRDefault="00121DCB" w:rsidP="00121DCB">
      <w:pPr>
        <w:spacing w:line="288" w:lineRule="auto"/>
        <w:jc w:val="center"/>
        <w:rPr>
          <w:b/>
        </w:rPr>
      </w:pPr>
      <w:r w:rsidRPr="00232F90">
        <w:rPr>
          <w:b/>
        </w:rPr>
        <w:t>JEL Codes</w:t>
      </w:r>
    </w:p>
    <w:p w:rsidR="00121DCB" w:rsidRPr="00121DCB" w:rsidRDefault="00121DCB" w:rsidP="00121DCB">
      <w:pPr>
        <w:spacing w:line="288" w:lineRule="auto"/>
        <w:jc w:val="center"/>
        <w:rPr>
          <w:sz w:val="12"/>
          <w:szCs w:val="12"/>
        </w:rPr>
      </w:pPr>
    </w:p>
    <w:p w:rsidR="00121DCB" w:rsidRPr="00232F90" w:rsidRDefault="00121DCB" w:rsidP="00121DCB">
      <w:pPr>
        <w:spacing w:line="288" w:lineRule="auto"/>
        <w:jc w:val="center"/>
      </w:pPr>
      <w:r>
        <w:t>C21; I20; R21</w:t>
      </w:r>
    </w:p>
    <w:p w:rsidR="00B370F8" w:rsidRPr="00232F90" w:rsidRDefault="00B370F8" w:rsidP="00B441BB">
      <w:pPr>
        <w:spacing w:line="288" w:lineRule="auto"/>
      </w:pPr>
    </w:p>
    <w:p w:rsidR="00B370F8" w:rsidRPr="00232F90" w:rsidRDefault="00B370F8" w:rsidP="00B441BB">
      <w:pPr>
        <w:spacing w:line="288" w:lineRule="auto"/>
      </w:pPr>
    </w:p>
    <w:p w:rsidR="00637E29" w:rsidRPr="00121DCB" w:rsidRDefault="00637E29" w:rsidP="00B441BB">
      <w:pPr>
        <w:spacing w:line="288" w:lineRule="auto"/>
        <w:rPr>
          <w:b/>
        </w:rPr>
      </w:pPr>
    </w:p>
    <w:p w:rsidR="00121DCB" w:rsidRDefault="008504AE" w:rsidP="00121DCB">
      <w:pPr>
        <w:spacing w:line="288" w:lineRule="auto"/>
        <w:jc w:val="center"/>
        <w:rPr>
          <w:b/>
        </w:rPr>
      </w:pPr>
      <w:r w:rsidRPr="00121DCB">
        <w:rPr>
          <w:b/>
        </w:rPr>
        <w:t>Acknowledgements</w:t>
      </w:r>
    </w:p>
    <w:p w:rsidR="00121DCB" w:rsidRPr="00121DCB" w:rsidRDefault="00121DCB" w:rsidP="00121DCB">
      <w:pPr>
        <w:spacing w:line="288" w:lineRule="auto"/>
        <w:jc w:val="center"/>
        <w:rPr>
          <w:b/>
          <w:sz w:val="12"/>
          <w:szCs w:val="12"/>
        </w:rPr>
      </w:pPr>
    </w:p>
    <w:p w:rsidR="00BA1861" w:rsidRPr="00121DCB" w:rsidRDefault="008504AE" w:rsidP="00121DCB">
      <w:pPr>
        <w:spacing w:line="288" w:lineRule="auto"/>
        <w:jc w:val="center"/>
        <w:rPr>
          <w:sz w:val="22"/>
          <w:szCs w:val="22"/>
        </w:rPr>
      </w:pPr>
      <w:r w:rsidRPr="00121DCB">
        <w:rPr>
          <w:sz w:val="22"/>
          <w:szCs w:val="22"/>
        </w:rPr>
        <w:t>We are grateful t</w:t>
      </w:r>
      <w:r w:rsidR="00EC3C11" w:rsidRPr="00121DCB">
        <w:rPr>
          <w:sz w:val="22"/>
          <w:szCs w:val="22"/>
        </w:rPr>
        <w:t xml:space="preserve">o </w:t>
      </w:r>
      <w:r w:rsidR="00AB7343" w:rsidRPr="00121DCB">
        <w:rPr>
          <w:sz w:val="22"/>
          <w:szCs w:val="22"/>
        </w:rPr>
        <w:t xml:space="preserve">our </w:t>
      </w:r>
      <w:r w:rsidR="00AB7343" w:rsidRPr="00121DCB">
        <w:rPr>
          <w:rFonts w:eastAsia="Calibri"/>
          <w:sz w:val="22"/>
          <w:szCs w:val="22"/>
          <w:lang w:eastAsia="en-US"/>
        </w:rPr>
        <w:t xml:space="preserve">collaborators on related projects, </w:t>
      </w:r>
      <w:proofErr w:type="spellStart"/>
      <w:r w:rsidR="00AB7343" w:rsidRPr="00121DCB">
        <w:rPr>
          <w:rFonts w:eastAsia="Calibri"/>
          <w:sz w:val="22"/>
          <w:szCs w:val="22"/>
          <w:lang w:eastAsia="en-US"/>
        </w:rPr>
        <w:t>Bonggeun</w:t>
      </w:r>
      <w:proofErr w:type="spellEnd"/>
      <w:r w:rsidR="00AB7343" w:rsidRPr="00121DCB">
        <w:rPr>
          <w:rFonts w:eastAsia="Calibri"/>
          <w:sz w:val="22"/>
          <w:szCs w:val="22"/>
          <w:lang w:eastAsia="en-US"/>
        </w:rPr>
        <w:t xml:space="preserve"> Kim, Clive </w:t>
      </w:r>
      <w:proofErr w:type="spellStart"/>
      <w:r w:rsidR="00AB7343" w:rsidRPr="00121DCB">
        <w:rPr>
          <w:rFonts w:eastAsia="Calibri"/>
          <w:sz w:val="22"/>
          <w:szCs w:val="22"/>
          <w:lang w:eastAsia="en-US"/>
        </w:rPr>
        <w:t>Sabel</w:t>
      </w:r>
      <w:proofErr w:type="spellEnd"/>
      <w:r w:rsidR="00AB7343" w:rsidRPr="00121DCB">
        <w:rPr>
          <w:rFonts w:eastAsia="Calibri"/>
          <w:sz w:val="22"/>
          <w:szCs w:val="22"/>
          <w:lang w:eastAsia="en-US"/>
        </w:rPr>
        <w:t xml:space="preserve">, and Steven </w:t>
      </w:r>
      <w:proofErr w:type="spellStart"/>
      <w:r w:rsidR="00AB7343" w:rsidRPr="00121DCB">
        <w:rPr>
          <w:rFonts w:eastAsia="Calibri"/>
          <w:sz w:val="22"/>
          <w:szCs w:val="22"/>
          <w:lang w:eastAsia="en-US"/>
        </w:rPr>
        <w:t>Stillman</w:t>
      </w:r>
      <w:proofErr w:type="spellEnd"/>
      <w:r w:rsidR="00AB7343" w:rsidRPr="00121DCB">
        <w:rPr>
          <w:rFonts w:eastAsia="Calibri"/>
          <w:sz w:val="22"/>
          <w:szCs w:val="22"/>
          <w:lang w:eastAsia="en-US"/>
        </w:rPr>
        <w:t xml:space="preserve">, for assistance with the data, to Brittany </w:t>
      </w:r>
      <w:proofErr w:type="spellStart"/>
      <w:r w:rsidR="00AB7343" w:rsidRPr="00121DCB">
        <w:rPr>
          <w:rFonts w:eastAsia="Calibri"/>
          <w:sz w:val="22"/>
          <w:szCs w:val="22"/>
          <w:lang w:eastAsia="en-US"/>
        </w:rPr>
        <w:t>Weake</w:t>
      </w:r>
      <w:proofErr w:type="spellEnd"/>
      <w:r w:rsidR="00AB7343" w:rsidRPr="00121DCB">
        <w:rPr>
          <w:rFonts w:eastAsia="Calibri"/>
          <w:sz w:val="22"/>
          <w:szCs w:val="22"/>
          <w:lang w:eastAsia="en-US"/>
        </w:rPr>
        <w:t xml:space="preserve"> for research assistance,</w:t>
      </w:r>
      <w:r w:rsidRPr="00121DCB">
        <w:rPr>
          <w:sz w:val="22"/>
          <w:szCs w:val="22"/>
        </w:rPr>
        <w:t xml:space="preserve"> and </w:t>
      </w:r>
      <w:r w:rsidR="00AB7343" w:rsidRPr="00121DCB">
        <w:rPr>
          <w:sz w:val="22"/>
          <w:szCs w:val="22"/>
        </w:rPr>
        <w:t xml:space="preserve">to </w:t>
      </w:r>
      <w:r w:rsidRPr="00121DCB">
        <w:rPr>
          <w:sz w:val="22"/>
          <w:szCs w:val="22"/>
        </w:rPr>
        <w:t xml:space="preserve">audiences at the </w:t>
      </w:r>
      <w:r w:rsidR="00AB7343" w:rsidRPr="00121DCB">
        <w:rPr>
          <w:sz w:val="22"/>
          <w:szCs w:val="22"/>
        </w:rPr>
        <w:t>Spatial Econometrics and New Zealand Economics Association conferences for helpful comments.</w:t>
      </w:r>
    </w:p>
    <w:p w:rsidR="008C7D5C" w:rsidRDefault="002C72B3" w:rsidP="006576C5">
      <w:pPr>
        <w:spacing w:line="288" w:lineRule="auto"/>
        <w:ind w:left="426" w:hanging="426"/>
        <w:rPr>
          <w:b/>
        </w:rPr>
      </w:pPr>
      <w:r w:rsidRPr="00232F90">
        <w:rPr>
          <w:b/>
        </w:rPr>
        <w:br w:type="page"/>
      </w:r>
      <w:r w:rsidR="00FA39DB" w:rsidRPr="00232F90">
        <w:rPr>
          <w:b/>
        </w:rPr>
        <w:lastRenderedPageBreak/>
        <w:t>I</w:t>
      </w:r>
      <w:r w:rsidR="00DF12BF" w:rsidRPr="00232F90">
        <w:rPr>
          <w:b/>
        </w:rPr>
        <w:t>.</w:t>
      </w:r>
      <w:r w:rsidR="00DF12BF" w:rsidRPr="00232F90">
        <w:rPr>
          <w:b/>
        </w:rPr>
        <w:tab/>
        <w:t>I</w:t>
      </w:r>
      <w:r w:rsidR="00FA39DB" w:rsidRPr="00232F90">
        <w:rPr>
          <w:b/>
        </w:rPr>
        <w:t>ntroduction</w:t>
      </w:r>
      <w:r w:rsidR="004F0D3C">
        <w:rPr>
          <w:b/>
        </w:rPr>
        <w:t xml:space="preserve"> </w:t>
      </w:r>
      <w:r w:rsidR="008363A6">
        <w:rPr>
          <w:b/>
        </w:rPr>
        <w:t xml:space="preserve"> </w:t>
      </w:r>
    </w:p>
    <w:p w:rsidR="006E061C" w:rsidRPr="006E061C" w:rsidRDefault="006E061C" w:rsidP="006576C5">
      <w:pPr>
        <w:spacing w:line="288" w:lineRule="auto"/>
        <w:ind w:left="426" w:hanging="426"/>
        <w:rPr>
          <w:b/>
          <w:sz w:val="12"/>
          <w:szCs w:val="12"/>
        </w:rPr>
      </w:pPr>
    </w:p>
    <w:p w:rsidR="00C03706" w:rsidRDefault="0039273A" w:rsidP="00B441BB">
      <w:pPr>
        <w:spacing w:line="288" w:lineRule="auto"/>
        <w:jc w:val="both"/>
      </w:pPr>
      <w:r>
        <w:t>Stu</w:t>
      </w:r>
      <w:r w:rsidR="00126CA5">
        <w:t xml:space="preserve">dies by economists in </w:t>
      </w:r>
      <w:r>
        <w:t xml:space="preserve">many </w:t>
      </w:r>
      <w:r w:rsidR="00126CA5">
        <w:t>places show</w:t>
      </w:r>
      <w:r>
        <w:t xml:space="preserve"> that the value of ‘free’ public schools is capitalized into property pric</w:t>
      </w:r>
      <w:r w:rsidR="00965C6B">
        <w:t xml:space="preserve">es (Cheshire and Sheppard </w:t>
      </w:r>
      <w:r w:rsidR="008000AC">
        <w:t>2005, Davidoff and Leigh</w:t>
      </w:r>
      <w:r>
        <w:t xml:space="preserve"> 2008</w:t>
      </w:r>
      <w:r w:rsidR="008000AC">
        <w:t xml:space="preserve"> and </w:t>
      </w:r>
      <w:proofErr w:type="spellStart"/>
      <w:r w:rsidR="008000AC">
        <w:t>Machin</w:t>
      </w:r>
      <w:proofErr w:type="spellEnd"/>
      <w:r w:rsidR="00126CA5">
        <w:t xml:space="preserve"> 2011</w:t>
      </w:r>
      <w:r>
        <w:t>).</w:t>
      </w:r>
      <w:r w:rsidR="00991B05" w:rsidRPr="00232F90">
        <w:t xml:space="preserve"> </w:t>
      </w:r>
      <w:r>
        <w:t xml:space="preserve">These effects are likely to be especially strong in </w:t>
      </w:r>
      <w:r w:rsidRPr="0039273A">
        <w:t xml:space="preserve">New Zealand, where publicly-funded schools have been self-managing for the last two decades and </w:t>
      </w:r>
      <w:r w:rsidR="00E7403A">
        <w:t xml:space="preserve">have </w:t>
      </w:r>
      <w:r w:rsidR="00C03706">
        <w:t xml:space="preserve">the </w:t>
      </w:r>
      <w:r w:rsidR="00E7403A">
        <w:t xml:space="preserve">power to </w:t>
      </w:r>
      <w:r w:rsidRPr="0039273A">
        <w:t>establish their own attendance boundaries – there are no school districts as in most other countries.</w:t>
      </w:r>
      <w:r>
        <w:t xml:space="preserve"> These </w:t>
      </w:r>
      <w:r w:rsidR="00583E51">
        <w:t xml:space="preserve">attendance </w:t>
      </w:r>
      <w:r w:rsidRPr="0039273A">
        <w:t>boundaries restrict the schooling opportunity set facing a student, who typically is unable to study at nearby high-performing schools if they live outside their boundary.</w:t>
      </w:r>
      <w:r w:rsidR="00E7403A">
        <w:t xml:space="preserve"> </w:t>
      </w:r>
    </w:p>
    <w:p w:rsidR="00B441BB" w:rsidRDefault="00B441BB" w:rsidP="00B441BB">
      <w:pPr>
        <w:spacing w:line="288" w:lineRule="auto"/>
        <w:jc w:val="both"/>
      </w:pPr>
    </w:p>
    <w:p w:rsidR="00411783" w:rsidRDefault="00981A32" w:rsidP="006E061C">
      <w:pPr>
        <w:spacing w:line="288" w:lineRule="auto"/>
        <w:ind w:firstLine="426"/>
        <w:jc w:val="both"/>
      </w:pPr>
      <w:r>
        <w:t>These</w:t>
      </w:r>
      <w:r w:rsidR="00C03706">
        <w:t xml:space="preserve"> restriction</w:t>
      </w:r>
      <w:r>
        <w:t>s on schooling opportunities are</w:t>
      </w:r>
      <w:r w:rsidR="00C03706">
        <w:t xml:space="preserve"> likely to exacerbate socio-economic inequalities. The e</w:t>
      </w:r>
      <w:r w:rsidR="00E7403A">
        <w:t xml:space="preserve">xisting evidence from New Zealand </w:t>
      </w:r>
      <w:r w:rsidR="00C03706">
        <w:t xml:space="preserve">is </w:t>
      </w:r>
      <w:r w:rsidR="00E7403A">
        <w:t>that s</w:t>
      </w:r>
      <w:r w:rsidR="00E7403A" w:rsidRPr="00E7403A">
        <w:t xml:space="preserve">chools in affluent areas adopt boundaries that protect them from unwanted lower socio-economic status students living within walking </w:t>
      </w:r>
      <w:r w:rsidR="008000AC">
        <w:t xml:space="preserve">distance of the school (Thomson 2010, </w:t>
      </w:r>
      <w:proofErr w:type="spellStart"/>
      <w:r w:rsidR="008000AC">
        <w:t>Lubienski</w:t>
      </w:r>
      <w:proofErr w:type="spellEnd"/>
      <w:r w:rsidR="008000AC">
        <w:t>, Lee and Gordon</w:t>
      </w:r>
      <w:r w:rsidR="00E7403A" w:rsidRPr="00E7403A">
        <w:t xml:space="preserve"> 2013).</w:t>
      </w:r>
      <w:r w:rsidR="00C03706">
        <w:t xml:space="preserve"> In particular, Maori and Pacific Island students are </w:t>
      </w:r>
      <w:r w:rsidR="00C03706" w:rsidRPr="00C03706">
        <w:t xml:space="preserve">unlikely to </w:t>
      </w:r>
      <w:r w:rsidR="003E3E26">
        <w:t>attend high performing</w:t>
      </w:r>
      <w:r w:rsidR="00C03706">
        <w:t xml:space="preserve"> schools </w:t>
      </w:r>
      <w:r w:rsidR="003B582E">
        <w:t xml:space="preserve">under </w:t>
      </w:r>
      <w:r w:rsidR="00C03706" w:rsidRPr="00C03706">
        <w:t xml:space="preserve">selection by mortgage, </w:t>
      </w:r>
      <w:r w:rsidR="00A90D87">
        <w:t xml:space="preserve">where the price </w:t>
      </w:r>
      <w:r w:rsidR="00126CA5">
        <w:t xml:space="preserve">that parents are </w:t>
      </w:r>
      <w:r w:rsidR="00A90D87">
        <w:t xml:space="preserve">willing or able to pay for a house determines access, </w:t>
      </w:r>
      <w:r w:rsidR="00C03706" w:rsidRPr="00C03706">
        <w:t>since these two ethnic groups have the lowest net worth (including dwelling wealth) of any groups in New Ze</w:t>
      </w:r>
      <w:r w:rsidR="008000AC">
        <w:t xml:space="preserve">aland (Scobie, Gibson and Le </w:t>
      </w:r>
      <w:r w:rsidR="00C03706" w:rsidRPr="00C03706">
        <w:t>2005).</w:t>
      </w:r>
      <w:r w:rsidR="00411783">
        <w:t xml:space="preserve"> The evidence from other countries is that moving to open enrolment, where students can apply to any school without having to live in the school’s catchment area</w:t>
      </w:r>
      <w:r w:rsidR="003E3E26">
        <w:t>,</w:t>
      </w:r>
      <w:r w:rsidR="00411783">
        <w:t xml:space="preserve"> </w:t>
      </w:r>
      <w:r w:rsidR="00123551">
        <w:t xml:space="preserve">greatly </w:t>
      </w:r>
      <w:r w:rsidR="00411783">
        <w:t>weaken</w:t>
      </w:r>
      <w:r>
        <w:t>s the</w:t>
      </w:r>
      <w:r w:rsidR="00411783">
        <w:t xml:space="preserve"> effect of school performance on local ho</w:t>
      </w:r>
      <w:r w:rsidR="008000AC">
        <w:t>use prices (</w:t>
      </w:r>
      <w:proofErr w:type="spellStart"/>
      <w:r w:rsidR="008000AC">
        <w:t>Machin</w:t>
      </w:r>
      <w:proofErr w:type="spellEnd"/>
      <w:r w:rsidR="008000AC">
        <w:t xml:space="preserve"> and </w:t>
      </w:r>
      <w:proofErr w:type="spellStart"/>
      <w:r w:rsidR="008000AC">
        <w:t>Salvanes</w:t>
      </w:r>
      <w:proofErr w:type="spellEnd"/>
      <w:r w:rsidR="00411783">
        <w:t xml:space="preserve"> 2010). As </w:t>
      </w:r>
      <w:r w:rsidR="003E3E26">
        <w:t xml:space="preserve">such, reform of school attendance boundaries </w:t>
      </w:r>
      <w:r w:rsidR="00A90D87">
        <w:t xml:space="preserve">is expected to </w:t>
      </w:r>
      <w:r w:rsidR="003E3E26">
        <w:t>have desirable effects</w:t>
      </w:r>
      <w:r w:rsidR="00A90D87">
        <w:t xml:space="preserve"> on inequality</w:t>
      </w:r>
      <w:r w:rsidR="003E3E26">
        <w:t xml:space="preserve">, as </w:t>
      </w:r>
      <w:proofErr w:type="spellStart"/>
      <w:r w:rsidR="00411783">
        <w:t>Lubienski</w:t>
      </w:r>
      <w:proofErr w:type="spellEnd"/>
      <w:r w:rsidR="00411783">
        <w:t xml:space="preserve"> </w:t>
      </w:r>
      <w:r w:rsidR="00411783" w:rsidRPr="008000AC">
        <w:rPr>
          <w:i/>
        </w:rPr>
        <w:t>et al</w:t>
      </w:r>
      <w:r w:rsidR="008000AC">
        <w:rPr>
          <w:i/>
        </w:rPr>
        <w:t>.</w:t>
      </w:r>
      <w:r w:rsidR="00411783">
        <w:t xml:space="preserve"> (2013, p.82) note:</w:t>
      </w:r>
    </w:p>
    <w:p w:rsidR="00B441BB" w:rsidRDefault="00B441BB" w:rsidP="00B441BB">
      <w:pPr>
        <w:spacing w:line="288" w:lineRule="auto"/>
        <w:ind w:firstLine="720"/>
        <w:jc w:val="both"/>
      </w:pPr>
    </w:p>
    <w:p w:rsidR="006F682B" w:rsidRDefault="00E15F65" w:rsidP="00B441BB">
      <w:pPr>
        <w:spacing w:line="288" w:lineRule="auto"/>
        <w:ind w:left="454" w:right="454"/>
        <w:jc w:val="both"/>
        <w:rPr>
          <w:lang w:val="en-NZ"/>
        </w:rPr>
      </w:pPr>
      <w:r>
        <w:rPr>
          <w:lang w:val="en-NZ"/>
        </w:rPr>
        <w:t>'</w:t>
      </w:r>
      <w:r w:rsidR="006F682B">
        <w:rPr>
          <w:lang w:val="en-NZ"/>
        </w:rPr>
        <w:t>…</w:t>
      </w:r>
      <w:r w:rsidR="006F682B" w:rsidRPr="006F682B">
        <w:rPr>
          <w:lang w:val="en-NZ"/>
        </w:rPr>
        <w:t>efforts to erase school attendance boundaries have the theoretical potential to open up opportunities for students from disadvantaged communities to choose schools other than their local school, based on academic quali</w:t>
      </w:r>
      <w:r w:rsidR="006F682B">
        <w:rPr>
          <w:lang w:val="en-NZ"/>
        </w:rPr>
        <w:t>ty rather than attendance zones.</w:t>
      </w:r>
      <w:r>
        <w:rPr>
          <w:lang w:val="en-NZ"/>
        </w:rPr>
        <w:t>'</w:t>
      </w:r>
    </w:p>
    <w:p w:rsidR="00B441BB" w:rsidRDefault="00B441BB" w:rsidP="00B441BB">
      <w:pPr>
        <w:spacing w:line="288" w:lineRule="auto"/>
        <w:ind w:left="454" w:right="454"/>
        <w:jc w:val="both"/>
      </w:pPr>
    </w:p>
    <w:p w:rsidR="00BB1619" w:rsidRDefault="003E3E26" w:rsidP="006E061C">
      <w:pPr>
        <w:spacing w:line="288" w:lineRule="auto"/>
        <w:ind w:firstLine="426"/>
        <w:jc w:val="both"/>
      </w:pPr>
      <w:r>
        <w:t>But</w:t>
      </w:r>
      <w:r w:rsidR="00411783">
        <w:t xml:space="preserve"> </w:t>
      </w:r>
      <w:r>
        <w:t xml:space="preserve">whether such benefits actually follow from </w:t>
      </w:r>
      <w:r w:rsidR="00A90D87">
        <w:t xml:space="preserve">reforming </w:t>
      </w:r>
      <w:r>
        <w:t xml:space="preserve">school attendance boundaries depends on several factors that are currently unknown in New Zealand. First, the </w:t>
      </w:r>
      <w:r w:rsidR="00C50338">
        <w:t xml:space="preserve">strength of the </w:t>
      </w:r>
      <w:r>
        <w:t>relationship between school performance and house prices is</w:t>
      </w:r>
      <w:r w:rsidR="00C50338">
        <w:t xml:space="preserve"> unknown</w:t>
      </w:r>
      <w:r>
        <w:t xml:space="preserve">; the existing New Zealand literature </w:t>
      </w:r>
      <w:r w:rsidR="00A90D87">
        <w:t>adopts</w:t>
      </w:r>
      <w:r>
        <w:t xml:space="preserve"> more of a real estate approach, relating house prices to the attendance boundaries of particular schools </w:t>
      </w:r>
      <w:r w:rsidR="00A90D87">
        <w:t xml:space="preserve">while </w:t>
      </w:r>
      <w:r w:rsidR="00C50338">
        <w:t>ignor</w:t>
      </w:r>
      <w:r w:rsidR="00A90D87">
        <w:t>ing information on</w:t>
      </w:r>
      <w:r>
        <w:t xml:space="preserve"> school performance. The second unknown </w:t>
      </w:r>
      <w:r w:rsidR="003B582E">
        <w:t xml:space="preserve">concerns </w:t>
      </w:r>
      <w:r w:rsidR="00C50338">
        <w:t>the likely strength of opposition to any reform of attendance</w:t>
      </w:r>
      <w:r>
        <w:t xml:space="preserve"> </w:t>
      </w:r>
      <w:r w:rsidR="00C50338">
        <w:t xml:space="preserve">boundaries. </w:t>
      </w:r>
      <w:r w:rsidR="00A90D87">
        <w:t xml:space="preserve">The evidence from </w:t>
      </w:r>
      <w:r w:rsidR="00126CA5">
        <w:t xml:space="preserve">elsewhere, using </w:t>
      </w:r>
      <w:r w:rsidR="00123551">
        <w:t xml:space="preserve">referenda on </w:t>
      </w:r>
      <w:r w:rsidR="00126CA5">
        <w:t xml:space="preserve">voucher-based </w:t>
      </w:r>
      <w:r w:rsidR="00A90D87">
        <w:t xml:space="preserve">schooling </w:t>
      </w:r>
      <w:r w:rsidR="00A90D87" w:rsidRPr="00A90D87">
        <w:t>reforms</w:t>
      </w:r>
      <w:r w:rsidR="00126CA5">
        <w:t>,</w:t>
      </w:r>
      <w:r w:rsidR="00A90D87">
        <w:t xml:space="preserve"> </w:t>
      </w:r>
      <w:r w:rsidR="00123551">
        <w:t xml:space="preserve">is </w:t>
      </w:r>
      <w:r w:rsidR="00A90D87">
        <w:t xml:space="preserve">that </w:t>
      </w:r>
      <w:r w:rsidR="00C50338" w:rsidRPr="00C50338">
        <w:t>home</w:t>
      </w:r>
      <w:r w:rsidR="00C50338">
        <w:t xml:space="preserve"> owner</w:t>
      </w:r>
      <w:r w:rsidR="00C50338" w:rsidRPr="00C50338">
        <w:t xml:space="preserve">s in neighborhoods with good public schools </w:t>
      </w:r>
      <w:r w:rsidR="00C50338">
        <w:t xml:space="preserve">are </w:t>
      </w:r>
      <w:r w:rsidR="00123551">
        <w:t xml:space="preserve">more </w:t>
      </w:r>
      <w:r w:rsidR="00C50338" w:rsidRPr="00C50338">
        <w:t xml:space="preserve">likely to </w:t>
      </w:r>
      <w:r w:rsidR="00123551">
        <w:t xml:space="preserve">oppose </w:t>
      </w:r>
      <w:r w:rsidR="00A90D87">
        <w:t xml:space="preserve">reforms </w:t>
      </w:r>
      <w:r w:rsidR="00C50338">
        <w:t>that would open up en</w:t>
      </w:r>
      <w:r w:rsidR="008000AC">
        <w:t xml:space="preserve">rolments (Brunner and </w:t>
      </w:r>
      <w:proofErr w:type="spellStart"/>
      <w:r w:rsidR="008000AC">
        <w:t>Sonstelie</w:t>
      </w:r>
      <w:proofErr w:type="spellEnd"/>
      <w:r w:rsidR="00C50338">
        <w:t xml:space="preserve"> 2003).</w:t>
      </w:r>
    </w:p>
    <w:p w:rsidR="00B441BB" w:rsidRDefault="00B441BB" w:rsidP="00B441BB">
      <w:pPr>
        <w:spacing w:line="288" w:lineRule="auto"/>
        <w:ind w:firstLine="720"/>
        <w:jc w:val="both"/>
      </w:pPr>
    </w:p>
    <w:p w:rsidR="00627E42" w:rsidRDefault="00627E42">
      <w:r>
        <w:br w:type="page"/>
      </w:r>
    </w:p>
    <w:p w:rsidR="00C23A41" w:rsidRDefault="00C50338" w:rsidP="006E061C">
      <w:pPr>
        <w:spacing w:line="288" w:lineRule="auto"/>
        <w:ind w:firstLine="426"/>
        <w:jc w:val="both"/>
      </w:pPr>
      <w:r>
        <w:lastRenderedPageBreak/>
        <w:t xml:space="preserve">In this study we provide evidence on both of these factors. </w:t>
      </w:r>
      <w:r w:rsidR="00981A32" w:rsidRPr="00981A32">
        <w:t xml:space="preserve">We </w:t>
      </w:r>
      <w:r>
        <w:t xml:space="preserve">use </w:t>
      </w:r>
      <w:r w:rsidRPr="00C50338">
        <w:t xml:space="preserve">sales prices of over 8000 houses in </w:t>
      </w:r>
      <w:r w:rsidR="003B582E">
        <w:t xml:space="preserve">New Zealand’s second largest city, </w:t>
      </w:r>
      <w:r w:rsidRPr="00C50338">
        <w:t>Christchurch</w:t>
      </w:r>
      <w:r w:rsidR="003B582E">
        <w:t>,</w:t>
      </w:r>
      <w:r w:rsidRPr="00C50338">
        <w:t xml:space="preserve"> </w:t>
      </w:r>
      <w:r>
        <w:t xml:space="preserve">to estimate the </w:t>
      </w:r>
      <w:r w:rsidR="003B582E">
        <w:t xml:space="preserve">effect of </w:t>
      </w:r>
      <w:r>
        <w:t xml:space="preserve">school performance </w:t>
      </w:r>
      <w:r w:rsidR="003B582E">
        <w:t xml:space="preserve">on </w:t>
      </w:r>
      <w:r>
        <w:t>house prices</w:t>
      </w:r>
      <w:r w:rsidR="000A1519">
        <w:t xml:space="preserve">. Our data are from the mid-2000s, which is before </w:t>
      </w:r>
      <w:r w:rsidR="00126CA5">
        <w:t xml:space="preserve">a </w:t>
      </w:r>
      <w:r w:rsidR="000A1519">
        <w:t xml:space="preserve">series of earthquakes beginning in 2010 altered Christchurch’s property market and temporarily </w:t>
      </w:r>
      <w:r w:rsidR="00126CA5">
        <w:t xml:space="preserve">disrupted </w:t>
      </w:r>
      <w:r w:rsidR="000A1519">
        <w:t>schooling.</w:t>
      </w:r>
      <w:r w:rsidR="000A1519">
        <w:rPr>
          <w:rStyle w:val="FootnoteReference"/>
        </w:rPr>
        <w:footnoteReference w:id="1"/>
      </w:r>
      <w:r w:rsidR="000A1519">
        <w:t xml:space="preserve"> Nevertheless, our key result</w:t>
      </w:r>
      <w:r>
        <w:t xml:space="preserve"> </w:t>
      </w:r>
      <w:r w:rsidR="000A1519">
        <w:t xml:space="preserve">that the effect of school performance on house prices is </w:t>
      </w:r>
      <w:r>
        <w:t>stronger than is typically found overseas</w:t>
      </w:r>
      <w:r w:rsidR="000A1519">
        <w:t xml:space="preserve"> should be representative of the </w:t>
      </w:r>
      <w:r w:rsidR="00126CA5">
        <w:t xml:space="preserve">present-day </w:t>
      </w:r>
      <w:r w:rsidR="000A1519">
        <w:t>situation in other New Zealand cities</w:t>
      </w:r>
      <w:r>
        <w:t xml:space="preserve">. </w:t>
      </w:r>
    </w:p>
    <w:p w:rsidR="00B441BB" w:rsidRDefault="00B441BB" w:rsidP="00B441BB">
      <w:pPr>
        <w:spacing w:line="288" w:lineRule="auto"/>
        <w:ind w:firstLine="720"/>
        <w:jc w:val="both"/>
      </w:pPr>
    </w:p>
    <w:p w:rsidR="00981A32" w:rsidRDefault="00981A32" w:rsidP="00E15F65">
      <w:pPr>
        <w:spacing w:line="288" w:lineRule="auto"/>
        <w:ind w:firstLine="426"/>
        <w:jc w:val="both"/>
      </w:pPr>
      <w:r w:rsidRPr="00981A32">
        <w:t xml:space="preserve">Our </w:t>
      </w:r>
      <w:r w:rsidR="00C50338">
        <w:t xml:space="preserve">hedonic house price </w:t>
      </w:r>
      <w:r w:rsidRPr="00981A32">
        <w:t xml:space="preserve">model explains over three-quarters of the variation in prices and we use this model to predict property prices if </w:t>
      </w:r>
      <w:r w:rsidR="00154C7C">
        <w:t>attendance boundaries were abolished</w:t>
      </w:r>
      <w:r w:rsidR="00C23A41">
        <w:t>.</w:t>
      </w:r>
      <w:r w:rsidR="00154C7C">
        <w:t xml:space="preserve"> </w:t>
      </w:r>
      <w:r w:rsidR="00C23A41">
        <w:t>P</w:t>
      </w:r>
      <w:r w:rsidR="00154C7C">
        <w:t xml:space="preserve">rices </w:t>
      </w:r>
      <w:r w:rsidR="00C23A41">
        <w:t xml:space="preserve">are predicted to </w:t>
      </w:r>
      <w:r w:rsidR="00154C7C">
        <w:t xml:space="preserve">rise for many houses </w:t>
      </w:r>
      <w:r w:rsidR="003B582E">
        <w:t xml:space="preserve">but </w:t>
      </w:r>
      <w:r w:rsidR="00C23A41">
        <w:t xml:space="preserve">would </w:t>
      </w:r>
      <w:r w:rsidR="00154C7C" w:rsidRPr="00154C7C">
        <w:t>fall in some higher income neighbo</w:t>
      </w:r>
      <w:r w:rsidR="00126CA5">
        <w:t>rhoods w</w:t>
      </w:r>
      <w:r w:rsidR="00154C7C" w:rsidRPr="00154C7C">
        <w:t>h</w:t>
      </w:r>
      <w:r w:rsidR="00126CA5">
        <w:t>ose</w:t>
      </w:r>
      <w:r w:rsidR="00154C7C" w:rsidRPr="00154C7C">
        <w:t xml:space="preserve"> highly educated residents</w:t>
      </w:r>
      <w:r w:rsidR="003B582E">
        <w:t xml:space="preserve"> live inside attendance boundaries of schools with the best performance</w:t>
      </w:r>
      <w:r w:rsidR="00C23A41">
        <w:t>. The</w:t>
      </w:r>
      <w:r w:rsidR="00154C7C">
        <w:t xml:space="preserve"> areas where house prices are predicted to fall </w:t>
      </w:r>
      <w:r w:rsidR="00C23A41">
        <w:t xml:space="preserve">would </w:t>
      </w:r>
      <w:r w:rsidR="00154C7C">
        <w:t xml:space="preserve">likely </w:t>
      </w:r>
      <w:r w:rsidR="003B582E">
        <w:t xml:space="preserve">provide some </w:t>
      </w:r>
      <w:r w:rsidR="00154C7C">
        <w:t xml:space="preserve">of </w:t>
      </w:r>
      <w:r w:rsidR="003B582E">
        <w:t xml:space="preserve">the strongest </w:t>
      </w:r>
      <w:r w:rsidR="00154C7C">
        <w:t>opposition to any proposed reform</w:t>
      </w:r>
      <w:r w:rsidR="00154C7C" w:rsidRPr="00154C7C">
        <w:t xml:space="preserve"> of school attendance boundaries.</w:t>
      </w:r>
      <w:r w:rsidR="003B582E">
        <w:t xml:space="preserve"> Since about one-half of the housing stock sells every decade, many owners will have a paid a premium that reflects the capitalized value of expected access to these schools with the windfall gainers being the owners</w:t>
      </w:r>
      <w:r w:rsidR="00126CA5">
        <w:t xml:space="preserve"> when boundaries were set</w:t>
      </w:r>
      <w:r w:rsidR="003B582E">
        <w:t>.</w:t>
      </w:r>
      <w:r w:rsidR="00C23A41">
        <w:t xml:space="preserve"> These features of the property market make reform of school attendance boundaries difficult, even if there are gains in equity and the efficiency of the human capital investment process from moving to open-enrolment policies. </w:t>
      </w:r>
    </w:p>
    <w:p w:rsidR="00C03706" w:rsidRPr="008000AC" w:rsidRDefault="00C03706" w:rsidP="00B441BB">
      <w:pPr>
        <w:spacing w:line="288" w:lineRule="auto"/>
        <w:jc w:val="both"/>
        <w:rPr>
          <w:sz w:val="12"/>
          <w:szCs w:val="12"/>
        </w:rPr>
      </w:pPr>
    </w:p>
    <w:p w:rsidR="006E061C" w:rsidRPr="00232F90" w:rsidRDefault="006E061C" w:rsidP="00B441BB">
      <w:pPr>
        <w:spacing w:line="288" w:lineRule="auto"/>
        <w:jc w:val="both"/>
      </w:pPr>
    </w:p>
    <w:p w:rsidR="00F7004B" w:rsidRDefault="00DF12BF" w:rsidP="00660D86">
      <w:pPr>
        <w:tabs>
          <w:tab w:val="left" w:pos="426"/>
        </w:tabs>
        <w:spacing w:line="288" w:lineRule="auto"/>
        <w:jc w:val="both"/>
        <w:rPr>
          <w:b/>
        </w:rPr>
      </w:pPr>
      <w:r w:rsidRPr="00232F90">
        <w:rPr>
          <w:b/>
        </w:rPr>
        <w:t>II.</w:t>
      </w:r>
      <w:r w:rsidRPr="00232F90">
        <w:rPr>
          <w:b/>
        </w:rPr>
        <w:tab/>
      </w:r>
      <w:r w:rsidR="00F76075">
        <w:rPr>
          <w:b/>
        </w:rPr>
        <w:t>Policy Context and Previous Evidence</w:t>
      </w:r>
    </w:p>
    <w:p w:rsidR="00B441BB" w:rsidRPr="00B441BB" w:rsidRDefault="00B441BB" w:rsidP="00B441BB">
      <w:pPr>
        <w:spacing w:line="288" w:lineRule="auto"/>
        <w:jc w:val="both"/>
        <w:rPr>
          <w:sz w:val="12"/>
          <w:szCs w:val="12"/>
        </w:rPr>
      </w:pPr>
    </w:p>
    <w:p w:rsidR="00BE407F" w:rsidRDefault="00FF2966" w:rsidP="00B441BB">
      <w:pPr>
        <w:spacing w:line="288" w:lineRule="auto"/>
        <w:jc w:val="both"/>
        <w:rPr>
          <w:rFonts w:asciiTheme="majorBidi" w:hAnsiTheme="majorBidi" w:cstheme="majorBidi"/>
        </w:rPr>
      </w:pPr>
      <w:r>
        <w:t>Historically only a minority of New Zealand schools had enrolment schemes that required use of attendance boundaries</w:t>
      </w:r>
      <w:r w:rsidR="00D21CAE">
        <w:t>.</w:t>
      </w:r>
      <w:r>
        <w:t xml:space="preserve"> </w:t>
      </w:r>
      <w:r w:rsidR="00D21CAE">
        <w:t>A</w:t>
      </w:r>
      <w:r>
        <w:t xml:space="preserve">fter the baby boom cohort moved </w:t>
      </w:r>
      <w:r w:rsidR="00D21CAE">
        <w:t>past school-age</w:t>
      </w:r>
      <w:r>
        <w:t xml:space="preserve"> the usual pattern was one of declining enrolments</w:t>
      </w:r>
      <w:r w:rsidR="00D21CAE">
        <w:t xml:space="preserve"> </w:t>
      </w:r>
      <w:r w:rsidR="008000AC">
        <w:t>(</w:t>
      </w:r>
      <w:proofErr w:type="spellStart"/>
      <w:r w:rsidR="008000AC">
        <w:t>Beaven</w:t>
      </w:r>
      <w:proofErr w:type="spellEnd"/>
      <w:r>
        <w:t xml:space="preserve"> 2003). But over-crowding of schools became an emerging issue from the late 1980s as the children of the baby boomers approached secondary school age. Partly in response, t</w:t>
      </w:r>
      <w:r w:rsidR="00BE407F">
        <w:rPr>
          <w:rFonts w:asciiTheme="majorBidi" w:hAnsiTheme="majorBidi" w:cstheme="majorBidi"/>
          <w:color w:val="1B1C20"/>
        </w:rPr>
        <w:t>he 1989 Education Act implemented the ‘Tomorrow’s Schools’ reforms of the Fourth Labour Government which devolve</w:t>
      </w:r>
      <w:r>
        <w:rPr>
          <w:rFonts w:asciiTheme="majorBidi" w:hAnsiTheme="majorBidi" w:cstheme="majorBidi"/>
          <w:color w:val="1B1C20"/>
        </w:rPr>
        <w:t>d</w:t>
      </w:r>
      <w:r w:rsidR="00BE407F">
        <w:rPr>
          <w:rFonts w:asciiTheme="majorBidi" w:hAnsiTheme="majorBidi" w:cstheme="majorBidi"/>
          <w:color w:val="1B1C20"/>
        </w:rPr>
        <w:t xml:space="preserve"> school decision making powers and increase</w:t>
      </w:r>
      <w:r>
        <w:rPr>
          <w:rFonts w:asciiTheme="majorBidi" w:hAnsiTheme="majorBidi" w:cstheme="majorBidi"/>
          <w:color w:val="1B1C20"/>
        </w:rPr>
        <w:t>d</w:t>
      </w:r>
      <w:r w:rsidR="00BE407F">
        <w:rPr>
          <w:rFonts w:asciiTheme="majorBidi" w:hAnsiTheme="majorBidi" w:cstheme="majorBidi"/>
          <w:color w:val="1B1C20"/>
        </w:rPr>
        <w:t xml:space="preserve"> parental choice. Under these reforms, admissions policies were amended </w:t>
      </w:r>
      <w:r w:rsidR="00BE407F" w:rsidRPr="00BE407F">
        <w:rPr>
          <w:rFonts w:asciiTheme="majorBidi" w:hAnsiTheme="majorBidi" w:cstheme="majorBidi"/>
          <w:color w:val="1B1C20"/>
        </w:rPr>
        <w:t>to allow students to att</w:t>
      </w:r>
      <w:r w:rsidR="00BE407F">
        <w:rPr>
          <w:rFonts w:asciiTheme="majorBidi" w:hAnsiTheme="majorBidi" w:cstheme="majorBidi"/>
          <w:color w:val="1B1C20"/>
        </w:rPr>
        <w:t xml:space="preserve">end any state school with space available, but </w:t>
      </w:r>
      <w:r w:rsidR="00BE407F" w:rsidRPr="00BE407F">
        <w:rPr>
          <w:rFonts w:asciiTheme="majorBidi" w:hAnsiTheme="majorBidi" w:cstheme="majorBidi"/>
          <w:color w:val="1B1C20"/>
        </w:rPr>
        <w:t>children retained the right to attend a local school.</w:t>
      </w:r>
      <w:r w:rsidR="00BE407F">
        <w:rPr>
          <w:rFonts w:asciiTheme="majorBidi" w:hAnsiTheme="majorBidi" w:cstheme="majorBidi"/>
          <w:color w:val="1B1C20"/>
        </w:rPr>
        <w:t xml:space="preserve"> T</w:t>
      </w:r>
      <w:r w:rsidR="00BE407F" w:rsidRPr="00BE407F">
        <w:rPr>
          <w:rFonts w:asciiTheme="majorBidi" w:hAnsiTheme="majorBidi" w:cstheme="majorBidi"/>
          <w:color w:val="1B1C20"/>
        </w:rPr>
        <w:t>he first year of reform</w:t>
      </w:r>
      <w:r w:rsidR="00BE407F">
        <w:rPr>
          <w:rFonts w:asciiTheme="majorBidi" w:hAnsiTheme="majorBidi" w:cstheme="majorBidi"/>
          <w:color w:val="1B1C20"/>
        </w:rPr>
        <w:t xml:space="preserve"> implementation</w:t>
      </w:r>
      <w:r w:rsidR="00BE407F" w:rsidRPr="00BE407F">
        <w:rPr>
          <w:rFonts w:asciiTheme="majorBidi" w:hAnsiTheme="majorBidi" w:cstheme="majorBidi"/>
          <w:color w:val="1B1C20"/>
        </w:rPr>
        <w:t xml:space="preserve">, </w:t>
      </w:r>
      <w:r w:rsidR="00BE407F">
        <w:rPr>
          <w:rFonts w:asciiTheme="majorBidi" w:hAnsiTheme="majorBidi" w:cstheme="majorBidi"/>
          <w:color w:val="1B1C20"/>
        </w:rPr>
        <w:t xml:space="preserve">in </w:t>
      </w:r>
      <w:r w:rsidR="00BE407F" w:rsidRPr="00BE407F">
        <w:rPr>
          <w:rFonts w:asciiTheme="majorBidi" w:hAnsiTheme="majorBidi" w:cstheme="majorBidi"/>
          <w:color w:val="1B1C20"/>
        </w:rPr>
        <w:t xml:space="preserve">1991, </w:t>
      </w:r>
      <w:r w:rsidR="00BE407F">
        <w:rPr>
          <w:rFonts w:asciiTheme="majorBidi" w:hAnsiTheme="majorBidi" w:cstheme="majorBidi"/>
          <w:color w:val="1B1C20"/>
        </w:rPr>
        <w:t xml:space="preserve">saw </w:t>
      </w:r>
      <w:r w:rsidR="00BE407F" w:rsidRPr="00BE407F">
        <w:rPr>
          <w:rFonts w:asciiTheme="majorBidi" w:hAnsiTheme="majorBidi" w:cstheme="majorBidi"/>
          <w:color w:val="1B1C20"/>
        </w:rPr>
        <w:t xml:space="preserve">guaranteed access </w:t>
      </w:r>
      <w:r w:rsidR="00BE407F">
        <w:rPr>
          <w:rFonts w:asciiTheme="majorBidi" w:hAnsiTheme="majorBidi" w:cstheme="majorBidi"/>
          <w:color w:val="1B1C20"/>
        </w:rPr>
        <w:t xml:space="preserve">for </w:t>
      </w:r>
      <w:r w:rsidR="00BE407F" w:rsidRPr="00BE407F">
        <w:rPr>
          <w:rFonts w:asciiTheme="majorBidi" w:hAnsiTheme="majorBidi" w:cstheme="majorBidi"/>
          <w:color w:val="1B1C20"/>
        </w:rPr>
        <w:t>students in</w:t>
      </w:r>
      <w:r>
        <w:rPr>
          <w:rFonts w:asciiTheme="majorBidi" w:hAnsiTheme="majorBidi" w:cstheme="majorBidi"/>
          <w:color w:val="1B1C20"/>
        </w:rPr>
        <w:t>side</w:t>
      </w:r>
      <w:r w:rsidR="00BE407F" w:rsidRPr="00BE407F">
        <w:rPr>
          <w:rFonts w:asciiTheme="majorBidi" w:hAnsiTheme="majorBidi" w:cstheme="majorBidi"/>
          <w:color w:val="1B1C20"/>
        </w:rPr>
        <w:t xml:space="preserve"> a school’s </w:t>
      </w:r>
      <w:r>
        <w:rPr>
          <w:rFonts w:asciiTheme="majorBidi" w:hAnsiTheme="majorBidi" w:cstheme="majorBidi"/>
          <w:color w:val="1B1C20"/>
        </w:rPr>
        <w:t xml:space="preserve">attendance boundary </w:t>
      </w:r>
      <w:r w:rsidR="00BE407F" w:rsidRPr="00BE407F">
        <w:rPr>
          <w:rFonts w:asciiTheme="majorBidi" w:hAnsiTheme="majorBidi" w:cstheme="majorBidi"/>
          <w:color w:val="1B1C20"/>
        </w:rPr>
        <w:t xml:space="preserve">and places for students outside boundaries </w:t>
      </w:r>
      <w:r w:rsidR="00BE407F">
        <w:rPr>
          <w:rFonts w:asciiTheme="majorBidi" w:hAnsiTheme="majorBidi" w:cstheme="majorBidi"/>
          <w:color w:val="1B1C20"/>
        </w:rPr>
        <w:t xml:space="preserve">were allocated by lottery </w:t>
      </w:r>
      <w:r w:rsidR="008000AC">
        <w:rPr>
          <w:rFonts w:asciiTheme="majorBidi" w:hAnsiTheme="majorBidi" w:cstheme="majorBidi"/>
          <w:color w:val="1B1C20"/>
        </w:rPr>
        <w:t xml:space="preserve">(Harrison </w:t>
      </w:r>
      <w:r w:rsidR="00BE407F" w:rsidRPr="00BE407F">
        <w:rPr>
          <w:rFonts w:asciiTheme="majorBidi" w:hAnsiTheme="majorBidi" w:cstheme="majorBidi"/>
          <w:color w:val="1B1C20"/>
        </w:rPr>
        <w:t>2004).</w:t>
      </w:r>
      <w:r w:rsidR="00BE407F">
        <w:rPr>
          <w:rFonts w:asciiTheme="majorBidi" w:hAnsiTheme="majorBidi" w:cstheme="majorBidi"/>
          <w:color w:val="1B1C20"/>
        </w:rPr>
        <w:t xml:space="preserve"> </w:t>
      </w:r>
      <w:r w:rsidR="00BE407F" w:rsidRPr="00BE407F">
        <w:rPr>
          <w:rFonts w:asciiTheme="majorBidi" w:hAnsiTheme="majorBidi" w:cstheme="majorBidi"/>
        </w:rPr>
        <w:t xml:space="preserve">The </w:t>
      </w:r>
      <w:r w:rsidR="00087B6B">
        <w:rPr>
          <w:rFonts w:asciiTheme="majorBidi" w:hAnsiTheme="majorBidi" w:cstheme="majorBidi"/>
        </w:rPr>
        <w:t xml:space="preserve">center-right </w:t>
      </w:r>
      <w:r w:rsidR="00BE407F" w:rsidRPr="00BE407F">
        <w:rPr>
          <w:rFonts w:asciiTheme="majorBidi" w:hAnsiTheme="majorBidi" w:cstheme="majorBidi"/>
        </w:rPr>
        <w:t xml:space="preserve">National Party </w:t>
      </w:r>
      <w:r w:rsidR="00BE407F">
        <w:rPr>
          <w:rFonts w:asciiTheme="majorBidi" w:hAnsiTheme="majorBidi" w:cstheme="majorBidi"/>
        </w:rPr>
        <w:t xml:space="preserve">was elected in late 1990 and </w:t>
      </w:r>
      <w:r w:rsidR="00BD3F8B">
        <w:rPr>
          <w:rFonts w:asciiTheme="majorBidi" w:hAnsiTheme="majorBidi" w:cstheme="majorBidi"/>
        </w:rPr>
        <w:t xml:space="preserve">they </w:t>
      </w:r>
      <w:r w:rsidR="00BE407F">
        <w:rPr>
          <w:rFonts w:asciiTheme="majorBidi" w:hAnsiTheme="majorBidi" w:cstheme="majorBidi"/>
        </w:rPr>
        <w:t xml:space="preserve">further </w:t>
      </w:r>
      <w:r w:rsidR="00BE407F" w:rsidRPr="00BE407F">
        <w:rPr>
          <w:rFonts w:asciiTheme="majorBidi" w:hAnsiTheme="majorBidi" w:cstheme="majorBidi"/>
        </w:rPr>
        <w:t>extend</w:t>
      </w:r>
      <w:r w:rsidR="00BD3F8B">
        <w:rPr>
          <w:rFonts w:asciiTheme="majorBidi" w:hAnsiTheme="majorBidi" w:cstheme="majorBidi"/>
        </w:rPr>
        <w:t>ed</w:t>
      </w:r>
      <w:r w:rsidR="00BE407F" w:rsidRPr="00BE407F">
        <w:rPr>
          <w:rFonts w:asciiTheme="majorBidi" w:hAnsiTheme="majorBidi" w:cstheme="majorBidi"/>
        </w:rPr>
        <w:t xml:space="preserve"> </w:t>
      </w:r>
      <w:r w:rsidR="00BE407F">
        <w:rPr>
          <w:rFonts w:asciiTheme="majorBidi" w:hAnsiTheme="majorBidi" w:cstheme="majorBidi"/>
        </w:rPr>
        <w:t xml:space="preserve">schooling </w:t>
      </w:r>
      <w:r w:rsidR="00BE407F" w:rsidRPr="00BE407F">
        <w:rPr>
          <w:rFonts w:asciiTheme="majorBidi" w:hAnsiTheme="majorBidi" w:cstheme="majorBidi"/>
        </w:rPr>
        <w:t xml:space="preserve">choice by abolishing all </w:t>
      </w:r>
      <w:r w:rsidR="00965C6B">
        <w:rPr>
          <w:rFonts w:asciiTheme="majorBidi" w:hAnsiTheme="majorBidi" w:cstheme="majorBidi"/>
        </w:rPr>
        <w:t>boundaries (or 'zones'</w:t>
      </w:r>
      <w:r>
        <w:rPr>
          <w:rFonts w:asciiTheme="majorBidi" w:hAnsiTheme="majorBidi" w:cstheme="majorBidi"/>
        </w:rPr>
        <w:t>)</w:t>
      </w:r>
      <w:r w:rsidR="00BE407F">
        <w:rPr>
          <w:rFonts w:asciiTheme="majorBidi" w:hAnsiTheme="majorBidi" w:cstheme="majorBidi"/>
        </w:rPr>
        <w:t xml:space="preserve"> with </w:t>
      </w:r>
      <w:r>
        <w:rPr>
          <w:rFonts w:asciiTheme="majorBidi" w:hAnsiTheme="majorBidi" w:cstheme="majorBidi"/>
        </w:rPr>
        <w:t>effect from 1992. O</w:t>
      </w:r>
      <w:r w:rsidR="00BE407F" w:rsidRPr="00BE407F">
        <w:rPr>
          <w:rFonts w:asciiTheme="majorBidi" w:hAnsiTheme="majorBidi" w:cstheme="majorBidi"/>
        </w:rPr>
        <w:t xml:space="preserve">ver-enrolled schools </w:t>
      </w:r>
      <w:r w:rsidR="0011626F">
        <w:rPr>
          <w:rFonts w:asciiTheme="majorBidi" w:hAnsiTheme="majorBidi" w:cstheme="majorBidi"/>
        </w:rPr>
        <w:t xml:space="preserve">were </w:t>
      </w:r>
      <w:r w:rsidR="00BD3F8B">
        <w:rPr>
          <w:rFonts w:asciiTheme="majorBidi" w:hAnsiTheme="majorBidi" w:cstheme="majorBidi"/>
        </w:rPr>
        <w:t xml:space="preserve">then </w:t>
      </w:r>
      <w:r w:rsidR="00BE407F">
        <w:rPr>
          <w:rFonts w:asciiTheme="majorBidi" w:hAnsiTheme="majorBidi" w:cstheme="majorBidi"/>
        </w:rPr>
        <w:t>free to determine</w:t>
      </w:r>
      <w:r w:rsidR="00BE407F" w:rsidRPr="00BE407F">
        <w:rPr>
          <w:rFonts w:asciiTheme="majorBidi" w:hAnsiTheme="majorBidi" w:cstheme="majorBidi"/>
        </w:rPr>
        <w:t xml:space="preserve"> their own enrolment scheme</w:t>
      </w:r>
      <w:r w:rsidR="00BE407F">
        <w:rPr>
          <w:rFonts w:asciiTheme="majorBidi" w:hAnsiTheme="majorBidi" w:cstheme="majorBidi"/>
        </w:rPr>
        <w:t xml:space="preserve"> provided it did not discriminate on economic, rac</w:t>
      </w:r>
      <w:r w:rsidR="008000AC">
        <w:rPr>
          <w:rFonts w:asciiTheme="majorBidi" w:hAnsiTheme="majorBidi" w:cstheme="majorBidi"/>
        </w:rPr>
        <w:t>ial or religious grounds (Adams</w:t>
      </w:r>
      <w:r w:rsidR="00BE407F">
        <w:rPr>
          <w:rFonts w:asciiTheme="majorBidi" w:hAnsiTheme="majorBidi" w:cstheme="majorBidi"/>
        </w:rPr>
        <w:t xml:space="preserve"> 2009).</w:t>
      </w:r>
    </w:p>
    <w:p w:rsidR="00B441BB" w:rsidRDefault="00B441BB" w:rsidP="00B441BB">
      <w:pPr>
        <w:spacing w:line="288" w:lineRule="auto"/>
        <w:jc w:val="both"/>
        <w:rPr>
          <w:rFonts w:asciiTheme="majorBidi" w:hAnsiTheme="majorBidi" w:cstheme="majorBidi"/>
        </w:rPr>
      </w:pPr>
    </w:p>
    <w:p w:rsidR="00087B6B" w:rsidRDefault="00087B6B" w:rsidP="00660D86">
      <w:pPr>
        <w:spacing w:line="288" w:lineRule="auto"/>
        <w:ind w:firstLine="426"/>
        <w:jc w:val="both"/>
        <w:rPr>
          <w:rFonts w:asciiTheme="majorBidi" w:hAnsiTheme="majorBidi" w:cstheme="majorBidi"/>
          <w:color w:val="1B1C20"/>
        </w:rPr>
      </w:pPr>
      <w:r>
        <w:rPr>
          <w:rFonts w:asciiTheme="majorBidi" w:hAnsiTheme="majorBidi" w:cstheme="majorBidi"/>
        </w:rPr>
        <w:lastRenderedPageBreak/>
        <w:t xml:space="preserve">The election of the Fifth Labour Government in 1999 came during a period of reversal of the economic and social reforms of the 1980s. Even before this government was elected, legislation and policy had begun to </w:t>
      </w:r>
      <w:r w:rsidR="00F65B84">
        <w:rPr>
          <w:rFonts w:asciiTheme="majorBidi" w:hAnsiTheme="majorBidi" w:cstheme="majorBidi"/>
        </w:rPr>
        <w:t xml:space="preserve">weaken some </w:t>
      </w:r>
      <w:r>
        <w:rPr>
          <w:rFonts w:asciiTheme="majorBidi" w:hAnsiTheme="majorBidi" w:cstheme="majorBidi"/>
        </w:rPr>
        <w:t xml:space="preserve">of the reforms of Tomorrow’s Schools. </w:t>
      </w:r>
      <w:r>
        <w:rPr>
          <w:rFonts w:asciiTheme="majorBidi" w:hAnsiTheme="majorBidi" w:cstheme="majorBidi"/>
          <w:color w:val="1B1C20"/>
        </w:rPr>
        <w:t xml:space="preserve">In 1999, legislation increased central regulation of enrolment schemes to ensure students could attend a ‘reasonably convenient’ school, in effect giving priority to those within a school’s </w:t>
      </w:r>
      <w:r w:rsidR="00BD3F8B">
        <w:rPr>
          <w:rFonts w:asciiTheme="majorBidi" w:hAnsiTheme="majorBidi" w:cstheme="majorBidi"/>
          <w:color w:val="1B1C20"/>
        </w:rPr>
        <w:t xml:space="preserve">catchment </w:t>
      </w:r>
      <w:r>
        <w:rPr>
          <w:rFonts w:asciiTheme="majorBidi" w:hAnsiTheme="majorBidi" w:cstheme="majorBidi"/>
          <w:color w:val="1B1C20"/>
        </w:rPr>
        <w:t xml:space="preserve">area. The Education Amendment Act of 2000 required schools to enroll students living within an attendance boundary and allocate places to out-of-boundary students by ballot – returning to the situation in 1991 </w:t>
      </w:r>
      <w:sdt>
        <w:sdtPr>
          <w:rPr>
            <w:rFonts w:asciiTheme="majorBidi" w:hAnsiTheme="majorBidi" w:cstheme="majorBidi"/>
            <w:color w:val="1B1C20"/>
          </w:rPr>
          <w:id w:val="-919402546"/>
          <w:citation/>
        </w:sdtPr>
        <w:sdtContent>
          <w:r>
            <w:rPr>
              <w:rFonts w:asciiTheme="majorBidi" w:hAnsiTheme="majorBidi" w:cstheme="majorBidi"/>
              <w:color w:val="1B1C20"/>
            </w:rPr>
            <w:fldChar w:fldCharType="begin"/>
          </w:r>
          <w:r>
            <w:rPr>
              <w:rFonts w:asciiTheme="majorBidi" w:hAnsiTheme="majorBidi" w:cstheme="majorBidi"/>
              <w:color w:val="1B1C20"/>
            </w:rPr>
            <w:instrText xml:space="preserve"> CITATION Har04 \l 5129 </w:instrText>
          </w:r>
          <w:r>
            <w:rPr>
              <w:rFonts w:asciiTheme="majorBidi" w:hAnsiTheme="majorBidi" w:cstheme="majorBidi"/>
              <w:color w:val="1B1C20"/>
            </w:rPr>
            <w:fldChar w:fldCharType="separate"/>
          </w:r>
          <w:r w:rsidRPr="00525EA0">
            <w:rPr>
              <w:rFonts w:asciiTheme="majorBidi" w:hAnsiTheme="majorBidi" w:cstheme="majorBidi"/>
              <w:noProof/>
              <w:color w:val="1B1C20"/>
            </w:rPr>
            <w:t>(Harrison, 2004)</w:t>
          </w:r>
          <w:r>
            <w:rPr>
              <w:rFonts w:asciiTheme="majorBidi" w:hAnsiTheme="majorBidi" w:cstheme="majorBidi"/>
              <w:color w:val="1B1C20"/>
            </w:rPr>
            <w:fldChar w:fldCharType="end"/>
          </w:r>
        </w:sdtContent>
      </w:sdt>
      <w:r>
        <w:rPr>
          <w:rFonts w:asciiTheme="majorBidi" w:hAnsiTheme="majorBidi" w:cstheme="majorBidi"/>
          <w:color w:val="1B1C20"/>
        </w:rPr>
        <w:t xml:space="preserve">. This Act also </w:t>
      </w:r>
      <w:r w:rsidRPr="00F01516">
        <w:rPr>
          <w:rFonts w:asciiTheme="majorBidi" w:hAnsiTheme="majorBidi" w:cstheme="majorBidi"/>
          <w:color w:val="1B1C20"/>
        </w:rPr>
        <w:t xml:space="preserve">removed the </w:t>
      </w:r>
      <w:r>
        <w:rPr>
          <w:rFonts w:asciiTheme="majorBidi" w:hAnsiTheme="majorBidi" w:cstheme="majorBidi"/>
          <w:color w:val="1B1C20"/>
        </w:rPr>
        <w:t>bulk funding</w:t>
      </w:r>
      <w:r w:rsidRPr="00F01516">
        <w:rPr>
          <w:rFonts w:asciiTheme="majorBidi" w:hAnsiTheme="majorBidi" w:cstheme="majorBidi"/>
          <w:color w:val="1B1C20"/>
        </w:rPr>
        <w:t xml:space="preserve"> option </w:t>
      </w:r>
      <w:r>
        <w:rPr>
          <w:rFonts w:asciiTheme="majorBidi" w:hAnsiTheme="majorBidi" w:cstheme="majorBidi"/>
          <w:color w:val="1B1C20"/>
        </w:rPr>
        <w:t xml:space="preserve">for </w:t>
      </w:r>
      <w:r w:rsidRPr="00F01516">
        <w:rPr>
          <w:rFonts w:asciiTheme="majorBidi" w:hAnsiTheme="majorBidi" w:cstheme="majorBidi"/>
          <w:color w:val="1B1C20"/>
        </w:rPr>
        <w:t>schools</w:t>
      </w:r>
      <w:r>
        <w:rPr>
          <w:rFonts w:asciiTheme="majorBidi" w:hAnsiTheme="majorBidi" w:cstheme="majorBidi"/>
          <w:color w:val="1B1C20"/>
        </w:rPr>
        <w:t xml:space="preserve"> </w:t>
      </w:r>
      <w:r w:rsidR="002F5D05">
        <w:rPr>
          <w:rFonts w:asciiTheme="majorBidi" w:hAnsiTheme="majorBidi" w:cstheme="majorBidi"/>
          <w:color w:val="1B1C20"/>
        </w:rPr>
        <w:t xml:space="preserve">that </w:t>
      </w:r>
      <w:r>
        <w:rPr>
          <w:rFonts w:asciiTheme="majorBidi" w:hAnsiTheme="majorBidi" w:cstheme="majorBidi"/>
          <w:color w:val="1B1C20"/>
        </w:rPr>
        <w:t>had provided them with block grants</w:t>
      </w:r>
      <w:r w:rsidRPr="00F01516">
        <w:rPr>
          <w:rFonts w:asciiTheme="majorBidi" w:hAnsiTheme="majorBidi" w:cstheme="majorBidi"/>
          <w:color w:val="1B1C20"/>
        </w:rPr>
        <w:t>, reintroduced</w:t>
      </w:r>
      <w:r>
        <w:rPr>
          <w:rFonts w:asciiTheme="majorBidi" w:hAnsiTheme="majorBidi" w:cstheme="majorBidi"/>
          <w:color w:val="1B1C20"/>
        </w:rPr>
        <w:t xml:space="preserve"> capped rolls</w:t>
      </w:r>
      <w:r w:rsidR="004F3279">
        <w:rPr>
          <w:rFonts w:asciiTheme="majorBidi" w:hAnsiTheme="majorBidi" w:cstheme="majorBidi"/>
          <w:color w:val="1B1C20"/>
        </w:rPr>
        <w:t>,</w:t>
      </w:r>
      <w:r>
        <w:rPr>
          <w:rFonts w:asciiTheme="majorBidi" w:hAnsiTheme="majorBidi" w:cstheme="majorBidi"/>
          <w:color w:val="1B1C20"/>
        </w:rPr>
        <w:t xml:space="preserve"> and </w:t>
      </w:r>
      <w:r w:rsidR="004F3279">
        <w:rPr>
          <w:rFonts w:asciiTheme="majorBidi" w:hAnsiTheme="majorBidi" w:cstheme="majorBidi"/>
          <w:color w:val="1B1C20"/>
        </w:rPr>
        <w:t xml:space="preserve">removed the discretion that schools previously had for determining their own enrolment scheme. </w:t>
      </w:r>
    </w:p>
    <w:p w:rsidR="00B441BB" w:rsidRPr="0057251F" w:rsidRDefault="00B441BB" w:rsidP="00B441BB">
      <w:pPr>
        <w:spacing w:line="288" w:lineRule="auto"/>
        <w:ind w:firstLine="720"/>
        <w:jc w:val="both"/>
        <w:rPr>
          <w:rFonts w:asciiTheme="majorBidi" w:hAnsiTheme="majorBidi" w:cstheme="majorBidi"/>
        </w:rPr>
      </w:pPr>
    </w:p>
    <w:p w:rsidR="00DF12BF" w:rsidRDefault="001751DB" w:rsidP="00660D86">
      <w:pPr>
        <w:spacing w:line="288" w:lineRule="auto"/>
        <w:ind w:firstLine="426"/>
        <w:jc w:val="both"/>
        <w:rPr>
          <w:rFonts w:asciiTheme="majorBidi" w:hAnsiTheme="majorBidi" w:cstheme="majorBidi"/>
        </w:rPr>
      </w:pPr>
      <w:r>
        <w:rPr>
          <w:rFonts w:asciiTheme="majorBidi" w:hAnsiTheme="majorBidi" w:cstheme="majorBidi"/>
        </w:rPr>
        <w:t xml:space="preserve">There is some previous research on school attendance boundaries and house prices in New Zealand but it is more in the nature of spatially limited case studies that are uninformative for policy. In each case, house prices have been related to dummy variables for whether a house was inside the school attendance boundary (or ‘school zone’) for particular schools. There is no measure of school performance in these studies so results cannot generalize to other settings and it is not possible to draw implications for improving school quality. In the first of these studies, </w:t>
      </w:r>
      <w:proofErr w:type="spellStart"/>
      <w:r>
        <w:rPr>
          <w:rFonts w:asciiTheme="majorBidi" w:hAnsiTheme="majorBidi" w:cstheme="majorBidi"/>
        </w:rPr>
        <w:t>McClay</w:t>
      </w:r>
      <w:proofErr w:type="spellEnd"/>
      <w:r>
        <w:rPr>
          <w:rFonts w:asciiTheme="majorBidi" w:hAnsiTheme="majorBidi" w:cstheme="majorBidi"/>
        </w:rPr>
        <w:t xml:space="preserve"> and Harrison (2003) examined sales prices for 500 properties in Northwest Christchurch and related these to dwelling characteristics and to a set of dummy variables indicating whether the dwelling was inside the attendance boundary for each of four schools. Since these boundaries overlap somewhat,</w:t>
      </w:r>
      <w:r w:rsidR="00271B59">
        <w:rPr>
          <w:rFonts w:asciiTheme="majorBidi" w:hAnsiTheme="majorBidi" w:cstheme="majorBidi"/>
        </w:rPr>
        <w:t xml:space="preserve"> seven dummy variables were needed to create exclusive categories, with an eighth used for dwellings outside the boundaries of all four schools.</w:t>
      </w:r>
      <w:r w:rsidR="00664D68">
        <w:rPr>
          <w:rFonts w:asciiTheme="majorBidi" w:hAnsiTheme="majorBidi" w:cstheme="majorBidi"/>
        </w:rPr>
        <w:t xml:space="preserve"> This study </w:t>
      </w:r>
      <w:r w:rsidR="00DE46B3">
        <w:rPr>
          <w:rFonts w:asciiTheme="majorBidi" w:hAnsiTheme="majorBidi" w:cstheme="majorBidi"/>
        </w:rPr>
        <w:t>found the highest</w:t>
      </w:r>
      <w:r w:rsidR="00664D68">
        <w:rPr>
          <w:rFonts w:asciiTheme="majorBidi" w:hAnsiTheme="majorBidi" w:cstheme="majorBidi"/>
        </w:rPr>
        <w:t xml:space="preserve"> price premium </w:t>
      </w:r>
      <w:r w:rsidR="00DE46B3">
        <w:rPr>
          <w:rFonts w:asciiTheme="majorBidi" w:hAnsiTheme="majorBidi" w:cstheme="majorBidi"/>
        </w:rPr>
        <w:t xml:space="preserve">was </w:t>
      </w:r>
      <w:r w:rsidR="00664D68">
        <w:rPr>
          <w:rFonts w:asciiTheme="majorBidi" w:hAnsiTheme="majorBidi" w:cstheme="majorBidi"/>
        </w:rPr>
        <w:t>for being inside the attendance boundary of Christchurch Girls High School (CGHS)</w:t>
      </w:r>
      <w:r w:rsidR="00DE46B3">
        <w:rPr>
          <w:rFonts w:asciiTheme="majorBidi" w:hAnsiTheme="majorBidi" w:cstheme="majorBidi"/>
        </w:rPr>
        <w:t>;</w:t>
      </w:r>
      <w:r w:rsidR="00664D68">
        <w:rPr>
          <w:rFonts w:asciiTheme="majorBidi" w:hAnsiTheme="majorBidi" w:cstheme="majorBidi"/>
        </w:rPr>
        <w:t xml:space="preserve"> </w:t>
      </w:r>
      <w:r w:rsidR="00DE46B3">
        <w:rPr>
          <w:rFonts w:asciiTheme="majorBidi" w:hAnsiTheme="majorBidi" w:cstheme="majorBidi"/>
        </w:rPr>
        <w:t>at $138,000 it was</w:t>
      </w:r>
      <w:r w:rsidR="008000AC">
        <w:rPr>
          <w:rFonts w:asciiTheme="majorBidi" w:hAnsiTheme="majorBidi" w:cstheme="majorBidi"/>
        </w:rPr>
        <w:t xml:space="preserve"> equivalent to almost 50 percent</w:t>
      </w:r>
      <w:r w:rsidR="00664D68">
        <w:rPr>
          <w:rFonts w:asciiTheme="majorBidi" w:hAnsiTheme="majorBidi" w:cstheme="majorBidi"/>
        </w:rPr>
        <w:t xml:space="preserve"> of the average house </w:t>
      </w:r>
      <w:r w:rsidR="00DE46B3">
        <w:rPr>
          <w:rFonts w:asciiTheme="majorBidi" w:hAnsiTheme="majorBidi" w:cstheme="majorBidi"/>
        </w:rPr>
        <w:t>price. However, this study had</w:t>
      </w:r>
      <w:r w:rsidR="00664D68">
        <w:rPr>
          <w:rFonts w:asciiTheme="majorBidi" w:hAnsiTheme="majorBidi" w:cstheme="majorBidi"/>
        </w:rPr>
        <w:t xml:space="preserve"> no controls for neighborhood characteristics, and </w:t>
      </w:r>
      <w:r w:rsidR="00DE46B3">
        <w:rPr>
          <w:rFonts w:asciiTheme="majorBidi" w:hAnsiTheme="majorBidi" w:cstheme="majorBidi"/>
        </w:rPr>
        <w:t xml:space="preserve">for the </w:t>
      </w:r>
      <w:r w:rsidR="00664D68">
        <w:rPr>
          <w:rFonts w:asciiTheme="majorBidi" w:hAnsiTheme="majorBidi" w:cstheme="majorBidi"/>
        </w:rPr>
        <w:t xml:space="preserve">geographic attractiveness of </w:t>
      </w:r>
      <w:r w:rsidR="00DE46B3">
        <w:rPr>
          <w:rFonts w:asciiTheme="majorBidi" w:hAnsiTheme="majorBidi" w:cstheme="majorBidi"/>
        </w:rPr>
        <w:t>locations</w:t>
      </w:r>
      <w:r w:rsidR="00664D68">
        <w:rPr>
          <w:rFonts w:asciiTheme="majorBidi" w:hAnsiTheme="majorBidi" w:cstheme="majorBidi"/>
        </w:rPr>
        <w:t xml:space="preserve">, so this premium may be capturing many influences other than </w:t>
      </w:r>
      <w:r w:rsidR="00DE46B3">
        <w:rPr>
          <w:rFonts w:asciiTheme="majorBidi" w:hAnsiTheme="majorBidi" w:cstheme="majorBidi"/>
        </w:rPr>
        <w:t xml:space="preserve">just the </w:t>
      </w:r>
      <w:r w:rsidR="00664D68">
        <w:rPr>
          <w:rFonts w:asciiTheme="majorBidi" w:hAnsiTheme="majorBidi" w:cstheme="majorBidi"/>
        </w:rPr>
        <w:t xml:space="preserve">guaranteed access to a </w:t>
      </w:r>
      <w:r w:rsidR="00DE46B3">
        <w:rPr>
          <w:rFonts w:asciiTheme="majorBidi" w:hAnsiTheme="majorBidi" w:cstheme="majorBidi"/>
        </w:rPr>
        <w:t xml:space="preserve">state </w:t>
      </w:r>
      <w:r w:rsidR="00664D68">
        <w:rPr>
          <w:rFonts w:asciiTheme="majorBidi" w:hAnsiTheme="majorBidi" w:cstheme="majorBidi"/>
        </w:rPr>
        <w:t>school</w:t>
      </w:r>
      <w:r w:rsidR="00DE46B3">
        <w:rPr>
          <w:rFonts w:asciiTheme="majorBidi" w:hAnsiTheme="majorBidi" w:cstheme="majorBidi"/>
        </w:rPr>
        <w:t xml:space="preserve"> that is perceived to be of high quality</w:t>
      </w:r>
      <w:r w:rsidR="00664D68">
        <w:rPr>
          <w:rFonts w:asciiTheme="majorBidi" w:hAnsiTheme="majorBidi" w:cstheme="majorBidi"/>
        </w:rPr>
        <w:t xml:space="preserve">. </w:t>
      </w:r>
    </w:p>
    <w:p w:rsidR="00B441BB" w:rsidRPr="0057251F" w:rsidRDefault="00B441BB" w:rsidP="00B441BB">
      <w:pPr>
        <w:spacing w:line="288" w:lineRule="auto"/>
        <w:ind w:firstLine="720"/>
        <w:jc w:val="both"/>
        <w:rPr>
          <w:rFonts w:asciiTheme="majorBidi" w:hAnsiTheme="majorBidi" w:cstheme="majorBidi"/>
        </w:rPr>
      </w:pPr>
    </w:p>
    <w:p w:rsidR="00664D68" w:rsidRDefault="00664D68" w:rsidP="006E061C">
      <w:pPr>
        <w:spacing w:line="288" w:lineRule="auto"/>
        <w:ind w:firstLine="426"/>
        <w:jc w:val="both"/>
      </w:pPr>
      <w:r>
        <w:t xml:space="preserve">A further concern with the </w:t>
      </w:r>
      <w:proofErr w:type="spellStart"/>
      <w:r>
        <w:t>McClay</w:t>
      </w:r>
      <w:proofErr w:type="spellEnd"/>
      <w:r>
        <w:t xml:space="preserve"> and Harrison study is that</w:t>
      </w:r>
      <w:r w:rsidR="00D268E9">
        <w:t xml:space="preserve"> no account was taken of any spatial autocorrelation, which is a typical feature of real estate data. </w:t>
      </w:r>
      <w:r w:rsidR="00360FDC">
        <w:t xml:space="preserve">This cross-sectional dependence </w:t>
      </w:r>
      <w:r w:rsidR="00360FDC" w:rsidRPr="000C7F0E">
        <w:t xml:space="preserve">can arise because </w:t>
      </w:r>
      <w:r w:rsidR="00360FDC">
        <w:t xml:space="preserve">nearby </w:t>
      </w:r>
      <w:r w:rsidR="00360FDC" w:rsidRPr="000C7F0E">
        <w:t>properties share local amenities</w:t>
      </w:r>
      <w:r w:rsidR="00360FDC">
        <w:t>,</w:t>
      </w:r>
      <w:r w:rsidR="00126CA5">
        <w:t xml:space="preserve"> and</w:t>
      </w:r>
      <w:r w:rsidR="00360FDC">
        <w:t xml:space="preserve"> </w:t>
      </w:r>
      <w:r w:rsidR="00126CA5">
        <w:t xml:space="preserve">because </w:t>
      </w:r>
      <w:r w:rsidR="00360FDC">
        <w:t xml:space="preserve">suburbs </w:t>
      </w:r>
      <w:r w:rsidR="00126CA5">
        <w:t xml:space="preserve">tend to </w:t>
      </w:r>
      <w:r w:rsidR="00360FDC">
        <w:t>develop</w:t>
      </w:r>
      <w:r w:rsidR="00360FDC" w:rsidRPr="000C7F0E">
        <w:t xml:space="preserve"> at the same time</w:t>
      </w:r>
      <w:r w:rsidR="00126CA5">
        <w:t xml:space="preserve"> and so </w:t>
      </w:r>
      <w:r w:rsidR="00360FDC" w:rsidRPr="000C7F0E">
        <w:t>have dwelling</w:t>
      </w:r>
      <w:r w:rsidR="00360FDC">
        <w:t>s of similar</w:t>
      </w:r>
      <w:r w:rsidR="00360FDC" w:rsidRPr="000C7F0E">
        <w:t xml:space="preserve"> </w:t>
      </w:r>
      <w:r w:rsidR="00360FDC">
        <w:t xml:space="preserve">age, </w:t>
      </w:r>
      <w:r w:rsidR="00360FDC" w:rsidRPr="000C7F0E">
        <w:t xml:space="preserve">size, </w:t>
      </w:r>
      <w:r w:rsidR="00360FDC">
        <w:t xml:space="preserve">and </w:t>
      </w:r>
      <w:r w:rsidR="00360FDC" w:rsidRPr="000C7F0E">
        <w:t>construction materials</w:t>
      </w:r>
      <w:r w:rsidR="007C30E6">
        <w:t>.</w:t>
      </w:r>
      <w:r w:rsidR="00360FDC">
        <w:t xml:space="preserve"> </w:t>
      </w:r>
      <w:r w:rsidR="007C30E6">
        <w:t xml:space="preserve">Also, </w:t>
      </w:r>
      <w:r w:rsidR="00360FDC">
        <w:t xml:space="preserve">buyers may decide how much to pay for a house based </w:t>
      </w:r>
      <w:r w:rsidR="00DE46B3">
        <w:t xml:space="preserve">in part </w:t>
      </w:r>
      <w:r w:rsidR="00360FDC">
        <w:t xml:space="preserve">on the value of surrounding houses. An update of the Harrison and </w:t>
      </w:r>
      <w:proofErr w:type="spellStart"/>
      <w:r w:rsidR="00360FDC">
        <w:t>McClay</w:t>
      </w:r>
      <w:proofErr w:type="spellEnd"/>
      <w:r w:rsidR="00360FDC">
        <w:t xml:space="preserve"> study, using 670 </w:t>
      </w:r>
      <w:r w:rsidR="007C30E6">
        <w:t xml:space="preserve">house </w:t>
      </w:r>
      <w:r w:rsidR="00360FDC">
        <w:t xml:space="preserve">sales from Northwest Christchurch in 2004, found that the apparent price premium for CGHS fell by 62% once </w:t>
      </w:r>
      <w:r w:rsidR="00126CA5">
        <w:t xml:space="preserve">an </w:t>
      </w:r>
      <w:r w:rsidR="00360FDC">
        <w:t>appropriate spatial regression method was used (</w:t>
      </w:r>
      <w:r w:rsidR="00360FDC" w:rsidRPr="00360FDC">
        <w:t xml:space="preserve">Gibson </w:t>
      </w:r>
      <w:r w:rsidR="00360FDC" w:rsidRPr="00360FDC">
        <w:rPr>
          <w:i/>
        </w:rPr>
        <w:t>et al</w:t>
      </w:r>
      <w:r w:rsidR="00360FDC" w:rsidRPr="00360FDC">
        <w:t>.</w:t>
      </w:r>
      <w:r w:rsidR="00360FDC">
        <w:t xml:space="preserve"> </w:t>
      </w:r>
      <w:r w:rsidR="00360FDC" w:rsidRPr="00360FDC">
        <w:t>2007)</w:t>
      </w:r>
      <w:r w:rsidR="00360FDC">
        <w:t>.</w:t>
      </w:r>
    </w:p>
    <w:p w:rsidR="00B441BB" w:rsidRPr="0057251F" w:rsidRDefault="00B441BB" w:rsidP="00B441BB">
      <w:pPr>
        <w:spacing w:line="288" w:lineRule="auto"/>
        <w:ind w:firstLine="720"/>
        <w:jc w:val="both"/>
      </w:pPr>
    </w:p>
    <w:p w:rsidR="00DE46B3" w:rsidRDefault="00DE46B3" w:rsidP="006E061C">
      <w:pPr>
        <w:spacing w:line="288" w:lineRule="auto"/>
        <w:ind w:firstLine="426"/>
        <w:jc w:val="both"/>
      </w:pPr>
      <w:proofErr w:type="spellStart"/>
      <w:r>
        <w:t>Rehm</w:t>
      </w:r>
      <w:proofErr w:type="spellEnd"/>
      <w:r>
        <w:t xml:space="preserve"> and </w:t>
      </w:r>
      <w:proofErr w:type="spellStart"/>
      <w:r>
        <w:t>Filippova</w:t>
      </w:r>
      <w:proofErr w:type="spellEnd"/>
      <w:r>
        <w:t xml:space="preserve"> (2008) examined house sales over a 21 year period for a small area of the Auckland suburbs at the confluence of the attendance boundaries for four state secondary schools, including the prestigious Auckland Grammar School. The hedonic </w:t>
      </w:r>
      <w:r>
        <w:lastRenderedPageBreak/>
        <w:t xml:space="preserve">regressions relating </w:t>
      </w:r>
      <w:r w:rsidR="009E59D0">
        <w:t>prices</w:t>
      </w:r>
      <w:r>
        <w:t xml:space="preserve"> to dwelling attribute</w:t>
      </w:r>
      <w:r w:rsidR="009E59D0">
        <w:t>s and location dummy variables we</w:t>
      </w:r>
      <w:r>
        <w:t>re estimated for ten sub-periods</w:t>
      </w:r>
      <w:r w:rsidR="009E59D0">
        <w:t xml:space="preserve"> (</w:t>
      </w:r>
      <w:r>
        <w:t xml:space="preserve">of </w:t>
      </w:r>
      <w:r w:rsidR="009E59D0">
        <w:t xml:space="preserve">two or three </w:t>
      </w:r>
      <w:r>
        <w:t xml:space="preserve">years each) </w:t>
      </w:r>
      <w:r w:rsidR="009E59D0">
        <w:t xml:space="preserve">that cover the relaxation and then re-imposition of school attendance boundaries. The results suggest that house prices appreciated more rapidly for a suburb that was added to the Auckland Grammar zone, after the reinstatement of boundaries in 2000. In contrast, the price premium fell for another suburb (Epsom South) at risk of being excluded from the Grammar zone in future if a rise in student numbers causes a smaller attendance boundary to be </w:t>
      </w:r>
      <w:r w:rsidR="00C04BA8">
        <w:t xml:space="preserve">drawn </w:t>
      </w:r>
      <w:r w:rsidR="009E59D0">
        <w:t xml:space="preserve">(since </w:t>
      </w:r>
      <w:r w:rsidR="00F86232">
        <w:t xml:space="preserve">roll numbers are capped), because </w:t>
      </w:r>
      <w:r w:rsidR="009E59D0">
        <w:t xml:space="preserve">this suburb is also inside the boundary of a less prestigious school. </w:t>
      </w:r>
    </w:p>
    <w:p w:rsidR="00B441BB" w:rsidRPr="000877F2" w:rsidRDefault="00B441BB" w:rsidP="00B441BB">
      <w:pPr>
        <w:spacing w:line="288" w:lineRule="auto"/>
        <w:ind w:firstLine="720"/>
        <w:jc w:val="both"/>
      </w:pPr>
    </w:p>
    <w:p w:rsidR="00664D68" w:rsidRDefault="004A07D2" w:rsidP="006E061C">
      <w:pPr>
        <w:spacing w:line="288" w:lineRule="auto"/>
        <w:ind w:firstLine="426"/>
        <w:jc w:val="both"/>
      </w:pPr>
      <w:r>
        <w:t>While these findings from the previous New Zealand studies are of interest from a real estate point of view, there is little in them that can inform policy, except to make the point that house prices capitalize the forward-looking expectations of parents about access to schools that are perceived to be better or worse. Consequently, attendance boundaries are likely to be difficult to reform since most people living near to popular schools have already paid an ‘admission price’ and windfall</w:t>
      </w:r>
      <w:r w:rsidR="00310955">
        <w:t xml:space="preserve"> gains </w:t>
      </w:r>
      <w:r>
        <w:t xml:space="preserve">are </w:t>
      </w:r>
      <w:r w:rsidR="00310955">
        <w:t xml:space="preserve">only for </w:t>
      </w:r>
      <w:r>
        <w:t xml:space="preserve">the owners at the time </w:t>
      </w:r>
      <w:r w:rsidR="00310955">
        <w:t xml:space="preserve">boundaries were changed. For example, in the data used below, just over four percent of houses sell every year, so a decade after school boundaries are introduced </w:t>
      </w:r>
      <w:r>
        <w:t>or reinstated</w:t>
      </w:r>
      <w:r w:rsidR="00310955">
        <w:t xml:space="preserve"> </w:t>
      </w:r>
      <w:r w:rsidR="00C04BA8">
        <w:t xml:space="preserve">about </w:t>
      </w:r>
      <w:r w:rsidR="00310955">
        <w:t>one-half of dwelling</w:t>
      </w:r>
      <w:r>
        <w:t xml:space="preserve"> owners </w:t>
      </w:r>
      <w:r w:rsidR="00310955">
        <w:t xml:space="preserve">are likely to have paid a price that includes the capitalized value of </w:t>
      </w:r>
      <w:r w:rsidR="00F86232">
        <w:t xml:space="preserve">expected </w:t>
      </w:r>
      <w:r w:rsidR="00310955">
        <w:t xml:space="preserve">access to a particular school. Any subsequent dilution of that right of access will see these owners lose some of the capitalized value of the ‘free’ schools. Just how large this effect is likely to be is shown below. </w:t>
      </w:r>
    </w:p>
    <w:p w:rsidR="004A07D2" w:rsidRPr="008000AC" w:rsidRDefault="004A07D2" w:rsidP="00B441BB">
      <w:pPr>
        <w:spacing w:line="288" w:lineRule="auto"/>
        <w:ind w:firstLine="720"/>
        <w:jc w:val="both"/>
        <w:rPr>
          <w:sz w:val="12"/>
          <w:szCs w:val="12"/>
        </w:rPr>
      </w:pPr>
    </w:p>
    <w:p w:rsidR="000877F2" w:rsidRDefault="000877F2" w:rsidP="00B441BB">
      <w:pPr>
        <w:spacing w:line="288" w:lineRule="auto"/>
        <w:jc w:val="both"/>
        <w:rPr>
          <w:b/>
        </w:rPr>
      </w:pPr>
    </w:p>
    <w:p w:rsidR="00DF12BF" w:rsidRDefault="00DF12BF" w:rsidP="00965C6B">
      <w:pPr>
        <w:tabs>
          <w:tab w:val="left" w:pos="426"/>
        </w:tabs>
        <w:spacing w:line="288" w:lineRule="auto"/>
        <w:jc w:val="both"/>
        <w:rPr>
          <w:b/>
        </w:rPr>
      </w:pPr>
      <w:r w:rsidRPr="00232F90">
        <w:rPr>
          <w:b/>
        </w:rPr>
        <w:t>III.</w:t>
      </w:r>
      <w:r w:rsidRPr="00232F90">
        <w:rPr>
          <w:b/>
        </w:rPr>
        <w:tab/>
        <w:t>Data</w:t>
      </w:r>
      <w:r w:rsidR="006C3771">
        <w:rPr>
          <w:b/>
        </w:rPr>
        <w:t xml:space="preserve"> and Methods</w:t>
      </w:r>
    </w:p>
    <w:p w:rsidR="00B441BB" w:rsidRPr="00B441BB" w:rsidRDefault="00B441BB" w:rsidP="00B441BB">
      <w:pPr>
        <w:spacing w:line="288" w:lineRule="auto"/>
        <w:jc w:val="both"/>
        <w:rPr>
          <w:sz w:val="12"/>
          <w:szCs w:val="12"/>
        </w:rPr>
      </w:pPr>
    </w:p>
    <w:p w:rsidR="00430A3E" w:rsidRDefault="00F76075" w:rsidP="00B441BB">
      <w:pPr>
        <w:spacing w:line="288" w:lineRule="auto"/>
        <w:jc w:val="both"/>
        <w:rPr>
          <w:lang w:val="en-NZ"/>
        </w:rPr>
      </w:pPr>
      <w:r w:rsidRPr="00F76075">
        <w:rPr>
          <w:lang w:val="en-NZ"/>
        </w:rPr>
        <w:t xml:space="preserve">A database was purchased from Quotable Value New Zealand (QVNZ) containing the sale price and dwelling characteristics for all detached </w:t>
      </w:r>
      <w:r w:rsidR="00126CA5">
        <w:rPr>
          <w:lang w:val="en-NZ"/>
        </w:rPr>
        <w:t xml:space="preserve">houses </w:t>
      </w:r>
      <w:r w:rsidRPr="00F76075">
        <w:rPr>
          <w:lang w:val="en-NZ"/>
        </w:rPr>
        <w:t>sold in Christchurch between October 2004 and October 2005 (</w:t>
      </w:r>
      <w:r w:rsidRPr="00F76075">
        <w:rPr>
          <w:i/>
          <w:lang w:val="en-NZ"/>
        </w:rPr>
        <w:t>n</w:t>
      </w:r>
      <w:r w:rsidRPr="00F76075">
        <w:rPr>
          <w:lang w:val="en-NZ"/>
        </w:rPr>
        <w:t xml:space="preserve">=9169 sales). The characteristics included land and building area, building age, materials used in the roof and wall, parking spaces, type of garage, and whether there was a deck, a slope, or any view. The address of each property was also provided, along with a unique identification code for the land parcel, which enables merging with other geographic data. </w:t>
      </w:r>
      <w:r w:rsidR="00C90D56">
        <w:rPr>
          <w:lang w:val="en-NZ"/>
        </w:rPr>
        <w:t>From this database we removed</w:t>
      </w:r>
      <w:r w:rsidR="00430A3E" w:rsidRPr="00430A3E">
        <w:rPr>
          <w:lang w:val="en-NZ"/>
        </w:rPr>
        <w:t xml:space="preserve"> </w:t>
      </w:r>
      <w:r w:rsidR="00C90D56">
        <w:rPr>
          <w:lang w:val="en-NZ"/>
        </w:rPr>
        <w:t xml:space="preserve">dwellings </w:t>
      </w:r>
      <w:r w:rsidR="00430A3E" w:rsidRPr="00430A3E">
        <w:rPr>
          <w:lang w:val="en-NZ"/>
        </w:rPr>
        <w:t>selling for less than 40</w:t>
      </w:r>
      <w:r w:rsidR="00965C6B">
        <w:rPr>
          <w:lang w:val="en-NZ"/>
        </w:rPr>
        <w:t xml:space="preserve"> percent</w:t>
      </w:r>
      <w:r w:rsidR="00430A3E" w:rsidRPr="00430A3E">
        <w:rPr>
          <w:lang w:val="en-NZ"/>
        </w:rPr>
        <w:t xml:space="preserve"> of their rateable value (</w:t>
      </w:r>
      <w:r w:rsidR="00430A3E" w:rsidRPr="00430A3E">
        <w:rPr>
          <w:i/>
          <w:lang w:val="en-NZ"/>
        </w:rPr>
        <w:t>n</w:t>
      </w:r>
      <w:r w:rsidR="00C90D56">
        <w:rPr>
          <w:lang w:val="en-NZ"/>
        </w:rPr>
        <w:t>=39</w:t>
      </w:r>
      <w:r w:rsidR="00430A3E" w:rsidRPr="00430A3E">
        <w:rPr>
          <w:lang w:val="en-NZ"/>
        </w:rPr>
        <w:t>), which were felt to reflect either non-market influences or lack of arms-length transactions,</w:t>
      </w:r>
      <w:r w:rsidR="00C90D56">
        <w:rPr>
          <w:lang w:val="en-NZ"/>
        </w:rPr>
        <w:t xml:space="preserve"> and </w:t>
      </w:r>
      <w:r w:rsidR="0011626F">
        <w:rPr>
          <w:lang w:val="en-NZ"/>
        </w:rPr>
        <w:t xml:space="preserve">also removed </w:t>
      </w:r>
      <w:r w:rsidR="00C90D56">
        <w:rPr>
          <w:lang w:val="en-NZ"/>
        </w:rPr>
        <w:t xml:space="preserve">dwellings with missing information on attributes </w:t>
      </w:r>
      <w:r w:rsidR="00430A3E" w:rsidRPr="00430A3E">
        <w:rPr>
          <w:lang w:val="en-NZ"/>
        </w:rPr>
        <w:t xml:space="preserve">used as explanatory variables </w:t>
      </w:r>
      <w:r w:rsidR="00C90D56">
        <w:rPr>
          <w:lang w:val="en-NZ"/>
        </w:rPr>
        <w:t xml:space="preserve">in the model of house prices </w:t>
      </w:r>
      <w:r w:rsidR="00430A3E" w:rsidRPr="00430A3E">
        <w:rPr>
          <w:lang w:val="en-NZ"/>
        </w:rPr>
        <w:t>(</w:t>
      </w:r>
      <w:r w:rsidR="00430A3E" w:rsidRPr="00430A3E">
        <w:rPr>
          <w:i/>
          <w:lang w:val="en-NZ"/>
        </w:rPr>
        <w:t>n</w:t>
      </w:r>
      <w:r w:rsidR="00C90D56">
        <w:rPr>
          <w:lang w:val="en-NZ"/>
        </w:rPr>
        <w:t>=311</w:t>
      </w:r>
      <w:r w:rsidR="00430A3E" w:rsidRPr="00430A3E">
        <w:rPr>
          <w:lang w:val="en-NZ"/>
        </w:rPr>
        <w:t>).</w:t>
      </w:r>
      <w:r w:rsidR="00C90D56">
        <w:rPr>
          <w:lang w:val="en-NZ"/>
        </w:rPr>
        <w:t xml:space="preserve"> The resulting database of </w:t>
      </w:r>
      <w:r w:rsidR="00C90D56">
        <w:rPr>
          <w:i/>
          <w:lang w:val="en-NZ"/>
        </w:rPr>
        <w:t>n</w:t>
      </w:r>
      <w:r w:rsidR="00C90D56">
        <w:rPr>
          <w:lang w:val="en-NZ"/>
        </w:rPr>
        <w:t xml:space="preserve">=8849 sales included 361 repeat sales where even within 13 months the same dwelling was resold. For the repeat sales the street address and land parcel codes are also repeated, and this violated our need for unique geographic coordinates </w:t>
      </w:r>
      <w:r w:rsidR="007C30E6">
        <w:rPr>
          <w:lang w:val="en-NZ"/>
        </w:rPr>
        <w:t>to use</w:t>
      </w:r>
      <w:r w:rsidR="00BD3F8B">
        <w:rPr>
          <w:lang w:val="en-NZ"/>
        </w:rPr>
        <w:t xml:space="preserve"> </w:t>
      </w:r>
      <w:r w:rsidR="00C90D56">
        <w:rPr>
          <w:lang w:val="en-NZ"/>
        </w:rPr>
        <w:t xml:space="preserve">for forming a spatial weighting matrix </w:t>
      </w:r>
      <w:r w:rsidR="007C30E6">
        <w:rPr>
          <w:lang w:val="en-NZ"/>
        </w:rPr>
        <w:t xml:space="preserve">for </w:t>
      </w:r>
      <w:r w:rsidR="00126CA5">
        <w:rPr>
          <w:lang w:val="en-NZ"/>
        </w:rPr>
        <w:t xml:space="preserve">the </w:t>
      </w:r>
      <w:r w:rsidR="00C90D56">
        <w:rPr>
          <w:lang w:val="en-NZ"/>
        </w:rPr>
        <w:t>spatial regression</w:t>
      </w:r>
      <w:r w:rsidR="00BD3F8B">
        <w:rPr>
          <w:lang w:val="en-NZ"/>
        </w:rPr>
        <w:t>s</w:t>
      </w:r>
      <w:r w:rsidR="007C30E6">
        <w:rPr>
          <w:lang w:val="en-NZ"/>
        </w:rPr>
        <w:t>. Therefore</w:t>
      </w:r>
      <w:r w:rsidR="00C90D56">
        <w:rPr>
          <w:lang w:val="en-NZ"/>
        </w:rPr>
        <w:t xml:space="preserve">, we dropped the earlier </w:t>
      </w:r>
      <w:r w:rsidR="00BD3F8B">
        <w:rPr>
          <w:lang w:val="en-NZ"/>
        </w:rPr>
        <w:t>sale of any dwellings with repeat sales</w:t>
      </w:r>
      <w:r w:rsidR="00C90D56">
        <w:rPr>
          <w:lang w:val="en-NZ"/>
        </w:rPr>
        <w:t xml:space="preserve">, leaving us with a database of </w:t>
      </w:r>
      <w:r w:rsidR="00C90D56">
        <w:rPr>
          <w:i/>
          <w:lang w:val="en-NZ"/>
        </w:rPr>
        <w:t>n</w:t>
      </w:r>
      <w:r w:rsidR="00C90D56">
        <w:rPr>
          <w:lang w:val="en-NZ"/>
        </w:rPr>
        <w:t>=8488 sales for unique properties.</w:t>
      </w:r>
    </w:p>
    <w:p w:rsidR="0057251F" w:rsidRDefault="0057251F" w:rsidP="00660D86">
      <w:pPr>
        <w:widowControl w:val="0"/>
        <w:tabs>
          <w:tab w:val="left" w:pos="426"/>
        </w:tabs>
        <w:spacing w:line="288" w:lineRule="auto"/>
        <w:jc w:val="both"/>
        <w:rPr>
          <w:lang w:val="en-NZ"/>
        </w:rPr>
      </w:pPr>
    </w:p>
    <w:p w:rsidR="00627E42" w:rsidRDefault="0057251F" w:rsidP="00660D86">
      <w:pPr>
        <w:widowControl w:val="0"/>
        <w:tabs>
          <w:tab w:val="left" w:pos="426"/>
        </w:tabs>
        <w:spacing w:line="288" w:lineRule="auto"/>
        <w:jc w:val="both"/>
        <w:rPr>
          <w:lang w:val="en-NZ"/>
        </w:rPr>
      </w:pPr>
      <w:r>
        <w:rPr>
          <w:lang w:val="en-NZ"/>
        </w:rPr>
        <w:tab/>
      </w:r>
    </w:p>
    <w:p w:rsidR="006E061C" w:rsidRDefault="00627E42" w:rsidP="00660D86">
      <w:pPr>
        <w:widowControl w:val="0"/>
        <w:tabs>
          <w:tab w:val="left" w:pos="426"/>
        </w:tabs>
        <w:spacing w:line="288" w:lineRule="auto"/>
        <w:jc w:val="both"/>
        <w:rPr>
          <w:lang w:val="en-NZ"/>
        </w:rPr>
      </w:pPr>
      <w:r>
        <w:rPr>
          <w:lang w:val="en-NZ"/>
        </w:rPr>
        <w:lastRenderedPageBreak/>
        <w:tab/>
      </w:r>
      <w:r w:rsidR="00430A3E">
        <w:rPr>
          <w:lang w:val="en-NZ"/>
        </w:rPr>
        <w:t>The attendance boundaries for those secondary schools in Christchurch that impose them were</w:t>
      </w:r>
      <w:r w:rsidR="00F76075" w:rsidRPr="00F76075">
        <w:rPr>
          <w:lang w:val="en-NZ"/>
        </w:rPr>
        <w:t xml:space="preserve"> obtained from </w:t>
      </w:r>
      <w:proofErr w:type="spellStart"/>
      <w:r w:rsidR="00F76075" w:rsidRPr="00F76075">
        <w:rPr>
          <w:lang w:val="en-NZ"/>
        </w:rPr>
        <w:t>Critchlow</w:t>
      </w:r>
      <w:proofErr w:type="spellEnd"/>
      <w:r w:rsidR="00F76075" w:rsidRPr="00F76075">
        <w:rPr>
          <w:lang w:val="en-NZ"/>
        </w:rPr>
        <w:t xml:space="preserve"> Associates, who maintain the </w:t>
      </w:r>
      <w:r w:rsidR="00430A3E">
        <w:rPr>
          <w:lang w:val="en-NZ"/>
        </w:rPr>
        <w:t xml:space="preserve">boundaries </w:t>
      </w:r>
      <w:r w:rsidR="00F76075" w:rsidRPr="00F76075">
        <w:rPr>
          <w:lang w:val="en-NZ"/>
        </w:rPr>
        <w:t>database for the Ministry of Education.</w:t>
      </w:r>
      <w:r w:rsidR="00F76075" w:rsidRPr="00F76075">
        <w:rPr>
          <w:vertAlign w:val="superscript"/>
          <w:lang w:val="en-NZ"/>
        </w:rPr>
        <w:footnoteReference w:id="2"/>
      </w:r>
      <w:r w:rsidR="00F76075" w:rsidRPr="00F76075">
        <w:rPr>
          <w:lang w:val="en-NZ"/>
        </w:rPr>
        <w:t xml:space="preserve"> </w:t>
      </w:r>
      <w:r w:rsidR="00965C6B">
        <w:rPr>
          <w:lang w:val="en-NZ"/>
        </w:rPr>
        <w:t xml:space="preserve"> </w:t>
      </w:r>
      <w:r w:rsidR="00F76075" w:rsidRPr="00F76075">
        <w:rPr>
          <w:lang w:val="en-NZ"/>
        </w:rPr>
        <w:t xml:space="preserve">The </w:t>
      </w:r>
      <w:r w:rsidR="00430A3E">
        <w:rPr>
          <w:lang w:val="en-NZ"/>
        </w:rPr>
        <w:t>boundaries and dwellings data were</w:t>
      </w:r>
      <w:r w:rsidR="00F76075" w:rsidRPr="00F76075">
        <w:rPr>
          <w:lang w:val="en-NZ"/>
        </w:rPr>
        <w:t xml:space="preserve"> overlaid onto a base map of Christchurch using a Geographic Information System (ArcGIS 9.1). Figure 1 shows the locations of the properties, the locations of the 14 secondary schools in Christchurch (excluding parochial and private schools) and the school attendance boundaries for the</w:t>
      </w:r>
      <w:r w:rsidR="00430A3E">
        <w:rPr>
          <w:lang w:val="en-NZ"/>
        </w:rPr>
        <w:t xml:space="preserve"> eight schools that impose</w:t>
      </w:r>
      <w:r w:rsidR="00F76075" w:rsidRPr="00F76075">
        <w:rPr>
          <w:lang w:val="en-NZ"/>
        </w:rPr>
        <w:t xml:space="preserve"> </w:t>
      </w:r>
      <w:r w:rsidR="00430A3E">
        <w:rPr>
          <w:lang w:val="en-NZ"/>
        </w:rPr>
        <w:t xml:space="preserve">them. </w:t>
      </w:r>
    </w:p>
    <w:p w:rsidR="006E061C" w:rsidRPr="00627E42" w:rsidRDefault="006E061C" w:rsidP="00660D86">
      <w:pPr>
        <w:widowControl w:val="0"/>
        <w:tabs>
          <w:tab w:val="left" w:pos="426"/>
        </w:tabs>
        <w:spacing w:line="288" w:lineRule="auto"/>
        <w:jc w:val="both"/>
        <w:rPr>
          <w:sz w:val="20"/>
          <w:szCs w:val="20"/>
          <w:lang w:val="en-NZ"/>
        </w:rPr>
      </w:pPr>
    </w:p>
    <w:p w:rsidR="00F76075" w:rsidRDefault="006E061C" w:rsidP="00660D86">
      <w:pPr>
        <w:widowControl w:val="0"/>
        <w:tabs>
          <w:tab w:val="left" w:pos="426"/>
        </w:tabs>
        <w:spacing w:line="288" w:lineRule="auto"/>
        <w:jc w:val="both"/>
        <w:rPr>
          <w:lang w:val="en-NZ"/>
        </w:rPr>
      </w:pPr>
      <w:r>
        <w:rPr>
          <w:lang w:val="en-NZ"/>
        </w:rPr>
        <w:tab/>
      </w:r>
      <w:r w:rsidR="00430A3E">
        <w:rPr>
          <w:lang w:val="en-NZ"/>
        </w:rPr>
        <w:t xml:space="preserve">The smallest attendance boundary is for Girls High (CGHS), which lies everywhere within the boundary for Boys High, and the largest boundary is for Cashmere. The schools with attendance boundaries are generally near the middle of the city, with the schools that do not impose boundaries around the fringes (Burnside and Cashmere are exceptions to this pattern). There are more </w:t>
      </w:r>
      <w:r w:rsidR="00C90D56">
        <w:rPr>
          <w:lang w:val="en-NZ"/>
        </w:rPr>
        <w:t xml:space="preserve">sample </w:t>
      </w:r>
      <w:r w:rsidR="00430A3E">
        <w:rPr>
          <w:lang w:val="en-NZ"/>
        </w:rPr>
        <w:t xml:space="preserve">dwellings </w:t>
      </w:r>
      <w:r w:rsidR="00430A3E" w:rsidRPr="00430A3E">
        <w:rPr>
          <w:lang w:val="en-NZ"/>
        </w:rPr>
        <w:t xml:space="preserve">outside attendance boundaries </w:t>
      </w:r>
      <w:r w:rsidR="008000AC">
        <w:rPr>
          <w:lang w:val="en-NZ"/>
        </w:rPr>
        <w:t>(62 percent</w:t>
      </w:r>
      <w:r w:rsidR="00C90D56" w:rsidRPr="00C90D56">
        <w:rPr>
          <w:lang w:val="en-NZ"/>
        </w:rPr>
        <w:t xml:space="preserve">) </w:t>
      </w:r>
      <w:r w:rsidR="00430A3E">
        <w:rPr>
          <w:lang w:val="en-NZ"/>
        </w:rPr>
        <w:t xml:space="preserve">than inside boundaries. Of those dwellings inside a boundary, </w:t>
      </w:r>
      <w:r w:rsidR="00C21C52">
        <w:rPr>
          <w:lang w:val="en-NZ"/>
        </w:rPr>
        <w:t xml:space="preserve">most </w:t>
      </w:r>
      <w:r w:rsidR="00430A3E">
        <w:rPr>
          <w:lang w:val="en-NZ"/>
        </w:rPr>
        <w:t xml:space="preserve">are </w:t>
      </w:r>
      <w:r w:rsidR="00C21C52">
        <w:rPr>
          <w:lang w:val="en-NZ"/>
        </w:rPr>
        <w:t>with</w:t>
      </w:r>
      <w:r w:rsidR="00430A3E">
        <w:rPr>
          <w:lang w:val="en-NZ"/>
        </w:rPr>
        <w:t xml:space="preserve">in the boundary for a single school (but they are not precluded from attending a school that does not have a boundary). However, </w:t>
      </w:r>
      <w:r w:rsidR="0057251F">
        <w:rPr>
          <w:lang w:val="en-NZ"/>
        </w:rPr>
        <w:t>nine percent</w:t>
      </w:r>
      <w:r w:rsidR="00430A3E">
        <w:rPr>
          <w:lang w:val="en-NZ"/>
        </w:rPr>
        <w:t xml:space="preserve"> of dwellings are in</w:t>
      </w:r>
      <w:r w:rsidR="00BD3F8B">
        <w:rPr>
          <w:lang w:val="en-NZ"/>
        </w:rPr>
        <w:t>side attendance boundaries</w:t>
      </w:r>
      <w:r w:rsidR="00430A3E">
        <w:rPr>
          <w:lang w:val="en-NZ"/>
        </w:rPr>
        <w:t xml:space="preserve"> for two schools, </w:t>
      </w:r>
      <w:r w:rsidR="008000AC">
        <w:rPr>
          <w:lang w:val="en-NZ"/>
        </w:rPr>
        <w:t>two percent</w:t>
      </w:r>
      <w:r w:rsidR="0057251F">
        <w:rPr>
          <w:lang w:val="en-NZ"/>
        </w:rPr>
        <w:t xml:space="preserve"> </w:t>
      </w:r>
      <w:r w:rsidR="00430A3E">
        <w:rPr>
          <w:lang w:val="en-NZ"/>
        </w:rPr>
        <w:t>are in</w:t>
      </w:r>
      <w:r w:rsidR="00BD3F8B">
        <w:rPr>
          <w:lang w:val="en-NZ"/>
        </w:rPr>
        <w:t>side boundaries</w:t>
      </w:r>
      <w:r w:rsidR="00430A3E">
        <w:rPr>
          <w:lang w:val="en-NZ"/>
        </w:rPr>
        <w:t xml:space="preserve"> for three schools and a handful of dwellings are in</w:t>
      </w:r>
      <w:r w:rsidR="00BD3F8B">
        <w:rPr>
          <w:lang w:val="en-NZ"/>
        </w:rPr>
        <w:t>side boundaries</w:t>
      </w:r>
      <w:r w:rsidR="00430A3E">
        <w:rPr>
          <w:lang w:val="en-NZ"/>
        </w:rPr>
        <w:t xml:space="preserve"> for four schools.</w:t>
      </w:r>
    </w:p>
    <w:p w:rsidR="00627E42" w:rsidRDefault="00627E42" w:rsidP="00660D86">
      <w:pPr>
        <w:widowControl w:val="0"/>
        <w:tabs>
          <w:tab w:val="left" w:pos="426"/>
        </w:tabs>
        <w:spacing w:line="288" w:lineRule="auto"/>
        <w:jc w:val="both"/>
        <w:rPr>
          <w:lang w:val="en-NZ"/>
        </w:rPr>
      </w:pPr>
    </w:p>
    <w:p w:rsidR="009F0A03" w:rsidRPr="00335A17" w:rsidRDefault="009F0A03" w:rsidP="009F0A03">
      <w:pPr>
        <w:jc w:val="center"/>
        <w:rPr>
          <w:b/>
          <w:sz w:val="22"/>
          <w:szCs w:val="22"/>
        </w:rPr>
      </w:pPr>
      <w:r w:rsidRPr="00335A17">
        <w:rPr>
          <w:b/>
          <w:sz w:val="22"/>
          <w:szCs w:val="22"/>
        </w:rPr>
        <w:t>Figure 1: Locations of Schools, Attendance Boundaries and Dwelling Sales</w:t>
      </w:r>
    </w:p>
    <w:p w:rsidR="00B441BB" w:rsidRPr="00F76075" w:rsidRDefault="009F0A03" w:rsidP="00627E42">
      <w:pPr>
        <w:spacing w:line="288" w:lineRule="auto"/>
        <w:ind w:left="-284" w:right="-187"/>
        <w:jc w:val="center"/>
        <w:rPr>
          <w:lang w:val="en-NZ"/>
        </w:rPr>
      </w:pPr>
      <w:r>
        <w:rPr>
          <w:noProof/>
          <w:lang w:val="en-NZ" w:eastAsia="en-NZ"/>
        </w:rPr>
        <w:drawing>
          <wp:inline distT="0" distB="0" distL="0" distR="0" wp14:anchorId="05AF7F4E" wp14:editId="38B382B1">
            <wp:extent cx="6065520" cy="4288516"/>
            <wp:effectExtent l="0" t="0" r="0" b="0"/>
            <wp:docPr id="1" name="Picture 0" descr="Dwelling_sales_schools_and_z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elling_sales_schools_and_zones.jpg"/>
                    <pic:cNvPicPr/>
                  </pic:nvPicPr>
                  <pic:blipFill>
                    <a:blip r:embed="rId9" cstate="print"/>
                    <a:stretch>
                      <a:fillRect/>
                    </a:stretch>
                  </pic:blipFill>
                  <pic:spPr>
                    <a:xfrm>
                      <a:off x="0" y="0"/>
                      <a:ext cx="6075540" cy="4295601"/>
                    </a:xfrm>
                    <a:prstGeom prst="rect">
                      <a:avLst/>
                    </a:prstGeom>
                  </pic:spPr>
                </pic:pic>
              </a:graphicData>
            </a:graphic>
          </wp:inline>
        </w:drawing>
      </w:r>
    </w:p>
    <w:p w:rsidR="00B46507" w:rsidRDefault="00387745" w:rsidP="001B4EE8">
      <w:pPr>
        <w:tabs>
          <w:tab w:val="left" w:pos="426"/>
        </w:tabs>
        <w:spacing w:line="288" w:lineRule="auto"/>
        <w:jc w:val="both"/>
      </w:pPr>
      <w:r>
        <w:rPr>
          <w:lang w:val="en-NZ"/>
        </w:rPr>
        <w:lastRenderedPageBreak/>
        <w:tab/>
        <w:t xml:space="preserve">The other databases used provide information on </w:t>
      </w:r>
      <w:r w:rsidRPr="00387745">
        <w:t xml:space="preserve">neighborhood characteristics and </w:t>
      </w:r>
      <w:r>
        <w:t xml:space="preserve">on the </w:t>
      </w:r>
      <w:r w:rsidRPr="00387745">
        <w:t>geographic accessibility to a wide range of services</w:t>
      </w:r>
      <w:r>
        <w:t xml:space="preserve"> for the census meshblock that the dwelling is located in.</w:t>
      </w:r>
      <w:r>
        <w:rPr>
          <w:rStyle w:val="FootnoteReference"/>
        </w:rPr>
        <w:footnoteReference w:id="3"/>
      </w:r>
      <w:r w:rsidR="00440643">
        <w:t xml:space="preserve"> The proportion of the meshblock usual residents who are </w:t>
      </w:r>
      <w:r w:rsidR="00BD3F8B">
        <w:t>of non-European ethnicity, who we</w:t>
      </w:r>
      <w:r w:rsidR="00440643">
        <w:t xml:space="preserve">re born outside of New Zealand, (and for those age 15 and above) who have degree or higher education, who have no school qualifications, who are employed fulltime, and who are unemployed at the time of the 2006 Census is obtained from the database constructed by Clark and Kim (2012). </w:t>
      </w:r>
    </w:p>
    <w:p w:rsidR="00B46507" w:rsidRDefault="00B46507" w:rsidP="00B46507">
      <w:pPr>
        <w:spacing w:line="288" w:lineRule="auto"/>
        <w:jc w:val="both"/>
      </w:pPr>
    </w:p>
    <w:p w:rsidR="00F76075" w:rsidRDefault="00B46507" w:rsidP="00B46507">
      <w:pPr>
        <w:tabs>
          <w:tab w:val="left" w:pos="426"/>
        </w:tabs>
        <w:spacing w:line="288" w:lineRule="auto"/>
        <w:jc w:val="both"/>
      </w:pPr>
      <w:r>
        <w:tab/>
      </w:r>
      <w:r w:rsidR="00440643">
        <w:t>The Census data also provide the meshblock average home ownership rate, and the median household income</w:t>
      </w:r>
      <w:r w:rsidR="00BD3F8B">
        <w:t>. A</w:t>
      </w:r>
      <w:r w:rsidR="00440643">
        <w:t xml:space="preserve"> </w:t>
      </w:r>
      <w:proofErr w:type="spellStart"/>
      <w:r w:rsidR="00440643">
        <w:t>meshblock</w:t>
      </w:r>
      <w:proofErr w:type="spellEnd"/>
      <w:r w:rsidR="00440643">
        <w:t xml:space="preserve"> level </w:t>
      </w:r>
      <w:proofErr w:type="spellStart"/>
      <w:r w:rsidR="00440643">
        <w:t>Gini</w:t>
      </w:r>
      <w:proofErr w:type="spellEnd"/>
      <w:r w:rsidR="00440643">
        <w:t xml:space="preserve"> index for personal income </w:t>
      </w:r>
      <w:r w:rsidR="009C03E7">
        <w:t xml:space="preserve">and the </w:t>
      </w:r>
      <w:r w:rsidR="00BD3F8B">
        <w:t xml:space="preserve">per capita rate </w:t>
      </w:r>
      <w:r w:rsidR="009C03E7">
        <w:t xml:space="preserve">of recorded crime offences as </w:t>
      </w:r>
      <w:r w:rsidR="00440643">
        <w:t>constr</w:t>
      </w:r>
      <w:r w:rsidR="009C03E7">
        <w:t xml:space="preserve">ucted by Clark and Kim (2012) </w:t>
      </w:r>
      <w:r w:rsidR="00BD3F8B">
        <w:t xml:space="preserve">also </w:t>
      </w:r>
      <w:r w:rsidR="009C03E7">
        <w:t>are</w:t>
      </w:r>
      <w:r w:rsidR="00440643">
        <w:t xml:space="preserve"> used. The </w:t>
      </w:r>
      <w:r w:rsidR="009C03E7">
        <w:t xml:space="preserve">geographic accessibility variables come from a study by Pearce </w:t>
      </w:r>
      <w:r w:rsidR="009C03E7" w:rsidRPr="009C03E7">
        <w:rPr>
          <w:i/>
        </w:rPr>
        <w:t>et al</w:t>
      </w:r>
      <w:r w:rsidR="009C03E7">
        <w:t xml:space="preserve">. (2007) which uses data on the location of different types of community resources (such as parks, emergency facilities, schools, shops, etc) over the 2002-2005 period and constructs road distances to the nearest facility amongst each type, for each meshblock in New Zealand. A total of 12 facilities are used here, to </w:t>
      </w:r>
      <w:r w:rsidR="00326916">
        <w:t xml:space="preserve">capture </w:t>
      </w:r>
      <w:r w:rsidR="009C03E7">
        <w:t>the overall geographic attract</w:t>
      </w:r>
      <w:r w:rsidR="00326916">
        <w:t xml:space="preserve">iveness of particular locations </w:t>
      </w:r>
      <w:r w:rsidR="0011626F">
        <w:t xml:space="preserve">so </w:t>
      </w:r>
      <w:r w:rsidR="009C03E7">
        <w:t>that</w:t>
      </w:r>
      <w:r w:rsidR="00326916">
        <w:t xml:space="preserve"> the school variables we use are not acting as a proxy for other omitted geographical features.</w:t>
      </w:r>
    </w:p>
    <w:p w:rsidR="000877F2" w:rsidRPr="00965C6B" w:rsidRDefault="000877F2" w:rsidP="00570A5A">
      <w:pPr>
        <w:tabs>
          <w:tab w:val="left" w:pos="426"/>
        </w:tabs>
        <w:spacing w:line="288" w:lineRule="auto"/>
        <w:jc w:val="both"/>
        <w:rPr>
          <w:sz w:val="16"/>
          <w:szCs w:val="16"/>
          <w:lang w:val="en-NZ"/>
        </w:rPr>
      </w:pPr>
    </w:p>
    <w:p w:rsidR="009134B4" w:rsidRDefault="00F76075" w:rsidP="00570A5A">
      <w:pPr>
        <w:tabs>
          <w:tab w:val="left" w:pos="426"/>
        </w:tabs>
        <w:spacing w:line="288" w:lineRule="auto"/>
        <w:jc w:val="both"/>
        <w:rPr>
          <w:lang w:val="en-NZ"/>
        </w:rPr>
      </w:pPr>
      <w:r w:rsidRPr="00F76075">
        <w:rPr>
          <w:lang w:val="en-NZ"/>
        </w:rPr>
        <w:t xml:space="preserve"> </w:t>
      </w:r>
      <w:r w:rsidR="00430A3E">
        <w:rPr>
          <w:lang w:val="en-NZ"/>
        </w:rPr>
        <w:tab/>
      </w:r>
      <w:r w:rsidR="009134B4" w:rsidRPr="009134B4">
        <w:rPr>
          <w:lang w:val="en-NZ"/>
        </w:rPr>
        <w:t>The impact of school attendance boundaries in restricting schooling opportunity sets</w:t>
      </w:r>
      <w:r w:rsidR="003F2E07">
        <w:rPr>
          <w:lang w:val="en-NZ"/>
        </w:rPr>
        <w:t xml:space="preserve"> </w:t>
      </w:r>
      <w:r w:rsidR="003F2E07" w:rsidRPr="003F2E07">
        <w:rPr>
          <w:lang w:val="en-NZ"/>
        </w:rPr>
        <w:t xml:space="preserve">can be seen in the example of two dwellings </w:t>
      </w:r>
      <w:r w:rsidR="003F2E07">
        <w:rPr>
          <w:lang w:val="en-NZ"/>
        </w:rPr>
        <w:t xml:space="preserve">located near the centre of Christchurch </w:t>
      </w:r>
      <w:r w:rsidR="003F2E07" w:rsidRPr="003F2E07">
        <w:rPr>
          <w:lang w:val="en-NZ"/>
        </w:rPr>
        <w:t>(Figure 2).</w:t>
      </w:r>
      <w:r w:rsidR="003F2E07">
        <w:rPr>
          <w:lang w:val="en-NZ"/>
        </w:rPr>
        <w:t xml:space="preserve"> The example also provides some</w:t>
      </w:r>
      <w:r w:rsidR="009134B4" w:rsidRPr="009134B4">
        <w:rPr>
          <w:lang w:val="en-NZ"/>
        </w:rPr>
        <w:t xml:space="preserve"> intuition </w:t>
      </w:r>
      <w:r w:rsidR="003F2E07">
        <w:rPr>
          <w:lang w:val="en-NZ"/>
        </w:rPr>
        <w:t xml:space="preserve">for </w:t>
      </w:r>
      <w:r w:rsidR="009134B4" w:rsidRPr="009134B4">
        <w:rPr>
          <w:lang w:val="en-NZ"/>
        </w:rPr>
        <w:t>the way we model possible reform</w:t>
      </w:r>
      <w:r w:rsidR="003F2E07">
        <w:rPr>
          <w:lang w:val="en-NZ"/>
        </w:rPr>
        <w:t xml:space="preserve"> of attendance boundaries.</w:t>
      </w:r>
      <w:r w:rsidR="009134B4" w:rsidRPr="009134B4">
        <w:rPr>
          <w:lang w:val="en-NZ"/>
        </w:rPr>
        <w:t xml:space="preserve"> The schooling opportunity set for the first dwelling is illustrated in Figure 2a, where solid arrows show the schools that can be attended for a student residing in that dwelling and the broken arrows show the schools f</w:t>
      </w:r>
      <w:r w:rsidR="00430A3E">
        <w:rPr>
          <w:lang w:val="en-NZ"/>
        </w:rPr>
        <w:t>or which that dwelling is outside the attendance boundary</w:t>
      </w:r>
      <w:r w:rsidR="009134B4" w:rsidRPr="009134B4">
        <w:rPr>
          <w:lang w:val="en-NZ"/>
        </w:rPr>
        <w:t xml:space="preserve">. Each arrow is a vector whose length and direction represents the actual straight-line distance from the dwelling to each of the 14 state secondary schools in Christchurch. For each school, the pass rate for the NCEA Level 3 examinations also is shown. Note that Level 3 pass rates are </w:t>
      </w:r>
      <w:r w:rsidR="00430A3E">
        <w:rPr>
          <w:lang w:val="en-NZ"/>
        </w:rPr>
        <w:t xml:space="preserve">more </w:t>
      </w:r>
      <w:r w:rsidR="009134B4" w:rsidRPr="009134B4">
        <w:rPr>
          <w:lang w:val="en-NZ"/>
        </w:rPr>
        <w:t>variable across schools</w:t>
      </w:r>
      <w:r w:rsidR="00430A3E">
        <w:rPr>
          <w:lang w:val="en-NZ"/>
        </w:rPr>
        <w:t xml:space="preserve"> than Level 2 or Level 1 pass rates</w:t>
      </w:r>
      <w:r w:rsidR="009134B4" w:rsidRPr="009134B4">
        <w:rPr>
          <w:lang w:val="en-NZ"/>
        </w:rPr>
        <w:t xml:space="preserve">, </w:t>
      </w:r>
      <w:r w:rsidR="00430A3E">
        <w:rPr>
          <w:lang w:val="en-NZ"/>
        </w:rPr>
        <w:t>and range</w:t>
      </w:r>
      <w:r w:rsidR="009134B4" w:rsidRPr="009134B4">
        <w:rPr>
          <w:lang w:val="en-NZ"/>
        </w:rPr>
        <w:t xml:space="preserve"> from highs of 84% at Girls High (CGHS) and 73% at Burnside, to lows of 10% at </w:t>
      </w:r>
      <w:proofErr w:type="spellStart"/>
      <w:r w:rsidR="009134B4" w:rsidRPr="009134B4">
        <w:rPr>
          <w:lang w:val="en-NZ"/>
        </w:rPr>
        <w:t>Aranui</w:t>
      </w:r>
      <w:proofErr w:type="spellEnd"/>
      <w:r w:rsidR="009134B4" w:rsidRPr="009134B4">
        <w:rPr>
          <w:lang w:val="en-NZ"/>
        </w:rPr>
        <w:t xml:space="preserve"> and 24% at </w:t>
      </w:r>
      <w:proofErr w:type="spellStart"/>
      <w:r w:rsidR="009134B4" w:rsidRPr="009134B4">
        <w:rPr>
          <w:lang w:val="en-NZ"/>
        </w:rPr>
        <w:t>Mairehau</w:t>
      </w:r>
      <w:proofErr w:type="spellEnd"/>
      <w:r w:rsidR="009134B4" w:rsidRPr="009134B4">
        <w:rPr>
          <w:lang w:val="en-NZ"/>
        </w:rPr>
        <w:t xml:space="preserve">. </w:t>
      </w:r>
    </w:p>
    <w:p w:rsidR="00570A5A" w:rsidRPr="00965C6B" w:rsidRDefault="00570A5A" w:rsidP="008000AC">
      <w:pPr>
        <w:spacing w:line="288" w:lineRule="auto"/>
        <w:ind w:firstLine="426"/>
        <w:jc w:val="both"/>
        <w:rPr>
          <w:lang w:val="en-NZ"/>
        </w:rPr>
      </w:pPr>
    </w:p>
    <w:p w:rsidR="008000AC" w:rsidRDefault="008000AC" w:rsidP="008000AC">
      <w:pPr>
        <w:spacing w:line="288" w:lineRule="auto"/>
        <w:ind w:firstLine="426"/>
        <w:jc w:val="both"/>
        <w:rPr>
          <w:lang w:val="en-NZ"/>
        </w:rPr>
      </w:pPr>
      <w:r w:rsidRPr="009134B4">
        <w:rPr>
          <w:lang w:val="en-NZ"/>
        </w:rPr>
        <w:t xml:space="preserve">The dwelling in Figure 2a is </w:t>
      </w:r>
      <w:r>
        <w:rPr>
          <w:lang w:val="en-NZ"/>
        </w:rPr>
        <w:t xml:space="preserve">outside the attendance boundary of all </w:t>
      </w:r>
      <w:r w:rsidRPr="009134B4">
        <w:rPr>
          <w:lang w:val="en-NZ"/>
        </w:rPr>
        <w:t>school</w:t>
      </w:r>
      <w:r>
        <w:rPr>
          <w:lang w:val="en-NZ"/>
        </w:rPr>
        <w:t>s with boundaries, so the</w:t>
      </w:r>
      <w:r w:rsidRPr="009134B4">
        <w:rPr>
          <w:lang w:val="en-NZ"/>
        </w:rPr>
        <w:t xml:space="preserve"> schooling opportunity set consists only of t</w:t>
      </w:r>
      <w:r>
        <w:rPr>
          <w:lang w:val="en-NZ"/>
        </w:rPr>
        <w:t>he six schools without boundaries</w:t>
      </w:r>
      <w:r w:rsidRPr="009134B4">
        <w:rPr>
          <w:lang w:val="en-NZ"/>
        </w:rPr>
        <w:t xml:space="preserve"> (</w:t>
      </w:r>
      <w:r>
        <w:rPr>
          <w:lang w:val="en-NZ"/>
        </w:rPr>
        <w:t>shown by the six solid arrows</w:t>
      </w:r>
      <w:r w:rsidRPr="009134B4">
        <w:rPr>
          <w:lang w:val="en-NZ"/>
        </w:rPr>
        <w:t xml:space="preserve">). On average, the Level 3 pass rate for the </w:t>
      </w:r>
      <w:r>
        <w:rPr>
          <w:lang w:val="en-NZ"/>
        </w:rPr>
        <w:t>six</w:t>
      </w:r>
      <w:r w:rsidRPr="009134B4">
        <w:rPr>
          <w:lang w:val="en-NZ"/>
        </w:rPr>
        <w:t xml:space="preserve"> schools with</w:t>
      </w:r>
      <w:r>
        <w:rPr>
          <w:lang w:val="en-NZ"/>
        </w:rPr>
        <w:t>out</w:t>
      </w:r>
      <w:r w:rsidRPr="009134B4">
        <w:rPr>
          <w:lang w:val="en-NZ"/>
        </w:rPr>
        <w:t xml:space="preserve"> attendance </w:t>
      </w:r>
      <w:r>
        <w:rPr>
          <w:lang w:val="en-NZ"/>
        </w:rPr>
        <w:t>boundaries is 30</w:t>
      </w:r>
      <w:r w:rsidRPr="009134B4">
        <w:rPr>
          <w:lang w:val="en-NZ"/>
        </w:rPr>
        <w:t xml:space="preserve">%, versus </w:t>
      </w:r>
      <w:r>
        <w:rPr>
          <w:lang w:val="en-NZ"/>
        </w:rPr>
        <w:t>56% for the eight schools with boundaries. Hence, t</w:t>
      </w:r>
      <w:r w:rsidRPr="009134B4">
        <w:rPr>
          <w:lang w:val="en-NZ"/>
        </w:rPr>
        <w:t>he opportunity set for a student residin</w:t>
      </w:r>
      <w:r>
        <w:rPr>
          <w:lang w:val="en-NZ"/>
        </w:rPr>
        <w:t>g here is limited. But t</w:t>
      </w:r>
      <w:r w:rsidRPr="009134B4">
        <w:rPr>
          <w:lang w:val="en-NZ"/>
        </w:rPr>
        <w:t xml:space="preserve">he simple average pass rate for </w:t>
      </w:r>
      <w:r>
        <w:rPr>
          <w:lang w:val="en-NZ"/>
        </w:rPr>
        <w:t xml:space="preserve">the six open-access </w:t>
      </w:r>
      <w:r w:rsidRPr="009134B4">
        <w:rPr>
          <w:lang w:val="en-NZ"/>
        </w:rPr>
        <w:t xml:space="preserve">schools is not </w:t>
      </w:r>
      <w:r>
        <w:rPr>
          <w:lang w:val="en-NZ"/>
        </w:rPr>
        <w:t xml:space="preserve">the best </w:t>
      </w:r>
      <w:r w:rsidRPr="009134B4">
        <w:rPr>
          <w:lang w:val="en-NZ"/>
        </w:rPr>
        <w:t xml:space="preserve">estimate of the schooling </w:t>
      </w:r>
      <w:r w:rsidRPr="009134B4">
        <w:rPr>
          <w:lang w:val="en-NZ"/>
        </w:rPr>
        <w:lastRenderedPageBreak/>
        <w:t xml:space="preserve">opportunity set for this </w:t>
      </w:r>
      <w:r>
        <w:rPr>
          <w:lang w:val="en-NZ"/>
        </w:rPr>
        <w:t>location</w:t>
      </w:r>
      <w:r w:rsidRPr="009134B4">
        <w:rPr>
          <w:lang w:val="en-NZ"/>
        </w:rPr>
        <w:t xml:space="preserve">, since it treats a distant school like </w:t>
      </w:r>
      <w:proofErr w:type="spellStart"/>
      <w:r w:rsidRPr="009134B4">
        <w:rPr>
          <w:lang w:val="en-NZ"/>
        </w:rPr>
        <w:t>Aranui</w:t>
      </w:r>
      <w:proofErr w:type="spellEnd"/>
      <w:r w:rsidRPr="009134B4">
        <w:rPr>
          <w:lang w:val="en-NZ"/>
        </w:rPr>
        <w:t xml:space="preserve"> (7.6 km away) as equally important as a </w:t>
      </w:r>
      <w:r w:rsidRPr="003F2E07">
        <w:rPr>
          <w:lang w:val="en-NZ"/>
        </w:rPr>
        <w:t xml:space="preserve">closer </w:t>
      </w:r>
      <w:r w:rsidRPr="009134B4">
        <w:rPr>
          <w:lang w:val="en-NZ"/>
        </w:rPr>
        <w:t xml:space="preserve">school, such as </w:t>
      </w:r>
      <w:proofErr w:type="spellStart"/>
      <w:r w:rsidRPr="009134B4">
        <w:rPr>
          <w:lang w:val="en-NZ"/>
        </w:rPr>
        <w:t>Hillmorton</w:t>
      </w:r>
      <w:proofErr w:type="spellEnd"/>
      <w:r w:rsidRPr="009134B4">
        <w:rPr>
          <w:lang w:val="en-NZ"/>
        </w:rPr>
        <w:t xml:space="preserve"> (2.2 km away).</w:t>
      </w:r>
      <w:r w:rsidRPr="009134B4">
        <w:rPr>
          <w:vertAlign w:val="superscript"/>
          <w:lang w:val="en-NZ"/>
        </w:rPr>
        <w:footnoteReference w:id="4"/>
      </w:r>
      <w:r w:rsidRPr="009134B4">
        <w:rPr>
          <w:lang w:val="en-NZ"/>
        </w:rPr>
        <w:t xml:space="preserve"> </w:t>
      </w:r>
    </w:p>
    <w:p w:rsidR="00B46507" w:rsidRDefault="00B46507" w:rsidP="008000AC">
      <w:pPr>
        <w:spacing w:line="288" w:lineRule="auto"/>
        <w:ind w:firstLine="426"/>
        <w:jc w:val="both"/>
        <w:rPr>
          <w:lang w:val="en-NZ"/>
        </w:rPr>
      </w:pPr>
    </w:p>
    <w:p w:rsidR="00965C6B" w:rsidRDefault="004D0C19" w:rsidP="00660D86">
      <w:pPr>
        <w:jc w:val="center"/>
        <w:rPr>
          <w:b/>
          <w:sz w:val="22"/>
          <w:szCs w:val="22"/>
        </w:rPr>
      </w:pPr>
      <w:r w:rsidRPr="004D0C19">
        <w:rPr>
          <w:b/>
          <w:sz w:val="22"/>
          <w:szCs w:val="22"/>
        </w:rPr>
        <w:t xml:space="preserve">Figure 2a: Schooling Opportunity Set </w:t>
      </w:r>
    </w:p>
    <w:p w:rsidR="00B441BB" w:rsidRPr="004D0C19" w:rsidRDefault="004D0C19" w:rsidP="00660D86">
      <w:pPr>
        <w:jc w:val="center"/>
        <w:rPr>
          <w:b/>
          <w:sz w:val="22"/>
          <w:szCs w:val="22"/>
          <w:lang w:val="en-NZ"/>
        </w:rPr>
      </w:pPr>
      <w:proofErr w:type="gramStart"/>
      <w:r w:rsidRPr="004D0C19">
        <w:rPr>
          <w:b/>
          <w:sz w:val="22"/>
          <w:szCs w:val="22"/>
        </w:rPr>
        <w:t>for</w:t>
      </w:r>
      <w:proofErr w:type="gramEnd"/>
      <w:r w:rsidRPr="004D0C19">
        <w:rPr>
          <w:b/>
          <w:sz w:val="22"/>
          <w:szCs w:val="22"/>
        </w:rPr>
        <w:t xml:space="preserve"> a Dwelling Outside Attendance Boundaries</w:t>
      </w:r>
    </w:p>
    <w:p w:rsidR="00B441BB" w:rsidRPr="009134B4" w:rsidRDefault="00660D86" w:rsidP="00B46507">
      <w:pPr>
        <w:spacing w:line="288" w:lineRule="auto"/>
        <w:ind w:left="-426"/>
        <w:jc w:val="center"/>
        <w:rPr>
          <w:lang w:val="en-NZ"/>
        </w:rPr>
      </w:pPr>
      <w:r>
        <w:rPr>
          <w:noProof/>
          <w:lang w:val="en-NZ" w:eastAsia="en-NZ"/>
        </w:rPr>
        <w:drawing>
          <wp:inline distT="0" distB="0" distL="0" distR="0" wp14:anchorId="68C684DE" wp14:editId="22E43987">
            <wp:extent cx="6353175" cy="3366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5988" cy="3373374"/>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29148E" w:rsidTr="0029148E">
        <w:tc>
          <w:tcPr>
            <w:tcW w:w="9243" w:type="dxa"/>
          </w:tcPr>
          <w:p w:rsidR="00965C6B" w:rsidRDefault="0029148E" w:rsidP="000877F2">
            <w:pPr>
              <w:jc w:val="center"/>
              <w:rPr>
                <w:b/>
                <w:sz w:val="22"/>
                <w:szCs w:val="22"/>
              </w:rPr>
            </w:pPr>
            <w:r w:rsidRPr="0029148E">
              <w:rPr>
                <w:b/>
                <w:sz w:val="22"/>
                <w:szCs w:val="22"/>
              </w:rPr>
              <w:t xml:space="preserve">Figure 2b: Schooling Opportunity Set </w:t>
            </w:r>
          </w:p>
          <w:p w:rsidR="0029148E" w:rsidRPr="0029148E" w:rsidRDefault="0029148E" w:rsidP="00965C6B">
            <w:pPr>
              <w:jc w:val="center"/>
              <w:rPr>
                <w:b/>
                <w:sz w:val="22"/>
                <w:szCs w:val="22"/>
              </w:rPr>
            </w:pPr>
            <w:r w:rsidRPr="0029148E">
              <w:rPr>
                <w:b/>
                <w:sz w:val="22"/>
                <w:szCs w:val="22"/>
              </w:rPr>
              <w:t>for a Dwelling Inside the CGHS and CBHS Attendance Boundaries</w:t>
            </w:r>
          </w:p>
        </w:tc>
      </w:tr>
      <w:tr w:rsidR="0029148E" w:rsidTr="0029148E">
        <w:tc>
          <w:tcPr>
            <w:tcW w:w="9243" w:type="dxa"/>
          </w:tcPr>
          <w:p w:rsidR="0029148E" w:rsidRDefault="0029148E" w:rsidP="008B593B">
            <w:pPr>
              <w:ind w:left="-426"/>
            </w:pPr>
            <w:r>
              <w:rPr>
                <w:noProof/>
                <w:lang w:val="en-NZ" w:eastAsia="en-NZ"/>
              </w:rPr>
              <w:drawing>
                <wp:inline distT="0" distB="0" distL="0" distR="0" wp14:anchorId="2521F366" wp14:editId="22834D93">
                  <wp:extent cx="6068682" cy="2990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6068682" cy="2990850"/>
                          </a:xfrm>
                          <a:prstGeom prst="rect">
                            <a:avLst/>
                          </a:prstGeom>
                          <a:noFill/>
                          <a:ln w="9525">
                            <a:noFill/>
                            <a:miter lim="800000"/>
                            <a:headEnd/>
                            <a:tailEnd/>
                          </a:ln>
                        </pic:spPr>
                      </pic:pic>
                    </a:graphicData>
                  </a:graphic>
                </wp:inline>
              </w:drawing>
            </w:r>
          </w:p>
        </w:tc>
      </w:tr>
      <w:tr w:rsidR="0029148E" w:rsidRPr="008351E0" w:rsidTr="0029148E">
        <w:tc>
          <w:tcPr>
            <w:tcW w:w="9243" w:type="dxa"/>
          </w:tcPr>
          <w:p w:rsidR="0029148E" w:rsidRPr="008351E0" w:rsidRDefault="0029148E" w:rsidP="00965C6B">
            <w:pPr>
              <w:rPr>
                <w:sz w:val="20"/>
              </w:rPr>
            </w:pPr>
            <w:r w:rsidRPr="008351E0">
              <w:rPr>
                <w:i/>
                <w:sz w:val="20"/>
              </w:rPr>
              <w:t>Note</w:t>
            </w:r>
            <w:r w:rsidR="00965C6B">
              <w:rPr>
                <w:i/>
                <w:sz w:val="20"/>
              </w:rPr>
              <w:t>s</w:t>
            </w:r>
            <w:r w:rsidRPr="008351E0">
              <w:rPr>
                <w:i/>
                <w:sz w:val="20"/>
              </w:rPr>
              <w:t>:</w:t>
            </w:r>
            <w:r w:rsidRPr="008351E0">
              <w:rPr>
                <w:sz w:val="20"/>
              </w:rPr>
              <w:t xml:space="preserve"> Length and direction of arrows </w:t>
            </w:r>
            <w:r>
              <w:rPr>
                <w:sz w:val="20"/>
              </w:rPr>
              <w:t xml:space="preserve">are </w:t>
            </w:r>
            <w:r w:rsidRPr="008351E0">
              <w:rPr>
                <w:sz w:val="20"/>
              </w:rPr>
              <w:t xml:space="preserve">proportional to actual distances. Solid lines </w:t>
            </w:r>
            <w:r>
              <w:rPr>
                <w:sz w:val="20"/>
              </w:rPr>
              <w:t xml:space="preserve">are </w:t>
            </w:r>
            <w:r w:rsidRPr="008351E0">
              <w:rPr>
                <w:sz w:val="20"/>
              </w:rPr>
              <w:t xml:space="preserve">for schools that can be attended, broken lines </w:t>
            </w:r>
            <w:r>
              <w:rPr>
                <w:sz w:val="20"/>
              </w:rPr>
              <w:t xml:space="preserve">are </w:t>
            </w:r>
            <w:r w:rsidRPr="008351E0">
              <w:rPr>
                <w:sz w:val="20"/>
              </w:rPr>
              <w:t>for schools whose enrolment zone excludes the particular dwelling.</w:t>
            </w:r>
            <w:r w:rsidR="00965C6B">
              <w:rPr>
                <w:sz w:val="20"/>
              </w:rPr>
              <w:t xml:space="preserve"> V</w:t>
            </w:r>
            <w:r>
              <w:rPr>
                <w:sz w:val="20"/>
              </w:rPr>
              <w:t>alues in ( ) are </w:t>
            </w:r>
            <w:r w:rsidRPr="008351E0">
              <w:rPr>
                <w:sz w:val="20"/>
              </w:rPr>
              <w:t>NCEA Level 3 pass rates</w:t>
            </w:r>
            <w:r>
              <w:rPr>
                <w:sz w:val="20"/>
              </w:rPr>
              <w:t xml:space="preserve"> for each school in 2005</w:t>
            </w:r>
            <w:r w:rsidRPr="008351E0">
              <w:rPr>
                <w:sz w:val="20"/>
              </w:rPr>
              <w:t>.</w:t>
            </w:r>
          </w:p>
        </w:tc>
      </w:tr>
    </w:tbl>
    <w:p w:rsidR="00E83F86" w:rsidRDefault="009134B4" w:rsidP="006E061C">
      <w:pPr>
        <w:spacing w:line="288" w:lineRule="auto"/>
        <w:ind w:firstLine="426"/>
        <w:jc w:val="both"/>
      </w:pPr>
      <w:r w:rsidRPr="009134B4">
        <w:rPr>
          <w:lang w:val="en-NZ"/>
        </w:rPr>
        <w:lastRenderedPageBreak/>
        <w:t xml:space="preserve">We could use a model where simulated attendance is always at the closest school one is allowed to attend, but that enforces behaviour akin to what </w:t>
      </w:r>
      <w:r w:rsidR="003F2E07">
        <w:rPr>
          <w:lang w:val="en-NZ"/>
        </w:rPr>
        <w:t xml:space="preserve">school </w:t>
      </w:r>
      <w:r w:rsidR="007C30E6">
        <w:rPr>
          <w:lang w:val="en-NZ"/>
        </w:rPr>
        <w:t>zone</w:t>
      </w:r>
      <w:r w:rsidRPr="009134B4">
        <w:rPr>
          <w:lang w:val="en-NZ"/>
        </w:rPr>
        <w:t xml:space="preserve"> proponents demand</w:t>
      </w:r>
      <w:r w:rsidR="003F2E07">
        <w:rPr>
          <w:lang w:val="en-NZ"/>
        </w:rPr>
        <w:t xml:space="preserve"> by creating exclusive local catchment areas</w:t>
      </w:r>
      <w:r w:rsidRPr="009134B4">
        <w:rPr>
          <w:lang w:val="en-NZ"/>
        </w:rPr>
        <w:t xml:space="preserve">. </w:t>
      </w:r>
      <w:r w:rsidR="0011626F">
        <w:rPr>
          <w:lang w:val="en-NZ"/>
        </w:rPr>
        <w:t xml:space="preserve">Moreover, four of the 14 schools are single-sex and we have no data on the gender of residents so tying a dwelling to a particular school is not very realistic. </w:t>
      </w:r>
      <w:r w:rsidRPr="009134B4">
        <w:rPr>
          <w:lang w:val="en-NZ"/>
        </w:rPr>
        <w:t xml:space="preserve">Instead, being informed by </w:t>
      </w:r>
      <w:proofErr w:type="spellStart"/>
      <w:r w:rsidRPr="009134B4">
        <w:rPr>
          <w:lang w:val="en-NZ"/>
        </w:rPr>
        <w:t>Tobler’s</w:t>
      </w:r>
      <w:proofErr w:type="spellEnd"/>
      <w:r w:rsidRPr="009134B4">
        <w:rPr>
          <w:lang w:val="en-NZ"/>
        </w:rPr>
        <w:t xml:space="preserve"> first law of geography,</w:t>
      </w:r>
      <w:r w:rsidRPr="009134B4">
        <w:rPr>
          <w:vertAlign w:val="superscript"/>
          <w:lang w:val="en-NZ"/>
        </w:rPr>
        <w:footnoteReference w:id="5"/>
      </w:r>
      <w:r w:rsidRPr="009134B4">
        <w:rPr>
          <w:lang w:val="en-NZ"/>
        </w:rPr>
        <w:t xml:space="preserve"> we calculate a weighted average where the weights are the (normalized) inverse of the distance from the dwelling to each school in the opportunity set. In other words, closer schools are more important in the schooling opportunity set for a particular dwelling.</w:t>
      </w:r>
      <w:r w:rsidR="003F2E07">
        <w:rPr>
          <w:lang w:val="en-NZ"/>
        </w:rPr>
        <w:t xml:space="preserve"> </w:t>
      </w:r>
      <w:r w:rsidR="003F2E07">
        <w:t>Specifically, for the dwelling in Figure 2a, the inverse distances to the six available schools add up to 1.29, so we calculate:</w:t>
      </w:r>
    </w:p>
    <w:p w:rsidR="00B441BB" w:rsidRPr="003F2E07" w:rsidRDefault="00B441BB" w:rsidP="00B441BB">
      <w:pPr>
        <w:spacing w:line="288" w:lineRule="auto"/>
        <w:ind w:firstLine="720"/>
        <w:jc w:val="both"/>
        <w:rPr>
          <w:lang w:val="en-NZ"/>
        </w:rPr>
      </w:pPr>
    </w:p>
    <w:p w:rsidR="003F2E07" w:rsidRDefault="003F2E07" w:rsidP="00B441BB">
      <w:pPr>
        <w:spacing w:line="288" w:lineRule="auto"/>
        <w:jc w:val="center"/>
      </w:pPr>
      <w:r w:rsidRPr="00D879AF">
        <w:rPr>
          <w:position w:val="-32"/>
        </w:rPr>
        <w:object w:dxaOrig="76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2pt;height:38.4pt" o:ole="">
            <v:imagedata r:id="rId12" o:title=""/>
          </v:shape>
          <o:OLEObject Type="Embed" ProgID="Equation.3" ShapeID="_x0000_i1025" DrawAspect="Content" ObjectID="_1465896410" r:id="rId13"/>
        </w:object>
      </w:r>
    </w:p>
    <w:p w:rsidR="00B441BB" w:rsidRDefault="00B441BB" w:rsidP="00B441BB">
      <w:pPr>
        <w:spacing w:line="288" w:lineRule="auto"/>
        <w:jc w:val="both"/>
      </w:pPr>
    </w:p>
    <w:p w:rsidR="00820192" w:rsidRDefault="003F2E07" w:rsidP="00B441BB">
      <w:pPr>
        <w:spacing w:line="288" w:lineRule="auto"/>
        <w:jc w:val="both"/>
      </w:pPr>
      <w:r>
        <w:t xml:space="preserve">where </w:t>
      </w:r>
      <w:proofErr w:type="spellStart"/>
      <w:r>
        <w:rPr>
          <w:i/>
        </w:rPr>
        <w:t>P</w:t>
      </w:r>
      <w:r>
        <w:rPr>
          <w:i/>
          <w:vertAlign w:val="superscript"/>
        </w:rPr>
        <w:t>School</w:t>
      </w:r>
      <w:proofErr w:type="spellEnd"/>
      <w:r>
        <w:rPr>
          <w:i/>
          <w:vertAlign w:val="superscript"/>
        </w:rPr>
        <w:t xml:space="preserve"> </w:t>
      </w:r>
      <w:r>
        <w:rPr>
          <w:vertAlign w:val="subscript"/>
        </w:rPr>
        <w:t xml:space="preserve"> </w:t>
      </w:r>
      <w:r>
        <w:t>is the Level 3 NCEA pass rate for the school whose abbreviated name is in the superscript</w:t>
      </w:r>
      <w:r w:rsidR="00430A3E">
        <w:t>,</w:t>
      </w:r>
      <w:r>
        <w:t xml:space="preserve"> the values in ( ) are the inverse distances with the schools arrayed from nearest to furthest away</w:t>
      </w:r>
      <w:r w:rsidR="00430A3E">
        <w:t xml:space="preserve"> and the denominator of 1.29 is a normalization so that the weights add to 1.0</w:t>
      </w:r>
      <w:r>
        <w:t>. For the dwelling in Figure 2a, the (inverse-distance) weighted average NCEA pass rate for the schools that a student from that dwelling is eligible to attend is 32.3%.</w:t>
      </w:r>
    </w:p>
    <w:p w:rsidR="00B441BB" w:rsidRDefault="00B441BB" w:rsidP="00B441BB">
      <w:pPr>
        <w:spacing w:line="288" w:lineRule="auto"/>
        <w:jc w:val="both"/>
      </w:pPr>
    </w:p>
    <w:p w:rsidR="003F2E07" w:rsidRDefault="003F2E07" w:rsidP="006E061C">
      <w:pPr>
        <w:tabs>
          <w:tab w:val="left" w:pos="426"/>
        </w:tabs>
        <w:spacing w:line="288" w:lineRule="auto"/>
        <w:jc w:val="both"/>
      </w:pPr>
      <w:r>
        <w:tab/>
        <w:t xml:space="preserve">The dwelling in Figure 2b is </w:t>
      </w:r>
      <w:r w:rsidR="00126CA5">
        <w:t xml:space="preserve">just </w:t>
      </w:r>
      <w:r w:rsidR="00430A3E">
        <w:t>750</w:t>
      </w:r>
      <w:r>
        <w:t xml:space="preserve"> meters from the dwelling in Figure 2a, but is inside the attendance boundaries of both Girls High and Boys High, which have the highest and third highest NCEA pass rates amongst the state secondary schools in the city. Therefore, the schooling opportunity set </w:t>
      </w:r>
      <w:r w:rsidR="00126CA5">
        <w:t xml:space="preserve">here </w:t>
      </w:r>
      <w:r>
        <w:t xml:space="preserve">is much better, with an </w:t>
      </w:r>
      <w:r w:rsidRPr="003F2E07">
        <w:t xml:space="preserve">(inverse-distance) weighted average NCEA pass rate for schools </w:t>
      </w:r>
      <w:r w:rsidR="00126CA5">
        <w:t xml:space="preserve">that </w:t>
      </w:r>
      <w:r w:rsidRPr="003F2E07">
        <w:t>a</w:t>
      </w:r>
      <w:r>
        <w:t xml:space="preserve"> student </w:t>
      </w:r>
      <w:r w:rsidR="00126CA5">
        <w:t xml:space="preserve">living in this house may </w:t>
      </w:r>
      <w:r>
        <w:t>attend of 55.4</w:t>
      </w:r>
      <w:r w:rsidRPr="003F2E07">
        <w:t>%.</w:t>
      </w:r>
      <w:r>
        <w:t xml:space="preserve"> It is this </w:t>
      </w:r>
      <w:r w:rsidRPr="003F2E07">
        <w:t>(inverse-distance)</w:t>
      </w:r>
      <w:r>
        <w:t xml:space="preserve"> weighted average NCEA pass rate that we relate to </w:t>
      </w:r>
      <w:r w:rsidR="00126CA5">
        <w:t xml:space="preserve">house </w:t>
      </w:r>
      <w:r>
        <w:t xml:space="preserve">sales prices, </w:t>
      </w:r>
      <w:r w:rsidRPr="003F2E07">
        <w:t>controlling for dwelling attributes, neighborhood characteristics and geographic accessibility to a wide range of services.</w:t>
      </w:r>
      <w:r>
        <w:t xml:space="preserve"> Our modeling approach is agnostic </w:t>
      </w:r>
      <w:r w:rsidR="00326916">
        <w:t xml:space="preserve">as to </w:t>
      </w:r>
      <w:r>
        <w:t xml:space="preserve">whether students </w:t>
      </w:r>
      <w:r w:rsidR="00126CA5">
        <w:t xml:space="preserve">in </w:t>
      </w:r>
      <w:r>
        <w:t xml:space="preserve">a particular dwelling actually </w:t>
      </w:r>
      <w:r w:rsidR="00430A3E">
        <w:t xml:space="preserve">attend a particular </w:t>
      </w:r>
      <w:r>
        <w:t xml:space="preserve">school, </w:t>
      </w:r>
      <w:r w:rsidR="00326916">
        <w:t xml:space="preserve">and </w:t>
      </w:r>
      <w:r>
        <w:t>simply</w:t>
      </w:r>
      <w:r w:rsidR="00326916">
        <w:t xml:space="preserve"> summarizes</w:t>
      </w:r>
      <w:r>
        <w:t xml:space="preserve"> their available options using a plausible model of human behavior, that nearby options </w:t>
      </w:r>
      <w:r w:rsidR="007C30E6">
        <w:t>should have a higher weight</w:t>
      </w:r>
      <w:r>
        <w:t xml:space="preserve"> than </w:t>
      </w:r>
      <w:r w:rsidR="007C30E6">
        <w:t xml:space="preserve">more distant </w:t>
      </w:r>
      <w:r>
        <w:t>options.</w:t>
      </w:r>
    </w:p>
    <w:p w:rsidR="00B441BB" w:rsidRDefault="00B441BB" w:rsidP="00B441BB">
      <w:pPr>
        <w:spacing w:line="288" w:lineRule="auto"/>
        <w:jc w:val="both"/>
      </w:pPr>
    </w:p>
    <w:p w:rsidR="00570A5A" w:rsidRDefault="003F2E07" w:rsidP="006E061C">
      <w:pPr>
        <w:tabs>
          <w:tab w:val="left" w:pos="426"/>
        </w:tabs>
        <w:spacing w:line="288" w:lineRule="auto"/>
        <w:jc w:val="both"/>
      </w:pPr>
      <w:r>
        <w:tab/>
        <w:t>A partial equilibrium approach to modeling reform is to recalculate schooling opportunity set</w:t>
      </w:r>
      <w:r w:rsidR="00126CA5">
        <w:t>s</w:t>
      </w:r>
      <w:r>
        <w:t xml:space="preserve"> in the absence of the attendance boundaries. I</w:t>
      </w:r>
      <w:r w:rsidR="009F543A">
        <w:t>n other words,</w:t>
      </w:r>
      <w:r>
        <w:t xml:space="preserve"> </w:t>
      </w:r>
      <w:r w:rsidRPr="003F2E07">
        <w:t>(inverse-distance) weighted average</w:t>
      </w:r>
      <w:r w:rsidR="009F543A">
        <w:t>s</w:t>
      </w:r>
      <w:r w:rsidRPr="003F2E07">
        <w:t xml:space="preserve"> </w:t>
      </w:r>
      <w:r>
        <w:t xml:space="preserve">of the </w:t>
      </w:r>
      <w:r w:rsidRPr="003F2E07">
        <w:t>NCEA pass rate</w:t>
      </w:r>
      <w:r>
        <w:t xml:space="preserve">s for all 14 state secondary schools </w:t>
      </w:r>
      <w:r w:rsidR="009F543A">
        <w:t xml:space="preserve">are </w:t>
      </w:r>
      <w:r>
        <w:t xml:space="preserve">calculated for each dwelling in the sample. For the dwelling in Figure 2a, this </w:t>
      </w:r>
      <w:r w:rsidR="009F543A">
        <w:t xml:space="preserve">counterfactual </w:t>
      </w:r>
      <w:r>
        <w:t xml:space="preserve">schooling opportunity set has an average </w:t>
      </w:r>
      <w:r w:rsidRPr="003F2E07">
        <w:t xml:space="preserve">pass rate </w:t>
      </w:r>
      <w:r>
        <w:t xml:space="preserve">for NCEA Level 3 </w:t>
      </w:r>
      <w:r w:rsidR="009F543A">
        <w:t xml:space="preserve">of 49.2% -- 17 percentage </w:t>
      </w:r>
      <w:r>
        <w:t xml:space="preserve">points higher than the (inverse-distance) weighted average pass rate of the six schools </w:t>
      </w:r>
      <w:r w:rsidR="00326916">
        <w:t xml:space="preserve">actually </w:t>
      </w:r>
      <w:r>
        <w:t xml:space="preserve">available given the attendance boundaries. </w:t>
      </w:r>
    </w:p>
    <w:p w:rsidR="003F2E07" w:rsidRDefault="00570A5A" w:rsidP="006E061C">
      <w:pPr>
        <w:tabs>
          <w:tab w:val="left" w:pos="426"/>
        </w:tabs>
        <w:spacing w:line="288" w:lineRule="auto"/>
        <w:jc w:val="both"/>
      </w:pPr>
      <w:r>
        <w:lastRenderedPageBreak/>
        <w:tab/>
      </w:r>
      <w:r w:rsidR="009F543A">
        <w:t>The implica</w:t>
      </w:r>
      <w:r w:rsidR="00326916">
        <w:t>tion of attendance boundaries of</w:t>
      </w:r>
      <w:r w:rsidR="009F543A">
        <w:t xml:space="preserve"> </w:t>
      </w:r>
      <w:r w:rsidR="00E15F65">
        <w:t>'</w:t>
      </w:r>
      <w:r w:rsidR="009F543A">
        <w:t>locking kids out</w:t>
      </w:r>
      <w:r w:rsidR="00E15F65">
        <w:t>'</w:t>
      </w:r>
      <w:r>
        <w:t xml:space="preserve"> (</w:t>
      </w:r>
      <w:proofErr w:type="spellStart"/>
      <w:r>
        <w:t>LaRocque</w:t>
      </w:r>
      <w:proofErr w:type="spellEnd"/>
      <w:r w:rsidR="009F543A">
        <w:t xml:space="preserve"> 2005) is made very </w:t>
      </w:r>
      <w:r w:rsidR="00326916">
        <w:t xml:space="preserve">clear </w:t>
      </w:r>
      <w:r w:rsidR="009F543A">
        <w:t xml:space="preserve">by this example. </w:t>
      </w:r>
      <w:r w:rsidR="00430A3E">
        <w:t>In contrast, f</w:t>
      </w:r>
      <w:r w:rsidR="003F2E07">
        <w:t xml:space="preserve">or </w:t>
      </w:r>
      <w:r w:rsidR="009F543A">
        <w:t xml:space="preserve">the dwelling in Figure 2b the counterfactual schooling opportunity set has a slightly lower average pass rate (51.9% versus 55.4%) because the only school previously unavailable and with a higher pass rate than the </w:t>
      </w:r>
      <w:r w:rsidR="0011626F">
        <w:t xml:space="preserve">actual </w:t>
      </w:r>
      <w:r w:rsidR="009F543A">
        <w:t xml:space="preserve">average for this dwelling (Burnside) is over </w:t>
      </w:r>
      <w:r w:rsidR="00965C6B">
        <w:t>four</w:t>
      </w:r>
      <w:r w:rsidR="009F543A">
        <w:t xml:space="preserve"> k</w:t>
      </w:r>
      <w:r w:rsidR="00965C6B">
        <w:t xml:space="preserve">ilometers </w:t>
      </w:r>
      <w:r w:rsidR="009F543A">
        <w:t xml:space="preserve">away and so </w:t>
      </w:r>
      <w:r w:rsidR="00326916">
        <w:t xml:space="preserve">does not much alter </w:t>
      </w:r>
      <w:r w:rsidR="009F543A">
        <w:t>the weighted average</w:t>
      </w:r>
      <w:r w:rsidR="00F70111">
        <w:t xml:space="preserve"> for the</w:t>
      </w:r>
      <w:r w:rsidR="0011626F">
        <w:t xml:space="preserve"> counterfactual situation of no boundaries.</w:t>
      </w:r>
      <w:r w:rsidR="009F543A">
        <w:t xml:space="preserve"> </w:t>
      </w:r>
      <w:r w:rsidR="0011626F">
        <w:t>Mean</w:t>
      </w:r>
      <w:r w:rsidR="009F543A">
        <w:t>while a nearby school that was also previously unavailable (</w:t>
      </w:r>
      <w:proofErr w:type="spellStart"/>
      <w:r w:rsidR="009F543A">
        <w:t>Hagley</w:t>
      </w:r>
      <w:proofErr w:type="spellEnd"/>
      <w:r w:rsidR="009F543A">
        <w:t xml:space="preserve">) has a low pass rate and so </w:t>
      </w:r>
      <w:r w:rsidR="00326916">
        <w:t xml:space="preserve">the net effect </w:t>
      </w:r>
      <w:r w:rsidR="0011626F">
        <w:t xml:space="preserve">for this dwelling </w:t>
      </w:r>
      <w:r w:rsidR="00BD3F8B">
        <w:t xml:space="preserve">of opening up access to all state schools </w:t>
      </w:r>
      <w:r w:rsidR="00326916">
        <w:t xml:space="preserve">is to </w:t>
      </w:r>
      <w:r w:rsidR="00F65B84">
        <w:t xml:space="preserve">slightly </w:t>
      </w:r>
      <w:r w:rsidR="00326916">
        <w:t>reduce</w:t>
      </w:r>
      <w:r w:rsidR="009F543A">
        <w:t xml:space="preserve"> the </w:t>
      </w:r>
      <w:r w:rsidR="00BD3F8B">
        <w:t>weighted average pass rate of the schools that are available.</w:t>
      </w:r>
    </w:p>
    <w:p w:rsidR="00B441BB" w:rsidRDefault="00B441BB" w:rsidP="00B441BB">
      <w:pPr>
        <w:spacing w:line="288" w:lineRule="auto"/>
        <w:jc w:val="both"/>
      </w:pPr>
    </w:p>
    <w:p w:rsidR="003F2E07" w:rsidRDefault="009F543A" w:rsidP="006E061C">
      <w:pPr>
        <w:tabs>
          <w:tab w:val="left" w:pos="426"/>
        </w:tabs>
        <w:spacing w:line="288" w:lineRule="auto"/>
        <w:jc w:val="both"/>
      </w:pPr>
      <w:r>
        <w:tab/>
        <w:t>This simulated removal of attendance boundaries is only a partial equilibrium analysis because in the absence of an elastic supply response of popular schools to increased enrolments, some other form of rationing is likely to be imposed.</w:t>
      </w:r>
      <w:r w:rsidR="00D21CAE">
        <w:rPr>
          <w:rStyle w:val="FootnoteReference"/>
        </w:rPr>
        <w:footnoteReference w:id="6"/>
      </w:r>
      <w:r>
        <w:t xml:space="preserve"> </w:t>
      </w:r>
      <w:r w:rsidR="00965C6B">
        <w:t xml:space="preserve"> </w:t>
      </w:r>
      <w:r w:rsidR="00326916">
        <w:t>To the extent that other forms of rationing have some effect on overall property prices and on the attractivene</w:t>
      </w:r>
      <w:r w:rsidR="00570A5A">
        <w:t>ss of particular dwellings (for example,</w:t>
      </w:r>
      <w:r w:rsidR="00326916">
        <w:t xml:space="preserve"> because of changed traffic flows and commuting costs as enrolment patterns change) a more complete general equilibrium analysis would be needed. Nevertheless, the partial equilibrium approach is useful for better understanding the incidence of the attendance boundaries policy, since it can show which </w:t>
      </w:r>
      <w:r w:rsidR="00126CA5">
        <w:t xml:space="preserve">houses </w:t>
      </w:r>
      <w:r w:rsidR="00326916">
        <w:t>have prices that are higher or lower because of the variation in the schooling opportunities that they provide</w:t>
      </w:r>
      <w:r w:rsidR="0011626F">
        <w:t xml:space="preserve">, and </w:t>
      </w:r>
      <w:r w:rsidR="00F65B84">
        <w:t>the sort of neighbo</w:t>
      </w:r>
      <w:r w:rsidR="0011626F">
        <w:t xml:space="preserve">rhood characteristics </w:t>
      </w:r>
      <w:r w:rsidR="008259B0">
        <w:t xml:space="preserve">for these houses that </w:t>
      </w:r>
      <w:r w:rsidR="0011626F">
        <w:t>may be relevant to the political economy of reform</w:t>
      </w:r>
      <w:r w:rsidR="00326916">
        <w:t xml:space="preserve">. </w:t>
      </w:r>
    </w:p>
    <w:p w:rsidR="003F2E07" w:rsidRPr="003F2E07" w:rsidRDefault="003F2E07" w:rsidP="00B441BB">
      <w:pPr>
        <w:spacing w:line="288" w:lineRule="auto"/>
        <w:jc w:val="both"/>
      </w:pPr>
    </w:p>
    <w:p w:rsidR="00DF12BF" w:rsidRDefault="00F76075" w:rsidP="00965C6B">
      <w:pPr>
        <w:tabs>
          <w:tab w:val="left" w:pos="426"/>
        </w:tabs>
        <w:spacing w:line="288" w:lineRule="auto"/>
        <w:jc w:val="both"/>
        <w:rPr>
          <w:b/>
        </w:rPr>
      </w:pPr>
      <w:r>
        <w:rPr>
          <w:b/>
        </w:rPr>
        <w:t>IV.</w:t>
      </w:r>
      <w:r>
        <w:rPr>
          <w:b/>
        </w:rPr>
        <w:tab/>
      </w:r>
      <w:r w:rsidR="00326916">
        <w:rPr>
          <w:b/>
        </w:rPr>
        <w:t xml:space="preserve">Econometric Specification and </w:t>
      </w:r>
      <w:r w:rsidR="006C3771">
        <w:rPr>
          <w:b/>
        </w:rPr>
        <w:t>Result</w:t>
      </w:r>
      <w:r w:rsidR="00DF12BF" w:rsidRPr="00232F90">
        <w:rPr>
          <w:b/>
        </w:rPr>
        <w:t>s</w:t>
      </w:r>
      <w:r w:rsidR="00AC47CD">
        <w:rPr>
          <w:b/>
        </w:rPr>
        <w:t xml:space="preserve"> </w:t>
      </w:r>
    </w:p>
    <w:p w:rsidR="003F3AE8" w:rsidRPr="003F3AE8" w:rsidRDefault="003F3AE8" w:rsidP="00B441BB">
      <w:pPr>
        <w:spacing w:line="288" w:lineRule="auto"/>
        <w:jc w:val="both"/>
        <w:rPr>
          <w:sz w:val="12"/>
          <w:szCs w:val="12"/>
        </w:rPr>
      </w:pPr>
    </w:p>
    <w:p w:rsidR="00F76075" w:rsidRDefault="00BD3F8B" w:rsidP="00B441BB">
      <w:pPr>
        <w:spacing w:line="288" w:lineRule="auto"/>
        <w:jc w:val="both"/>
      </w:pPr>
      <w:r>
        <w:t xml:space="preserve">We estimate the following model of </w:t>
      </w:r>
      <w:r w:rsidR="0061370F">
        <w:t>the logarithm of dwelling</w:t>
      </w:r>
      <w:r>
        <w:t xml:space="preserve"> sales prices (P) using Ordinary Least Squares (OLS) regression:</w:t>
      </w:r>
    </w:p>
    <w:p w:rsidR="00B441BB" w:rsidRDefault="00B441BB" w:rsidP="00B441BB">
      <w:pPr>
        <w:spacing w:line="288" w:lineRule="auto"/>
        <w:jc w:val="both"/>
      </w:pPr>
    </w:p>
    <w:p w:rsidR="00F76075" w:rsidRDefault="00E76F45" w:rsidP="00B441BB">
      <w:pPr>
        <w:spacing w:line="288" w:lineRule="auto"/>
        <w:jc w:val="center"/>
      </w:pPr>
      <w:r w:rsidRPr="00BD3F8B">
        <w:rPr>
          <w:position w:val="-28"/>
        </w:rPr>
        <w:object w:dxaOrig="5420" w:dyaOrig="680">
          <v:shape id="_x0000_i1026" type="#_x0000_t75" style="width:271.2pt;height:33.6pt" o:ole="">
            <v:imagedata r:id="rId14" o:title=""/>
          </v:shape>
          <o:OLEObject Type="Embed" ProgID="Equation.3" ShapeID="_x0000_i1026" DrawAspect="Content" ObjectID="_1465896411" r:id="rId15"/>
        </w:object>
      </w:r>
    </w:p>
    <w:p w:rsidR="00B441BB" w:rsidRDefault="00B441BB" w:rsidP="00B441BB">
      <w:pPr>
        <w:spacing w:line="288" w:lineRule="auto"/>
        <w:jc w:val="center"/>
      </w:pPr>
    </w:p>
    <w:p w:rsidR="003B4452" w:rsidRDefault="00BD3F8B" w:rsidP="00B441BB">
      <w:pPr>
        <w:spacing w:line="288" w:lineRule="auto"/>
        <w:jc w:val="both"/>
      </w:pPr>
      <w:r>
        <w:t xml:space="preserve">where </w:t>
      </w:r>
      <w:r w:rsidR="003B4452" w:rsidRPr="003B4452">
        <w:rPr>
          <w:position w:val="-12"/>
        </w:rPr>
        <w:object w:dxaOrig="600" w:dyaOrig="380">
          <v:shape id="_x0000_i1027" type="#_x0000_t75" style="width:30pt;height:19.2pt" o:ole="">
            <v:imagedata r:id="rId16" o:title=""/>
          </v:shape>
          <o:OLEObject Type="Embed" ProgID="Equation.3" ShapeID="_x0000_i1027" DrawAspect="Content" ObjectID="_1465896412" r:id="rId17"/>
        </w:object>
      </w:r>
      <w:r w:rsidR="003B4452">
        <w:t xml:space="preserve">is the schooling opportunity set for dwelling </w:t>
      </w:r>
      <w:proofErr w:type="spellStart"/>
      <w:r w:rsidR="003B4452">
        <w:rPr>
          <w:i/>
        </w:rPr>
        <w:t>i</w:t>
      </w:r>
      <w:proofErr w:type="spellEnd"/>
      <w:r w:rsidR="003B4452">
        <w:t xml:space="preserve"> using proxy variable </w:t>
      </w:r>
      <w:r w:rsidR="003B4452">
        <w:rPr>
          <w:i/>
        </w:rPr>
        <w:t>j</w:t>
      </w:r>
      <w:r w:rsidR="00E73D49">
        <w:t xml:space="preserve">, </w:t>
      </w:r>
      <w:r w:rsidR="00E73D49" w:rsidRPr="00E73D49">
        <w:rPr>
          <w:i/>
        </w:rPr>
        <w:sym w:font="Symbol" w:char="F064"/>
      </w:r>
      <w:r w:rsidR="00E73D49" w:rsidRPr="00E73D49">
        <w:rPr>
          <w:i/>
          <w:vertAlign w:val="subscript"/>
        </w:rPr>
        <w:t>d</w:t>
      </w:r>
      <w:r w:rsidR="00E73D49">
        <w:t xml:space="preserve"> is a vector of coefficients on dwelling attributes, </w:t>
      </w:r>
      <w:r w:rsidR="00E73D49">
        <w:rPr>
          <w:i/>
        </w:rPr>
        <w:sym w:font="Symbol" w:char="F067"/>
      </w:r>
      <w:r w:rsidR="00E73D49">
        <w:rPr>
          <w:i/>
          <w:vertAlign w:val="subscript"/>
        </w:rPr>
        <w:t>c</w:t>
      </w:r>
      <w:r w:rsidR="00E73D49" w:rsidRPr="00E73D49">
        <w:t xml:space="preserve"> is a vector of coefficients </w:t>
      </w:r>
      <w:r w:rsidR="00E73D49">
        <w:t xml:space="preserve">on </w:t>
      </w:r>
      <w:proofErr w:type="spellStart"/>
      <w:r w:rsidR="00E73D49">
        <w:t>neighbourhood</w:t>
      </w:r>
      <w:proofErr w:type="spellEnd"/>
      <w:r w:rsidR="00E73D49">
        <w:t xml:space="preserve"> characteristics, </w:t>
      </w:r>
      <w:r w:rsidR="0011626F">
        <w:rPr>
          <w:i/>
        </w:rPr>
        <w:sym w:font="Symbol" w:char="F068"/>
      </w:r>
      <w:r w:rsidR="0011626F">
        <w:rPr>
          <w:i/>
          <w:vertAlign w:val="subscript"/>
        </w:rPr>
        <w:t>a</w:t>
      </w:r>
      <w:r w:rsidR="00E73D49" w:rsidRPr="00E73D49">
        <w:t xml:space="preserve"> is a vector of coefficients on</w:t>
      </w:r>
      <w:r w:rsidR="00E73D49">
        <w:t xml:space="preserve"> the geographic accessibility measures, and </w:t>
      </w:r>
      <w:r w:rsidR="00E73D49" w:rsidRPr="00E73D49">
        <w:rPr>
          <w:i/>
        </w:rPr>
        <w:sym w:font="Symbol" w:char="F065"/>
      </w:r>
      <w:proofErr w:type="spellStart"/>
      <w:r w:rsidR="00E73D49" w:rsidRPr="00E73D49">
        <w:rPr>
          <w:i/>
          <w:vertAlign w:val="subscript"/>
        </w:rPr>
        <w:t>i</w:t>
      </w:r>
      <w:proofErr w:type="spellEnd"/>
      <w:r w:rsidR="00E73D49">
        <w:t xml:space="preserve"> is the disturbance term</w:t>
      </w:r>
      <w:r>
        <w:t xml:space="preserve">. </w:t>
      </w:r>
      <w:r w:rsidR="00965C6B">
        <w:t xml:space="preserve">  </w:t>
      </w:r>
      <w:r w:rsidR="003B4452">
        <w:t>Four proxy variables for the schooling opportunity set are used – the pass rates in the N</w:t>
      </w:r>
      <w:r w:rsidR="003346C7">
        <w:t>CEA examinations at Levels 1, 2</w:t>
      </w:r>
      <w:r w:rsidR="003B4452">
        <w:t xml:space="preserve"> and 3 (corresponding</w:t>
      </w:r>
      <w:r w:rsidR="00965C6B">
        <w:t xml:space="preserve"> typically</w:t>
      </w:r>
      <w:r w:rsidR="003B4452">
        <w:t xml:space="preserve"> to Year 11, 12 and 13</w:t>
      </w:r>
      <w:r w:rsidR="0061370F">
        <w:t xml:space="preserve"> of school</w:t>
      </w:r>
      <w:r w:rsidR="003B4452">
        <w:t>) and the average of the</w:t>
      </w:r>
      <w:r w:rsidR="0061370F">
        <w:t>se</w:t>
      </w:r>
      <w:r w:rsidR="003B4452">
        <w:t xml:space="preserve"> three pass rates. </w:t>
      </w:r>
    </w:p>
    <w:p w:rsidR="00B441BB" w:rsidRDefault="00B441BB" w:rsidP="00B441BB">
      <w:pPr>
        <w:spacing w:line="288" w:lineRule="auto"/>
        <w:jc w:val="both"/>
      </w:pPr>
    </w:p>
    <w:p w:rsidR="00E73D49" w:rsidRDefault="00BD3F8B" w:rsidP="003F3AE8">
      <w:pPr>
        <w:spacing w:line="288" w:lineRule="auto"/>
        <w:ind w:firstLine="426"/>
        <w:jc w:val="both"/>
      </w:pPr>
      <w:r>
        <w:lastRenderedPageBreak/>
        <w:t xml:space="preserve">There are typically </w:t>
      </w:r>
      <w:r w:rsidR="00E73D49">
        <w:t xml:space="preserve">two </w:t>
      </w:r>
      <w:r>
        <w:t>concerns with interpreting</w:t>
      </w:r>
      <w:r w:rsidR="00E73D49">
        <w:t xml:space="preserve"> </w:t>
      </w:r>
      <w:r w:rsidR="00E73D49" w:rsidRPr="00E73D49">
        <w:rPr>
          <w:position w:val="-10"/>
        </w:rPr>
        <w:object w:dxaOrig="279" w:dyaOrig="380">
          <v:shape id="_x0000_i1028" type="#_x0000_t75" style="width:14.4pt;height:19.2pt" o:ole="">
            <v:imagedata r:id="rId18" o:title=""/>
          </v:shape>
          <o:OLEObject Type="Embed" ProgID="Equation.3" ShapeID="_x0000_i1028" DrawAspect="Content" ObjectID="_1465896413" r:id="rId19"/>
        </w:object>
      </w:r>
      <w:r>
        <w:t xml:space="preserve"> </w:t>
      </w:r>
      <w:r w:rsidR="00E73D49">
        <w:t xml:space="preserve">as the causal effect of school </w:t>
      </w:r>
      <w:r w:rsidR="008259B0">
        <w:t xml:space="preserve">performance </w:t>
      </w:r>
      <w:r w:rsidR="00E73D49">
        <w:t>on house prices; reverse causation and omitted variable bias</w:t>
      </w:r>
      <w:r w:rsidR="00B16361">
        <w:t>. A</w:t>
      </w:r>
      <w:r w:rsidR="00E73D49">
        <w:t xml:space="preserve"> </w:t>
      </w:r>
      <w:r w:rsidR="00B16361">
        <w:t xml:space="preserve">further </w:t>
      </w:r>
      <w:r w:rsidR="00E73D49">
        <w:t>concern is that OLS standar</w:t>
      </w:r>
      <w:r w:rsidR="003B4452">
        <w:t xml:space="preserve">d errors may be </w:t>
      </w:r>
      <w:r w:rsidR="00B16361">
        <w:t xml:space="preserve">wrong </w:t>
      </w:r>
      <w:r w:rsidR="003B4452">
        <w:t>if</w:t>
      </w:r>
      <w:r w:rsidR="00E73D49">
        <w:t xml:space="preserve"> </w:t>
      </w:r>
      <w:r w:rsidR="00F65B84">
        <w:t xml:space="preserve">disturbances </w:t>
      </w:r>
      <w:r w:rsidR="00B16361">
        <w:t>are</w:t>
      </w:r>
      <w:r w:rsidR="003B4452">
        <w:t xml:space="preserve"> </w:t>
      </w:r>
      <w:r w:rsidR="00E73D49">
        <w:t>spatial</w:t>
      </w:r>
      <w:r w:rsidR="00B16361">
        <w:t>ly</w:t>
      </w:r>
      <w:r w:rsidR="00E73D49">
        <w:t xml:space="preserve"> auto</w:t>
      </w:r>
      <w:r w:rsidR="00F65B84">
        <w:t>-</w:t>
      </w:r>
      <w:r w:rsidR="00E73D49">
        <w:t>correl</w:t>
      </w:r>
      <w:r w:rsidR="00B16361">
        <w:t>ated</w:t>
      </w:r>
      <w:r w:rsidR="003B4452">
        <w:t>, where</w:t>
      </w:r>
      <w:r w:rsidR="00E73D49">
        <w:t xml:space="preserve"> residuals </w:t>
      </w:r>
      <w:r w:rsidR="0061370F">
        <w:t xml:space="preserve">for observation </w:t>
      </w:r>
      <w:proofErr w:type="spellStart"/>
      <w:r w:rsidR="0061370F" w:rsidRPr="0061370F">
        <w:rPr>
          <w:i/>
        </w:rPr>
        <w:t>i</w:t>
      </w:r>
      <w:proofErr w:type="spellEnd"/>
      <w:r w:rsidR="0061370F">
        <w:t xml:space="preserve"> </w:t>
      </w:r>
      <w:proofErr w:type="gramStart"/>
      <w:r w:rsidR="003B4452">
        <w:t>are</w:t>
      </w:r>
      <w:proofErr w:type="gramEnd"/>
      <w:r w:rsidR="003B4452">
        <w:t xml:space="preserve"> </w:t>
      </w:r>
      <w:r w:rsidR="0061370F">
        <w:t xml:space="preserve">not independent of </w:t>
      </w:r>
      <w:proofErr w:type="spellStart"/>
      <w:r w:rsidR="00E73D49">
        <w:t>neighbouring</w:t>
      </w:r>
      <w:proofErr w:type="spellEnd"/>
      <w:r w:rsidR="00E73D49">
        <w:t xml:space="preserve"> residuals.</w:t>
      </w:r>
      <w:r w:rsidR="00B16361">
        <w:t xml:space="preserve"> Reverse causation may occur if </w:t>
      </w:r>
      <w:r w:rsidR="003B4452">
        <w:t>schools</w:t>
      </w:r>
      <w:r w:rsidR="00B16361">
        <w:t xml:space="preserve"> are locally funded</w:t>
      </w:r>
      <w:r w:rsidR="003B4452">
        <w:t xml:space="preserve">, </w:t>
      </w:r>
      <w:r w:rsidR="008259B0">
        <w:t xml:space="preserve">because </w:t>
      </w:r>
      <w:r w:rsidR="003B4452">
        <w:t xml:space="preserve">wealthier areas can pay for </w:t>
      </w:r>
      <w:r w:rsidR="00C04BA8">
        <w:t xml:space="preserve">either more or </w:t>
      </w:r>
      <w:r w:rsidR="003B4452">
        <w:t xml:space="preserve">better </w:t>
      </w:r>
      <w:r w:rsidR="00C04BA8">
        <w:t xml:space="preserve">inputs that raise </w:t>
      </w:r>
      <w:r w:rsidR="008259B0">
        <w:t>school performance</w:t>
      </w:r>
      <w:r w:rsidR="00C04BA8">
        <w:t>,</w:t>
      </w:r>
      <w:r w:rsidR="003B4452">
        <w:t xml:space="preserve"> and since property is one of the main forms of wealth the </w:t>
      </w:r>
      <w:r w:rsidR="00B16361">
        <w:t xml:space="preserve">effect </w:t>
      </w:r>
      <w:r w:rsidR="0061370F">
        <w:t xml:space="preserve">could be </w:t>
      </w:r>
      <w:r w:rsidR="00B16361">
        <w:t>f</w:t>
      </w:r>
      <w:r w:rsidR="00F86232">
        <w:t>rom</w:t>
      </w:r>
      <w:r w:rsidR="00B16361">
        <w:t xml:space="preserve"> house prices </w:t>
      </w:r>
      <w:r w:rsidR="00F86232">
        <w:t>t</w:t>
      </w:r>
      <w:r w:rsidR="003B4452">
        <w:t xml:space="preserve">o </w:t>
      </w:r>
      <w:r w:rsidR="008259B0">
        <w:t xml:space="preserve">performance </w:t>
      </w:r>
      <w:r w:rsidR="003B4452">
        <w:t xml:space="preserve">rather than the </w:t>
      </w:r>
      <w:r w:rsidR="00B16361">
        <w:t>reverse</w:t>
      </w:r>
      <w:r w:rsidR="003B4452">
        <w:t xml:space="preserve">. But in New Zealand state schools are </w:t>
      </w:r>
      <w:r w:rsidR="00F86232">
        <w:t xml:space="preserve">fully </w:t>
      </w:r>
      <w:r w:rsidR="003B4452">
        <w:t>funded from central government revenues</w:t>
      </w:r>
      <w:r w:rsidR="00F86232">
        <w:t>, breaking any funding</w:t>
      </w:r>
      <w:r w:rsidR="00C04BA8">
        <w:t xml:space="preserve"> </w:t>
      </w:r>
      <w:r w:rsidR="003B4452">
        <w:t xml:space="preserve">link </w:t>
      </w:r>
      <w:r w:rsidR="00F86232">
        <w:t xml:space="preserve">between </w:t>
      </w:r>
      <w:r w:rsidR="003B4452">
        <w:t xml:space="preserve">local wealth </w:t>
      </w:r>
      <w:r w:rsidR="00F86232">
        <w:t xml:space="preserve">and </w:t>
      </w:r>
      <w:r w:rsidR="003B4452">
        <w:t>school</w:t>
      </w:r>
      <w:r w:rsidR="008259B0">
        <w:t xml:space="preserve"> performance</w:t>
      </w:r>
      <w:r w:rsidR="003B4452">
        <w:t xml:space="preserve">. In fact </w:t>
      </w:r>
      <w:r w:rsidR="00B16361">
        <w:t>the funding formul</w:t>
      </w:r>
      <w:r w:rsidR="0061370F">
        <w:t>a slightly favo</w:t>
      </w:r>
      <w:r w:rsidR="00B16361">
        <w:t xml:space="preserve">rs schools whose students </w:t>
      </w:r>
      <w:r w:rsidR="0061370F">
        <w:t xml:space="preserve">come </w:t>
      </w:r>
      <w:r w:rsidR="00B16361">
        <w:t xml:space="preserve">from economically disadvantaged families, </w:t>
      </w:r>
      <w:r w:rsidR="00D96AA8">
        <w:t>so as</w:t>
      </w:r>
      <w:r w:rsidR="00D96AA8" w:rsidRPr="00D96AA8">
        <w:t xml:space="preserve"> to provide additional resources to support their learning needs</w:t>
      </w:r>
      <w:r w:rsidR="00D96AA8">
        <w:t xml:space="preserve">. These disadvantaged families </w:t>
      </w:r>
      <w:r w:rsidR="00B16361">
        <w:t xml:space="preserve">typically </w:t>
      </w:r>
      <w:r w:rsidR="008259B0">
        <w:t>live</w:t>
      </w:r>
      <w:r w:rsidR="00B16361">
        <w:t xml:space="preserve"> in cheap (or rented) housing, </w:t>
      </w:r>
      <w:r w:rsidR="00D96AA8">
        <w:t>so this funding mechanism further weakens</w:t>
      </w:r>
      <w:r w:rsidR="00B16361">
        <w:t xml:space="preserve"> </w:t>
      </w:r>
      <w:r w:rsidR="00D96AA8">
        <w:t xml:space="preserve">any hypothesized effect of </w:t>
      </w:r>
      <w:r w:rsidR="0061370F">
        <w:t xml:space="preserve">higher </w:t>
      </w:r>
      <w:r w:rsidR="00B16361">
        <w:t xml:space="preserve">local house prices </w:t>
      </w:r>
      <w:r w:rsidR="0061370F">
        <w:t xml:space="preserve">allowing more revenue for </w:t>
      </w:r>
      <w:r w:rsidR="00B16361">
        <w:t>school</w:t>
      </w:r>
      <w:r w:rsidR="0061370F">
        <w:t xml:space="preserve">s to </w:t>
      </w:r>
      <w:r w:rsidR="00F65B84">
        <w:t>use for improving</w:t>
      </w:r>
      <w:r w:rsidR="0061370F">
        <w:t xml:space="preserve"> </w:t>
      </w:r>
      <w:r w:rsidR="008259B0">
        <w:t>performance</w:t>
      </w:r>
      <w:r w:rsidR="00B16361">
        <w:t>.</w:t>
      </w:r>
      <w:r w:rsidR="00D96AA8">
        <w:rPr>
          <w:rStyle w:val="FootnoteReference"/>
        </w:rPr>
        <w:footnoteReference w:id="7"/>
      </w:r>
      <w:r w:rsidR="00B16361">
        <w:t xml:space="preserve"> </w:t>
      </w:r>
    </w:p>
    <w:p w:rsidR="008B593B" w:rsidRDefault="008B593B" w:rsidP="003F3AE8">
      <w:pPr>
        <w:spacing w:line="288" w:lineRule="auto"/>
        <w:ind w:firstLine="426"/>
        <w:jc w:val="both"/>
      </w:pPr>
    </w:p>
    <w:p w:rsidR="00F65B84" w:rsidRDefault="00276B05" w:rsidP="003F3AE8">
      <w:pPr>
        <w:spacing w:line="288" w:lineRule="auto"/>
        <w:ind w:firstLine="426"/>
        <w:jc w:val="both"/>
      </w:pPr>
      <w:r>
        <w:t xml:space="preserve">An </w:t>
      </w:r>
      <w:r w:rsidR="00F228FD">
        <w:t xml:space="preserve">omitted variable bias </w:t>
      </w:r>
      <w:r>
        <w:t>occur</w:t>
      </w:r>
      <w:r w:rsidR="008259B0">
        <w:t>s</w:t>
      </w:r>
      <w:r>
        <w:t xml:space="preserve"> if determinants of house prices not in the model are correlated with school </w:t>
      </w:r>
      <w:r w:rsidR="008259B0">
        <w:t>performance</w:t>
      </w:r>
      <w:r>
        <w:t xml:space="preserve">. In other words, the </w:t>
      </w:r>
      <w:r w:rsidR="00F228FD" w:rsidRPr="00F228FD">
        <w:t>school</w:t>
      </w:r>
      <w:r w:rsidR="00F143CE">
        <w:t>ing</w:t>
      </w:r>
      <w:r w:rsidR="00F228FD" w:rsidRPr="00F228FD">
        <w:t xml:space="preserve"> variables </w:t>
      </w:r>
      <w:r w:rsidR="00F143CE">
        <w:t>may act</w:t>
      </w:r>
      <w:r w:rsidR="00F228FD" w:rsidRPr="00F228FD">
        <w:t xml:space="preserve"> as a proxy for omitted </w:t>
      </w:r>
      <w:r>
        <w:t xml:space="preserve">characteristics, and so the </w:t>
      </w:r>
      <w:r w:rsidRPr="00E73D49">
        <w:rPr>
          <w:position w:val="-10"/>
        </w:rPr>
        <w:object w:dxaOrig="279" w:dyaOrig="380">
          <v:shape id="_x0000_i1029" type="#_x0000_t75" style="width:14.4pt;height:19.2pt" o:ole="">
            <v:imagedata r:id="rId18" o:title=""/>
          </v:shape>
          <o:OLEObject Type="Embed" ProgID="Equation.3" ShapeID="_x0000_i1029" DrawAspect="Content" ObjectID="_1465896414" r:id="rId20"/>
        </w:object>
      </w:r>
      <w:r>
        <w:t xml:space="preserve">captures not just the effect of better schooling opportunities but also </w:t>
      </w:r>
      <w:r w:rsidR="00F70111">
        <w:t xml:space="preserve">effects of </w:t>
      </w:r>
      <w:r>
        <w:t xml:space="preserve">other desirable attributes. The scope for omitted variable bias depends on the richness of the covariates that are included, </w:t>
      </w:r>
      <w:r w:rsidR="00081430">
        <w:t xml:space="preserve">and the current model includes an extensive set of variables that should proxy for unobserved </w:t>
      </w:r>
      <w:r w:rsidR="00F228FD" w:rsidRPr="00F228FD">
        <w:t>geogr</w:t>
      </w:r>
      <w:r w:rsidR="00081430">
        <w:t xml:space="preserve">aphical and neighborhood characteristics, which are the factors </w:t>
      </w:r>
      <w:r w:rsidR="00F70111" w:rsidRPr="00F70111">
        <w:t xml:space="preserve">most likely </w:t>
      </w:r>
      <w:r w:rsidR="00F70111">
        <w:t xml:space="preserve">to </w:t>
      </w:r>
      <w:r w:rsidR="00081430">
        <w:t>correlate with school</w:t>
      </w:r>
      <w:r w:rsidR="008259B0">
        <w:t xml:space="preserve"> performance</w:t>
      </w:r>
      <w:r w:rsidR="00081430">
        <w:t xml:space="preserve">. </w:t>
      </w:r>
    </w:p>
    <w:p w:rsidR="003F3AE8" w:rsidRDefault="003F3AE8" w:rsidP="00B441BB">
      <w:pPr>
        <w:spacing w:line="288" w:lineRule="auto"/>
        <w:ind w:firstLine="720"/>
        <w:jc w:val="both"/>
      </w:pPr>
    </w:p>
    <w:p w:rsidR="008B593B" w:rsidRDefault="00081430" w:rsidP="006E061C">
      <w:pPr>
        <w:spacing w:line="288" w:lineRule="auto"/>
        <w:ind w:firstLine="426"/>
        <w:jc w:val="both"/>
      </w:pPr>
      <w:r>
        <w:t xml:space="preserve">Even if relevant but omitted characteristics are not correlated with </w:t>
      </w:r>
      <w:r w:rsidR="00F65B84">
        <w:t xml:space="preserve">the included </w:t>
      </w:r>
      <w:r>
        <w:t>school variables, there</w:t>
      </w:r>
      <w:r w:rsidR="00F65B84">
        <w:t xml:space="preserve"> is concern about violating</w:t>
      </w:r>
      <w:r>
        <w:t xml:space="preserve"> the OLS assumption that disturbances are independent. </w:t>
      </w:r>
      <w:r w:rsidR="00F65B84">
        <w:t xml:space="preserve">One could try to empirically estimate the correlation between the </w:t>
      </w:r>
      <w:r w:rsidR="00F143CE">
        <w:t xml:space="preserve">disturbance for dwelling </w:t>
      </w:r>
      <w:proofErr w:type="spellStart"/>
      <w:r w:rsidR="00F143CE">
        <w:rPr>
          <w:i/>
        </w:rPr>
        <w:t>i</w:t>
      </w:r>
      <w:proofErr w:type="spellEnd"/>
      <w:r w:rsidR="00F143CE">
        <w:t xml:space="preserve"> </w:t>
      </w:r>
      <w:r w:rsidR="00F65B84">
        <w:t xml:space="preserve">and </w:t>
      </w:r>
      <w:r w:rsidR="00F143CE">
        <w:t xml:space="preserve">all other disturbances </w:t>
      </w:r>
      <w:r w:rsidR="00F65B84">
        <w:t xml:space="preserve">but this </w:t>
      </w:r>
      <w:r w:rsidR="00F143CE">
        <w:t xml:space="preserve">is infeasible </w:t>
      </w:r>
      <w:r w:rsidR="00F65B84">
        <w:t xml:space="preserve">since </w:t>
      </w:r>
      <w:r w:rsidR="00F143CE">
        <w:t xml:space="preserve">there are </w:t>
      </w:r>
      <w:r w:rsidR="00F143CE">
        <w:rPr>
          <w:i/>
        </w:rPr>
        <w:t>N</w:t>
      </w:r>
      <w:r w:rsidR="00F143CE">
        <w:t>×</w:t>
      </w:r>
      <w:r w:rsidR="00F143CE">
        <w:rPr>
          <w:i/>
        </w:rPr>
        <w:t>N</w:t>
      </w:r>
      <w:r w:rsidR="00F143CE">
        <w:t xml:space="preserve"> correlations to estimate</w:t>
      </w:r>
      <w:r w:rsidR="00F65B84">
        <w:t>, plus</w:t>
      </w:r>
      <w:r w:rsidR="00F143CE">
        <w:t xml:space="preserve"> </w:t>
      </w:r>
      <w:proofErr w:type="gramStart"/>
      <w:r w:rsidR="00F143CE">
        <w:t xml:space="preserve">the </w:t>
      </w:r>
      <w:r w:rsidR="00F143CE" w:rsidRPr="003346C7">
        <w:rPr>
          <w:i/>
        </w:rPr>
        <w:sym w:font="Symbol" w:char="F062"/>
      </w:r>
      <w:r w:rsidR="00F143CE">
        <w:t xml:space="preserve"> and</w:t>
      </w:r>
      <w:proofErr w:type="gramEnd"/>
      <w:r w:rsidR="00F143CE">
        <w:t xml:space="preserve"> </w:t>
      </w:r>
      <w:r w:rsidR="00F143CE" w:rsidRPr="003346C7">
        <w:rPr>
          <w:i/>
        </w:rPr>
        <w:t>σ</w:t>
      </w:r>
      <w:r w:rsidR="00F143CE">
        <w:rPr>
          <w:vertAlign w:val="superscript"/>
        </w:rPr>
        <w:t>2</w:t>
      </w:r>
      <w:r w:rsidR="00F143CE">
        <w:t xml:space="preserve"> parameters of a standard regression model, </w:t>
      </w:r>
      <w:r w:rsidR="00F65B84">
        <w:t>exceeding</w:t>
      </w:r>
      <w:r w:rsidR="00F143CE">
        <w:t xml:space="preserve"> the number of observations</w:t>
      </w:r>
      <w:r w:rsidR="00F65B84">
        <w:t xml:space="preserve">, </w:t>
      </w:r>
      <w:r w:rsidR="00F65B84">
        <w:rPr>
          <w:i/>
        </w:rPr>
        <w:t>N</w:t>
      </w:r>
      <w:r w:rsidR="00F143CE">
        <w:t xml:space="preserve">. </w:t>
      </w:r>
    </w:p>
    <w:p w:rsidR="008B593B" w:rsidRDefault="008B593B" w:rsidP="006E061C">
      <w:pPr>
        <w:spacing w:line="288" w:lineRule="auto"/>
        <w:ind w:firstLine="426"/>
        <w:jc w:val="both"/>
      </w:pPr>
    </w:p>
    <w:p w:rsidR="00F143CE" w:rsidRDefault="00F143CE" w:rsidP="006E061C">
      <w:pPr>
        <w:spacing w:line="288" w:lineRule="auto"/>
        <w:ind w:firstLine="426"/>
        <w:jc w:val="both"/>
      </w:pPr>
      <w:r>
        <w:t xml:space="preserve">A </w:t>
      </w:r>
      <w:r>
        <w:rPr>
          <w:i/>
        </w:rPr>
        <w:t>spatial weight</w:t>
      </w:r>
      <w:r w:rsidR="00F65B84">
        <w:rPr>
          <w:i/>
        </w:rPr>
        <w:t>s</w:t>
      </w:r>
      <w:r>
        <w:rPr>
          <w:i/>
        </w:rPr>
        <w:t xml:space="preserve"> matrix</w:t>
      </w:r>
      <w:r>
        <w:t xml:space="preserve"> is one way </w:t>
      </w:r>
      <w:r w:rsidR="00F65B84">
        <w:t>to reduce the dimensionality of the problem, by</w:t>
      </w:r>
      <w:r>
        <w:t xml:space="preserve"> imposing </w:t>
      </w:r>
      <w:r w:rsidR="00F65B84">
        <w:t xml:space="preserve">some </w:t>
      </w:r>
      <w:r>
        <w:t>structure</w:t>
      </w:r>
      <w:r w:rsidR="00F65B84">
        <w:t>.</w:t>
      </w:r>
      <w:r>
        <w:t xml:space="preserve"> </w:t>
      </w:r>
      <w:r w:rsidR="00F65B84">
        <w:t xml:space="preserve">Let there be </w:t>
      </w:r>
      <w:r>
        <w:t xml:space="preserve">an </w:t>
      </w:r>
      <w:r>
        <w:rPr>
          <w:i/>
        </w:rPr>
        <w:t>N</w:t>
      </w:r>
      <w:r>
        <w:t>×</w:t>
      </w:r>
      <w:r>
        <w:rPr>
          <w:i/>
        </w:rPr>
        <w:t>N</w:t>
      </w:r>
      <w:r>
        <w:t xml:space="preserve"> matrix whose elements are</w:t>
      </w:r>
      <w:r w:rsidRPr="00097E61">
        <w:rPr>
          <w:position w:val="-14"/>
        </w:rPr>
        <w:object w:dxaOrig="1040" w:dyaOrig="380">
          <v:shape id="_x0000_i1030" type="#_x0000_t75" style="width:51.6pt;height:19.2pt" o:ole="">
            <v:imagedata r:id="rId21" o:title=""/>
          </v:shape>
          <o:OLEObject Type="Embed" ProgID="Equation.3" ShapeID="_x0000_i1030" DrawAspect="Content" ObjectID="_1465896415" r:id="rId22"/>
        </w:object>
      </w:r>
      <w:r>
        <w:t xml:space="preserve"> where </w:t>
      </w:r>
      <w:proofErr w:type="spellStart"/>
      <w:r>
        <w:rPr>
          <w:i/>
        </w:rPr>
        <w:t>d</w:t>
      </w:r>
      <w:r>
        <w:rPr>
          <w:i/>
          <w:vertAlign w:val="subscript"/>
        </w:rPr>
        <w:t>ij</w:t>
      </w:r>
      <w:proofErr w:type="spellEnd"/>
      <w:r>
        <w:t xml:space="preserve"> is the distance between observations </w:t>
      </w:r>
      <w:proofErr w:type="spellStart"/>
      <w:r>
        <w:rPr>
          <w:i/>
        </w:rPr>
        <w:t>i</w:t>
      </w:r>
      <w:proofErr w:type="spellEnd"/>
      <w:r>
        <w:t xml:space="preserve"> and </w:t>
      </w:r>
      <w:r>
        <w:rPr>
          <w:i/>
        </w:rPr>
        <w:t>j</w:t>
      </w:r>
      <w:r>
        <w:t xml:space="preserve"> (inverse distance weights)</w:t>
      </w:r>
      <w:r w:rsidR="00F65B84">
        <w:t>; this</w:t>
      </w:r>
      <w:r w:rsidRPr="00461B2A">
        <w:t xml:space="preserve"> matrix </w:t>
      </w:r>
      <w:r>
        <w:t xml:space="preserve">allows all interactions between the disturbance for dwelling </w:t>
      </w:r>
      <w:proofErr w:type="spellStart"/>
      <w:r>
        <w:rPr>
          <w:i/>
        </w:rPr>
        <w:t>i</w:t>
      </w:r>
      <w:proofErr w:type="spellEnd"/>
      <w:r>
        <w:rPr>
          <w:i/>
        </w:rPr>
        <w:t xml:space="preserve"> </w:t>
      </w:r>
      <w:r>
        <w:t xml:space="preserve">and </w:t>
      </w:r>
      <w:r w:rsidR="00F65B84">
        <w:t xml:space="preserve">all other disturbances </w:t>
      </w:r>
      <w:r>
        <w:t>to be parameterized in the form of a weighted average</w:t>
      </w:r>
      <w:r w:rsidR="00C04BA8">
        <w:t>,</w:t>
      </w:r>
      <w:r>
        <w:t xml:space="preserve"> </w:t>
      </w:r>
      <w:r w:rsidR="00F65B84" w:rsidRPr="00F65B84">
        <w:t xml:space="preserve">with </w:t>
      </w:r>
      <w:r w:rsidR="00C04BA8">
        <w:t xml:space="preserve">a </w:t>
      </w:r>
      <w:r w:rsidR="00F65B84">
        <w:t xml:space="preserve">parameter </w:t>
      </w:r>
      <w:r w:rsidR="00F65B84" w:rsidRPr="00F65B84">
        <w:rPr>
          <w:i/>
        </w:rPr>
        <w:t>λ</w:t>
      </w:r>
      <w:r w:rsidR="00F65B84" w:rsidRPr="00F65B84">
        <w:t xml:space="preserve"> measuring the strength </w:t>
      </w:r>
      <w:r w:rsidR="00F65B84" w:rsidRPr="00F65B84">
        <w:lastRenderedPageBreak/>
        <w:t xml:space="preserve">of this relationship </w:t>
      </w:r>
      <w:r w:rsidR="003346C7">
        <w:t>(</w:t>
      </w:r>
      <w:proofErr w:type="spellStart"/>
      <w:r w:rsidR="003346C7">
        <w:t>Anselin</w:t>
      </w:r>
      <w:proofErr w:type="spellEnd"/>
      <w:r>
        <w:t xml:space="preserve"> 1988).</w:t>
      </w:r>
      <w:r w:rsidR="00F65B84">
        <w:t xml:space="preserve"> Specifically</w:t>
      </w:r>
      <w:r>
        <w:t xml:space="preserve">, </w:t>
      </w:r>
      <w:r w:rsidR="00F65B84">
        <w:t xml:space="preserve">we can estimate the </w:t>
      </w:r>
      <w:r w:rsidR="00F65B84">
        <w:rPr>
          <w:i/>
        </w:rPr>
        <w:t xml:space="preserve">spatial error model </w:t>
      </w:r>
      <w:r w:rsidR="005A6812">
        <w:t>whose</w:t>
      </w:r>
      <w:r w:rsidR="00C370B5">
        <w:t xml:space="preserve"> di</w:t>
      </w:r>
      <w:r w:rsidR="005A6812">
        <w:t>sturbances are decomposed into a spatially uncorrelated</w:t>
      </w:r>
      <w:r w:rsidR="00C370B5">
        <w:t xml:space="preserve"> component</w:t>
      </w:r>
      <w:r w:rsidR="005A6812">
        <w:t xml:space="preserve">, </w:t>
      </w:r>
      <w:r w:rsidR="005A6812" w:rsidRPr="005A6812">
        <w:rPr>
          <w:i/>
        </w:rPr>
        <w:sym w:font="Symbol" w:char="F06E"/>
      </w:r>
      <w:proofErr w:type="spellStart"/>
      <w:r w:rsidR="005A6812" w:rsidRPr="005A6812">
        <w:rPr>
          <w:i/>
          <w:vertAlign w:val="subscript"/>
        </w:rPr>
        <w:t>i</w:t>
      </w:r>
      <w:proofErr w:type="spellEnd"/>
      <w:r w:rsidR="005A6812">
        <w:t xml:space="preserve"> and the spatially correlated part:</w:t>
      </w:r>
      <w:r w:rsidR="00F65B84">
        <w:t xml:space="preserve"> </w:t>
      </w:r>
      <w:r w:rsidR="005A6812" w:rsidRPr="005A6812">
        <w:rPr>
          <w:position w:val="-12"/>
        </w:rPr>
        <w:object w:dxaOrig="700" w:dyaOrig="360">
          <v:shape id="_x0000_i1031" type="#_x0000_t75" style="width:34.8pt;height:18pt" o:ole="">
            <v:imagedata r:id="rId23" o:title=""/>
          </v:shape>
          <o:OLEObject Type="Embed" ProgID="Equation.3" ShapeID="_x0000_i1031" DrawAspect="Content" ObjectID="_1465896416" r:id="rId24"/>
        </w:object>
      </w:r>
      <w:r w:rsidR="005A6812">
        <w:t xml:space="preserve"> where </w:t>
      </w:r>
      <w:proofErr w:type="spellStart"/>
      <w:proofErr w:type="gramStart"/>
      <w:r w:rsidR="005A6812">
        <w:rPr>
          <w:b/>
        </w:rPr>
        <w:t>w</w:t>
      </w:r>
      <w:r w:rsidR="005A6812">
        <w:rPr>
          <w:vertAlign w:val="subscript"/>
        </w:rPr>
        <w:t>i</w:t>
      </w:r>
      <w:proofErr w:type="spellEnd"/>
      <w:proofErr w:type="gramEnd"/>
      <w:r w:rsidR="005A6812">
        <w:rPr>
          <w:vertAlign w:val="subscript"/>
        </w:rPr>
        <w:t xml:space="preserve"> </w:t>
      </w:r>
      <w:r w:rsidR="005A6812">
        <w:t xml:space="preserve">is the vector of spatial weights summarizing connections between </w:t>
      </w:r>
      <w:r w:rsidR="00C04BA8" w:rsidRPr="00C04BA8">
        <w:t xml:space="preserve">location </w:t>
      </w:r>
      <w:proofErr w:type="spellStart"/>
      <w:r w:rsidR="00C04BA8" w:rsidRPr="00C04BA8">
        <w:rPr>
          <w:i/>
        </w:rPr>
        <w:t>i</w:t>
      </w:r>
      <w:proofErr w:type="spellEnd"/>
      <w:r w:rsidR="00C04BA8" w:rsidRPr="00C04BA8">
        <w:rPr>
          <w:i/>
        </w:rPr>
        <w:t xml:space="preserve"> </w:t>
      </w:r>
      <w:r w:rsidR="00C04BA8" w:rsidRPr="00C04BA8">
        <w:t xml:space="preserve">and </w:t>
      </w:r>
      <w:r w:rsidR="005A6812">
        <w:t xml:space="preserve">all </w:t>
      </w:r>
      <w:r w:rsidR="005A6812">
        <w:rPr>
          <w:i/>
        </w:rPr>
        <w:t xml:space="preserve">j </w:t>
      </w:r>
      <w:r w:rsidR="005A6812">
        <w:t xml:space="preserve">locations and </w:t>
      </w:r>
      <w:r w:rsidR="005A6812">
        <w:sym w:font="Symbol" w:char="F078"/>
      </w:r>
      <w:proofErr w:type="spellStart"/>
      <w:r w:rsidR="005A6812">
        <w:rPr>
          <w:vertAlign w:val="subscript"/>
        </w:rPr>
        <w:t>i</w:t>
      </w:r>
      <w:proofErr w:type="spellEnd"/>
      <w:r w:rsidR="005A6812">
        <w:t xml:space="preserve"> summarizes the disturbances in each of those locations.</w:t>
      </w:r>
    </w:p>
    <w:p w:rsidR="00B441BB" w:rsidRPr="005A6812" w:rsidRDefault="00B441BB" w:rsidP="00B441BB">
      <w:pPr>
        <w:spacing w:line="288" w:lineRule="auto"/>
        <w:ind w:firstLine="720"/>
        <w:jc w:val="both"/>
        <w:rPr>
          <w:lang w:val="en-NZ"/>
        </w:rPr>
      </w:pPr>
    </w:p>
    <w:p w:rsidR="008C5962" w:rsidRDefault="005A6812" w:rsidP="006E061C">
      <w:pPr>
        <w:spacing w:line="288" w:lineRule="auto"/>
        <w:ind w:firstLine="426"/>
        <w:jc w:val="both"/>
      </w:pPr>
      <w:r>
        <w:t xml:space="preserve">The full results of the OLS and spatial error regressions are reported in Appendix Table 1. </w:t>
      </w:r>
      <w:r w:rsidR="00F70111">
        <w:t xml:space="preserve">These models explain from 74.9% to 76.1% of the variation in house prices, and show </w:t>
      </w:r>
      <w:r w:rsidR="00BC32B4">
        <w:t xml:space="preserve">very precisely estimated </w:t>
      </w:r>
      <w:r w:rsidR="00F70111">
        <w:t>effect</w:t>
      </w:r>
      <w:r w:rsidR="00F86232">
        <w:t>s of schooling opportunity sets</w:t>
      </w:r>
      <w:r w:rsidR="00F70111">
        <w:t xml:space="preserve"> on prices. </w:t>
      </w:r>
      <w:r w:rsidR="008C5962">
        <w:t xml:space="preserve">We focus here on the effects of </w:t>
      </w:r>
      <w:r w:rsidR="00BC32B4">
        <w:t xml:space="preserve">the </w:t>
      </w:r>
      <w:r w:rsidR="008C5962">
        <w:t>schooling</w:t>
      </w:r>
      <w:r w:rsidR="00BC32B4">
        <w:t xml:space="preserve"> variables</w:t>
      </w:r>
      <w:r w:rsidR="008C5962">
        <w:t xml:space="preserve">, which </w:t>
      </w:r>
      <w:r w:rsidR="00F86232">
        <w:t xml:space="preserve">use </w:t>
      </w:r>
      <w:r w:rsidR="008C5962">
        <w:t xml:space="preserve">the </w:t>
      </w:r>
      <w:r w:rsidR="008C5962" w:rsidRPr="008C5962">
        <w:t>(inverse-distance) weighted average NCEA pass rate for the schools that a student is eligible to attend</w:t>
      </w:r>
      <w:r w:rsidR="00F86232">
        <w:t xml:space="preserve"> to proxy for the schooling opportunity set of each dwelling</w:t>
      </w:r>
      <w:r w:rsidR="008C5962">
        <w:t xml:space="preserve">. </w:t>
      </w:r>
      <w:r w:rsidR="00F70111">
        <w:t>A one percentage point increase in the weighted average NCEA pass rate</w:t>
      </w:r>
      <w:r w:rsidR="00F86232">
        <w:t xml:space="preserve"> at Level </w:t>
      </w:r>
      <w:r w:rsidR="00F70111">
        <w:t>1 increase</w:t>
      </w:r>
      <w:r w:rsidR="008C5962">
        <w:t>s</w:t>
      </w:r>
      <w:r w:rsidR="00F70111">
        <w:t xml:space="preserve"> house prices by 0.7%, all else the same</w:t>
      </w:r>
      <w:r w:rsidR="007C30E6">
        <w:t xml:space="preserve"> (Table 1)</w:t>
      </w:r>
      <w:r w:rsidR="00F70111">
        <w:t xml:space="preserve">. A one percentage point </w:t>
      </w:r>
      <w:r w:rsidR="008C5962">
        <w:t xml:space="preserve">higher </w:t>
      </w:r>
      <w:r w:rsidR="00F70111">
        <w:t xml:space="preserve">NCEA Level 2 </w:t>
      </w:r>
      <w:r w:rsidR="00C04BA8">
        <w:t xml:space="preserve">or </w:t>
      </w:r>
      <w:r w:rsidR="00F70111">
        <w:t xml:space="preserve">Level 3 </w:t>
      </w:r>
      <w:r w:rsidR="00C04BA8">
        <w:t>pass rate</w:t>
      </w:r>
      <w:r w:rsidR="00F70111">
        <w:t xml:space="preserve"> </w:t>
      </w:r>
      <w:r w:rsidR="008C5962">
        <w:t xml:space="preserve">is associated with </w:t>
      </w:r>
      <w:r w:rsidR="00F70111">
        <w:t xml:space="preserve">houses prices </w:t>
      </w:r>
      <w:r w:rsidR="008C5962">
        <w:t>that are 0.8% higher.</w:t>
      </w:r>
    </w:p>
    <w:p w:rsidR="00B441BB" w:rsidRDefault="00B441BB" w:rsidP="00B441BB">
      <w:pPr>
        <w:spacing w:line="288"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1546"/>
        <w:gridCol w:w="1546"/>
        <w:gridCol w:w="1547"/>
        <w:gridCol w:w="1869"/>
      </w:tblGrid>
      <w:tr w:rsidR="005C5949" w:rsidTr="0029148E">
        <w:tc>
          <w:tcPr>
            <w:tcW w:w="9243" w:type="dxa"/>
            <w:gridSpan w:val="5"/>
            <w:tcBorders>
              <w:bottom w:val="single" w:sz="4" w:space="0" w:color="auto"/>
            </w:tcBorders>
          </w:tcPr>
          <w:p w:rsidR="005C5949" w:rsidRPr="003F3AE8" w:rsidRDefault="005C5949" w:rsidP="00B441BB">
            <w:pPr>
              <w:spacing w:line="288" w:lineRule="auto"/>
              <w:jc w:val="center"/>
              <w:rPr>
                <w:b/>
                <w:sz w:val="22"/>
                <w:szCs w:val="22"/>
              </w:rPr>
            </w:pPr>
            <w:r w:rsidRPr="003F3AE8">
              <w:rPr>
                <w:sz w:val="22"/>
                <w:szCs w:val="22"/>
              </w:rPr>
              <w:br w:type="page"/>
            </w:r>
            <w:r w:rsidRPr="003F3AE8">
              <w:rPr>
                <w:b/>
                <w:sz w:val="22"/>
                <w:szCs w:val="22"/>
              </w:rPr>
              <w:t xml:space="preserve">Table 1: </w:t>
            </w:r>
            <w:r w:rsidR="008259B0" w:rsidRPr="003F3AE8">
              <w:rPr>
                <w:b/>
                <w:sz w:val="22"/>
                <w:szCs w:val="22"/>
              </w:rPr>
              <w:t>Estimated Effects of School Performance on House Prices</w:t>
            </w:r>
          </w:p>
        </w:tc>
      </w:tr>
      <w:tr w:rsidR="005C5949" w:rsidTr="0029148E">
        <w:tc>
          <w:tcPr>
            <w:tcW w:w="2735" w:type="dxa"/>
            <w:tcBorders>
              <w:top w:val="single" w:sz="4" w:space="0" w:color="auto"/>
            </w:tcBorders>
          </w:tcPr>
          <w:p w:rsidR="005C5949" w:rsidRPr="003F3AE8" w:rsidRDefault="005C5949" w:rsidP="00B441BB">
            <w:pPr>
              <w:spacing w:line="288" w:lineRule="auto"/>
              <w:jc w:val="both"/>
              <w:rPr>
                <w:sz w:val="22"/>
                <w:szCs w:val="22"/>
              </w:rPr>
            </w:pPr>
          </w:p>
        </w:tc>
        <w:tc>
          <w:tcPr>
            <w:tcW w:w="1546" w:type="dxa"/>
            <w:tcBorders>
              <w:top w:val="single" w:sz="4" w:space="0" w:color="auto"/>
              <w:bottom w:val="single" w:sz="4" w:space="0" w:color="auto"/>
            </w:tcBorders>
          </w:tcPr>
          <w:p w:rsidR="005C5949" w:rsidRPr="003F3AE8" w:rsidRDefault="005C5949" w:rsidP="00DB3AAD">
            <w:pPr>
              <w:spacing w:before="100" w:after="100" w:line="288" w:lineRule="auto"/>
              <w:jc w:val="center"/>
              <w:rPr>
                <w:sz w:val="22"/>
                <w:szCs w:val="22"/>
              </w:rPr>
            </w:pPr>
            <w:r w:rsidRPr="003F3AE8">
              <w:rPr>
                <w:sz w:val="22"/>
                <w:szCs w:val="22"/>
              </w:rPr>
              <w:t>Level 1</w:t>
            </w:r>
          </w:p>
        </w:tc>
        <w:tc>
          <w:tcPr>
            <w:tcW w:w="1546" w:type="dxa"/>
            <w:tcBorders>
              <w:top w:val="single" w:sz="4" w:space="0" w:color="auto"/>
              <w:bottom w:val="single" w:sz="4" w:space="0" w:color="auto"/>
            </w:tcBorders>
          </w:tcPr>
          <w:p w:rsidR="005C5949" w:rsidRPr="003F3AE8" w:rsidRDefault="005C5949" w:rsidP="00DB3AAD">
            <w:pPr>
              <w:spacing w:before="100" w:after="100" w:line="288" w:lineRule="auto"/>
              <w:jc w:val="center"/>
              <w:rPr>
                <w:sz w:val="22"/>
                <w:szCs w:val="22"/>
              </w:rPr>
            </w:pPr>
            <w:r w:rsidRPr="003F3AE8">
              <w:rPr>
                <w:sz w:val="22"/>
                <w:szCs w:val="22"/>
              </w:rPr>
              <w:t>Level 2</w:t>
            </w:r>
          </w:p>
        </w:tc>
        <w:tc>
          <w:tcPr>
            <w:tcW w:w="1547" w:type="dxa"/>
            <w:tcBorders>
              <w:top w:val="single" w:sz="4" w:space="0" w:color="auto"/>
              <w:bottom w:val="single" w:sz="4" w:space="0" w:color="auto"/>
            </w:tcBorders>
          </w:tcPr>
          <w:p w:rsidR="005C5949" w:rsidRPr="003F3AE8" w:rsidRDefault="005C5949" w:rsidP="00DB3AAD">
            <w:pPr>
              <w:spacing w:before="100" w:after="100" w:line="288" w:lineRule="auto"/>
              <w:jc w:val="center"/>
              <w:rPr>
                <w:sz w:val="22"/>
                <w:szCs w:val="22"/>
              </w:rPr>
            </w:pPr>
            <w:r w:rsidRPr="003F3AE8">
              <w:rPr>
                <w:sz w:val="22"/>
                <w:szCs w:val="22"/>
              </w:rPr>
              <w:t>Level 3</w:t>
            </w:r>
          </w:p>
        </w:tc>
        <w:tc>
          <w:tcPr>
            <w:tcW w:w="1869" w:type="dxa"/>
            <w:tcBorders>
              <w:top w:val="single" w:sz="4" w:space="0" w:color="auto"/>
              <w:bottom w:val="single" w:sz="4" w:space="0" w:color="auto"/>
            </w:tcBorders>
          </w:tcPr>
          <w:p w:rsidR="005C5949" w:rsidRPr="003F3AE8" w:rsidRDefault="005C5949" w:rsidP="00DB3AAD">
            <w:pPr>
              <w:spacing w:before="100" w:after="100" w:line="288" w:lineRule="auto"/>
              <w:jc w:val="center"/>
              <w:rPr>
                <w:sz w:val="22"/>
                <w:szCs w:val="22"/>
              </w:rPr>
            </w:pPr>
            <w:r w:rsidRPr="003F3AE8">
              <w:rPr>
                <w:sz w:val="22"/>
                <w:szCs w:val="22"/>
              </w:rPr>
              <w:t>Level 1-3 Mean</w:t>
            </w:r>
          </w:p>
        </w:tc>
      </w:tr>
      <w:tr w:rsidR="00DB3AAD" w:rsidTr="0029148E">
        <w:tc>
          <w:tcPr>
            <w:tcW w:w="2735" w:type="dxa"/>
          </w:tcPr>
          <w:p w:rsidR="00DB3AAD" w:rsidRPr="003F3AE8" w:rsidRDefault="00DB3AAD" w:rsidP="00B441BB">
            <w:pPr>
              <w:spacing w:line="288" w:lineRule="auto"/>
              <w:jc w:val="both"/>
              <w:rPr>
                <w:sz w:val="22"/>
                <w:szCs w:val="22"/>
              </w:rPr>
            </w:pPr>
          </w:p>
        </w:tc>
        <w:tc>
          <w:tcPr>
            <w:tcW w:w="1546" w:type="dxa"/>
          </w:tcPr>
          <w:p w:rsidR="00DB3AAD" w:rsidRPr="003F3AE8" w:rsidRDefault="00DB3AAD" w:rsidP="00B441BB">
            <w:pPr>
              <w:tabs>
                <w:tab w:val="decimal" w:pos="567"/>
              </w:tabs>
              <w:spacing w:line="288" w:lineRule="auto"/>
              <w:jc w:val="both"/>
              <w:rPr>
                <w:sz w:val="22"/>
                <w:szCs w:val="22"/>
              </w:rPr>
            </w:pPr>
          </w:p>
        </w:tc>
        <w:tc>
          <w:tcPr>
            <w:tcW w:w="1546" w:type="dxa"/>
          </w:tcPr>
          <w:p w:rsidR="00DB3AAD" w:rsidRPr="003F3AE8" w:rsidRDefault="00DB3AAD" w:rsidP="00B441BB">
            <w:pPr>
              <w:tabs>
                <w:tab w:val="decimal" w:pos="567"/>
              </w:tabs>
              <w:spacing w:line="288" w:lineRule="auto"/>
              <w:jc w:val="both"/>
              <w:rPr>
                <w:sz w:val="22"/>
                <w:szCs w:val="22"/>
              </w:rPr>
            </w:pPr>
          </w:p>
        </w:tc>
        <w:tc>
          <w:tcPr>
            <w:tcW w:w="1547" w:type="dxa"/>
          </w:tcPr>
          <w:p w:rsidR="00DB3AAD" w:rsidRPr="003F3AE8" w:rsidRDefault="00DB3AAD" w:rsidP="00B441BB">
            <w:pPr>
              <w:tabs>
                <w:tab w:val="decimal" w:pos="567"/>
              </w:tabs>
              <w:spacing w:line="288" w:lineRule="auto"/>
              <w:jc w:val="both"/>
              <w:rPr>
                <w:sz w:val="22"/>
                <w:szCs w:val="22"/>
              </w:rPr>
            </w:pPr>
          </w:p>
        </w:tc>
        <w:tc>
          <w:tcPr>
            <w:tcW w:w="1869" w:type="dxa"/>
          </w:tcPr>
          <w:p w:rsidR="00DB3AAD" w:rsidRPr="003F3AE8" w:rsidRDefault="00DB3AAD" w:rsidP="00B441BB">
            <w:pPr>
              <w:tabs>
                <w:tab w:val="decimal" w:pos="737"/>
              </w:tabs>
              <w:spacing w:line="288" w:lineRule="auto"/>
              <w:jc w:val="both"/>
              <w:rPr>
                <w:sz w:val="22"/>
                <w:szCs w:val="22"/>
              </w:rPr>
            </w:pPr>
          </w:p>
        </w:tc>
      </w:tr>
      <w:tr w:rsidR="005C5949" w:rsidTr="0029148E">
        <w:tc>
          <w:tcPr>
            <w:tcW w:w="2735" w:type="dxa"/>
          </w:tcPr>
          <w:p w:rsidR="005C5949" w:rsidRPr="003F3AE8" w:rsidRDefault="005C5949" w:rsidP="00B441BB">
            <w:pPr>
              <w:spacing w:line="288" w:lineRule="auto"/>
              <w:jc w:val="both"/>
              <w:rPr>
                <w:sz w:val="22"/>
                <w:szCs w:val="22"/>
              </w:rPr>
            </w:pPr>
            <w:r w:rsidRPr="003F3AE8">
              <w:rPr>
                <w:sz w:val="22"/>
                <w:szCs w:val="22"/>
              </w:rPr>
              <w:t>Regression coefficient</w:t>
            </w:r>
          </w:p>
        </w:tc>
        <w:tc>
          <w:tcPr>
            <w:tcW w:w="1546" w:type="dxa"/>
          </w:tcPr>
          <w:p w:rsidR="005C5949" w:rsidRPr="003F3AE8" w:rsidRDefault="005C5949" w:rsidP="00B441BB">
            <w:pPr>
              <w:tabs>
                <w:tab w:val="decimal" w:pos="567"/>
              </w:tabs>
              <w:spacing w:line="288" w:lineRule="auto"/>
              <w:jc w:val="both"/>
              <w:rPr>
                <w:sz w:val="22"/>
                <w:szCs w:val="22"/>
              </w:rPr>
            </w:pPr>
            <w:r w:rsidRPr="003F3AE8">
              <w:rPr>
                <w:sz w:val="22"/>
                <w:szCs w:val="22"/>
              </w:rPr>
              <w:t>0.007</w:t>
            </w:r>
          </w:p>
        </w:tc>
        <w:tc>
          <w:tcPr>
            <w:tcW w:w="1546" w:type="dxa"/>
          </w:tcPr>
          <w:p w:rsidR="005C5949" w:rsidRPr="003F3AE8" w:rsidRDefault="005C5949" w:rsidP="00B441BB">
            <w:pPr>
              <w:tabs>
                <w:tab w:val="decimal" w:pos="567"/>
              </w:tabs>
              <w:spacing w:line="288" w:lineRule="auto"/>
              <w:jc w:val="both"/>
              <w:rPr>
                <w:sz w:val="22"/>
                <w:szCs w:val="22"/>
              </w:rPr>
            </w:pPr>
            <w:r w:rsidRPr="003F3AE8">
              <w:rPr>
                <w:sz w:val="22"/>
                <w:szCs w:val="22"/>
              </w:rPr>
              <w:t>0.008</w:t>
            </w:r>
          </w:p>
        </w:tc>
        <w:tc>
          <w:tcPr>
            <w:tcW w:w="1547" w:type="dxa"/>
          </w:tcPr>
          <w:p w:rsidR="005C5949" w:rsidRPr="003F3AE8" w:rsidRDefault="005C5949" w:rsidP="00B441BB">
            <w:pPr>
              <w:tabs>
                <w:tab w:val="decimal" w:pos="567"/>
              </w:tabs>
              <w:spacing w:line="288" w:lineRule="auto"/>
              <w:jc w:val="both"/>
              <w:rPr>
                <w:sz w:val="22"/>
                <w:szCs w:val="22"/>
              </w:rPr>
            </w:pPr>
            <w:r w:rsidRPr="003F3AE8">
              <w:rPr>
                <w:sz w:val="22"/>
                <w:szCs w:val="22"/>
              </w:rPr>
              <w:t>0.008</w:t>
            </w:r>
          </w:p>
        </w:tc>
        <w:tc>
          <w:tcPr>
            <w:tcW w:w="1869" w:type="dxa"/>
          </w:tcPr>
          <w:p w:rsidR="005C5949" w:rsidRPr="003F3AE8" w:rsidRDefault="005C5949" w:rsidP="00B441BB">
            <w:pPr>
              <w:tabs>
                <w:tab w:val="decimal" w:pos="737"/>
              </w:tabs>
              <w:spacing w:line="288" w:lineRule="auto"/>
              <w:jc w:val="both"/>
              <w:rPr>
                <w:sz w:val="22"/>
                <w:szCs w:val="22"/>
              </w:rPr>
            </w:pPr>
            <w:r w:rsidRPr="003F3AE8">
              <w:rPr>
                <w:sz w:val="22"/>
                <w:szCs w:val="22"/>
              </w:rPr>
              <w:t>0.009</w:t>
            </w:r>
          </w:p>
        </w:tc>
      </w:tr>
      <w:tr w:rsidR="005C5949" w:rsidTr="0029148E">
        <w:tc>
          <w:tcPr>
            <w:tcW w:w="2735" w:type="dxa"/>
          </w:tcPr>
          <w:p w:rsidR="005C5949" w:rsidRPr="003F3AE8" w:rsidRDefault="005C5949" w:rsidP="00B441BB">
            <w:pPr>
              <w:spacing w:line="288" w:lineRule="auto"/>
              <w:jc w:val="both"/>
              <w:rPr>
                <w:sz w:val="22"/>
                <w:szCs w:val="22"/>
              </w:rPr>
            </w:pPr>
            <w:r w:rsidRPr="003F3AE8">
              <w:rPr>
                <w:sz w:val="22"/>
                <w:szCs w:val="22"/>
              </w:rPr>
              <w:t xml:space="preserve">Robust </w:t>
            </w:r>
            <w:r w:rsidRPr="003F3AE8">
              <w:rPr>
                <w:i/>
                <w:sz w:val="22"/>
                <w:szCs w:val="22"/>
              </w:rPr>
              <w:t>t</w:t>
            </w:r>
            <w:r w:rsidRPr="003F3AE8">
              <w:rPr>
                <w:sz w:val="22"/>
                <w:szCs w:val="22"/>
              </w:rPr>
              <w:t>-statistic</w:t>
            </w:r>
          </w:p>
        </w:tc>
        <w:tc>
          <w:tcPr>
            <w:tcW w:w="1546" w:type="dxa"/>
          </w:tcPr>
          <w:p w:rsidR="005C5949" w:rsidRPr="003F3AE8" w:rsidRDefault="005C5949" w:rsidP="00B441BB">
            <w:pPr>
              <w:tabs>
                <w:tab w:val="decimal" w:pos="567"/>
              </w:tabs>
              <w:spacing w:line="288" w:lineRule="auto"/>
              <w:jc w:val="both"/>
              <w:rPr>
                <w:sz w:val="22"/>
                <w:szCs w:val="22"/>
              </w:rPr>
            </w:pPr>
            <w:r w:rsidRPr="003F3AE8">
              <w:rPr>
                <w:sz w:val="22"/>
                <w:szCs w:val="22"/>
              </w:rPr>
              <w:t>(12.28)**</w:t>
            </w:r>
          </w:p>
        </w:tc>
        <w:tc>
          <w:tcPr>
            <w:tcW w:w="1546" w:type="dxa"/>
          </w:tcPr>
          <w:p w:rsidR="005C5949" w:rsidRPr="003F3AE8" w:rsidRDefault="005C5949" w:rsidP="00B441BB">
            <w:pPr>
              <w:tabs>
                <w:tab w:val="decimal" w:pos="567"/>
              </w:tabs>
              <w:spacing w:line="288" w:lineRule="auto"/>
              <w:jc w:val="both"/>
              <w:rPr>
                <w:sz w:val="22"/>
                <w:szCs w:val="22"/>
              </w:rPr>
            </w:pPr>
            <w:r w:rsidRPr="003F3AE8">
              <w:rPr>
                <w:sz w:val="22"/>
                <w:szCs w:val="22"/>
              </w:rPr>
              <w:t>(14.86)**</w:t>
            </w:r>
          </w:p>
        </w:tc>
        <w:tc>
          <w:tcPr>
            <w:tcW w:w="1547" w:type="dxa"/>
          </w:tcPr>
          <w:p w:rsidR="005C5949" w:rsidRPr="003F3AE8" w:rsidRDefault="005C5949" w:rsidP="00B441BB">
            <w:pPr>
              <w:tabs>
                <w:tab w:val="decimal" w:pos="567"/>
              </w:tabs>
              <w:spacing w:line="288" w:lineRule="auto"/>
              <w:jc w:val="both"/>
              <w:rPr>
                <w:sz w:val="22"/>
                <w:szCs w:val="22"/>
              </w:rPr>
            </w:pPr>
            <w:r w:rsidRPr="003F3AE8">
              <w:rPr>
                <w:sz w:val="22"/>
                <w:szCs w:val="22"/>
              </w:rPr>
              <w:t>(16.06)**</w:t>
            </w:r>
          </w:p>
        </w:tc>
        <w:tc>
          <w:tcPr>
            <w:tcW w:w="1869" w:type="dxa"/>
          </w:tcPr>
          <w:p w:rsidR="005C5949" w:rsidRPr="003F3AE8" w:rsidRDefault="005C5949" w:rsidP="00B441BB">
            <w:pPr>
              <w:tabs>
                <w:tab w:val="decimal" w:pos="737"/>
              </w:tabs>
              <w:spacing w:line="288" w:lineRule="auto"/>
              <w:jc w:val="both"/>
              <w:rPr>
                <w:sz w:val="22"/>
                <w:szCs w:val="22"/>
              </w:rPr>
            </w:pPr>
            <w:r w:rsidRPr="003F3AE8">
              <w:rPr>
                <w:sz w:val="22"/>
                <w:szCs w:val="22"/>
              </w:rPr>
              <w:t>(15.23)**</w:t>
            </w:r>
          </w:p>
        </w:tc>
      </w:tr>
      <w:tr w:rsidR="005C5949" w:rsidTr="0029148E">
        <w:tc>
          <w:tcPr>
            <w:tcW w:w="9243" w:type="dxa"/>
            <w:gridSpan w:val="5"/>
          </w:tcPr>
          <w:p w:rsidR="008B593B" w:rsidRDefault="008B593B" w:rsidP="00B441BB">
            <w:pPr>
              <w:spacing w:line="288" w:lineRule="auto"/>
              <w:jc w:val="both"/>
              <w:rPr>
                <w:i/>
                <w:sz w:val="22"/>
                <w:szCs w:val="22"/>
              </w:rPr>
            </w:pPr>
          </w:p>
          <w:p w:rsidR="005C5949" w:rsidRPr="003F3AE8" w:rsidRDefault="005C5949" w:rsidP="00B441BB">
            <w:pPr>
              <w:spacing w:line="288" w:lineRule="auto"/>
              <w:jc w:val="both"/>
              <w:rPr>
                <w:sz w:val="22"/>
                <w:szCs w:val="22"/>
                <w:vertAlign w:val="superscript"/>
              </w:rPr>
            </w:pPr>
            <w:r w:rsidRPr="003F3AE8">
              <w:rPr>
                <w:i/>
                <w:sz w:val="22"/>
                <w:szCs w:val="22"/>
              </w:rPr>
              <w:t xml:space="preserve">Predicted values with baseline </w:t>
            </w:r>
            <w:proofErr w:type="spellStart"/>
            <w:r w:rsidRPr="003F3AE8">
              <w:rPr>
                <w:i/>
                <w:sz w:val="22"/>
                <w:szCs w:val="22"/>
              </w:rPr>
              <w:t>characteristics</w:t>
            </w:r>
            <w:r w:rsidRPr="003F3AE8">
              <w:rPr>
                <w:sz w:val="22"/>
                <w:szCs w:val="22"/>
                <w:vertAlign w:val="superscript"/>
              </w:rPr>
              <w:t>a</w:t>
            </w:r>
            <w:proofErr w:type="spellEnd"/>
          </w:p>
        </w:tc>
      </w:tr>
      <w:tr w:rsidR="005C5949" w:rsidTr="0029148E">
        <w:tc>
          <w:tcPr>
            <w:tcW w:w="2735" w:type="dxa"/>
          </w:tcPr>
          <w:p w:rsidR="005C5949" w:rsidRPr="003F3AE8" w:rsidRDefault="005C5949" w:rsidP="00B441BB">
            <w:pPr>
              <w:spacing w:line="288" w:lineRule="auto"/>
              <w:jc w:val="both"/>
              <w:rPr>
                <w:sz w:val="22"/>
                <w:szCs w:val="22"/>
              </w:rPr>
            </w:pPr>
            <w:r w:rsidRPr="003F3AE8">
              <w:rPr>
                <w:sz w:val="22"/>
                <w:szCs w:val="22"/>
              </w:rPr>
              <w:t>Median house price</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$275,830</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$275,540</w:t>
            </w:r>
          </w:p>
        </w:tc>
        <w:tc>
          <w:tcPr>
            <w:tcW w:w="1547" w:type="dxa"/>
            <w:vAlign w:val="bottom"/>
          </w:tcPr>
          <w:p w:rsidR="005C5949" w:rsidRPr="003F3AE8" w:rsidRDefault="005C5949" w:rsidP="00B441BB">
            <w:pPr>
              <w:spacing w:line="288" w:lineRule="auto"/>
              <w:jc w:val="center"/>
              <w:rPr>
                <w:sz w:val="22"/>
                <w:szCs w:val="22"/>
              </w:rPr>
            </w:pPr>
            <w:r w:rsidRPr="003F3AE8">
              <w:rPr>
                <w:sz w:val="22"/>
                <w:szCs w:val="22"/>
              </w:rPr>
              <w:t>$274,860</w:t>
            </w:r>
          </w:p>
        </w:tc>
        <w:tc>
          <w:tcPr>
            <w:tcW w:w="1869" w:type="dxa"/>
            <w:vAlign w:val="bottom"/>
          </w:tcPr>
          <w:p w:rsidR="005C5949" w:rsidRPr="003F3AE8" w:rsidRDefault="005C5949" w:rsidP="00B441BB">
            <w:pPr>
              <w:spacing w:line="288" w:lineRule="auto"/>
              <w:jc w:val="center"/>
              <w:rPr>
                <w:sz w:val="22"/>
                <w:szCs w:val="22"/>
              </w:rPr>
            </w:pPr>
            <w:r w:rsidRPr="003F3AE8">
              <w:rPr>
                <w:sz w:val="22"/>
                <w:szCs w:val="22"/>
              </w:rPr>
              <w:t>$275,220</w:t>
            </w:r>
          </w:p>
        </w:tc>
      </w:tr>
      <w:tr w:rsidR="005C5949" w:rsidTr="0029148E">
        <w:tc>
          <w:tcPr>
            <w:tcW w:w="2735" w:type="dxa"/>
          </w:tcPr>
          <w:p w:rsidR="005C5949" w:rsidRPr="003F3AE8" w:rsidRDefault="005C5949" w:rsidP="00B441BB">
            <w:pPr>
              <w:spacing w:line="288" w:lineRule="auto"/>
              <w:jc w:val="both"/>
              <w:rPr>
                <w:sz w:val="22"/>
                <w:szCs w:val="22"/>
              </w:rPr>
            </w:pPr>
            <w:r w:rsidRPr="003F3AE8">
              <w:rPr>
                <w:sz w:val="22"/>
                <w:szCs w:val="22"/>
              </w:rPr>
              <w:t>Mean house price</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$308,870</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$308,900</w:t>
            </w:r>
          </w:p>
        </w:tc>
        <w:tc>
          <w:tcPr>
            <w:tcW w:w="1547" w:type="dxa"/>
            <w:vAlign w:val="bottom"/>
          </w:tcPr>
          <w:p w:rsidR="005C5949" w:rsidRPr="003F3AE8" w:rsidRDefault="005C5949" w:rsidP="00B441BB">
            <w:pPr>
              <w:spacing w:line="288" w:lineRule="auto"/>
              <w:jc w:val="center"/>
              <w:rPr>
                <w:sz w:val="22"/>
                <w:szCs w:val="22"/>
              </w:rPr>
            </w:pPr>
            <w:r w:rsidRPr="003F3AE8">
              <w:rPr>
                <w:sz w:val="22"/>
                <w:szCs w:val="22"/>
              </w:rPr>
              <w:t>$308,920</w:t>
            </w:r>
          </w:p>
        </w:tc>
        <w:tc>
          <w:tcPr>
            <w:tcW w:w="1869" w:type="dxa"/>
            <w:vAlign w:val="bottom"/>
          </w:tcPr>
          <w:p w:rsidR="005C5949" w:rsidRPr="003F3AE8" w:rsidRDefault="005C5949" w:rsidP="00B441BB">
            <w:pPr>
              <w:spacing w:line="288" w:lineRule="auto"/>
              <w:jc w:val="center"/>
              <w:rPr>
                <w:sz w:val="22"/>
                <w:szCs w:val="22"/>
              </w:rPr>
            </w:pPr>
            <w:r w:rsidRPr="003F3AE8">
              <w:rPr>
                <w:sz w:val="22"/>
                <w:szCs w:val="22"/>
              </w:rPr>
              <w:t>$308,910</w:t>
            </w:r>
          </w:p>
        </w:tc>
      </w:tr>
      <w:tr w:rsidR="005C5949" w:rsidTr="0029148E">
        <w:tc>
          <w:tcPr>
            <w:tcW w:w="9243" w:type="dxa"/>
            <w:gridSpan w:val="5"/>
          </w:tcPr>
          <w:p w:rsidR="008B593B" w:rsidRDefault="008B593B" w:rsidP="00B441BB">
            <w:pPr>
              <w:spacing w:line="288" w:lineRule="auto"/>
              <w:jc w:val="both"/>
              <w:rPr>
                <w:i/>
                <w:sz w:val="22"/>
                <w:szCs w:val="22"/>
              </w:rPr>
            </w:pPr>
          </w:p>
          <w:p w:rsidR="005C5949" w:rsidRPr="003F3AE8" w:rsidRDefault="005C5949" w:rsidP="00B441BB">
            <w:pPr>
              <w:spacing w:line="288" w:lineRule="auto"/>
              <w:jc w:val="both"/>
              <w:rPr>
                <w:sz w:val="22"/>
                <w:szCs w:val="22"/>
                <w:vertAlign w:val="superscript"/>
              </w:rPr>
            </w:pPr>
            <w:r w:rsidRPr="003F3AE8">
              <w:rPr>
                <w:i/>
                <w:sz w:val="22"/>
                <w:szCs w:val="22"/>
              </w:rPr>
              <w:t xml:space="preserve">Predicted values with a 1 standard deviation increase in weighted average NCEA pass </w:t>
            </w:r>
            <w:proofErr w:type="spellStart"/>
            <w:r w:rsidRPr="003F3AE8">
              <w:rPr>
                <w:i/>
                <w:sz w:val="22"/>
                <w:szCs w:val="22"/>
              </w:rPr>
              <w:t>rates</w:t>
            </w:r>
            <w:r w:rsidRPr="003F3AE8">
              <w:rPr>
                <w:sz w:val="22"/>
                <w:szCs w:val="22"/>
                <w:vertAlign w:val="superscript"/>
              </w:rPr>
              <w:t>a</w:t>
            </w:r>
            <w:proofErr w:type="spellEnd"/>
          </w:p>
        </w:tc>
      </w:tr>
      <w:tr w:rsidR="005C5949" w:rsidTr="0029148E">
        <w:tc>
          <w:tcPr>
            <w:tcW w:w="2735" w:type="dxa"/>
          </w:tcPr>
          <w:p w:rsidR="005C5949" w:rsidRPr="003F3AE8" w:rsidRDefault="005C5949" w:rsidP="00B441BB">
            <w:pPr>
              <w:spacing w:line="288" w:lineRule="auto"/>
              <w:jc w:val="both"/>
              <w:rPr>
                <w:sz w:val="22"/>
                <w:szCs w:val="22"/>
              </w:rPr>
            </w:pPr>
            <w:r w:rsidRPr="003F3AE8">
              <w:rPr>
                <w:sz w:val="22"/>
                <w:szCs w:val="22"/>
              </w:rPr>
              <w:t>Median house price</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$290,160</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$290,300</w:t>
            </w:r>
          </w:p>
        </w:tc>
        <w:tc>
          <w:tcPr>
            <w:tcW w:w="1547" w:type="dxa"/>
            <w:vAlign w:val="bottom"/>
          </w:tcPr>
          <w:p w:rsidR="005C5949" w:rsidRPr="003F3AE8" w:rsidRDefault="005C5949" w:rsidP="00B441BB">
            <w:pPr>
              <w:spacing w:line="288" w:lineRule="auto"/>
              <w:jc w:val="center"/>
              <w:rPr>
                <w:sz w:val="22"/>
                <w:szCs w:val="22"/>
              </w:rPr>
            </w:pPr>
            <w:r w:rsidRPr="003F3AE8">
              <w:rPr>
                <w:sz w:val="22"/>
                <w:szCs w:val="22"/>
              </w:rPr>
              <w:t>$294,700</w:t>
            </w:r>
          </w:p>
        </w:tc>
        <w:tc>
          <w:tcPr>
            <w:tcW w:w="1869" w:type="dxa"/>
            <w:vAlign w:val="bottom"/>
          </w:tcPr>
          <w:p w:rsidR="005C5949" w:rsidRPr="003F3AE8" w:rsidRDefault="005C5949" w:rsidP="00B441BB">
            <w:pPr>
              <w:spacing w:line="288" w:lineRule="auto"/>
              <w:jc w:val="center"/>
              <w:rPr>
                <w:sz w:val="22"/>
                <w:szCs w:val="22"/>
              </w:rPr>
            </w:pPr>
            <w:r w:rsidRPr="003F3AE8">
              <w:rPr>
                <w:sz w:val="22"/>
                <w:szCs w:val="22"/>
              </w:rPr>
              <w:t>$292,730</w:t>
            </w:r>
          </w:p>
        </w:tc>
      </w:tr>
      <w:tr w:rsidR="005C5949" w:rsidTr="0029148E">
        <w:tc>
          <w:tcPr>
            <w:tcW w:w="2735" w:type="dxa"/>
          </w:tcPr>
          <w:p w:rsidR="005C5949" w:rsidRPr="003F3AE8" w:rsidRDefault="005C5949" w:rsidP="00B441BB">
            <w:pPr>
              <w:spacing w:line="288" w:lineRule="auto"/>
              <w:jc w:val="both"/>
              <w:rPr>
                <w:sz w:val="22"/>
                <w:szCs w:val="22"/>
              </w:rPr>
            </w:pPr>
            <w:r w:rsidRPr="003F3AE8">
              <w:rPr>
                <w:sz w:val="22"/>
                <w:szCs w:val="22"/>
              </w:rPr>
              <w:t>Mean house price</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$324,910</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$325,450</w:t>
            </w:r>
          </w:p>
        </w:tc>
        <w:tc>
          <w:tcPr>
            <w:tcW w:w="1547" w:type="dxa"/>
            <w:vAlign w:val="bottom"/>
          </w:tcPr>
          <w:p w:rsidR="005C5949" w:rsidRPr="003F3AE8" w:rsidRDefault="005C5949" w:rsidP="00B441BB">
            <w:pPr>
              <w:spacing w:line="288" w:lineRule="auto"/>
              <w:jc w:val="center"/>
              <w:rPr>
                <w:sz w:val="22"/>
                <w:szCs w:val="22"/>
              </w:rPr>
            </w:pPr>
            <w:r w:rsidRPr="003F3AE8">
              <w:rPr>
                <w:sz w:val="22"/>
                <w:szCs w:val="22"/>
              </w:rPr>
              <w:t>$331,230</w:t>
            </w:r>
          </w:p>
        </w:tc>
        <w:tc>
          <w:tcPr>
            <w:tcW w:w="1869" w:type="dxa"/>
            <w:vAlign w:val="bottom"/>
          </w:tcPr>
          <w:p w:rsidR="005C5949" w:rsidRPr="003F3AE8" w:rsidRDefault="005C5949" w:rsidP="00B441BB">
            <w:pPr>
              <w:spacing w:line="288" w:lineRule="auto"/>
              <w:jc w:val="center"/>
              <w:rPr>
                <w:sz w:val="22"/>
                <w:szCs w:val="22"/>
              </w:rPr>
            </w:pPr>
            <w:r w:rsidRPr="003F3AE8">
              <w:rPr>
                <w:sz w:val="22"/>
                <w:szCs w:val="22"/>
              </w:rPr>
              <w:t>$328,570</w:t>
            </w:r>
          </w:p>
        </w:tc>
      </w:tr>
      <w:tr w:rsidR="005C5949" w:rsidTr="0029148E">
        <w:tc>
          <w:tcPr>
            <w:tcW w:w="9243" w:type="dxa"/>
            <w:gridSpan w:val="5"/>
          </w:tcPr>
          <w:p w:rsidR="008B593B" w:rsidRDefault="008B593B" w:rsidP="00B441BB">
            <w:pPr>
              <w:spacing w:line="288" w:lineRule="auto"/>
              <w:jc w:val="both"/>
              <w:rPr>
                <w:i/>
                <w:sz w:val="22"/>
                <w:szCs w:val="22"/>
              </w:rPr>
            </w:pPr>
          </w:p>
          <w:p w:rsidR="005C5949" w:rsidRPr="003F3AE8" w:rsidRDefault="005C5949" w:rsidP="00B441BB">
            <w:pPr>
              <w:spacing w:line="288" w:lineRule="auto"/>
              <w:jc w:val="both"/>
              <w:rPr>
                <w:i/>
                <w:sz w:val="22"/>
                <w:szCs w:val="22"/>
              </w:rPr>
            </w:pPr>
            <w:r w:rsidRPr="003F3AE8">
              <w:rPr>
                <w:i/>
                <w:sz w:val="22"/>
                <w:szCs w:val="22"/>
              </w:rPr>
              <w:t>Impact of standard deviation increase in weighted average NCEA pass rates</w:t>
            </w:r>
          </w:p>
        </w:tc>
      </w:tr>
      <w:tr w:rsidR="005C5949" w:rsidTr="0029148E">
        <w:tc>
          <w:tcPr>
            <w:tcW w:w="2735" w:type="dxa"/>
          </w:tcPr>
          <w:p w:rsidR="005C5949" w:rsidRPr="003F3AE8" w:rsidRDefault="005C5949" w:rsidP="00B441BB">
            <w:pPr>
              <w:spacing w:line="288" w:lineRule="auto"/>
              <w:jc w:val="both"/>
              <w:rPr>
                <w:sz w:val="22"/>
                <w:szCs w:val="22"/>
              </w:rPr>
            </w:pPr>
            <w:r w:rsidRPr="003F3AE8">
              <w:rPr>
                <w:sz w:val="22"/>
                <w:szCs w:val="22"/>
              </w:rPr>
              <w:t>Median</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$14,330</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$14,760</w:t>
            </w:r>
          </w:p>
        </w:tc>
        <w:tc>
          <w:tcPr>
            <w:tcW w:w="1547" w:type="dxa"/>
            <w:vAlign w:val="bottom"/>
          </w:tcPr>
          <w:p w:rsidR="005C5949" w:rsidRPr="003F3AE8" w:rsidRDefault="005C5949" w:rsidP="00B441BB">
            <w:pPr>
              <w:spacing w:line="288" w:lineRule="auto"/>
              <w:jc w:val="center"/>
              <w:rPr>
                <w:sz w:val="22"/>
                <w:szCs w:val="22"/>
              </w:rPr>
            </w:pPr>
            <w:r w:rsidRPr="003F3AE8">
              <w:rPr>
                <w:sz w:val="22"/>
                <w:szCs w:val="22"/>
              </w:rPr>
              <w:t>$19,840</w:t>
            </w:r>
          </w:p>
        </w:tc>
        <w:tc>
          <w:tcPr>
            <w:tcW w:w="1869" w:type="dxa"/>
            <w:vAlign w:val="bottom"/>
          </w:tcPr>
          <w:p w:rsidR="005C5949" w:rsidRPr="003F3AE8" w:rsidRDefault="005C5949" w:rsidP="00B441BB">
            <w:pPr>
              <w:spacing w:line="288" w:lineRule="auto"/>
              <w:jc w:val="center"/>
              <w:rPr>
                <w:sz w:val="22"/>
                <w:szCs w:val="22"/>
              </w:rPr>
            </w:pPr>
            <w:r w:rsidRPr="003F3AE8">
              <w:rPr>
                <w:sz w:val="22"/>
                <w:szCs w:val="22"/>
              </w:rPr>
              <w:t>$17,510</w:t>
            </w:r>
          </w:p>
        </w:tc>
      </w:tr>
      <w:tr w:rsidR="005C5949" w:rsidTr="0029148E">
        <w:tc>
          <w:tcPr>
            <w:tcW w:w="2735" w:type="dxa"/>
          </w:tcPr>
          <w:p w:rsidR="005C5949" w:rsidRPr="003F3AE8" w:rsidRDefault="005C5949" w:rsidP="00B441BB">
            <w:pPr>
              <w:spacing w:line="288" w:lineRule="auto"/>
              <w:jc w:val="both"/>
              <w:rPr>
                <w:sz w:val="22"/>
                <w:szCs w:val="22"/>
              </w:rPr>
            </w:pPr>
            <w:r w:rsidRPr="003F3AE8">
              <w:rPr>
                <w:sz w:val="22"/>
                <w:szCs w:val="22"/>
              </w:rPr>
              <w:t>Mean</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$16,040</w:t>
            </w:r>
          </w:p>
        </w:tc>
        <w:tc>
          <w:tcPr>
            <w:tcW w:w="1546" w:type="dxa"/>
            <w:vAlign w:val="bottom"/>
          </w:tcPr>
          <w:p w:rsidR="005C5949" w:rsidRPr="003F3AE8" w:rsidRDefault="005C5949" w:rsidP="00B441BB">
            <w:pPr>
              <w:spacing w:line="288" w:lineRule="auto"/>
              <w:jc w:val="center"/>
              <w:rPr>
                <w:sz w:val="22"/>
                <w:szCs w:val="22"/>
              </w:rPr>
            </w:pPr>
            <w:r w:rsidRPr="003F3AE8">
              <w:rPr>
                <w:sz w:val="22"/>
                <w:szCs w:val="22"/>
              </w:rPr>
              <w:t>$16,550</w:t>
            </w:r>
          </w:p>
        </w:tc>
        <w:tc>
          <w:tcPr>
            <w:tcW w:w="1547" w:type="dxa"/>
            <w:vAlign w:val="bottom"/>
          </w:tcPr>
          <w:p w:rsidR="005C5949" w:rsidRPr="003F3AE8" w:rsidRDefault="005C5949" w:rsidP="00B441BB">
            <w:pPr>
              <w:spacing w:line="288" w:lineRule="auto"/>
              <w:jc w:val="center"/>
              <w:rPr>
                <w:sz w:val="22"/>
                <w:szCs w:val="22"/>
              </w:rPr>
            </w:pPr>
            <w:r w:rsidRPr="003F3AE8">
              <w:rPr>
                <w:sz w:val="22"/>
                <w:szCs w:val="22"/>
              </w:rPr>
              <w:t>$22,310</w:t>
            </w:r>
          </w:p>
        </w:tc>
        <w:tc>
          <w:tcPr>
            <w:tcW w:w="1869" w:type="dxa"/>
            <w:vAlign w:val="bottom"/>
          </w:tcPr>
          <w:p w:rsidR="005C5949" w:rsidRPr="003F3AE8" w:rsidRDefault="005C5949" w:rsidP="00B441BB">
            <w:pPr>
              <w:spacing w:line="288" w:lineRule="auto"/>
              <w:jc w:val="center"/>
              <w:rPr>
                <w:sz w:val="22"/>
                <w:szCs w:val="22"/>
              </w:rPr>
            </w:pPr>
            <w:r w:rsidRPr="003F3AE8">
              <w:rPr>
                <w:sz w:val="22"/>
                <w:szCs w:val="22"/>
              </w:rPr>
              <w:t>$19,660</w:t>
            </w:r>
          </w:p>
        </w:tc>
      </w:tr>
      <w:tr w:rsidR="005C5949" w:rsidTr="0029148E">
        <w:tc>
          <w:tcPr>
            <w:tcW w:w="2735" w:type="dxa"/>
            <w:tcBorders>
              <w:bottom w:val="single" w:sz="4" w:space="0" w:color="auto"/>
            </w:tcBorders>
          </w:tcPr>
          <w:p w:rsidR="005C5949" w:rsidRPr="003F3AE8" w:rsidRDefault="005C5949" w:rsidP="00B441BB">
            <w:pPr>
              <w:spacing w:line="288" w:lineRule="auto"/>
              <w:jc w:val="both"/>
              <w:rPr>
                <w:sz w:val="22"/>
                <w:szCs w:val="22"/>
              </w:rPr>
            </w:pPr>
            <w:r w:rsidRPr="003F3AE8">
              <w:rPr>
                <w:sz w:val="22"/>
                <w:szCs w:val="22"/>
              </w:rPr>
              <w:t>As % of baseline value</w:t>
            </w:r>
          </w:p>
        </w:tc>
        <w:tc>
          <w:tcPr>
            <w:tcW w:w="1546" w:type="dxa"/>
            <w:tcBorders>
              <w:bottom w:val="single" w:sz="4" w:space="0" w:color="auto"/>
            </w:tcBorders>
          </w:tcPr>
          <w:p w:rsidR="005C5949" w:rsidRPr="003F3AE8" w:rsidRDefault="005C5949" w:rsidP="00B441BB">
            <w:pPr>
              <w:spacing w:line="288" w:lineRule="auto"/>
              <w:jc w:val="center"/>
              <w:rPr>
                <w:sz w:val="22"/>
                <w:szCs w:val="22"/>
              </w:rPr>
            </w:pPr>
            <w:r w:rsidRPr="003F3AE8">
              <w:rPr>
                <w:sz w:val="22"/>
                <w:szCs w:val="22"/>
              </w:rPr>
              <w:t>5.2%</w:t>
            </w:r>
          </w:p>
        </w:tc>
        <w:tc>
          <w:tcPr>
            <w:tcW w:w="1546" w:type="dxa"/>
            <w:tcBorders>
              <w:bottom w:val="single" w:sz="4" w:space="0" w:color="auto"/>
            </w:tcBorders>
          </w:tcPr>
          <w:p w:rsidR="005C5949" w:rsidRPr="003F3AE8" w:rsidRDefault="005C5949" w:rsidP="00B441BB">
            <w:pPr>
              <w:spacing w:line="288" w:lineRule="auto"/>
              <w:jc w:val="center"/>
              <w:rPr>
                <w:sz w:val="22"/>
                <w:szCs w:val="22"/>
              </w:rPr>
            </w:pPr>
            <w:r w:rsidRPr="003F3AE8">
              <w:rPr>
                <w:sz w:val="22"/>
                <w:szCs w:val="22"/>
              </w:rPr>
              <w:t>5.4%</w:t>
            </w:r>
          </w:p>
        </w:tc>
        <w:tc>
          <w:tcPr>
            <w:tcW w:w="1547" w:type="dxa"/>
            <w:tcBorders>
              <w:bottom w:val="single" w:sz="4" w:space="0" w:color="auto"/>
            </w:tcBorders>
          </w:tcPr>
          <w:p w:rsidR="005C5949" w:rsidRPr="003F3AE8" w:rsidRDefault="005C5949" w:rsidP="00B441BB">
            <w:pPr>
              <w:spacing w:line="288" w:lineRule="auto"/>
              <w:jc w:val="center"/>
              <w:rPr>
                <w:sz w:val="22"/>
                <w:szCs w:val="22"/>
              </w:rPr>
            </w:pPr>
            <w:r w:rsidRPr="003F3AE8">
              <w:rPr>
                <w:sz w:val="22"/>
                <w:szCs w:val="22"/>
              </w:rPr>
              <w:t>7.2%</w:t>
            </w:r>
          </w:p>
        </w:tc>
        <w:tc>
          <w:tcPr>
            <w:tcW w:w="1869" w:type="dxa"/>
            <w:tcBorders>
              <w:bottom w:val="single" w:sz="4" w:space="0" w:color="auto"/>
            </w:tcBorders>
          </w:tcPr>
          <w:p w:rsidR="005C5949" w:rsidRPr="003F3AE8" w:rsidRDefault="005C5949" w:rsidP="00B441BB">
            <w:pPr>
              <w:spacing w:line="288" w:lineRule="auto"/>
              <w:jc w:val="center"/>
              <w:rPr>
                <w:sz w:val="22"/>
                <w:szCs w:val="22"/>
              </w:rPr>
            </w:pPr>
            <w:r w:rsidRPr="003F3AE8">
              <w:rPr>
                <w:sz w:val="22"/>
                <w:szCs w:val="22"/>
              </w:rPr>
              <w:t>6.4%</w:t>
            </w:r>
          </w:p>
        </w:tc>
      </w:tr>
      <w:tr w:rsidR="005C5949" w:rsidTr="0029148E">
        <w:tc>
          <w:tcPr>
            <w:tcW w:w="9243" w:type="dxa"/>
            <w:gridSpan w:val="5"/>
            <w:tcBorders>
              <w:top w:val="single" w:sz="4" w:space="0" w:color="auto"/>
            </w:tcBorders>
          </w:tcPr>
          <w:p w:rsidR="00426185" w:rsidRDefault="005C5949" w:rsidP="00B441BB">
            <w:pPr>
              <w:spacing w:line="288" w:lineRule="auto"/>
              <w:jc w:val="both"/>
              <w:rPr>
                <w:i/>
                <w:sz w:val="20"/>
                <w:szCs w:val="20"/>
              </w:rPr>
            </w:pPr>
            <w:r w:rsidRPr="003F3AE8">
              <w:rPr>
                <w:i/>
                <w:sz w:val="20"/>
                <w:szCs w:val="20"/>
              </w:rPr>
              <w:t>Note</w:t>
            </w:r>
            <w:r w:rsidR="008B593B">
              <w:rPr>
                <w:i/>
                <w:sz w:val="20"/>
                <w:szCs w:val="20"/>
              </w:rPr>
              <w:t>s</w:t>
            </w:r>
            <w:r w:rsidRPr="003F3AE8">
              <w:rPr>
                <w:i/>
                <w:sz w:val="20"/>
                <w:szCs w:val="20"/>
              </w:rPr>
              <w:t xml:space="preserve">: </w:t>
            </w:r>
          </w:p>
          <w:p w:rsidR="005C5949" w:rsidRPr="003F3AE8" w:rsidRDefault="005C5949" w:rsidP="00B441BB">
            <w:pPr>
              <w:spacing w:line="288" w:lineRule="auto"/>
              <w:jc w:val="both"/>
              <w:rPr>
                <w:sz w:val="20"/>
                <w:szCs w:val="20"/>
              </w:rPr>
            </w:pPr>
            <w:r w:rsidRPr="003F3AE8">
              <w:rPr>
                <w:sz w:val="20"/>
                <w:szCs w:val="20"/>
              </w:rPr>
              <w:t xml:space="preserve">Full details of the regressions are in Appendix Table 1. ** is statistically significant at </w:t>
            </w:r>
            <w:r w:rsidRPr="003F3AE8">
              <w:rPr>
                <w:i/>
                <w:sz w:val="20"/>
                <w:szCs w:val="20"/>
              </w:rPr>
              <w:t>p</w:t>
            </w:r>
            <w:r w:rsidRPr="003F3AE8">
              <w:rPr>
                <w:sz w:val="20"/>
                <w:szCs w:val="20"/>
              </w:rPr>
              <w:t>&lt;0.01 level.</w:t>
            </w:r>
          </w:p>
          <w:p w:rsidR="005C5949" w:rsidRPr="003F3AE8" w:rsidRDefault="005C5949" w:rsidP="00B441BB">
            <w:pPr>
              <w:spacing w:line="288" w:lineRule="auto"/>
              <w:jc w:val="both"/>
              <w:rPr>
                <w:sz w:val="20"/>
                <w:szCs w:val="20"/>
              </w:rPr>
            </w:pPr>
            <w:proofErr w:type="spellStart"/>
            <w:proofErr w:type="gramStart"/>
            <w:r w:rsidRPr="003F3AE8">
              <w:rPr>
                <w:sz w:val="20"/>
                <w:szCs w:val="20"/>
                <w:vertAlign w:val="superscript"/>
              </w:rPr>
              <w:t>a</w:t>
            </w:r>
            <w:proofErr w:type="spellEnd"/>
            <w:proofErr w:type="gramEnd"/>
            <w:r w:rsidRPr="003F3AE8">
              <w:rPr>
                <w:sz w:val="20"/>
                <w:szCs w:val="20"/>
                <w:vertAlign w:val="superscript"/>
              </w:rPr>
              <w:t xml:space="preserve"> </w:t>
            </w:r>
            <w:r w:rsidR="007C30E6" w:rsidRPr="003F3AE8">
              <w:rPr>
                <w:sz w:val="20"/>
                <w:szCs w:val="20"/>
              </w:rPr>
              <w:t>The predicted values in dollar</w:t>
            </w:r>
            <w:r w:rsidRPr="003F3AE8">
              <w:rPr>
                <w:sz w:val="20"/>
                <w:szCs w:val="20"/>
              </w:rPr>
              <w:t xml:space="preserve"> terms are based on the </w:t>
            </w:r>
            <w:proofErr w:type="spellStart"/>
            <w:r w:rsidRPr="003F3AE8">
              <w:rPr>
                <w:sz w:val="20"/>
                <w:szCs w:val="20"/>
              </w:rPr>
              <w:t>Duan</w:t>
            </w:r>
            <w:proofErr w:type="spellEnd"/>
            <w:r w:rsidRPr="003F3AE8">
              <w:rPr>
                <w:sz w:val="20"/>
                <w:szCs w:val="20"/>
              </w:rPr>
              <w:t xml:space="preserve"> (1983) smearing estimate, since the underlying model is semi-logarithmic.</w:t>
            </w:r>
          </w:p>
        </w:tc>
      </w:tr>
    </w:tbl>
    <w:p w:rsidR="005C5949" w:rsidRDefault="005C5949" w:rsidP="00B441BB">
      <w:pPr>
        <w:spacing w:line="288" w:lineRule="auto"/>
        <w:jc w:val="both"/>
      </w:pPr>
    </w:p>
    <w:p w:rsidR="0029148E" w:rsidRDefault="00C04BA8" w:rsidP="0029148E">
      <w:pPr>
        <w:spacing w:line="288" w:lineRule="auto"/>
        <w:ind w:firstLine="426"/>
        <w:jc w:val="both"/>
      </w:pPr>
      <w:r>
        <w:tab/>
      </w:r>
      <w:r w:rsidR="0029148E">
        <w:t xml:space="preserve">In order to put these effects into more comparable terms, we use the regressions to predict median and mean prices using the average characteristics of all dwellings and then re-predict the prices after a simulated standard deviation increase in NCEA pass rates (which corresponds to percentage point increases in pass rates of 7.3, 6.4 and 8.6 for </w:t>
      </w:r>
      <w:r w:rsidR="0029148E" w:rsidRPr="00BC32B4">
        <w:t xml:space="preserve">NCEA </w:t>
      </w:r>
      <w:r w:rsidR="0029148E">
        <w:t xml:space="preserve">Level 1 </w:t>
      </w:r>
      <w:r w:rsidR="0029148E">
        <w:lastRenderedPageBreak/>
        <w:t xml:space="preserve">to Level 3). The predicted rise in house prices from these higher pass rates range from $14,300 to $19,900 at the median and from $16,000 to $22,300 at the mean (in 2005 dollars). As a percentage of predicted </w:t>
      </w:r>
      <w:r w:rsidR="0029148E" w:rsidRPr="008259B0">
        <w:t xml:space="preserve">baseline </w:t>
      </w:r>
      <w:r w:rsidR="0029148E">
        <w:t xml:space="preserve">house prices, these are increases of 5.2%, 5.4% and </w:t>
      </w:r>
      <w:r w:rsidR="008B593B">
        <w:br/>
      </w:r>
      <w:r w:rsidR="0029148E">
        <w:t xml:space="preserve">7.2% for standard deviation increases in NCEA pass rates at Level 1 to Level 3 (Table 1). Since the results are similar across the different NCEA levels, to simplify the rest of the discussion the schooling opportunity set for each dwelling is summarized by the average of the Level 1 to Level 3 pass rates. A standard deviation increase in this average is capitalized into house prices that are 6.4% higher. </w:t>
      </w:r>
    </w:p>
    <w:p w:rsidR="0029148E" w:rsidRDefault="0029148E" w:rsidP="006E061C">
      <w:pPr>
        <w:tabs>
          <w:tab w:val="left" w:pos="426"/>
        </w:tabs>
        <w:spacing w:line="288" w:lineRule="auto"/>
        <w:jc w:val="both"/>
      </w:pPr>
    </w:p>
    <w:p w:rsidR="00570A5A" w:rsidRDefault="0029148E" w:rsidP="006E061C">
      <w:pPr>
        <w:tabs>
          <w:tab w:val="left" w:pos="426"/>
        </w:tabs>
        <w:spacing w:line="288" w:lineRule="auto"/>
        <w:jc w:val="both"/>
      </w:pPr>
      <w:r>
        <w:tab/>
      </w:r>
      <w:r w:rsidR="00C04BA8">
        <w:t>To assess the robustness of the results, we consider three alternative specifications, in columns (5) to (7) of Appendix Table 1. First, we include a variable that counts the number of school attendance boundaries that a dwelling lies in (which rang</w:t>
      </w:r>
      <w:r w:rsidR="007C30E6">
        <w:t>es from zero to four). One may</w:t>
      </w:r>
      <w:r w:rsidR="00C04BA8">
        <w:t xml:space="preserve"> think that the property market values </w:t>
      </w:r>
      <w:proofErr w:type="gramStart"/>
      <w:r w:rsidR="00C04BA8">
        <w:t>an</w:t>
      </w:r>
      <w:proofErr w:type="gramEnd"/>
      <w:r w:rsidR="00C04BA8">
        <w:t xml:space="preserve"> increase in options, but this added variable is statistically insignificant and hardly alters the coefficient on the average NCEA pass rate. We t</w:t>
      </w:r>
      <w:r w:rsidR="00F24D17">
        <w:t>hen</w:t>
      </w:r>
      <w:r w:rsidR="00C04BA8">
        <w:t xml:space="preserve"> </w:t>
      </w:r>
      <w:r w:rsidR="00F24D17">
        <w:t xml:space="preserve">add </w:t>
      </w:r>
      <w:r w:rsidR="00C04BA8">
        <w:t xml:space="preserve">dummy variables for each school zone that a property lies in, </w:t>
      </w:r>
      <w:r w:rsidR="00F24D17">
        <w:t>and while f</w:t>
      </w:r>
      <w:r w:rsidR="00C04BA8">
        <w:t xml:space="preserve">our </w:t>
      </w:r>
      <w:r w:rsidR="00F24D17">
        <w:t>of the dummies for</w:t>
      </w:r>
      <w:r w:rsidR="00C04BA8">
        <w:t xml:space="preserve"> particular schools are statistically </w:t>
      </w:r>
      <w:r w:rsidR="00F24D17">
        <w:t xml:space="preserve">significant (and as a set all eight are jointly significant) their inclusion hardly alters the coefficient on the average NCEA pass rate. Based on these results, we do not believe that </w:t>
      </w:r>
      <w:r w:rsidR="00F86232">
        <w:t>omitted variable bias is causing us to find</w:t>
      </w:r>
      <w:r w:rsidR="00F24D17">
        <w:t xml:space="preserve"> that a</w:t>
      </w:r>
      <w:r w:rsidR="00F24D17" w:rsidRPr="00F24D17">
        <w:t xml:space="preserve"> standard deviation increase in </w:t>
      </w:r>
      <w:r w:rsidR="00F24D17">
        <w:t xml:space="preserve">the </w:t>
      </w:r>
      <w:r w:rsidR="00F24D17" w:rsidRPr="00F24D17">
        <w:t xml:space="preserve">average </w:t>
      </w:r>
      <w:r w:rsidR="00F24D17">
        <w:t xml:space="preserve">NCEA pass rate </w:t>
      </w:r>
      <w:r w:rsidR="00F24D17" w:rsidRPr="00F24D17">
        <w:t>is capitalized into house prices that are 6.4% higher.</w:t>
      </w:r>
      <w:r w:rsidR="00F24D17">
        <w:t xml:space="preserve"> </w:t>
      </w:r>
    </w:p>
    <w:p w:rsidR="00570A5A" w:rsidRDefault="00570A5A" w:rsidP="006E061C">
      <w:pPr>
        <w:tabs>
          <w:tab w:val="left" w:pos="426"/>
        </w:tabs>
        <w:spacing w:line="288" w:lineRule="auto"/>
        <w:jc w:val="both"/>
      </w:pPr>
    </w:p>
    <w:p w:rsidR="00AD1E46" w:rsidRDefault="00570A5A" w:rsidP="006E061C">
      <w:pPr>
        <w:tabs>
          <w:tab w:val="left" w:pos="426"/>
        </w:tabs>
        <w:spacing w:line="288" w:lineRule="auto"/>
        <w:jc w:val="both"/>
      </w:pPr>
      <w:r>
        <w:tab/>
      </w:r>
      <w:r w:rsidR="00F24D17">
        <w:t>Finally we consider whether allowing for spatial auto</w:t>
      </w:r>
      <w:r w:rsidR="00F86232">
        <w:t xml:space="preserve">correlation changes the results, using a spatial error model where the weights matrix is based on inverse distances between dwellings </w:t>
      </w:r>
      <w:proofErr w:type="spellStart"/>
      <w:r w:rsidR="00F86232">
        <w:rPr>
          <w:i/>
        </w:rPr>
        <w:t>i</w:t>
      </w:r>
      <w:proofErr w:type="spellEnd"/>
      <w:r w:rsidR="00F86232">
        <w:t xml:space="preserve"> and </w:t>
      </w:r>
      <w:r w:rsidR="00F86232">
        <w:rPr>
          <w:i/>
        </w:rPr>
        <w:t>j</w:t>
      </w:r>
      <w:r w:rsidR="00F86232">
        <w:t>.</w:t>
      </w:r>
      <w:r w:rsidR="00F86232">
        <w:rPr>
          <w:rStyle w:val="FootnoteReference"/>
        </w:rPr>
        <w:footnoteReference w:id="8"/>
      </w:r>
      <w:r w:rsidR="00F86232">
        <w:t xml:space="preserve"> The results in column (7) of Appendix Table 1 show no change in the coefficient on the NCEA pass rate, compared with the OLS results in column (4). While the OLS assumption of independent errors is violated, with a highly significant coefficient of </w:t>
      </w:r>
      <w:r w:rsidR="00F86232">
        <w:sym w:font="Symbol" w:char="F06C"/>
      </w:r>
      <w:r w:rsidR="00F86232">
        <w:t>=0.99 on the spatially lagged residuals, accounting for this does not change the in</w:t>
      </w:r>
      <w:r w:rsidR="008259B0">
        <w:t>ferences about school performance</w:t>
      </w:r>
      <w:r w:rsidR="00F86232">
        <w:t>, with the weighted average NCEA pass rate still highly statistically significant (</w:t>
      </w:r>
      <w:r w:rsidR="00F86232">
        <w:rPr>
          <w:i/>
        </w:rPr>
        <w:t>t</w:t>
      </w:r>
      <w:r w:rsidR="00F86232">
        <w:t>=16.5).</w:t>
      </w:r>
    </w:p>
    <w:p w:rsidR="00B46507" w:rsidRDefault="00B46507" w:rsidP="006E061C">
      <w:pPr>
        <w:tabs>
          <w:tab w:val="left" w:pos="426"/>
        </w:tabs>
        <w:spacing w:line="288" w:lineRule="auto"/>
        <w:jc w:val="both"/>
      </w:pPr>
    </w:p>
    <w:p w:rsidR="00AD1E46" w:rsidRDefault="00F86232" w:rsidP="006E061C">
      <w:pPr>
        <w:tabs>
          <w:tab w:val="left" w:pos="426"/>
        </w:tabs>
        <w:spacing w:line="288" w:lineRule="auto"/>
        <w:jc w:val="both"/>
      </w:pPr>
      <w:r>
        <w:tab/>
        <w:t>While the control variables are included in the model</w:t>
      </w:r>
      <w:r w:rsidR="00AD74A6">
        <w:t xml:space="preserve"> to ensure that there is no omitted variable bias, we briefly summarize the patterns they reveal. All else the same, there is a location premium for being closer to primary schools, food outlets, and some health providers (General Practitioner, accident and emergency facility, ambulance service) and being further from sports and leisure facilities, fire stations, pharmacies and secondary schools. </w:t>
      </w:r>
      <w:proofErr w:type="spellStart"/>
      <w:r w:rsidR="00AD74A6">
        <w:t>Meshblocks</w:t>
      </w:r>
      <w:proofErr w:type="spellEnd"/>
      <w:r w:rsidR="00AD74A6">
        <w:t xml:space="preserve"> with higher shares of ethnic minorities, </w:t>
      </w:r>
      <w:r w:rsidR="008259B0">
        <w:t xml:space="preserve">of </w:t>
      </w:r>
      <w:r w:rsidR="00AD74A6">
        <w:t xml:space="preserve">adults with no qualifications, home owners, full time workers, and with more crime and more unequally distributed </w:t>
      </w:r>
      <w:r w:rsidR="00D150CC">
        <w:t>incomes have lower house prices;</w:t>
      </w:r>
      <w:r w:rsidR="00AD74A6">
        <w:t xml:space="preserve"> higher prices </w:t>
      </w:r>
      <w:r w:rsidR="00D150CC">
        <w:t xml:space="preserve">are </w:t>
      </w:r>
      <w:r w:rsidR="00AD74A6">
        <w:t xml:space="preserve">in </w:t>
      </w:r>
      <w:proofErr w:type="spellStart"/>
      <w:r w:rsidR="00AD74A6">
        <w:t>meshblocks</w:t>
      </w:r>
      <w:proofErr w:type="spellEnd"/>
      <w:r w:rsidR="00AD74A6">
        <w:t xml:space="preserve"> with higher household incomes, and higher shares of the foreign born and of the tertiary educated. Dwelling prices fall with age and rise with floor area (both at a diminishing rate), are higher for more land area especially </w:t>
      </w:r>
      <w:r w:rsidR="00AD74A6">
        <w:lastRenderedPageBreak/>
        <w:t xml:space="preserve">in the inner suburbs, and are higher for having a good view, a deck, more car parking, internal garaging, being in good condition and </w:t>
      </w:r>
      <w:r w:rsidR="00D150CC">
        <w:t xml:space="preserve">being </w:t>
      </w:r>
      <w:r w:rsidR="00AD74A6">
        <w:t xml:space="preserve">rated by the valuation agency as of superior quality. </w:t>
      </w:r>
    </w:p>
    <w:p w:rsidR="00AD1E46" w:rsidRDefault="00AD1E46" w:rsidP="00B441BB">
      <w:pPr>
        <w:spacing w:line="288" w:lineRule="auto"/>
        <w:jc w:val="both"/>
      </w:pPr>
    </w:p>
    <w:p w:rsidR="00C45862" w:rsidRDefault="00F76075" w:rsidP="00426185">
      <w:pPr>
        <w:tabs>
          <w:tab w:val="left" w:pos="426"/>
        </w:tabs>
        <w:spacing w:line="288" w:lineRule="auto"/>
        <w:jc w:val="both"/>
        <w:rPr>
          <w:b/>
        </w:rPr>
      </w:pPr>
      <w:r>
        <w:rPr>
          <w:b/>
        </w:rPr>
        <w:t>V.</w:t>
      </w:r>
      <w:r>
        <w:rPr>
          <w:b/>
        </w:rPr>
        <w:tab/>
      </w:r>
      <w:r w:rsidR="006C3771">
        <w:rPr>
          <w:b/>
        </w:rPr>
        <w:t>Implication</w:t>
      </w:r>
      <w:r w:rsidR="00715F7E" w:rsidRPr="00715F7E">
        <w:rPr>
          <w:b/>
        </w:rPr>
        <w:t>s</w:t>
      </w:r>
    </w:p>
    <w:p w:rsidR="00B441BB" w:rsidRPr="00B441BB" w:rsidRDefault="00B441BB" w:rsidP="00B441BB">
      <w:pPr>
        <w:spacing w:line="288" w:lineRule="auto"/>
        <w:jc w:val="both"/>
        <w:rPr>
          <w:b/>
          <w:sz w:val="12"/>
          <w:szCs w:val="12"/>
        </w:rPr>
      </w:pPr>
    </w:p>
    <w:p w:rsidR="00B46507" w:rsidRDefault="006C3771" w:rsidP="00B441BB">
      <w:pPr>
        <w:widowControl w:val="0"/>
        <w:spacing w:line="288" w:lineRule="auto"/>
        <w:jc w:val="both"/>
      </w:pPr>
      <w:r>
        <w:t xml:space="preserve">There are at least three implications for policy from the results presented in Section IV. </w:t>
      </w:r>
      <w:r w:rsidR="009401B0">
        <w:t>F</w:t>
      </w:r>
      <w:r w:rsidR="00140331">
        <w:t>irst</w:t>
      </w:r>
      <w:r w:rsidR="009401B0">
        <w:t>, the</w:t>
      </w:r>
      <w:r w:rsidR="00140331">
        <w:t xml:space="preserve"> </w:t>
      </w:r>
      <w:r w:rsidR="009401B0">
        <w:t>extent</w:t>
      </w:r>
      <w:r w:rsidR="00140331">
        <w:t xml:space="preserve"> of ‘selection by mortgage’ in</w:t>
      </w:r>
      <w:r w:rsidR="009401B0">
        <w:t xml:space="preserve">to better performing </w:t>
      </w:r>
      <w:r w:rsidR="009401B0" w:rsidRPr="009401B0">
        <w:t xml:space="preserve">New Zealand </w:t>
      </w:r>
      <w:r w:rsidR="009401B0">
        <w:t xml:space="preserve">schools </w:t>
      </w:r>
      <w:r w:rsidR="00140331">
        <w:t xml:space="preserve">is substantial and may exceed what is seen in other countries. </w:t>
      </w:r>
      <w:r w:rsidR="00156124">
        <w:t xml:space="preserve">For example, house prices in the Australian Capital Territory rise 3.5% for each standard deviation increase in </w:t>
      </w:r>
      <w:r w:rsidR="00156124" w:rsidRPr="00156124">
        <w:t>median Year 12 test score</w:t>
      </w:r>
      <w:r w:rsidR="00156124">
        <w:t>s</w:t>
      </w:r>
      <w:r w:rsidR="00156124" w:rsidRPr="00156124">
        <w:t xml:space="preserve"> </w:t>
      </w:r>
      <w:r w:rsidR="00156124">
        <w:t>of the high school whose attendance boundary the</w:t>
      </w:r>
      <w:r w:rsidR="00D450F6">
        <w:t>y are in</w:t>
      </w:r>
      <w:r w:rsidR="00570A5A">
        <w:t xml:space="preserve"> (Davidoff and Leigh</w:t>
      </w:r>
      <w:r w:rsidR="00156124">
        <w:t xml:space="preserve"> 2008). </w:t>
      </w:r>
      <w:r w:rsidR="00D450F6">
        <w:t>Using</w:t>
      </w:r>
      <w:r w:rsidR="001F404F">
        <w:t xml:space="preserve"> a similar method but focusing on primary schools, </w:t>
      </w:r>
      <w:r w:rsidR="001F404F" w:rsidRPr="001F404F">
        <w:t xml:space="preserve">Gibbons, </w:t>
      </w:r>
      <w:proofErr w:type="spellStart"/>
      <w:r w:rsidR="001F404F" w:rsidRPr="001F404F">
        <w:t>Machin</w:t>
      </w:r>
      <w:proofErr w:type="spellEnd"/>
      <w:r w:rsidR="001F404F" w:rsidRPr="001F404F">
        <w:t xml:space="preserve"> and Silva (2013)</w:t>
      </w:r>
      <w:r w:rsidR="001F404F">
        <w:t xml:space="preserve"> find a</w:t>
      </w:r>
      <w:r w:rsidR="00156124">
        <w:t xml:space="preserve"> price premium for </w:t>
      </w:r>
      <w:r w:rsidR="001F404F">
        <w:t xml:space="preserve">a </w:t>
      </w:r>
      <w:r w:rsidR="001F404F" w:rsidRPr="001F404F">
        <w:t xml:space="preserve">standard deviation </w:t>
      </w:r>
      <w:r w:rsidR="001F404F">
        <w:t xml:space="preserve">increase in test scores of </w:t>
      </w:r>
      <w:r w:rsidR="001F404F" w:rsidRPr="001F404F">
        <w:t xml:space="preserve">about </w:t>
      </w:r>
      <w:r w:rsidR="00570A5A">
        <w:t>three percent</w:t>
      </w:r>
      <w:r w:rsidR="001F404F">
        <w:t xml:space="preserve"> in England. </w:t>
      </w:r>
    </w:p>
    <w:p w:rsidR="00B46507" w:rsidRDefault="00B46507" w:rsidP="00B441BB">
      <w:pPr>
        <w:widowControl w:val="0"/>
        <w:spacing w:line="288" w:lineRule="auto"/>
        <w:jc w:val="both"/>
      </w:pPr>
    </w:p>
    <w:p w:rsidR="001F404F" w:rsidRDefault="00B46507" w:rsidP="003346C7">
      <w:pPr>
        <w:widowControl w:val="0"/>
        <w:tabs>
          <w:tab w:val="left" w:pos="426"/>
        </w:tabs>
        <w:spacing w:line="288" w:lineRule="auto"/>
        <w:jc w:val="both"/>
      </w:pPr>
      <w:r>
        <w:tab/>
      </w:r>
      <w:proofErr w:type="spellStart"/>
      <w:r w:rsidR="001F404F">
        <w:t>Machin</w:t>
      </w:r>
      <w:proofErr w:type="spellEnd"/>
      <w:r w:rsidR="001F404F">
        <w:t xml:space="preserve"> (2011) summarizes ten different studies that use a variety of methods and look at different schooling levels in four countries; the median estimate is that house prices rise by </w:t>
      </w:r>
      <w:r w:rsidR="00570A5A">
        <w:t>four percent</w:t>
      </w:r>
      <w:r w:rsidR="001F404F">
        <w:t xml:space="preserve"> for a standard deviation increase in school performance. Only two of the ten estimates are larger than what is found in the current study, so it is reasonable to </w:t>
      </w:r>
      <w:r w:rsidR="009401B0">
        <w:t xml:space="preserve">conclude </w:t>
      </w:r>
      <w:r w:rsidR="001F404F">
        <w:t>that selection by mortgage is more important in New Zealand than in many other places, po</w:t>
      </w:r>
      <w:r w:rsidR="007C30E6">
        <w:t>ssibly because centrally-funded but self-managing (including boundary-setting)</w:t>
      </w:r>
      <w:r w:rsidR="001F404F">
        <w:t xml:space="preserve"> </w:t>
      </w:r>
      <w:r w:rsidR="007C30E6">
        <w:t>public schools have</w:t>
      </w:r>
      <w:r w:rsidR="001F404F">
        <w:t xml:space="preserve"> a dominant position in the New Zealand education market. In other settings, parents may have more options to use </w:t>
      </w:r>
      <w:r w:rsidR="003B49F6">
        <w:t xml:space="preserve">parochial or </w:t>
      </w:r>
      <w:r w:rsidR="001F404F">
        <w:t xml:space="preserve">private schooling or </w:t>
      </w:r>
      <w:r w:rsidR="00430A3E">
        <w:t xml:space="preserve">may be able to </w:t>
      </w:r>
      <w:r w:rsidR="001F404F">
        <w:t>sort across communities that locally fund schools</w:t>
      </w:r>
      <w:r w:rsidR="00430A3E">
        <w:t>.</w:t>
      </w:r>
      <w:r w:rsidR="001F404F">
        <w:t xml:space="preserve"> </w:t>
      </w:r>
      <w:r w:rsidR="00430A3E">
        <w:t>A</w:t>
      </w:r>
      <w:r w:rsidR="001F404F">
        <w:t xml:space="preserve">bsent those options, the property market </w:t>
      </w:r>
      <w:r w:rsidR="00430A3E">
        <w:t xml:space="preserve">in New Zealand </w:t>
      </w:r>
      <w:r w:rsidR="001F404F">
        <w:t>becomes one of the main selection mechanisms open to parents who are ambitious for their children.</w:t>
      </w:r>
    </w:p>
    <w:p w:rsidR="00B441BB" w:rsidRDefault="00B441BB" w:rsidP="00B441BB">
      <w:pPr>
        <w:widowControl w:val="0"/>
        <w:spacing w:line="288" w:lineRule="auto"/>
        <w:jc w:val="both"/>
      </w:pPr>
    </w:p>
    <w:p w:rsidR="006C3771" w:rsidRDefault="00140331" w:rsidP="006E061C">
      <w:pPr>
        <w:widowControl w:val="0"/>
        <w:spacing w:line="288" w:lineRule="auto"/>
        <w:ind w:firstLine="426"/>
        <w:jc w:val="both"/>
      </w:pPr>
      <w:r>
        <w:t xml:space="preserve">Such selection </w:t>
      </w:r>
      <w:r w:rsidR="001F404F">
        <w:t xml:space="preserve">by mortgage </w:t>
      </w:r>
      <w:r>
        <w:t xml:space="preserve">can be expected to reduce social mobility across generations, since it is the children of rich parents who are most likely to attend the best performing of the publicly funded schools, </w:t>
      </w:r>
      <w:r w:rsidR="001F404F">
        <w:t xml:space="preserve">given that </w:t>
      </w:r>
      <w:r>
        <w:t xml:space="preserve">the barrier to entry is the price that one </w:t>
      </w:r>
      <w:r w:rsidR="00D450F6">
        <w:t>is willing to pay for a house</w:t>
      </w:r>
      <w:r>
        <w:t xml:space="preserve">. Moreover, since </w:t>
      </w:r>
      <w:r w:rsidRPr="00140331">
        <w:t xml:space="preserve">the most </w:t>
      </w:r>
      <w:r>
        <w:t xml:space="preserve">academically </w:t>
      </w:r>
      <w:r w:rsidRPr="00140331">
        <w:t>able students are not ne</w:t>
      </w:r>
      <w:r>
        <w:t xml:space="preserve">cessarily matched with the best performing schools, there are </w:t>
      </w:r>
      <w:r w:rsidR="001F404F">
        <w:t xml:space="preserve">likely to be </w:t>
      </w:r>
      <w:r>
        <w:t>inefficient outcomes of the human capital investment process</w:t>
      </w:r>
      <w:r w:rsidR="001F404F">
        <w:t>. These inefficiencies</w:t>
      </w:r>
      <w:r>
        <w:t xml:space="preserve"> could potentially be avoided by </w:t>
      </w:r>
      <w:r w:rsidR="001F404F">
        <w:t xml:space="preserve">using other selection criteria </w:t>
      </w:r>
      <w:r>
        <w:t xml:space="preserve">such as entrance examinations, or if the concern was with equitable outcomes a random lottery could be used to ration places into better performing schools. </w:t>
      </w:r>
      <w:r w:rsidR="003B49F6">
        <w:t xml:space="preserve">Alternatively, a voucher scheme could be </w:t>
      </w:r>
      <w:r w:rsidR="00FC3D8A">
        <w:t xml:space="preserve">introduced </w:t>
      </w:r>
      <w:r w:rsidR="003B49F6">
        <w:t>so that parents could purchase education from competing providers</w:t>
      </w:r>
      <w:r w:rsidR="00FC3D8A">
        <w:t>, with examples of such schem</w:t>
      </w:r>
      <w:r w:rsidR="00570A5A">
        <w:t xml:space="preserve">es in Chile (Hsieh and </w:t>
      </w:r>
      <w:proofErr w:type="spellStart"/>
      <w:r w:rsidR="00570A5A">
        <w:t>Urquiola</w:t>
      </w:r>
      <w:proofErr w:type="spellEnd"/>
      <w:r w:rsidR="00FC3D8A">
        <w:t xml:space="preserve"> 200</w:t>
      </w:r>
      <w:r w:rsidR="00570A5A">
        <w:t>6) and Florida (</w:t>
      </w:r>
      <w:proofErr w:type="spellStart"/>
      <w:r w:rsidR="00570A5A">
        <w:t>Figlio</w:t>
      </w:r>
      <w:proofErr w:type="spellEnd"/>
      <w:r w:rsidR="00570A5A">
        <w:t xml:space="preserve"> and Hart</w:t>
      </w:r>
      <w:r w:rsidR="00FC3D8A">
        <w:t xml:space="preserve"> 2014) and a proposed scheme that was voted down in California (Brunner </w:t>
      </w:r>
      <w:r w:rsidR="00570A5A">
        <w:t xml:space="preserve">and </w:t>
      </w:r>
      <w:proofErr w:type="spellStart"/>
      <w:r w:rsidR="00570A5A">
        <w:t>Sonstelie</w:t>
      </w:r>
      <w:proofErr w:type="spellEnd"/>
      <w:r w:rsidR="00C425A8">
        <w:t xml:space="preserve"> 2003</w:t>
      </w:r>
      <w:r w:rsidR="00FC3D8A">
        <w:t xml:space="preserve">). </w:t>
      </w:r>
    </w:p>
    <w:p w:rsidR="00B441BB" w:rsidRPr="0029148E" w:rsidRDefault="00B441BB" w:rsidP="00B441BB">
      <w:pPr>
        <w:widowControl w:val="0"/>
        <w:spacing w:line="288" w:lineRule="auto"/>
        <w:ind w:firstLine="720"/>
        <w:jc w:val="both"/>
        <w:rPr>
          <w:sz w:val="16"/>
          <w:szCs w:val="16"/>
        </w:rPr>
      </w:pPr>
    </w:p>
    <w:p w:rsidR="00570A5A" w:rsidRDefault="00245372" w:rsidP="006E061C">
      <w:pPr>
        <w:widowControl w:val="0"/>
        <w:spacing w:line="288" w:lineRule="auto"/>
        <w:ind w:firstLine="426"/>
        <w:jc w:val="both"/>
      </w:pPr>
      <w:r>
        <w:t xml:space="preserve">There is likely to be a strong ethnic component to social immobility induced by selection by mortgage. International comparisons of student achievement, such as the OECD’s </w:t>
      </w:r>
      <w:proofErr w:type="spellStart"/>
      <w:r w:rsidR="00C76666">
        <w:t>Programme</w:t>
      </w:r>
      <w:proofErr w:type="spellEnd"/>
      <w:r w:rsidR="00C76666">
        <w:t xml:space="preserve"> for International Student Assessment (PISA), show that New Zealand ranks </w:t>
      </w:r>
      <w:r w:rsidR="00C76666">
        <w:lastRenderedPageBreak/>
        <w:t xml:space="preserve">highly, on average, in terms of 15-year olds’ test scores for reading, mathematics and science. But New Zealand also has one of the longest tails of poor performers (along with Australia and the Netherlands) with Maori and Pacific students over-represented at the bottom end (OECD, 2013). </w:t>
      </w:r>
    </w:p>
    <w:p w:rsidR="00DB3AAD" w:rsidRDefault="00DB3AAD" w:rsidP="006E061C">
      <w:pPr>
        <w:widowControl w:val="0"/>
        <w:spacing w:line="288" w:lineRule="auto"/>
        <w:ind w:firstLine="426"/>
        <w:jc w:val="both"/>
      </w:pPr>
    </w:p>
    <w:p w:rsidR="00245372" w:rsidRDefault="00C76666" w:rsidP="006E061C">
      <w:pPr>
        <w:widowControl w:val="0"/>
        <w:spacing w:line="288" w:lineRule="auto"/>
        <w:ind w:firstLine="426"/>
        <w:jc w:val="both"/>
      </w:pPr>
      <w:r>
        <w:t>In other countries it has been found that some or even all of the racial gaps in test scores can be eliminated when under-performing ethnic minorities (such as blacks in the U.S.) attend</w:t>
      </w:r>
      <w:r w:rsidR="00570A5A">
        <w:t xml:space="preserve"> high quality schools (</w:t>
      </w:r>
      <w:proofErr w:type="spellStart"/>
      <w:r w:rsidR="00570A5A">
        <w:t>Rothwell</w:t>
      </w:r>
      <w:proofErr w:type="spellEnd"/>
      <w:r>
        <w:t xml:space="preserve"> 2</w:t>
      </w:r>
      <w:r w:rsidR="00C03706">
        <w:t>012). Maori and Pacific Island</w:t>
      </w:r>
      <w:r>
        <w:t xml:space="preserve"> students are unlikely to attend high quality schools when there is selection by mortgage, since </w:t>
      </w:r>
      <w:r w:rsidR="00750C28">
        <w:t>these two ethnic groups have the lowest net worth (including dwelling wealth) of any groups in New</w:t>
      </w:r>
      <w:r w:rsidR="00570A5A">
        <w:t xml:space="preserve"> Zealand (Scobie, Gibson and Le</w:t>
      </w:r>
      <w:r w:rsidR="00750C28">
        <w:t xml:space="preserve"> 2005). </w:t>
      </w:r>
      <w:r w:rsidR="00C21C52">
        <w:t>Indeed, during the 1990-98 period when school attendance boundaries were abolished these two ethnic groups responded more than did the majority European/</w:t>
      </w:r>
      <w:proofErr w:type="spellStart"/>
      <w:r w:rsidR="00C21C52">
        <w:t>Pakeha</w:t>
      </w:r>
      <w:proofErr w:type="spellEnd"/>
      <w:r w:rsidR="00C21C52">
        <w:t xml:space="preserve"> ethnic group, by attending schools outside th</w:t>
      </w:r>
      <w:r w:rsidR="00570A5A">
        <w:t>e previous boundaries (</w:t>
      </w:r>
      <w:proofErr w:type="spellStart"/>
      <w:r w:rsidR="00570A5A">
        <w:t>LaRocque</w:t>
      </w:r>
      <w:proofErr w:type="spellEnd"/>
      <w:r w:rsidR="00C21C52">
        <w:t xml:space="preserve"> 2005).</w:t>
      </w:r>
    </w:p>
    <w:p w:rsidR="00B441BB" w:rsidRDefault="00B441BB" w:rsidP="00B441BB">
      <w:pPr>
        <w:widowControl w:val="0"/>
        <w:spacing w:line="288" w:lineRule="auto"/>
        <w:ind w:firstLine="720"/>
        <w:jc w:val="both"/>
      </w:pPr>
    </w:p>
    <w:p w:rsidR="00272A5C" w:rsidRDefault="00257A2D" w:rsidP="006E061C">
      <w:pPr>
        <w:widowControl w:val="0"/>
        <w:spacing w:line="288" w:lineRule="auto"/>
        <w:ind w:firstLine="426"/>
        <w:jc w:val="both"/>
      </w:pPr>
      <w:r>
        <w:t xml:space="preserve"> </w:t>
      </w:r>
      <w:r w:rsidR="006C3771">
        <w:t xml:space="preserve">The second implication </w:t>
      </w:r>
      <w:r w:rsidR="00C21C52">
        <w:t xml:space="preserve">of the econometric results </w:t>
      </w:r>
      <w:r w:rsidR="006C3771">
        <w:t xml:space="preserve">is that improvements in school quality </w:t>
      </w:r>
      <w:r w:rsidR="00E73D49">
        <w:t xml:space="preserve">appear to be </w:t>
      </w:r>
      <w:r w:rsidR="006C3771">
        <w:t>very highly valued by New Zealand households. According to Reserve Bank statistics, the total value of housing in New Zealand (in 2012) is $655 billion</w:t>
      </w:r>
      <w:r w:rsidR="00F20C3D">
        <w:t>.</w:t>
      </w:r>
      <w:r w:rsidR="006C3771">
        <w:rPr>
          <w:rStyle w:val="FootnoteReference"/>
        </w:rPr>
        <w:footnoteReference w:id="9"/>
      </w:r>
      <w:r w:rsidR="006C3771">
        <w:t xml:space="preserve"> The econometric results suggest that a standard deviation increase in school quality, as measured by the pass rates in NCEA examinations, is associated with house prices that are 5-7 percentage points higher, all else the same. Consider then the effect of interventions like heighte</w:t>
      </w:r>
      <w:r w:rsidR="00430A3E">
        <w:t>ne</w:t>
      </w:r>
      <w:r w:rsidR="006C3771">
        <w:t xml:space="preserve">d school competition, higher remuneration and performance pay for teachers and so forth, which </w:t>
      </w:r>
      <w:r w:rsidR="007C30E6">
        <w:t xml:space="preserve">for the sake of argument </w:t>
      </w:r>
      <w:r w:rsidR="001C2CF5">
        <w:t xml:space="preserve">are assumed here to </w:t>
      </w:r>
      <w:r w:rsidR="006C3771">
        <w:t xml:space="preserve">have the effect of raising NCEA pass rates across the board by one standard deviation. The capitalized value in the </w:t>
      </w:r>
      <w:r w:rsidR="00E73D49">
        <w:t xml:space="preserve">residential </w:t>
      </w:r>
      <w:r w:rsidR="006C3771">
        <w:t xml:space="preserve">property market from this </w:t>
      </w:r>
      <w:r w:rsidR="00E73D49">
        <w:t xml:space="preserve">hypothetical </w:t>
      </w:r>
      <w:r w:rsidR="006C3771">
        <w:t xml:space="preserve">increase in school quality would be approximately $42 billion. </w:t>
      </w:r>
    </w:p>
    <w:p w:rsidR="00B441BB" w:rsidRPr="00DB3AAD" w:rsidRDefault="00B441BB" w:rsidP="00B441BB">
      <w:pPr>
        <w:widowControl w:val="0"/>
        <w:spacing w:line="288" w:lineRule="auto"/>
        <w:ind w:firstLine="720"/>
        <w:jc w:val="both"/>
        <w:rPr>
          <w:sz w:val="20"/>
          <w:szCs w:val="20"/>
        </w:rPr>
      </w:pPr>
    </w:p>
    <w:p w:rsidR="00E92B6A" w:rsidRDefault="00272A5C" w:rsidP="00627E42">
      <w:pPr>
        <w:widowControl w:val="0"/>
        <w:spacing w:line="288" w:lineRule="auto"/>
        <w:ind w:firstLine="426"/>
        <w:jc w:val="both"/>
      </w:pPr>
      <w:bookmarkStart w:id="0" w:name="_GoBack"/>
      <w:bookmarkEnd w:id="0"/>
      <w:r>
        <w:t>T</w:t>
      </w:r>
      <w:r w:rsidRPr="00272A5C">
        <w:t xml:space="preserve">he New Zealand government </w:t>
      </w:r>
      <w:r>
        <w:t>recently announced an initiative to create new teaching and school leadership roles aimed at raising student achievement levels.</w:t>
      </w:r>
      <w:r w:rsidR="00711B8F">
        <w:rPr>
          <w:rStyle w:val="FootnoteReference"/>
        </w:rPr>
        <w:footnoteReference w:id="10"/>
      </w:r>
      <w:r>
        <w:t xml:space="preserve"> The main components are the creation of </w:t>
      </w:r>
      <w:r w:rsidR="00E15F65">
        <w:t>'</w:t>
      </w:r>
      <w:r>
        <w:t>expert teacher</w:t>
      </w:r>
      <w:r w:rsidR="00E15F65">
        <w:t>'</w:t>
      </w:r>
      <w:r>
        <w:t xml:space="preserve"> and </w:t>
      </w:r>
      <w:r w:rsidR="00E15F65">
        <w:t>'</w:t>
      </w:r>
      <w:r>
        <w:t>lead teacher</w:t>
      </w:r>
      <w:r w:rsidR="00E15F65">
        <w:t>'</w:t>
      </w:r>
      <w:r>
        <w:t xml:space="preserve"> roles </w:t>
      </w:r>
      <w:r w:rsidR="009134B4">
        <w:t xml:space="preserve">that provide financial allowances to teachers who demonstrably lift student achievement and who can act as role models for teachers elsewhere. </w:t>
      </w:r>
      <w:r>
        <w:t xml:space="preserve">This package of reforms is </w:t>
      </w:r>
      <w:r w:rsidR="009134B4">
        <w:t xml:space="preserve">budgeted </w:t>
      </w:r>
      <w:r>
        <w:t>to cost just $360 million over four years (</w:t>
      </w:r>
      <w:r w:rsidR="009134B4">
        <w:t xml:space="preserve">and just </w:t>
      </w:r>
      <w:r>
        <w:t xml:space="preserve">$150 million in the </w:t>
      </w:r>
      <w:r w:rsidR="009134B4">
        <w:t xml:space="preserve">most expensive </w:t>
      </w:r>
      <w:r>
        <w:t>year)</w:t>
      </w:r>
      <w:r w:rsidR="009134B4">
        <w:t>. Compare</w:t>
      </w:r>
      <w:r w:rsidR="00430A3E">
        <w:t>d with the apparent valuation of school quality revealed by the willingness to pay more for dwellings that provide a better schooling opportunity set, the extra expenditures to raise school quality seem small indeed.</w:t>
      </w:r>
      <w:r w:rsidR="009134B4">
        <w:t xml:space="preserve"> </w:t>
      </w:r>
    </w:p>
    <w:p w:rsidR="00B441BB" w:rsidRPr="00F20C3D" w:rsidRDefault="00B441BB" w:rsidP="00B441BB">
      <w:pPr>
        <w:widowControl w:val="0"/>
        <w:spacing w:line="288" w:lineRule="auto"/>
        <w:ind w:firstLine="720"/>
        <w:jc w:val="both"/>
      </w:pPr>
    </w:p>
    <w:p w:rsidR="00C425A8" w:rsidRDefault="00431B64" w:rsidP="006E061C">
      <w:pPr>
        <w:widowControl w:val="0"/>
        <w:tabs>
          <w:tab w:val="left" w:pos="426"/>
        </w:tabs>
        <w:spacing w:line="288" w:lineRule="auto"/>
        <w:jc w:val="both"/>
      </w:pPr>
      <w:r>
        <w:tab/>
        <w:t>Th</w:t>
      </w:r>
      <w:r w:rsidR="00430A3E">
        <w:t>e th</w:t>
      </w:r>
      <w:r>
        <w:t>ird</w:t>
      </w:r>
      <w:r w:rsidR="00430A3E">
        <w:t xml:space="preserve"> implication of the results concerns the </w:t>
      </w:r>
      <w:r>
        <w:t>difficult</w:t>
      </w:r>
      <w:r w:rsidR="00430A3E">
        <w:t>y</w:t>
      </w:r>
      <w:r>
        <w:t xml:space="preserve"> of reform</w:t>
      </w:r>
      <w:r w:rsidR="00430A3E">
        <w:t>ing school attendance boundaries.</w:t>
      </w:r>
      <w:r w:rsidR="001C2CF5">
        <w:t xml:space="preserve"> The partial equilibrium effect of abolishing attendance boundaries is </w:t>
      </w:r>
      <w:r w:rsidR="001C2CF5">
        <w:lastRenderedPageBreak/>
        <w:t>for predicted prices of most properties to rise.</w:t>
      </w:r>
      <w:r w:rsidR="005327E1">
        <w:rPr>
          <w:rStyle w:val="FootnoteReference"/>
        </w:rPr>
        <w:footnoteReference w:id="11"/>
      </w:r>
      <w:r w:rsidR="001C2CF5">
        <w:t xml:space="preserve"> </w:t>
      </w:r>
      <w:r w:rsidR="003346C7">
        <w:t xml:space="preserve"> </w:t>
      </w:r>
      <w:r w:rsidR="001C2CF5">
        <w:t>The reason is that abolishing boundaries enhances the schooling opportunity set for most dwellings (as in the example in Figure 2a) and this is highly valued in the property market.</w:t>
      </w:r>
      <w:r w:rsidR="003663CB">
        <w:rPr>
          <w:rStyle w:val="FootnoteReference"/>
        </w:rPr>
        <w:footnoteReference w:id="12"/>
      </w:r>
      <w:r w:rsidR="001C2CF5">
        <w:t xml:space="preserve"> However there are some properties </w:t>
      </w:r>
      <w:r w:rsidR="007C30E6">
        <w:t xml:space="preserve">with </w:t>
      </w:r>
      <w:r w:rsidR="001C2CF5">
        <w:t xml:space="preserve">desirable locations under the current attendance boundaries </w:t>
      </w:r>
      <w:r w:rsidR="007C30E6">
        <w:t xml:space="preserve">that </w:t>
      </w:r>
      <w:r w:rsidR="001C2CF5">
        <w:t>would not offer guaranteed enrolment in these high-performing secondary schools in the absence of boundaries (as in the example in Figure 2b). For this group of properties, the predicted price falls</w:t>
      </w:r>
      <w:r w:rsidR="00E73D49">
        <w:t xml:space="preserve"> and the owners of such properties are likely to </w:t>
      </w:r>
      <w:r w:rsidR="007C30E6">
        <w:t>oppose</w:t>
      </w:r>
      <w:r w:rsidR="00E73D49">
        <w:t xml:space="preserve"> reform of attendance boundaries</w:t>
      </w:r>
      <w:r w:rsidR="001C2CF5">
        <w:t>.</w:t>
      </w:r>
      <w:r w:rsidR="005327E1">
        <w:t xml:space="preserve"> Indeed, evidence from voting patterns on </w:t>
      </w:r>
      <w:r w:rsidR="00C425A8">
        <w:t>a school voucher reform in California confirms this prediction</w:t>
      </w:r>
      <w:r w:rsidR="007C30E6">
        <w:t>;</w:t>
      </w:r>
      <w:r w:rsidR="00C425A8">
        <w:t xml:space="preserve"> those who owned homes in neighborhoods with good public schools </w:t>
      </w:r>
      <w:r w:rsidR="007C30E6">
        <w:t xml:space="preserve">were </w:t>
      </w:r>
      <w:r w:rsidR="00636F3D">
        <w:t xml:space="preserve">more </w:t>
      </w:r>
      <w:r w:rsidR="00C425A8">
        <w:t xml:space="preserve">likely to vote </w:t>
      </w:r>
      <w:r w:rsidR="00636F3D">
        <w:t xml:space="preserve">against </w:t>
      </w:r>
      <w:r w:rsidR="00C425A8">
        <w:t xml:space="preserve">the voucher than </w:t>
      </w:r>
      <w:r w:rsidR="007C30E6">
        <w:t xml:space="preserve">those </w:t>
      </w:r>
      <w:r w:rsidR="00D450F6">
        <w:t xml:space="preserve">who </w:t>
      </w:r>
      <w:r w:rsidR="00C425A8">
        <w:t>lived in neighborhoods with inferior public</w:t>
      </w:r>
      <w:r w:rsidR="00426185">
        <w:t xml:space="preserve"> schools (Brunner and </w:t>
      </w:r>
      <w:proofErr w:type="spellStart"/>
      <w:r w:rsidR="00426185">
        <w:t>Sonstelie</w:t>
      </w:r>
      <w:proofErr w:type="spellEnd"/>
      <w:r w:rsidR="00C425A8">
        <w:t xml:space="preserve"> 2003).</w:t>
      </w:r>
    </w:p>
    <w:p w:rsidR="00B441BB" w:rsidRPr="00DB3AAD" w:rsidRDefault="00B441BB" w:rsidP="00B441BB">
      <w:pPr>
        <w:widowControl w:val="0"/>
        <w:spacing w:line="288" w:lineRule="auto"/>
        <w:jc w:val="both"/>
        <w:rPr>
          <w:sz w:val="20"/>
          <w:szCs w:val="20"/>
        </w:rPr>
      </w:pPr>
    </w:p>
    <w:p w:rsidR="001C2CF5" w:rsidRDefault="001C2CF5" w:rsidP="006E061C">
      <w:pPr>
        <w:widowControl w:val="0"/>
        <w:tabs>
          <w:tab w:val="left" w:pos="426"/>
        </w:tabs>
        <w:spacing w:line="288" w:lineRule="auto"/>
        <w:jc w:val="both"/>
      </w:pPr>
      <w:r>
        <w:tab/>
        <w:t xml:space="preserve">To examine how large this effect might be, we </w:t>
      </w:r>
      <w:r w:rsidR="00C21C52" w:rsidRPr="00C21C52">
        <w:t>recalculate</w:t>
      </w:r>
      <w:r w:rsidR="00C21C52">
        <w:t>d</w:t>
      </w:r>
      <w:r w:rsidR="00C21C52" w:rsidRPr="00C21C52">
        <w:t xml:space="preserve"> </w:t>
      </w:r>
      <w:r w:rsidR="00C21C52">
        <w:t xml:space="preserve">the </w:t>
      </w:r>
      <w:r w:rsidR="00C21C52" w:rsidRPr="00C21C52">
        <w:t xml:space="preserve">schooling opportunity set </w:t>
      </w:r>
      <w:r w:rsidR="00C21C52">
        <w:t xml:space="preserve">for each dwelling </w:t>
      </w:r>
      <w:r w:rsidR="00C21C52" w:rsidRPr="00C21C52">
        <w:t>in the absence of attendance boundaries</w:t>
      </w:r>
      <w:r w:rsidR="00C21C52">
        <w:t xml:space="preserve">, and used these counterfactual data to predict </w:t>
      </w:r>
      <w:r w:rsidR="006508F8">
        <w:t xml:space="preserve">house </w:t>
      </w:r>
      <w:r w:rsidR="00C21C52">
        <w:t xml:space="preserve">prices using </w:t>
      </w:r>
      <w:r w:rsidR="004F2388">
        <w:t>coefficients from</w:t>
      </w:r>
      <w:r w:rsidR="00C21C52">
        <w:t xml:space="preserve"> the model in Column 4 of Appendix Table 1</w:t>
      </w:r>
      <w:r w:rsidR="006D7E91">
        <w:t>,</w:t>
      </w:r>
      <w:r w:rsidR="00C21C52">
        <w:t xml:space="preserve"> based on </w:t>
      </w:r>
      <w:r w:rsidR="00CB7881">
        <w:t xml:space="preserve">average </w:t>
      </w:r>
      <w:r w:rsidR="00C21C52">
        <w:t>Level 1-3 NCEA pass rate</w:t>
      </w:r>
      <w:r w:rsidR="00CB7881">
        <w:t>s</w:t>
      </w:r>
      <w:r w:rsidR="00C21C52">
        <w:t>.</w:t>
      </w:r>
      <w:r w:rsidR="006508F8">
        <w:t xml:space="preserve"> This simulated change sees dwellers of average houses facing a 10 percentage point higher average NCEA pass rate than </w:t>
      </w:r>
      <w:r w:rsidR="00CB7881">
        <w:t>for</w:t>
      </w:r>
      <w:r w:rsidR="006508F8">
        <w:t xml:space="preserve"> </w:t>
      </w:r>
      <w:r w:rsidR="00CB7881">
        <w:t xml:space="preserve">the </w:t>
      </w:r>
      <w:r w:rsidR="006508F8">
        <w:t xml:space="preserve">schools </w:t>
      </w:r>
      <w:r w:rsidR="00D671B4">
        <w:t>accessible</w:t>
      </w:r>
      <w:r w:rsidR="006508F8">
        <w:t xml:space="preserve"> </w:t>
      </w:r>
      <w:r w:rsidR="00D671B4">
        <w:t xml:space="preserve">with </w:t>
      </w:r>
      <w:r w:rsidR="006508F8">
        <w:t xml:space="preserve">attendance boundaries </w:t>
      </w:r>
      <w:r w:rsidR="00D671B4">
        <w:t xml:space="preserve">in place, </w:t>
      </w:r>
      <w:r w:rsidR="006508F8">
        <w:t xml:space="preserve">and this </w:t>
      </w:r>
      <w:r w:rsidR="00D671B4">
        <w:t xml:space="preserve">change </w:t>
      </w:r>
      <w:r w:rsidR="006508F8">
        <w:t xml:space="preserve">is valued in the property market at about $25,000 per house. </w:t>
      </w:r>
      <w:r w:rsidR="00CB7881">
        <w:t xml:space="preserve">In other words, </w:t>
      </w:r>
      <w:r w:rsidR="00C21C52" w:rsidRPr="006508F8">
        <w:t>a large share of the population is denied access to a valued service (high performing state secondary schools) based on where they live</w:t>
      </w:r>
      <w:r w:rsidR="00CB7881">
        <w:t xml:space="preserve"> so</w:t>
      </w:r>
      <w:r w:rsidR="006508F8" w:rsidRPr="006508F8">
        <w:t xml:space="preserve"> r</w:t>
      </w:r>
      <w:r w:rsidR="00C21C52" w:rsidRPr="006508F8">
        <w:t xml:space="preserve">emoving restrictions </w:t>
      </w:r>
      <w:r w:rsidR="006508F8" w:rsidRPr="006508F8">
        <w:t>adds value to the</w:t>
      </w:r>
      <w:r w:rsidR="006D7E91">
        <w:t xml:space="preserve"> locations where they live.</w:t>
      </w:r>
      <w:r w:rsidR="006508F8">
        <w:t xml:space="preserve"> </w:t>
      </w:r>
      <w:r w:rsidR="00CB7881">
        <w:t xml:space="preserve">The simulated change in value for each </w:t>
      </w:r>
      <w:r w:rsidR="00D671B4">
        <w:t>house wa</w:t>
      </w:r>
      <w:r w:rsidR="00CB7881">
        <w:t>s then regressed on dummy variables for each school whose attendance boundary the dwelling is within (</w:t>
      </w:r>
      <w:r w:rsidR="00D671B4">
        <w:t>with</w:t>
      </w:r>
      <w:r w:rsidR="00CB7881">
        <w:t xml:space="preserve"> those outside all boundaries the reference group). </w:t>
      </w:r>
      <w:r w:rsidR="00D671B4">
        <w:t>This regression showed houses inside the boundaries of two schools – Burnside and Christchurch Girls High School – would, all else the same, have predicted prices that are at least $20,000 lower than they would be with a continuation of the existing attendance boundaries.</w:t>
      </w:r>
    </w:p>
    <w:p w:rsidR="00B441BB" w:rsidRPr="00DB3AAD" w:rsidRDefault="00B441BB" w:rsidP="00B441BB">
      <w:pPr>
        <w:widowControl w:val="0"/>
        <w:spacing w:line="288" w:lineRule="auto"/>
        <w:jc w:val="both"/>
        <w:rPr>
          <w:sz w:val="20"/>
          <w:szCs w:val="20"/>
        </w:rPr>
      </w:pPr>
    </w:p>
    <w:p w:rsidR="00627B62" w:rsidRDefault="00CC697E" w:rsidP="006E061C">
      <w:pPr>
        <w:widowControl w:val="0"/>
        <w:tabs>
          <w:tab w:val="left" w:pos="426"/>
        </w:tabs>
        <w:spacing w:line="288" w:lineRule="auto"/>
        <w:jc w:val="both"/>
      </w:pPr>
      <w:r>
        <w:tab/>
        <w:t xml:space="preserve">Table 2 contains a comparison of these two school zones with the rest of Christchurch, in terms of </w:t>
      </w:r>
      <w:r w:rsidR="00627B62" w:rsidRPr="00627B62">
        <w:t xml:space="preserve">population characteristics </w:t>
      </w:r>
      <w:r w:rsidR="00627B62">
        <w:t xml:space="preserve">that are </w:t>
      </w:r>
      <w:r>
        <w:t xml:space="preserve">potentially relevant </w:t>
      </w:r>
      <w:r w:rsidR="00627B62">
        <w:t>to the politics</w:t>
      </w:r>
      <w:r>
        <w:t xml:space="preserve"> of reform. </w:t>
      </w:r>
      <w:r w:rsidR="00B86636">
        <w:t xml:space="preserve">The two school attendance zones where prices are predicted to fall the most have </w:t>
      </w:r>
      <w:r w:rsidR="00B86636" w:rsidRPr="00B86636">
        <w:t xml:space="preserve">higher income </w:t>
      </w:r>
      <w:r w:rsidR="00B86636">
        <w:t>residents whose houses sell for almost 60% more than houses elsewhere. These residents also have much higher levels of education</w:t>
      </w:r>
      <w:r w:rsidR="00D450F6">
        <w:t>,</w:t>
      </w:r>
      <w:r w:rsidR="00B86636">
        <w:t xml:space="preserve"> with almost one-fif</w:t>
      </w:r>
      <w:r w:rsidR="002D4252">
        <w:t xml:space="preserve">th of adults having a </w:t>
      </w:r>
      <w:r w:rsidR="00B86636">
        <w:t xml:space="preserve">degree or higher </w:t>
      </w:r>
      <w:r w:rsidR="002D4252">
        <w:t xml:space="preserve">qualification </w:t>
      </w:r>
      <w:r w:rsidR="00B86636">
        <w:t xml:space="preserve">and only one-seventh having no qualifications, whereas elsewhere the </w:t>
      </w:r>
      <w:r w:rsidR="00B86636">
        <w:lastRenderedPageBreak/>
        <w:t xml:space="preserve">unqualified group </w:t>
      </w:r>
      <w:r w:rsidR="002D4252">
        <w:t xml:space="preserve">is </w:t>
      </w:r>
      <w:r w:rsidR="00B86636">
        <w:t>more than twice as large as the degree-holding group.</w:t>
      </w:r>
      <w:r w:rsidR="00D450F6">
        <w:t xml:space="preserve"> These highly educated and relatively rich residents with the Burnside and CGHS attendance zones are likely to be effective opponents of any proposed reforms of school attendance boundaries. In contrast, the beneficiaries of open-enrolment have characteristics that are less associated with political success and also face the problem that the gains are likely to be uncertain at the individual level since some other rationing device, such as a lottery, may be needed to prevent over-crowding of high-performing schools.</w:t>
      </w:r>
    </w:p>
    <w:p w:rsidR="00B441BB" w:rsidRPr="00546AE2" w:rsidRDefault="00B441BB" w:rsidP="00B441BB">
      <w:pPr>
        <w:widowControl w:val="0"/>
        <w:spacing w:line="288" w:lineRule="auto"/>
        <w:jc w:val="both"/>
      </w:pPr>
    </w:p>
    <w:tbl>
      <w:tblPr>
        <w:tblStyle w:val="TableGrid"/>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286"/>
        <w:gridCol w:w="2362"/>
        <w:gridCol w:w="33"/>
      </w:tblGrid>
      <w:tr w:rsidR="00231422" w:rsidRPr="003F3AE8" w:rsidTr="00231422">
        <w:trPr>
          <w:gridAfter w:val="1"/>
          <w:wAfter w:w="33" w:type="dxa"/>
        </w:trPr>
        <w:tc>
          <w:tcPr>
            <w:tcW w:w="9576" w:type="dxa"/>
            <w:gridSpan w:val="3"/>
            <w:tcBorders>
              <w:bottom w:val="single" w:sz="4" w:space="0" w:color="auto"/>
            </w:tcBorders>
          </w:tcPr>
          <w:p w:rsidR="00231422" w:rsidRPr="003F3AE8" w:rsidRDefault="00231422" w:rsidP="003F3AE8">
            <w:pPr>
              <w:widowControl w:val="0"/>
              <w:jc w:val="center"/>
              <w:rPr>
                <w:b/>
                <w:sz w:val="22"/>
                <w:szCs w:val="22"/>
              </w:rPr>
            </w:pPr>
            <w:r w:rsidRPr="003F3AE8">
              <w:rPr>
                <w:b/>
                <w:sz w:val="22"/>
                <w:szCs w:val="22"/>
              </w:rPr>
              <w:t>Table 2:</w:t>
            </w:r>
            <w:r w:rsidR="002D4252" w:rsidRPr="003F3AE8">
              <w:rPr>
                <w:b/>
                <w:sz w:val="22"/>
                <w:szCs w:val="22"/>
              </w:rPr>
              <w:t xml:space="preserve"> Characteristics of Neighborhoods Where House Prices </w:t>
            </w:r>
            <w:r w:rsidR="00142F0A" w:rsidRPr="003F3AE8">
              <w:rPr>
                <w:b/>
                <w:sz w:val="22"/>
                <w:szCs w:val="22"/>
              </w:rPr>
              <w:t xml:space="preserve">Are </w:t>
            </w:r>
            <w:r w:rsidR="002D4252" w:rsidRPr="003F3AE8">
              <w:rPr>
                <w:b/>
                <w:sz w:val="22"/>
                <w:szCs w:val="22"/>
              </w:rPr>
              <w:t>Predicted to Fall the Most if School Attendance Boundaries were Removed</w:t>
            </w:r>
          </w:p>
        </w:tc>
      </w:tr>
      <w:tr w:rsidR="00627B62" w:rsidTr="00B46507">
        <w:tc>
          <w:tcPr>
            <w:tcW w:w="4928" w:type="dxa"/>
            <w:tcBorders>
              <w:top w:val="single" w:sz="4" w:space="0" w:color="auto"/>
            </w:tcBorders>
          </w:tcPr>
          <w:p w:rsidR="00627B62" w:rsidRPr="003F3AE8" w:rsidRDefault="00627B62" w:rsidP="00B46507">
            <w:pPr>
              <w:widowControl w:val="0"/>
              <w:spacing w:before="100" w:after="100"/>
              <w:rPr>
                <w:sz w:val="22"/>
                <w:szCs w:val="22"/>
              </w:rPr>
            </w:pPr>
          </w:p>
        </w:tc>
        <w:tc>
          <w:tcPr>
            <w:tcW w:w="2286" w:type="dxa"/>
            <w:tcBorders>
              <w:top w:val="single" w:sz="4" w:space="0" w:color="auto"/>
              <w:bottom w:val="single" w:sz="4" w:space="0" w:color="auto"/>
            </w:tcBorders>
          </w:tcPr>
          <w:p w:rsidR="00627B62" w:rsidRPr="003F3AE8" w:rsidRDefault="00231422" w:rsidP="00B46507">
            <w:pPr>
              <w:widowControl w:val="0"/>
              <w:spacing w:before="100" w:after="100"/>
              <w:jc w:val="center"/>
              <w:rPr>
                <w:sz w:val="22"/>
                <w:szCs w:val="22"/>
              </w:rPr>
            </w:pPr>
            <w:r w:rsidRPr="003F3AE8">
              <w:rPr>
                <w:sz w:val="22"/>
                <w:szCs w:val="22"/>
              </w:rPr>
              <w:t>Burnside &amp; CGHS</w:t>
            </w:r>
          </w:p>
        </w:tc>
        <w:tc>
          <w:tcPr>
            <w:tcW w:w="2395" w:type="dxa"/>
            <w:gridSpan w:val="2"/>
            <w:tcBorders>
              <w:top w:val="single" w:sz="4" w:space="0" w:color="auto"/>
              <w:bottom w:val="single" w:sz="4" w:space="0" w:color="auto"/>
            </w:tcBorders>
          </w:tcPr>
          <w:p w:rsidR="00627B62" w:rsidRPr="003F3AE8" w:rsidRDefault="00231422" w:rsidP="00B46507">
            <w:pPr>
              <w:widowControl w:val="0"/>
              <w:spacing w:before="100" w:after="100"/>
              <w:jc w:val="center"/>
              <w:rPr>
                <w:sz w:val="22"/>
                <w:szCs w:val="22"/>
              </w:rPr>
            </w:pPr>
            <w:r w:rsidRPr="003F3AE8">
              <w:rPr>
                <w:sz w:val="22"/>
                <w:szCs w:val="22"/>
              </w:rPr>
              <w:t>Rest of Christchurch</w:t>
            </w:r>
          </w:p>
        </w:tc>
      </w:tr>
      <w:tr w:rsidR="00627B62" w:rsidTr="00B46507">
        <w:tc>
          <w:tcPr>
            <w:tcW w:w="4928" w:type="dxa"/>
          </w:tcPr>
          <w:p w:rsidR="00627B62" w:rsidRPr="003F3AE8" w:rsidRDefault="007917FD" w:rsidP="00B46507">
            <w:pPr>
              <w:widowControl w:val="0"/>
              <w:spacing w:before="100"/>
              <w:rPr>
                <w:sz w:val="22"/>
                <w:szCs w:val="22"/>
              </w:rPr>
            </w:pPr>
            <w:r w:rsidRPr="003F3AE8">
              <w:rPr>
                <w:sz w:val="22"/>
                <w:szCs w:val="22"/>
              </w:rPr>
              <w:t>Median household income (in 1995 prices)</w:t>
            </w:r>
          </w:p>
        </w:tc>
        <w:tc>
          <w:tcPr>
            <w:tcW w:w="2286" w:type="dxa"/>
          </w:tcPr>
          <w:p w:rsidR="00627B62" w:rsidRPr="003F3AE8" w:rsidRDefault="007917FD" w:rsidP="00B46507">
            <w:pPr>
              <w:widowControl w:val="0"/>
              <w:tabs>
                <w:tab w:val="decimal" w:pos="1006"/>
              </w:tabs>
              <w:spacing w:before="100"/>
              <w:ind w:right="680"/>
              <w:jc w:val="right"/>
              <w:rPr>
                <w:sz w:val="22"/>
                <w:szCs w:val="22"/>
              </w:rPr>
            </w:pPr>
            <w:r w:rsidRPr="003F3AE8">
              <w:rPr>
                <w:sz w:val="22"/>
                <w:szCs w:val="22"/>
              </w:rPr>
              <w:t>$50,530</w:t>
            </w:r>
          </w:p>
        </w:tc>
        <w:tc>
          <w:tcPr>
            <w:tcW w:w="2395" w:type="dxa"/>
            <w:gridSpan w:val="2"/>
          </w:tcPr>
          <w:p w:rsidR="00627B62" w:rsidRDefault="007917FD" w:rsidP="00B46507">
            <w:pPr>
              <w:widowControl w:val="0"/>
              <w:spacing w:before="100"/>
              <w:ind w:right="680"/>
              <w:jc w:val="right"/>
              <w:rPr>
                <w:sz w:val="22"/>
                <w:szCs w:val="22"/>
              </w:rPr>
            </w:pPr>
            <w:r w:rsidRPr="003F3AE8">
              <w:rPr>
                <w:sz w:val="22"/>
                <w:szCs w:val="22"/>
              </w:rPr>
              <w:t>$42,510</w:t>
            </w:r>
          </w:p>
          <w:p w:rsidR="00B46507" w:rsidRPr="003F3AE8" w:rsidRDefault="00B46507" w:rsidP="00B46507">
            <w:pPr>
              <w:widowControl w:val="0"/>
              <w:spacing w:before="100"/>
              <w:ind w:right="680"/>
              <w:jc w:val="right"/>
              <w:rPr>
                <w:sz w:val="22"/>
                <w:szCs w:val="22"/>
              </w:rPr>
            </w:pPr>
          </w:p>
        </w:tc>
      </w:tr>
      <w:tr w:rsidR="00627B62" w:rsidTr="00B46507">
        <w:tc>
          <w:tcPr>
            <w:tcW w:w="4928" w:type="dxa"/>
          </w:tcPr>
          <w:p w:rsidR="00627B62" w:rsidRPr="003F3AE8" w:rsidRDefault="007917FD" w:rsidP="003F3AE8">
            <w:pPr>
              <w:widowControl w:val="0"/>
              <w:rPr>
                <w:sz w:val="22"/>
                <w:szCs w:val="22"/>
              </w:rPr>
            </w:pPr>
            <w:r w:rsidRPr="003F3AE8">
              <w:rPr>
                <w:sz w:val="22"/>
                <w:szCs w:val="22"/>
              </w:rPr>
              <w:t>Average sales price of houses</w:t>
            </w:r>
            <w:r w:rsidR="00231422" w:rsidRPr="003F3AE8">
              <w:rPr>
                <w:sz w:val="22"/>
                <w:szCs w:val="22"/>
              </w:rPr>
              <w:t xml:space="preserve"> (2004-05)</w:t>
            </w:r>
          </w:p>
        </w:tc>
        <w:tc>
          <w:tcPr>
            <w:tcW w:w="2286" w:type="dxa"/>
          </w:tcPr>
          <w:p w:rsidR="00627B62" w:rsidRPr="003F3AE8" w:rsidRDefault="00CD29DC" w:rsidP="00426185">
            <w:pPr>
              <w:widowControl w:val="0"/>
              <w:tabs>
                <w:tab w:val="decimal" w:pos="1006"/>
              </w:tabs>
              <w:ind w:right="680"/>
              <w:jc w:val="right"/>
              <w:rPr>
                <w:sz w:val="22"/>
                <w:szCs w:val="22"/>
              </w:rPr>
            </w:pPr>
            <w:r w:rsidRPr="003F3AE8">
              <w:rPr>
                <w:sz w:val="22"/>
                <w:szCs w:val="22"/>
              </w:rPr>
              <w:t>$456,940</w:t>
            </w:r>
          </w:p>
        </w:tc>
        <w:tc>
          <w:tcPr>
            <w:tcW w:w="2395" w:type="dxa"/>
            <w:gridSpan w:val="2"/>
          </w:tcPr>
          <w:p w:rsidR="00627B62" w:rsidRDefault="00CD29DC" w:rsidP="003F3AE8">
            <w:pPr>
              <w:widowControl w:val="0"/>
              <w:ind w:right="680"/>
              <w:jc w:val="right"/>
              <w:rPr>
                <w:sz w:val="22"/>
                <w:szCs w:val="22"/>
              </w:rPr>
            </w:pPr>
            <w:r w:rsidRPr="003F3AE8">
              <w:rPr>
                <w:sz w:val="22"/>
                <w:szCs w:val="22"/>
              </w:rPr>
              <w:t>$291,820</w:t>
            </w:r>
          </w:p>
          <w:p w:rsidR="00B46507" w:rsidRPr="003F3AE8" w:rsidRDefault="00B46507" w:rsidP="003F3AE8">
            <w:pPr>
              <w:widowControl w:val="0"/>
              <w:ind w:right="680"/>
              <w:jc w:val="right"/>
              <w:rPr>
                <w:sz w:val="22"/>
                <w:szCs w:val="22"/>
              </w:rPr>
            </w:pPr>
          </w:p>
        </w:tc>
      </w:tr>
      <w:tr w:rsidR="00627B62" w:rsidTr="00B46507">
        <w:tc>
          <w:tcPr>
            <w:tcW w:w="4928" w:type="dxa"/>
          </w:tcPr>
          <w:p w:rsidR="00627B62" w:rsidRPr="003F3AE8" w:rsidRDefault="00B46507" w:rsidP="003F3AE8">
            <w:pPr>
              <w:widowControl w:val="0"/>
              <w:rPr>
                <w:sz w:val="22"/>
                <w:szCs w:val="22"/>
              </w:rPr>
            </w:pPr>
            <w:r>
              <w:rPr>
                <w:sz w:val="22"/>
                <w:szCs w:val="22"/>
              </w:rPr>
              <w:t xml:space="preserve">Percent </w:t>
            </w:r>
            <w:r w:rsidR="007917FD" w:rsidRPr="003F3AE8">
              <w:rPr>
                <w:sz w:val="22"/>
                <w:szCs w:val="22"/>
              </w:rPr>
              <w:t>with degree or higher qualification</w:t>
            </w:r>
            <w:r w:rsidR="00231422" w:rsidRPr="003F3AE8">
              <w:rPr>
                <w:sz w:val="22"/>
                <w:szCs w:val="22"/>
              </w:rPr>
              <w:t xml:space="preserve"> (age 15+)</w:t>
            </w:r>
          </w:p>
        </w:tc>
        <w:tc>
          <w:tcPr>
            <w:tcW w:w="2286" w:type="dxa"/>
          </w:tcPr>
          <w:p w:rsidR="00627B62" w:rsidRPr="003F3AE8" w:rsidRDefault="00231422" w:rsidP="00426185">
            <w:pPr>
              <w:widowControl w:val="0"/>
              <w:tabs>
                <w:tab w:val="decimal" w:pos="1006"/>
              </w:tabs>
              <w:ind w:right="680"/>
              <w:jc w:val="right"/>
              <w:rPr>
                <w:sz w:val="22"/>
                <w:szCs w:val="22"/>
              </w:rPr>
            </w:pPr>
            <w:r w:rsidRPr="003F3AE8">
              <w:rPr>
                <w:sz w:val="22"/>
                <w:szCs w:val="22"/>
              </w:rPr>
              <w:t>19.1%</w:t>
            </w:r>
          </w:p>
        </w:tc>
        <w:tc>
          <w:tcPr>
            <w:tcW w:w="2395" w:type="dxa"/>
            <w:gridSpan w:val="2"/>
          </w:tcPr>
          <w:p w:rsidR="00627B62" w:rsidRDefault="00231422" w:rsidP="003F3AE8">
            <w:pPr>
              <w:widowControl w:val="0"/>
              <w:ind w:right="680"/>
              <w:jc w:val="right"/>
              <w:rPr>
                <w:sz w:val="22"/>
                <w:szCs w:val="22"/>
              </w:rPr>
            </w:pPr>
            <w:r w:rsidRPr="003F3AE8">
              <w:rPr>
                <w:sz w:val="22"/>
                <w:szCs w:val="22"/>
              </w:rPr>
              <w:t>11.1%</w:t>
            </w:r>
          </w:p>
          <w:p w:rsidR="00B46507" w:rsidRPr="003F3AE8" w:rsidRDefault="00B46507" w:rsidP="003F3AE8">
            <w:pPr>
              <w:widowControl w:val="0"/>
              <w:ind w:right="680"/>
              <w:jc w:val="right"/>
              <w:rPr>
                <w:sz w:val="22"/>
                <w:szCs w:val="22"/>
              </w:rPr>
            </w:pPr>
          </w:p>
        </w:tc>
      </w:tr>
      <w:tr w:rsidR="00627B62" w:rsidTr="00B46507">
        <w:tc>
          <w:tcPr>
            <w:tcW w:w="4928" w:type="dxa"/>
            <w:tcBorders>
              <w:bottom w:val="single" w:sz="4" w:space="0" w:color="auto"/>
            </w:tcBorders>
          </w:tcPr>
          <w:p w:rsidR="00627B62" w:rsidRPr="003F3AE8" w:rsidRDefault="00B46507" w:rsidP="00B46507">
            <w:pPr>
              <w:widowControl w:val="0"/>
              <w:spacing w:after="80"/>
              <w:rPr>
                <w:sz w:val="22"/>
                <w:szCs w:val="22"/>
              </w:rPr>
            </w:pPr>
            <w:r>
              <w:rPr>
                <w:sz w:val="22"/>
                <w:szCs w:val="22"/>
              </w:rPr>
              <w:t xml:space="preserve">Percent </w:t>
            </w:r>
            <w:r w:rsidR="007917FD" w:rsidRPr="003F3AE8">
              <w:rPr>
                <w:sz w:val="22"/>
                <w:szCs w:val="22"/>
              </w:rPr>
              <w:t>with no educational qualifications</w:t>
            </w:r>
            <w:r w:rsidR="00231422" w:rsidRPr="003F3AE8">
              <w:rPr>
                <w:sz w:val="22"/>
                <w:szCs w:val="22"/>
              </w:rPr>
              <w:t xml:space="preserve"> (age 15+)</w:t>
            </w:r>
          </w:p>
        </w:tc>
        <w:tc>
          <w:tcPr>
            <w:tcW w:w="2286" w:type="dxa"/>
            <w:tcBorders>
              <w:bottom w:val="single" w:sz="4" w:space="0" w:color="auto"/>
            </w:tcBorders>
          </w:tcPr>
          <w:p w:rsidR="00627B62" w:rsidRPr="003F3AE8" w:rsidRDefault="00231422" w:rsidP="00B46507">
            <w:pPr>
              <w:widowControl w:val="0"/>
              <w:tabs>
                <w:tab w:val="decimal" w:pos="1006"/>
              </w:tabs>
              <w:spacing w:after="80"/>
              <w:ind w:right="680"/>
              <w:jc w:val="right"/>
              <w:rPr>
                <w:sz w:val="22"/>
                <w:szCs w:val="22"/>
              </w:rPr>
            </w:pPr>
            <w:r w:rsidRPr="003F3AE8">
              <w:rPr>
                <w:sz w:val="22"/>
                <w:szCs w:val="22"/>
              </w:rPr>
              <w:t>13.6%</w:t>
            </w:r>
          </w:p>
        </w:tc>
        <w:tc>
          <w:tcPr>
            <w:tcW w:w="2395" w:type="dxa"/>
            <w:gridSpan w:val="2"/>
            <w:tcBorders>
              <w:bottom w:val="single" w:sz="4" w:space="0" w:color="auto"/>
            </w:tcBorders>
          </w:tcPr>
          <w:p w:rsidR="00627B62" w:rsidRPr="003F3AE8" w:rsidRDefault="00231422" w:rsidP="00B46507">
            <w:pPr>
              <w:widowControl w:val="0"/>
              <w:spacing w:after="80"/>
              <w:ind w:right="680"/>
              <w:jc w:val="right"/>
              <w:rPr>
                <w:sz w:val="22"/>
                <w:szCs w:val="22"/>
              </w:rPr>
            </w:pPr>
            <w:r w:rsidRPr="003F3AE8">
              <w:rPr>
                <w:sz w:val="22"/>
                <w:szCs w:val="22"/>
              </w:rPr>
              <w:t>23.3%</w:t>
            </w:r>
          </w:p>
        </w:tc>
      </w:tr>
      <w:tr w:rsidR="00231422" w:rsidRPr="00231422" w:rsidTr="00231422">
        <w:trPr>
          <w:gridAfter w:val="1"/>
          <w:wAfter w:w="33" w:type="dxa"/>
        </w:trPr>
        <w:tc>
          <w:tcPr>
            <w:tcW w:w="9576" w:type="dxa"/>
            <w:gridSpan w:val="3"/>
            <w:tcBorders>
              <w:top w:val="single" w:sz="4" w:space="0" w:color="auto"/>
            </w:tcBorders>
          </w:tcPr>
          <w:p w:rsidR="00426185" w:rsidRDefault="00231422" w:rsidP="00B46507">
            <w:pPr>
              <w:widowControl w:val="0"/>
              <w:spacing w:before="100"/>
              <w:jc w:val="both"/>
              <w:rPr>
                <w:sz w:val="20"/>
              </w:rPr>
            </w:pPr>
            <w:r>
              <w:rPr>
                <w:i/>
                <w:sz w:val="20"/>
              </w:rPr>
              <w:t>Note</w:t>
            </w:r>
            <w:r w:rsidR="001B4EE8">
              <w:rPr>
                <w:i/>
                <w:sz w:val="20"/>
              </w:rPr>
              <w:t>s</w:t>
            </w:r>
            <w:r>
              <w:rPr>
                <w:sz w:val="20"/>
              </w:rPr>
              <w:t xml:space="preserve"> </w:t>
            </w:r>
          </w:p>
          <w:p w:rsidR="00231422" w:rsidRPr="00231422" w:rsidRDefault="002D4252" w:rsidP="00B46507">
            <w:pPr>
              <w:widowControl w:val="0"/>
              <w:jc w:val="both"/>
              <w:rPr>
                <w:sz w:val="20"/>
              </w:rPr>
            </w:pPr>
            <w:r>
              <w:rPr>
                <w:sz w:val="20"/>
              </w:rPr>
              <w:t xml:space="preserve">Based on author’s calculation using the model in column (4) of Appendix Table 1 to create counterfactual house prices </w:t>
            </w:r>
            <w:r w:rsidR="00F72909">
              <w:rPr>
                <w:sz w:val="20"/>
              </w:rPr>
              <w:t xml:space="preserve">(assuming </w:t>
            </w:r>
            <w:r w:rsidR="00070806">
              <w:rPr>
                <w:sz w:val="20"/>
              </w:rPr>
              <w:t xml:space="preserve">no </w:t>
            </w:r>
            <w:r>
              <w:rPr>
                <w:sz w:val="20"/>
              </w:rPr>
              <w:t>school a</w:t>
            </w:r>
            <w:r w:rsidR="00F72909">
              <w:rPr>
                <w:sz w:val="20"/>
              </w:rPr>
              <w:t xml:space="preserve">ttendance boundaries) which </w:t>
            </w:r>
            <w:r>
              <w:rPr>
                <w:sz w:val="20"/>
              </w:rPr>
              <w:t xml:space="preserve">are regressed on dummy variables </w:t>
            </w:r>
            <w:r w:rsidR="00F72909">
              <w:rPr>
                <w:sz w:val="20"/>
              </w:rPr>
              <w:t xml:space="preserve">to identify </w:t>
            </w:r>
            <w:r>
              <w:rPr>
                <w:sz w:val="20"/>
              </w:rPr>
              <w:t>zones</w:t>
            </w:r>
            <w:r w:rsidR="00F72909">
              <w:rPr>
                <w:sz w:val="20"/>
              </w:rPr>
              <w:t xml:space="preserve"> with the largest price falls</w:t>
            </w:r>
            <w:r>
              <w:rPr>
                <w:sz w:val="20"/>
              </w:rPr>
              <w:t>. The characteristics are calculated from meshblock averages from the 2006 Census.</w:t>
            </w:r>
          </w:p>
        </w:tc>
      </w:tr>
    </w:tbl>
    <w:p w:rsidR="00B46507" w:rsidRPr="00546AE2" w:rsidRDefault="00B46507" w:rsidP="00B441BB">
      <w:pPr>
        <w:widowControl w:val="0"/>
        <w:spacing w:line="288" w:lineRule="auto"/>
        <w:rPr>
          <w:sz w:val="28"/>
          <w:szCs w:val="28"/>
        </w:rPr>
      </w:pPr>
    </w:p>
    <w:p w:rsidR="0013509A" w:rsidRDefault="0013509A" w:rsidP="00426185">
      <w:pPr>
        <w:widowControl w:val="0"/>
        <w:tabs>
          <w:tab w:val="left" w:pos="426"/>
        </w:tabs>
        <w:spacing w:line="288" w:lineRule="auto"/>
        <w:jc w:val="both"/>
        <w:rPr>
          <w:b/>
        </w:rPr>
      </w:pPr>
      <w:r w:rsidRPr="0013509A">
        <w:rPr>
          <w:b/>
        </w:rPr>
        <w:t>V</w:t>
      </w:r>
      <w:r w:rsidR="00715F7E">
        <w:rPr>
          <w:b/>
        </w:rPr>
        <w:t>I</w:t>
      </w:r>
      <w:r w:rsidRPr="0013509A">
        <w:rPr>
          <w:b/>
        </w:rPr>
        <w:t>.</w:t>
      </w:r>
      <w:r w:rsidRPr="0013509A">
        <w:rPr>
          <w:b/>
        </w:rPr>
        <w:tab/>
        <w:t>Conclusions</w:t>
      </w:r>
    </w:p>
    <w:p w:rsidR="00B441BB" w:rsidRPr="00B441BB" w:rsidRDefault="00B441BB" w:rsidP="00B441BB">
      <w:pPr>
        <w:widowControl w:val="0"/>
        <w:spacing w:line="288" w:lineRule="auto"/>
        <w:jc w:val="both"/>
        <w:rPr>
          <w:b/>
          <w:sz w:val="12"/>
          <w:szCs w:val="12"/>
        </w:rPr>
      </w:pPr>
    </w:p>
    <w:p w:rsidR="00B441BB" w:rsidRDefault="00EE7088" w:rsidP="00B441BB">
      <w:pPr>
        <w:widowControl w:val="0"/>
        <w:spacing w:line="288" w:lineRule="auto"/>
        <w:jc w:val="both"/>
        <w:rPr>
          <w:lang w:val="en-NZ"/>
        </w:rPr>
      </w:pPr>
      <w:r>
        <w:t>The effect of school performance on house prices in Christchurch, New Zealand has been examined i</w:t>
      </w:r>
      <w:r w:rsidR="00F76075">
        <w:t>n this study</w:t>
      </w:r>
      <w:r>
        <w:t xml:space="preserve">. A standard deviation increase in performance, as measured by pass rates in NCEA examinations, </w:t>
      </w:r>
      <w:r w:rsidR="00070806">
        <w:t xml:space="preserve">raises </w:t>
      </w:r>
      <w:r>
        <w:t xml:space="preserve">house prices </w:t>
      </w:r>
      <w:r w:rsidR="00070806">
        <w:t xml:space="preserve">by </w:t>
      </w:r>
      <w:r>
        <w:t xml:space="preserve">6.4%, all else the same. </w:t>
      </w:r>
      <w:r w:rsidR="00070806" w:rsidRPr="00070806">
        <w:t xml:space="preserve">This is a larger response </w:t>
      </w:r>
      <w:r w:rsidR="00070806">
        <w:t xml:space="preserve">than </w:t>
      </w:r>
      <w:r w:rsidR="007A2865">
        <w:t>is typical</w:t>
      </w:r>
      <w:r w:rsidR="00070806">
        <w:t xml:space="preserve"> </w:t>
      </w:r>
      <w:r w:rsidR="007A2865">
        <w:t xml:space="preserve">of </w:t>
      </w:r>
      <w:r w:rsidR="00070806">
        <w:t xml:space="preserve">other countries, perhaps due to special features of schools in New Zealand such as their ability to set their own attendance boundaries and the absence of locally-funded schools that </w:t>
      </w:r>
      <w:r w:rsidR="007A2865">
        <w:t xml:space="preserve">aid </w:t>
      </w:r>
      <w:r w:rsidR="00070806">
        <w:t xml:space="preserve">sorting across communities. Hence, the property market becomes the main schooling selection mechanism for </w:t>
      </w:r>
      <w:r w:rsidR="007A2865">
        <w:t xml:space="preserve">New Zealand </w:t>
      </w:r>
      <w:r w:rsidR="00070806">
        <w:t>parents who are ambitious for their children.</w:t>
      </w:r>
      <w:r w:rsidR="007A2865">
        <w:t xml:space="preserve"> Even though schools</w:t>
      </w:r>
      <w:r>
        <w:rPr>
          <w:lang w:val="en-NZ"/>
        </w:rPr>
        <w:t xml:space="preserve"> </w:t>
      </w:r>
      <w:r w:rsidRPr="00EE7088">
        <w:rPr>
          <w:lang w:val="en-NZ"/>
        </w:rPr>
        <w:t xml:space="preserve">may </w:t>
      </w:r>
      <w:r w:rsidR="00070806">
        <w:rPr>
          <w:lang w:val="en-NZ"/>
        </w:rPr>
        <w:t xml:space="preserve">nominally </w:t>
      </w:r>
      <w:r w:rsidR="007A2865">
        <w:rPr>
          <w:lang w:val="en-NZ"/>
        </w:rPr>
        <w:t xml:space="preserve">be </w:t>
      </w:r>
      <w:r w:rsidRPr="00EE7088">
        <w:rPr>
          <w:lang w:val="en-NZ"/>
        </w:rPr>
        <w:t>‘free’</w:t>
      </w:r>
      <w:r w:rsidR="007A2865">
        <w:rPr>
          <w:lang w:val="en-NZ"/>
        </w:rPr>
        <w:t>,</w:t>
      </w:r>
      <w:r w:rsidRPr="00EE7088">
        <w:rPr>
          <w:lang w:val="en-NZ"/>
        </w:rPr>
        <w:t xml:space="preserve"> </w:t>
      </w:r>
      <w:r>
        <w:rPr>
          <w:lang w:val="en-NZ"/>
        </w:rPr>
        <w:t xml:space="preserve">students from </w:t>
      </w:r>
      <w:r w:rsidRPr="00EE7088">
        <w:rPr>
          <w:lang w:val="en-NZ"/>
        </w:rPr>
        <w:t xml:space="preserve">poorer households face </w:t>
      </w:r>
      <w:r w:rsidR="00070806">
        <w:rPr>
          <w:lang w:val="en-NZ"/>
        </w:rPr>
        <w:t xml:space="preserve">more restricted </w:t>
      </w:r>
      <w:r>
        <w:rPr>
          <w:lang w:val="en-NZ"/>
        </w:rPr>
        <w:t>schooling opportunities</w:t>
      </w:r>
      <w:r w:rsidR="007A2865">
        <w:rPr>
          <w:lang w:val="en-NZ"/>
        </w:rPr>
        <w:t xml:space="preserve"> than do wealthier students</w:t>
      </w:r>
      <w:r>
        <w:rPr>
          <w:lang w:val="en-NZ"/>
        </w:rPr>
        <w:t xml:space="preserve">, being constrained </w:t>
      </w:r>
      <w:r w:rsidRPr="00EE7088">
        <w:rPr>
          <w:lang w:val="en-NZ"/>
        </w:rPr>
        <w:t xml:space="preserve">through the </w:t>
      </w:r>
      <w:r>
        <w:rPr>
          <w:lang w:val="en-NZ"/>
        </w:rPr>
        <w:t xml:space="preserve">housing </w:t>
      </w:r>
      <w:r w:rsidRPr="00EE7088">
        <w:rPr>
          <w:lang w:val="en-NZ"/>
        </w:rPr>
        <w:t>market</w:t>
      </w:r>
      <w:r w:rsidR="007A2865">
        <w:rPr>
          <w:lang w:val="en-NZ"/>
        </w:rPr>
        <w:t>.</w:t>
      </w:r>
      <w:r w:rsidR="007A2865">
        <w:rPr>
          <w:lang w:val="en-NZ"/>
        </w:rPr>
        <w:tab/>
      </w:r>
    </w:p>
    <w:p w:rsidR="00EE7088" w:rsidRPr="00546AE2" w:rsidRDefault="00EE7088" w:rsidP="00B441BB">
      <w:pPr>
        <w:widowControl w:val="0"/>
        <w:spacing w:line="288" w:lineRule="auto"/>
        <w:jc w:val="both"/>
        <w:rPr>
          <w:sz w:val="20"/>
          <w:szCs w:val="20"/>
        </w:rPr>
      </w:pPr>
      <w:r>
        <w:rPr>
          <w:lang w:val="en-NZ"/>
        </w:rPr>
        <w:t xml:space="preserve"> </w:t>
      </w:r>
    </w:p>
    <w:p w:rsidR="0099269C" w:rsidRDefault="007A2865" w:rsidP="00627E42">
      <w:pPr>
        <w:widowControl w:val="0"/>
        <w:tabs>
          <w:tab w:val="left" w:pos="426"/>
        </w:tabs>
        <w:spacing w:line="288" w:lineRule="auto"/>
        <w:jc w:val="both"/>
        <w:rPr>
          <w:b/>
          <w:bCs/>
        </w:rPr>
      </w:pPr>
      <w:r>
        <w:tab/>
        <w:t>Almost two decades have passed since New Zealand’s brief experiment with relaxing school attendance boundaries in the 1990s. The frequency of reselling houses makes it likely that most home-owners have paid a price for their dwelling that includes the expected value of access (or exclusion) from particular schools. Consequently there will be windfall gains and losses if future policy reform allows a weakening of attendance boundaries and an opening up of school enrolments. Nevertheless, the wide variation in school performance and the contribution of attendance boundaries to reducing social mobility suggests even difficult reform is worthwhile.</w:t>
      </w:r>
      <w:r w:rsidR="0099269C" w:rsidRPr="0099269C">
        <w:rPr>
          <w:b/>
          <w:bCs/>
        </w:rPr>
        <w:t xml:space="preserve"> </w:t>
      </w:r>
    </w:p>
    <w:p w:rsidR="0099269C" w:rsidRDefault="0099269C" w:rsidP="0099269C">
      <w:pPr>
        <w:widowControl w:val="0"/>
        <w:spacing w:line="288" w:lineRule="auto"/>
        <w:jc w:val="both"/>
        <w:rPr>
          <w:b/>
          <w:bCs/>
        </w:rPr>
      </w:pPr>
      <w:r w:rsidRPr="00232F90">
        <w:rPr>
          <w:b/>
          <w:bCs/>
        </w:rPr>
        <w:lastRenderedPageBreak/>
        <w:t>References</w:t>
      </w:r>
    </w:p>
    <w:p w:rsidR="003803CF" w:rsidRPr="003803CF" w:rsidRDefault="003803CF" w:rsidP="0099269C">
      <w:pPr>
        <w:widowControl w:val="0"/>
        <w:spacing w:line="288" w:lineRule="auto"/>
        <w:jc w:val="both"/>
        <w:rPr>
          <w:b/>
          <w:bCs/>
          <w:sz w:val="12"/>
          <w:szCs w:val="12"/>
        </w:rPr>
      </w:pPr>
    </w:p>
    <w:p w:rsidR="0099269C" w:rsidRPr="00B441BB" w:rsidRDefault="0099269C" w:rsidP="0099269C">
      <w:pPr>
        <w:spacing w:after="140"/>
        <w:ind w:left="426" w:hanging="426"/>
        <w:jc w:val="both"/>
        <w:rPr>
          <w:rFonts w:eastAsia="Times New Roman"/>
          <w:sz w:val="22"/>
          <w:szCs w:val="22"/>
          <w:lang w:eastAsia="en-US" w:bidi="he-IL"/>
        </w:rPr>
      </w:pPr>
      <w:r w:rsidRPr="00B441BB">
        <w:rPr>
          <w:rFonts w:eastAsia="Times New Roman"/>
          <w:sz w:val="22"/>
          <w:szCs w:val="22"/>
          <w:lang w:eastAsia="en-US" w:bidi="he-IL"/>
        </w:rPr>
        <w:t>Adams, M. (2009) </w:t>
      </w:r>
      <w:r>
        <w:rPr>
          <w:rFonts w:eastAsia="Times New Roman"/>
          <w:sz w:val="22"/>
          <w:szCs w:val="22"/>
          <w:lang w:eastAsia="en-US" w:bidi="he-IL"/>
        </w:rPr>
        <w:t>'</w:t>
      </w:r>
      <w:r w:rsidRPr="00B441BB">
        <w:rPr>
          <w:rFonts w:eastAsia="Times New Roman"/>
          <w:iCs/>
          <w:sz w:val="22"/>
          <w:szCs w:val="22"/>
          <w:lang w:eastAsia="en-US" w:bidi="he-IL"/>
        </w:rPr>
        <w:t>Tomorrow’s Schools today: New Zealand’s experiment 20 years on</w:t>
      </w:r>
      <w:r>
        <w:rPr>
          <w:rFonts w:eastAsia="Times New Roman"/>
          <w:iCs/>
          <w:sz w:val="22"/>
          <w:szCs w:val="22"/>
          <w:lang w:eastAsia="en-US" w:bidi="he-IL"/>
        </w:rPr>
        <w:t>'</w:t>
      </w:r>
      <w:r w:rsidRPr="00B441BB">
        <w:rPr>
          <w:rFonts w:eastAsia="Times New Roman"/>
          <w:sz w:val="22"/>
          <w:szCs w:val="22"/>
          <w:lang w:eastAsia="en-US" w:bidi="he-IL"/>
        </w:rPr>
        <w:t> </w:t>
      </w:r>
      <w:r w:rsidRPr="00B441BB">
        <w:rPr>
          <w:rFonts w:eastAsia="Times New Roman"/>
          <w:i/>
          <w:sz w:val="22"/>
          <w:szCs w:val="22"/>
          <w:lang w:eastAsia="en-US" w:bidi="he-IL"/>
        </w:rPr>
        <w:t>Working Paper</w:t>
      </w:r>
      <w:r w:rsidRPr="00B441BB">
        <w:rPr>
          <w:rFonts w:eastAsia="Times New Roman"/>
          <w:sz w:val="22"/>
          <w:szCs w:val="22"/>
          <w:lang w:eastAsia="en-US" w:bidi="he-IL"/>
        </w:rPr>
        <w:t xml:space="preserve"> No. 09-01, </w:t>
      </w:r>
      <w:proofErr w:type="spellStart"/>
      <w:r w:rsidRPr="00B441BB">
        <w:rPr>
          <w:rFonts w:eastAsia="Times New Roman"/>
          <w:sz w:val="22"/>
          <w:szCs w:val="22"/>
          <w:lang w:eastAsia="en-US" w:bidi="he-IL"/>
        </w:rPr>
        <w:t>Mercatus</w:t>
      </w:r>
      <w:proofErr w:type="spellEnd"/>
      <w:r w:rsidRPr="00B441BB">
        <w:rPr>
          <w:rFonts w:eastAsia="Times New Roman"/>
          <w:sz w:val="22"/>
          <w:szCs w:val="22"/>
          <w:lang w:eastAsia="en-US" w:bidi="he-IL"/>
        </w:rPr>
        <w:t xml:space="preserve"> Center, George Mason University.</w:t>
      </w:r>
    </w:p>
    <w:p w:rsidR="0099269C" w:rsidRPr="00B441BB" w:rsidRDefault="0099269C" w:rsidP="0099269C">
      <w:pPr>
        <w:spacing w:after="140"/>
        <w:ind w:left="426" w:hanging="426"/>
        <w:jc w:val="both"/>
        <w:rPr>
          <w:rFonts w:eastAsia="Times New Roman"/>
          <w:sz w:val="22"/>
          <w:szCs w:val="22"/>
          <w:lang w:eastAsia="en-US" w:bidi="he-IL"/>
        </w:rPr>
      </w:pPr>
      <w:proofErr w:type="spellStart"/>
      <w:r w:rsidRPr="00B441BB">
        <w:rPr>
          <w:rFonts w:eastAsia="Times New Roman"/>
          <w:sz w:val="22"/>
          <w:szCs w:val="22"/>
          <w:lang w:eastAsia="en-US" w:bidi="he-IL"/>
        </w:rPr>
        <w:t>Anselin</w:t>
      </w:r>
      <w:proofErr w:type="spellEnd"/>
      <w:r w:rsidRPr="00B441BB">
        <w:rPr>
          <w:rFonts w:eastAsia="Times New Roman"/>
          <w:sz w:val="22"/>
          <w:szCs w:val="22"/>
          <w:lang w:eastAsia="en-US" w:bidi="he-IL"/>
        </w:rPr>
        <w:t xml:space="preserve">, L. (1988) </w:t>
      </w:r>
      <w:r w:rsidRPr="00B441BB">
        <w:rPr>
          <w:rFonts w:eastAsia="Times New Roman"/>
          <w:i/>
          <w:sz w:val="22"/>
          <w:szCs w:val="22"/>
          <w:lang w:eastAsia="en-US" w:bidi="he-IL"/>
        </w:rPr>
        <w:t>Spatial Econometrics: Methods and Models</w:t>
      </w:r>
      <w:r w:rsidRPr="00B441BB">
        <w:rPr>
          <w:rFonts w:eastAsia="Times New Roman"/>
          <w:sz w:val="22"/>
          <w:szCs w:val="22"/>
          <w:lang w:eastAsia="en-US" w:bidi="he-IL"/>
        </w:rPr>
        <w:t xml:space="preserve"> Dordrecht: Kluwer Academic Publishers.</w:t>
      </w:r>
    </w:p>
    <w:p w:rsidR="0099269C" w:rsidRPr="00B441BB" w:rsidRDefault="0099269C" w:rsidP="0099269C">
      <w:pPr>
        <w:spacing w:after="140"/>
        <w:ind w:left="426" w:hanging="426"/>
        <w:jc w:val="both"/>
        <w:rPr>
          <w:rFonts w:eastAsia="Times New Roman"/>
          <w:sz w:val="22"/>
          <w:szCs w:val="22"/>
          <w:lang w:val="en-NZ" w:eastAsia="en-US" w:bidi="he-IL"/>
        </w:rPr>
      </w:pPr>
      <w:proofErr w:type="spellStart"/>
      <w:r w:rsidRPr="00B441BB">
        <w:rPr>
          <w:rFonts w:eastAsia="Times New Roman"/>
          <w:sz w:val="22"/>
          <w:szCs w:val="22"/>
          <w:lang w:val="en-NZ" w:eastAsia="en-US" w:bidi="he-IL"/>
        </w:rPr>
        <w:t>Beaven</w:t>
      </w:r>
      <w:proofErr w:type="spellEnd"/>
      <w:r w:rsidRPr="00B441BB">
        <w:rPr>
          <w:rFonts w:eastAsia="Times New Roman"/>
          <w:sz w:val="22"/>
          <w:szCs w:val="22"/>
          <w:lang w:val="en-NZ" w:eastAsia="en-US" w:bidi="he-IL"/>
        </w:rPr>
        <w:t xml:space="preserve">, C. (2003) </w:t>
      </w:r>
      <w:r>
        <w:rPr>
          <w:rFonts w:eastAsia="Times New Roman"/>
          <w:sz w:val="22"/>
          <w:szCs w:val="22"/>
          <w:lang w:val="en-NZ" w:eastAsia="en-US" w:bidi="he-IL"/>
        </w:rPr>
        <w:t>'</w:t>
      </w:r>
      <w:r w:rsidRPr="00B441BB">
        <w:rPr>
          <w:rFonts w:eastAsia="Times New Roman"/>
          <w:sz w:val="22"/>
          <w:szCs w:val="22"/>
          <w:lang w:val="en-NZ" w:eastAsia="en-US" w:bidi="he-IL"/>
        </w:rPr>
        <w:t>Parental choice or school choice: Who benefits from the removal of zoning?</w:t>
      </w:r>
      <w:r>
        <w:rPr>
          <w:rFonts w:eastAsia="Times New Roman"/>
          <w:sz w:val="22"/>
          <w:szCs w:val="22"/>
          <w:lang w:val="en-NZ" w:eastAsia="en-US" w:bidi="he-IL"/>
        </w:rPr>
        <w:t>'</w:t>
      </w:r>
      <w:r w:rsidRPr="00B441BB">
        <w:rPr>
          <w:rFonts w:eastAsia="Times New Roman"/>
          <w:sz w:val="22"/>
          <w:szCs w:val="22"/>
          <w:lang w:val="en-NZ" w:eastAsia="en-US" w:bidi="he-IL"/>
        </w:rPr>
        <w:t xml:space="preserve"> </w:t>
      </w:r>
      <w:r w:rsidRPr="00B441BB">
        <w:rPr>
          <w:rFonts w:eastAsia="Times New Roman"/>
          <w:i/>
          <w:iCs/>
          <w:sz w:val="22"/>
          <w:szCs w:val="22"/>
          <w:lang w:val="en-NZ" w:eastAsia="en-US" w:bidi="he-IL"/>
        </w:rPr>
        <w:t xml:space="preserve">New Zealand Annual Review of Education </w:t>
      </w:r>
      <w:r w:rsidRPr="00B441BB">
        <w:rPr>
          <w:rFonts w:eastAsia="Times New Roman"/>
          <w:iCs/>
          <w:sz w:val="22"/>
          <w:szCs w:val="22"/>
          <w:lang w:val="en-NZ" w:eastAsia="en-US" w:bidi="he-IL"/>
        </w:rPr>
        <w:t>12(1):</w:t>
      </w:r>
      <w:r w:rsidRPr="00B441BB">
        <w:rPr>
          <w:rFonts w:eastAsia="Times New Roman"/>
          <w:i/>
          <w:iCs/>
          <w:sz w:val="22"/>
          <w:szCs w:val="22"/>
          <w:lang w:val="en-NZ" w:eastAsia="en-US" w:bidi="he-IL"/>
        </w:rPr>
        <w:t xml:space="preserve"> </w:t>
      </w:r>
      <w:r w:rsidRPr="00B441BB">
        <w:rPr>
          <w:rFonts w:eastAsia="Times New Roman"/>
          <w:sz w:val="22"/>
          <w:szCs w:val="22"/>
          <w:lang w:val="en-NZ" w:eastAsia="en-US" w:bidi="he-IL"/>
        </w:rPr>
        <w:t>111-126.</w:t>
      </w:r>
    </w:p>
    <w:p w:rsidR="0099269C" w:rsidRPr="00B441BB" w:rsidRDefault="0099269C" w:rsidP="0099269C">
      <w:pPr>
        <w:spacing w:after="140"/>
        <w:ind w:left="426" w:hanging="426"/>
        <w:jc w:val="both"/>
        <w:rPr>
          <w:rFonts w:eastAsia="Times New Roman"/>
          <w:sz w:val="22"/>
          <w:szCs w:val="22"/>
          <w:lang w:val="de-DE" w:eastAsia="en-US" w:bidi="he-IL"/>
        </w:rPr>
      </w:pPr>
      <w:proofErr w:type="gramStart"/>
      <w:r w:rsidRPr="00B441BB">
        <w:rPr>
          <w:rFonts w:eastAsia="Times New Roman"/>
          <w:sz w:val="22"/>
          <w:szCs w:val="22"/>
          <w:lang w:eastAsia="en-US" w:bidi="he-IL"/>
        </w:rPr>
        <w:t xml:space="preserve">Brunner, E., and </w:t>
      </w:r>
      <w:proofErr w:type="spellStart"/>
      <w:r w:rsidRPr="00B441BB">
        <w:rPr>
          <w:rFonts w:eastAsia="Times New Roman"/>
          <w:sz w:val="22"/>
          <w:szCs w:val="22"/>
          <w:lang w:eastAsia="en-US" w:bidi="he-IL"/>
        </w:rPr>
        <w:t>Sonstelie</w:t>
      </w:r>
      <w:proofErr w:type="spellEnd"/>
      <w:r w:rsidRPr="00B441BB">
        <w:rPr>
          <w:rFonts w:eastAsia="Times New Roman"/>
          <w:sz w:val="22"/>
          <w:szCs w:val="22"/>
          <w:lang w:eastAsia="en-US" w:bidi="he-IL"/>
        </w:rPr>
        <w:t>, J. (2003).</w:t>
      </w:r>
      <w:proofErr w:type="gramEnd"/>
      <w:r w:rsidRPr="00B441BB">
        <w:rPr>
          <w:rFonts w:eastAsia="Times New Roman"/>
          <w:sz w:val="22"/>
          <w:szCs w:val="22"/>
          <w:lang w:eastAsia="en-US" w:bidi="he-IL"/>
        </w:rPr>
        <w:t xml:space="preserve"> Homeowners, property values, and the political economy of the school voucher. </w:t>
      </w:r>
      <w:r w:rsidRPr="00B441BB">
        <w:rPr>
          <w:rFonts w:eastAsia="Times New Roman"/>
          <w:i/>
          <w:iCs/>
          <w:sz w:val="22"/>
          <w:szCs w:val="22"/>
          <w:lang w:eastAsia="en-US" w:bidi="he-IL"/>
        </w:rPr>
        <w:t>Journal of Urban Economics</w:t>
      </w:r>
      <w:r w:rsidRPr="00B441BB">
        <w:rPr>
          <w:rFonts w:eastAsia="Times New Roman"/>
          <w:sz w:val="22"/>
          <w:szCs w:val="22"/>
          <w:lang w:eastAsia="en-US" w:bidi="he-IL"/>
        </w:rPr>
        <w:t>, </w:t>
      </w:r>
      <w:r w:rsidRPr="00B441BB">
        <w:rPr>
          <w:rFonts w:eastAsia="Times New Roman"/>
          <w:i/>
          <w:iCs/>
          <w:sz w:val="22"/>
          <w:szCs w:val="22"/>
          <w:lang w:eastAsia="en-US" w:bidi="he-IL"/>
        </w:rPr>
        <w:t>54</w:t>
      </w:r>
      <w:r w:rsidRPr="00B441BB">
        <w:rPr>
          <w:rFonts w:eastAsia="Times New Roman"/>
          <w:sz w:val="22"/>
          <w:szCs w:val="22"/>
          <w:lang w:eastAsia="en-US" w:bidi="he-IL"/>
        </w:rPr>
        <w:t>(2), 239-257.</w:t>
      </w:r>
    </w:p>
    <w:p w:rsidR="0099269C" w:rsidRPr="00B441BB" w:rsidRDefault="0099269C" w:rsidP="0099269C">
      <w:pPr>
        <w:spacing w:after="140"/>
        <w:ind w:left="426" w:hanging="426"/>
        <w:jc w:val="both"/>
        <w:rPr>
          <w:rFonts w:eastAsia="Times New Roman"/>
          <w:sz w:val="22"/>
          <w:szCs w:val="22"/>
          <w:lang w:val="en-NZ" w:eastAsia="en-US" w:bidi="he-IL"/>
        </w:rPr>
      </w:pPr>
      <w:r w:rsidRPr="00B441BB">
        <w:rPr>
          <w:rFonts w:eastAsia="Times New Roman"/>
          <w:sz w:val="22"/>
          <w:szCs w:val="22"/>
          <w:lang w:val="en-NZ" w:eastAsia="en-US" w:bidi="he-IL"/>
        </w:rPr>
        <w:t xml:space="preserve">Cheshire, P. and Sheppard, S. (2005) </w:t>
      </w:r>
      <w:r>
        <w:rPr>
          <w:rFonts w:eastAsia="Times New Roman"/>
          <w:sz w:val="22"/>
          <w:szCs w:val="22"/>
          <w:lang w:val="en-NZ" w:eastAsia="en-US" w:bidi="he-IL"/>
        </w:rPr>
        <w:t>'</w:t>
      </w:r>
      <w:r w:rsidRPr="00B441BB">
        <w:rPr>
          <w:rFonts w:eastAsia="Times New Roman"/>
          <w:sz w:val="22"/>
          <w:szCs w:val="22"/>
          <w:lang w:val="en-NZ" w:eastAsia="en-US" w:bidi="he-IL"/>
        </w:rPr>
        <w:t>Capitalising the value of free schools: the impact of supply characteristics and uncertainty</w:t>
      </w:r>
      <w:r>
        <w:rPr>
          <w:rFonts w:eastAsia="Times New Roman"/>
          <w:sz w:val="22"/>
          <w:szCs w:val="22"/>
          <w:lang w:val="en-NZ" w:eastAsia="en-US" w:bidi="he-IL"/>
        </w:rPr>
        <w:t>'</w:t>
      </w:r>
      <w:r w:rsidRPr="00B441BB">
        <w:rPr>
          <w:rFonts w:eastAsia="Times New Roman"/>
          <w:sz w:val="22"/>
          <w:szCs w:val="22"/>
          <w:lang w:val="en-NZ" w:eastAsia="en-US" w:bidi="he-IL"/>
        </w:rPr>
        <w:t xml:space="preserve"> </w:t>
      </w:r>
      <w:r w:rsidRPr="00B441BB">
        <w:rPr>
          <w:rFonts w:eastAsia="Times New Roman"/>
          <w:i/>
          <w:sz w:val="22"/>
          <w:szCs w:val="22"/>
          <w:lang w:val="en-NZ" w:eastAsia="en-US" w:bidi="he-IL"/>
        </w:rPr>
        <w:t>The Economic Journal</w:t>
      </w:r>
      <w:r w:rsidRPr="00B441BB">
        <w:rPr>
          <w:rFonts w:eastAsia="Times New Roman"/>
          <w:sz w:val="22"/>
          <w:szCs w:val="22"/>
          <w:lang w:val="en-NZ" w:eastAsia="en-US" w:bidi="he-IL"/>
        </w:rPr>
        <w:t xml:space="preserve"> 114(499): F397-F424.</w:t>
      </w:r>
    </w:p>
    <w:p w:rsidR="0099269C" w:rsidRPr="00B441BB" w:rsidRDefault="0099269C" w:rsidP="0099269C">
      <w:pPr>
        <w:spacing w:after="140"/>
        <w:ind w:left="426" w:hanging="426"/>
        <w:jc w:val="both"/>
        <w:rPr>
          <w:rFonts w:eastAsia="Times New Roman"/>
          <w:sz w:val="22"/>
          <w:szCs w:val="22"/>
          <w:lang w:val="en-NZ" w:eastAsia="en-US" w:bidi="he-IL"/>
        </w:rPr>
      </w:pPr>
      <w:r w:rsidRPr="00B441BB">
        <w:rPr>
          <w:rFonts w:eastAsia="Times New Roman"/>
          <w:sz w:val="22"/>
          <w:szCs w:val="22"/>
          <w:lang w:val="en-NZ" w:eastAsia="en-US" w:bidi="he-IL"/>
        </w:rPr>
        <w:t xml:space="preserve">Clark, J. and Kim, B. (2012) </w:t>
      </w:r>
      <w:r>
        <w:rPr>
          <w:rFonts w:eastAsia="Times New Roman"/>
          <w:sz w:val="22"/>
          <w:szCs w:val="22"/>
          <w:lang w:val="en-NZ" w:eastAsia="en-US" w:bidi="he-IL"/>
        </w:rPr>
        <w:t>'</w:t>
      </w:r>
      <w:proofErr w:type="gramStart"/>
      <w:r w:rsidRPr="00B441BB">
        <w:rPr>
          <w:rFonts w:eastAsia="Times New Roman"/>
          <w:sz w:val="22"/>
          <w:szCs w:val="22"/>
          <w:lang w:val="en-NZ" w:eastAsia="en-US" w:bidi="he-IL"/>
        </w:rPr>
        <w:t>The</w:t>
      </w:r>
      <w:proofErr w:type="gramEnd"/>
      <w:r w:rsidRPr="00B441BB">
        <w:rPr>
          <w:rFonts w:eastAsia="Times New Roman"/>
          <w:sz w:val="22"/>
          <w:szCs w:val="22"/>
          <w:lang w:val="en-NZ" w:eastAsia="en-US" w:bidi="he-IL"/>
        </w:rPr>
        <w:t xml:space="preserve"> effect of neighbourhood diversity on volunteering: Evidence from New Zealand</w:t>
      </w:r>
      <w:r>
        <w:rPr>
          <w:rFonts w:eastAsia="Times New Roman"/>
          <w:sz w:val="22"/>
          <w:szCs w:val="22"/>
          <w:lang w:val="en-NZ" w:eastAsia="en-US" w:bidi="he-IL"/>
        </w:rPr>
        <w:t>'</w:t>
      </w:r>
      <w:r w:rsidRPr="00B441BB">
        <w:rPr>
          <w:rFonts w:eastAsia="Times New Roman"/>
          <w:sz w:val="22"/>
          <w:szCs w:val="22"/>
          <w:lang w:val="en-NZ" w:eastAsia="en-US" w:bidi="he-IL"/>
        </w:rPr>
        <w:t> </w:t>
      </w:r>
      <w:r w:rsidRPr="00B441BB">
        <w:rPr>
          <w:rFonts w:eastAsia="Times New Roman"/>
          <w:i/>
          <w:iCs/>
          <w:sz w:val="22"/>
          <w:szCs w:val="22"/>
          <w:lang w:val="en-NZ" w:eastAsia="en-US" w:bidi="he-IL"/>
        </w:rPr>
        <w:t>BE Journal of Economic Analysis and Policy</w:t>
      </w:r>
      <w:r w:rsidRPr="00B441BB">
        <w:rPr>
          <w:rFonts w:eastAsia="Times New Roman"/>
          <w:sz w:val="22"/>
          <w:szCs w:val="22"/>
          <w:lang w:val="en-NZ" w:eastAsia="en-US" w:bidi="he-IL"/>
        </w:rPr>
        <w:t> </w:t>
      </w:r>
      <w:r w:rsidRPr="00B441BB">
        <w:rPr>
          <w:rFonts w:eastAsia="Times New Roman"/>
          <w:iCs/>
          <w:sz w:val="22"/>
          <w:szCs w:val="22"/>
          <w:lang w:val="en-NZ" w:eastAsia="en-US" w:bidi="he-IL"/>
        </w:rPr>
        <w:t>12</w:t>
      </w:r>
      <w:r w:rsidRPr="00B441BB">
        <w:rPr>
          <w:rFonts w:eastAsia="Times New Roman"/>
          <w:sz w:val="22"/>
          <w:szCs w:val="22"/>
          <w:lang w:val="en-NZ" w:eastAsia="en-US" w:bidi="he-IL"/>
        </w:rPr>
        <w:t>(1).</w:t>
      </w:r>
    </w:p>
    <w:p w:rsidR="0099269C" w:rsidRPr="00B441BB" w:rsidRDefault="0099269C" w:rsidP="0099269C">
      <w:pPr>
        <w:spacing w:after="140"/>
        <w:ind w:left="426" w:hanging="426"/>
        <w:jc w:val="both"/>
        <w:rPr>
          <w:rFonts w:eastAsia="Calibri"/>
          <w:sz w:val="22"/>
          <w:szCs w:val="22"/>
          <w:lang w:eastAsia="en-US" w:bidi="he-IL"/>
        </w:rPr>
      </w:pPr>
      <w:r w:rsidRPr="00B441BB">
        <w:rPr>
          <w:rFonts w:eastAsia="Calibri"/>
          <w:sz w:val="22"/>
          <w:szCs w:val="22"/>
          <w:lang w:eastAsia="en-US" w:bidi="he-IL"/>
        </w:rPr>
        <w:t xml:space="preserve">Davidoff, I. and Leigh, A. (2008) </w:t>
      </w:r>
      <w:r>
        <w:rPr>
          <w:rFonts w:eastAsia="Calibri"/>
          <w:sz w:val="22"/>
          <w:szCs w:val="22"/>
          <w:lang w:eastAsia="en-US" w:bidi="he-IL"/>
        </w:rPr>
        <w:t>'</w:t>
      </w:r>
      <w:r w:rsidRPr="00B441BB">
        <w:rPr>
          <w:rFonts w:eastAsia="Calibri"/>
          <w:sz w:val="22"/>
          <w:szCs w:val="22"/>
          <w:lang w:eastAsia="en-US" w:bidi="he-IL"/>
        </w:rPr>
        <w:t>How much do public schools really cost? Estimating the relationship between house prices and school quality</w:t>
      </w:r>
      <w:r>
        <w:rPr>
          <w:rFonts w:eastAsia="Calibri"/>
          <w:sz w:val="22"/>
          <w:szCs w:val="22"/>
          <w:lang w:eastAsia="en-US" w:bidi="he-IL"/>
        </w:rPr>
        <w:t>'</w:t>
      </w:r>
      <w:r w:rsidRPr="00B441BB">
        <w:rPr>
          <w:rFonts w:eastAsia="Calibri"/>
          <w:sz w:val="22"/>
          <w:szCs w:val="22"/>
          <w:lang w:eastAsia="en-US" w:bidi="he-IL"/>
        </w:rPr>
        <w:t xml:space="preserve"> </w:t>
      </w:r>
      <w:r w:rsidRPr="00B441BB">
        <w:rPr>
          <w:rFonts w:eastAsia="Calibri"/>
          <w:i/>
          <w:iCs/>
          <w:sz w:val="22"/>
          <w:szCs w:val="22"/>
          <w:lang w:eastAsia="en-US" w:bidi="he-IL"/>
        </w:rPr>
        <w:t>Economic Record</w:t>
      </w:r>
      <w:r w:rsidRPr="00B441BB">
        <w:rPr>
          <w:rFonts w:eastAsia="Calibri"/>
          <w:sz w:val="22"/>
          <w:szCs w:val="22"/>
          <w:lang w:eastAsia="en-US" w:bidi="he-IL"/>
        </w:rPr>
        <w:t xml:space="preserve"> </w:t>
      </w:r>
      <w:r w:rsidRPr="00B441BB">
        <w:rPr>
          <w:rFonts w:eastAsia="Calibri"/>
          <w:iCs/>
          <w:sz w:val="22"/>
          <w:szCs w:val="22"/>
          <w:lang w:eastAsia="en-US" w:bidi="he-IL"/>
        </w:rPr>
        <w:t>84</w:t>
      </w:r>
      <w:r w:rsidRPr="00B441BB">
        <w:rPr>
          <w:rFonts w:eastAsia="Calibri"/>
          <w:sz w:val="22"/>
          <w:szCs w:val="22"/>
          <w:lang w:eastAsia="en-US" w:bidi="he-IL"/>
        </w:rPr>
        <w:t>(265): 193-206.</w:t>
      </w:r>
    </w:p>
    <w:p w:rsidR="0099269C" w:rsidRPr="00B441BB" w:rsidRDefault="0099269C" w:rsidP="0099269C">
      <w:pPr>
        <w:spacing w:after="140"/>
        <w:ind w:left="426" w:hanging="426"/>
        <w:jc w:val="both"/>
        <w:rPr>
          <w:rFonts w:eastAsia="Calibri"/>
          <w:sz w:val="22"/>
          <w:szCs w:val="22"/>
          <w:lang w:eastAsia="en-US" w:bidi="he-IL"/>
        </w:rPr>
      </w:pPr>
      <w:proofErr w:type="spellStart"/>
      <w:r w:rsidRPr="00B441BB">
        <w:rPr>
          <w:rFonts w:eastAsia="Calibri"/>
          <w:sz w:val="22"/>
          <w:szCs w:val="22"/>
          <w:lang w:eastAsia="en-US" w:bidi="he-IL"/>
        </w:rPr>
        <w:t>Duan</w:t>
      </w:r>
      <w:proofErr w:type="spellEnd"/>
      <w:r w:rsidRPr="00B441BB">
        <w:rPr>
          <w:rFonts w:eastAsia="Calibri"/>
          <w:sz w:val="22"/>
          <w:szCs w:val="22"/>
          <w:lang w:eastAsia="en-US" w:bidi="he-IL"/>
        </w:rPr>
        <w:t xml:space="preserve">, N. (1983) </w:t>
      </w:r>
      <w:r>
        <w:rPr>
          <w:rFonts w:eastAsia="Calibri"/>
          <w:sz w:val="22"/>
          <w:szCs w:val="22"/>
          <w:lang w:eastAsia="en-US" w:bidi="he-IL"/>
        </w:rPr>
        <w:t>'</w:t>
      </w:r>
      <w:r w:rsidRPr="00B441BB">
        <w:rPr>
          <w:rFonts w:eastAsia="Calibri"/>
          <w:sz w:val="22"/>
          <w:szCs w:val="22"/>
          <w:lang w:eastAsia="en-US" w:bidi="he-IL"/>
        </w:rPr>
        <w:t>Smearing estimate: A nonparametric retransformation method</w:t>
      </w:r>
      <w:r>
        <w:rPr>
          <w:rFonts w:eastAsia="Calibri"/>
          <w:sz w:val="22"/>
          <w:szCs w:val="22"/>
          <w:lang w:eastAsia="en-US" w:bidi="he-IL"/>
        </w:rPr>
        <w:t>'</w:t>
      </w:r>
      <w:r w:rsidRPr="00B441BB">
        <w:rPr>
          <w:rFonts w:eastAsia="Calibri"/>
          <w:sz w:val="22"/>
          <w:szCs w:val="22"/>
          <w:lang w:eastAsia="en-US" w:bidi="he-IL"/>
        </w:rPr>
        <w:t xml:space="preserve"> </w:t>
      </w:r>
      <w:r w:rsidRPr="00B441BB">
        <w:rPr>
          <w:rFonts w:eastAsia="Calibri"/>
          <w:i/>
          <w:sz w:val="22"/>
          <w:szCs w:val="22"/>
          <w:lang w:eastAsia="en-US" w:bidi="he-IL"/>
        </w:rPr>
        <w:t>Journal of the American Statistical Association</w:t>
      </w:r>
      <w:r w:rsidRPr="00B441BB">
        <w:rPr>
          <w:rFonts w:eastAsia="Calibri"/>
          <w:sz w:val="22"/>
          <w:szCs w:val="22"/>
          <w:lang w:eastAsia="en-US" w:bidi="he-IL"/>
        </w:rPr>
        <w:t xml:space="preserve"> 78(383): 605–610.</w:t>
      </w:r>
    </w:p>
    <w:p w:rsidR="0099269C" w:rsidRPr="00B441BB" w:rsidRDefault="0099269C" w:rsidP="0099269C">
      <w:pPr>
        <w:spacing w:after="140"/>
        <w:ind w:left="426" w:hanging="426"/>
        <w:jc w:val="both"/>
        <w:rPr>
          <w:rFonts w:eastAsia="Times New Roman"/>
          <w:sz w:val="22"/>
          <w:szCs w:val="22"/>
          <w:lang w:val="en-NZ" w:eastAsia="en-US" w:bidi="he-IL"/>
        </w:rPr>
      </w:pPr>
      <w:proofErr w:type="spellStart"/>
      <w:r w:rsidRPr="00B441BB">
        <w:rPr>
          <w:rFonts w:eastAsia="Times New Roman"/>
          <w:sz w:val="22"/>
          <w:szCs w:val="22"/>
          <w:lang w:val="en-NZ" w:eastAsia="en-US" w:bidi="he-IL"/>
        </w:rPr>
        <w:t>Figlio</w:t>
      </w:r>
      <w:proofErr w:type="spellEnd"/>
      <w:r w:rsidRPr="00B441BB">
        <w:rPr>
          <w:rFonts w:eastAsia="Times New Roman"/>
          <w:sz w:val="22"/>
          <w:szCs w:val="22"/>
          <w:lang w:val="en-NZ" w:eastAsia="en-US" w:bidi="he-IL"/>
        </w:rPr>
        <w:t xml:space="preserve">, D. and Hart, C. (2014) </w:t>
      </w:r>
      <w:r>
        <w:rPr>
          <w:rFonts w:eastAsia="Times New Roman"/>
          <w:sz w:val="22"/>
          <w:szCs w:val="22"/>
          <w:lang w:val="en-NZ" w:eastAsia="en-US" w:bidi="he-IL"/>
        </w:rPr>
        <w:t>'</w:t>
      </w:r>
      <w:r w:rsidRPr="00B441BB">
        <w:rPr>
          <w:rFonts w:eastAsia="Times New Roman"/>
          <w:sz w:val="22"/>
          <w:szCs w:val="22"/>
          <w:lang w:val="en-NZ" w:eastAsia="en-US" w:bidi="he-IL"/>
        </w:rPr>
        <w:t>Competitive effects of means-tested school vouchers</w:t>
      </w:r>
      <w:r>
        <w:rPr>
          <w:rFonts w:eastAsia="Times New Roman"/>
          <w:sz w:val="22"/>
          <w:szCs w:val="22"/>
          <w:lang w:val="en-NZ" w:eastAsia="en-US" w:bidi="he-IL"/>
        </w:rPr>
        <w:t>'</w:t>
      </w:r>
      <w:r w:rsidRPr="00B441BB">
        <w:rPr>
          <w:rFonts w:eastAsia="Times New Roman"/>
          <w:sz w:val="22"/>
          <w:szCs w:val="22"/>
          <w:lang w:val="en-NZ" w:eastAsia="en-US" w:bidi="he-IL"/>
        </w:rPr>
        <w:t xml:space="preserve"> </w:t>
      </w:r>
      <w:r w:rsidRPr="00B441BB">
        <w:rPr>
          <w:rFonts w:eastAsia="Times New Roman"/>
          <w:i/>
          <w:iCs/>
          <w:sz w:val="22"/>
          <w:szCs w:val="22"/>
          <w:lang w:val="en-NZ" w:eastAsia="en-US" w:bidi="he-IL"/>
        </w:rPr>
        <w:t>American Economic Journal</w:t>
      </w:r>
      <w:r w:rsidRPr="00B441BB">
        <w:rPr>
          <w:rFonts w:eastAsia="Times New Roman"/>
          <w:iCs/>
          <w:sz w:val="22"/>
          <w:szCs w:val="22"/>
          <w:lang w:val="en-NZ" w:eastAsia="en-US" w:bidi="he-IL"/>
        </w:rPr>
        <w:t xml:space="preserve">: </w:t>
      </w:r>
      <w:r w:rsidRPr="00B441BB">
        <w:rPr>
          <w:rFonts w:eastAsia="Times New Roman"/>
          <w:i/>
          <w:iCs/>
          <w:sz w:val="22"/>
          <w:szCs w:val="22"/>
          <w:lang w:val="en-NZ" w:eastAsia="en-US" w:bidi="he-IL"/>
        </w:rPr>
        <w:t xml:space="preserve">Applied Economics </w:t>
      </w:r>
      <w:r w:rsidRPr="00B441BB">
        <w:rPr>
          <w:rFonts w:eastAsia="Times New Roman"/>
          <w:iCs/>
          <w:sz w:val="22"/>
          <w:szCs w:val="22"/>
          <w:lang w:val="en-NZ" w:eastAsia="en-US" w:bidi="he-IL"/>
        </w:rPr>
        <w:t>6</w:t>
      </w:r>
      <w:r w:rsidRPr="00B441BB">
        <w:rPr>
          <w:rFonts w:eastAsia="Times New Roman"/>
          <w:sz w:val="22"/>
          <w:szCs w:val="22"/>
          <w:lang w:val="en-NZ" w:eastAsia="en-US" w:bidi="he-IL"/>
        </w:rPr>
        <w:t>(1): 133-156.</w:t>
      </w:r>
    </w:p>
    <w:p w:rsidR="0099269C" w:rsidRPr="00B441BB" w:rsidRDefault="0099269C" w:rsidP="0099269C">
      <w:pPr>
        <w:spacing w:after="140"/>
        <w:ind w:left="426" w:hanging="426"/>
        <w:jc w:val="both"/>
        <w:rPr>
          <w:rFonts w:eastAsia="Times New Roman"/>
          <w:sz w:val="22"/>
          <w:szCs w:val="22"/>
          <w:lang w:eastAsia="en-US" w:bidi="he-IL"/>
        </w:rPr>
      </w:pPr>
      <w:proofErr w:type="gramStart"/>
      <w:r w:rsidRPr="00B441BB">
        <w:rPr>
          <w:rFonts w:eastAsia="Times New Roman"/>
          <w:sz w:val="22"/>
          <w:szCs w:val="22"/>
          <w:lang w:eastAsia="en-US" w:bidi="he-IL"/>
        </w:rPr>
        <w:t xml:space="preserve">Gibbons, S., </w:t>
      </w:r>
      <w:proofErr w:type="spellStart"/>
      <w:r w:rsidRPr="00B441BB">
        <w:rPr>
          <w:rFonts w:eastAsia="Times New Roman"/>
          <w:sz w:val="22"/>
          <w:szCs w:val="22"/>
          <w:lang w:eastAsia="en-US" w:bidi="he-IL"/>
        </w:rPr>
        <w:t>Machin</w:t>
      </w:r>
      <w:proofErr w:type="spellEnd"/>
      <w:r w:rsidRPr="00B441BB">
        <w:rPr>
          <w:rFonts w:eastAsia="Times New Roman"/>
          <w:sz w:val="22"/>
          <w:szCs w:val="22"/>
          <w:lang w:eastAsia="en-US" w:bidi="he-IL"/>
        </w:rPr>
        <w:t xml:space="preserve">, S., and Silva, O. (2013) </w:t>
      </w:r>
      <w:r>
        <w:rPr>
          <w:rFonts w:eastAsia="Times New Roman"/>
          <w:sz w:val="22"/>
          <w:szCs w:val="22"/>
          <w:lang w:eastAsia="en-US" w:bidi="he-IL"/>
        </w:rPr>
        <w:t>'</w:t>
      </w:r>
      <w:r w:rsidRPr="00B441BB">
        <w:rPr>
          <w:rFonts w:eastAsia="Times New Roman"/>
          <w:sz w:val="22"/>
          <w:szCs w:val="22"/>
          <w:lang w:eastAsia="en-US" w:bidi="he-IL"/>
        </w:rPr>
        <w:t>Valuing school quality using boundary discontinuities</w:t>
      </w:r>
      <w:r>
        <w:rPr>
          <w:rFonts w:eastAsia="Times New Roman"/>
          <w:sz w:val="22"/>
          <w:szCs w:val="22"/>
          <w:lang w:eastAsia="en-US" w:bidi="he-IL"/>
        </w:rPr>
        <w:t>'</w:t>
      </w:r>
      <w:r w:rsidRPr="00B441BB">
        <w:rPr>
          <w:rFonts w:eastAsia="Times New Roman"/>
          <w:sz w:val="22"/>
          <w:szCs w:val="22"/>
          <w:lang w:eastAsia="en-US" w:bidi="he-IL"/>
        </w:rPr>
        <w:t xml:space="preserve"> </w:t>
      </w:r>
      <w:r w:rsidRPr="00B441BB">
        <w:rPr>
          <w:rFonts w:eastAsia="Times New Roman"/>
          <w:i/>
          <w:iCs/>
          <w:sz w:val="22"/>
          <w:szCs w:val="22"/>
          <w:lang w:eastAsia="en-US" w:bidi="he-IL"/>
        </w:rPr>
        <w:t>Journal of Urban Economics</w:t>
      </w:r>
      <w:r w:rsidRPr="00B441BB">
        <w:rPr>
          <w:rFonts w:eastAsia="Times New Roman"/>
          <w:sz w:val="22"/>
          <w:szCs w:val="22"/>
          <w:lang w:eastAsia="en-US" w:bidi="he-IL"/>
        </w:rPr>
        <w:t xml:space="preserve"> </w:t>
      </w:r>
      <w:r w:rsidRPr="00B441BB">
        <w:rPr>
          <w:rFonts w:eastAsia="Times New Roman"/>
          <w:iCs/>
          <w:sz w:val="22"/>
          <w:szCs w:val="22"/>
          <w:lang w:eastAsia="en-US" w:bidi="he-IL"/>
        </w:rPr>
        <w:t>75</w:t>
      </w:r>
      <w:r w:rsidRPr="00B441BB">
        <w:rPr>
          <w:rFonts w:eastAsia="Times New Roman"/>
          <w:sz w:val="22"/>
          <w:szCs w:val="22"/>
          <w:lang w:eastAsia="en-US" w:bidi="he-IL"/>
        </w:rPr>
        <w:t>(1): 15-28.</w:t>
      </w:r>
      <w:proofErr w:type="gramEnd"/>
    </w:p>
    <w:p w:rsidR="0099269C" w:rsidRPr="00B441BB" w:rsidRDefault="0099269C" w:rsidP="0099269C">
      <w:pPr>
        <w:spacing w:after="140"/>
        <w:ind w:left="426" w:hanging="426"/>
        <w:jc w:val="both"/>
        <w:rPr>
          <w:rFonts w:eastAsia="Times New Roman"/>
          <w:sz w:val="22"/>
          <w:szCs w:val="22"/>
          <w:lang w:val="en-NZ" w:eastAsia="en-US" w:bidi="he-IL"/>
        </w:rPr>
      </w:pPr>
      <w:r w:rsidRPr="00B441BB">
        <w:rPr>
          <w:rFonts w:eastAsia="Times New Roman"/>
          <w:sz w:val="22"/>
          <w:szCs w:val="22"/>
          <w:lang w:val="en-NZ" w:eastAsia="en-US" w:bidi="he-IL"/>
        </w:rPr>
        <w:t xml:space="preserve">Gibson, J., </w:t>
      </w:r>
      <w:proofErr w:type="spellStart"/>
      <w:r w:rsidRPr="00B441BB">
        <w:rPr>
          <w:rFonts w:eastAsia="Times New Roman"/>
          <w:sz w:val="22"/>
          <w:szCs w:val="22"/>
          <w:lang w:val="en-NZ" w:eastAsia="en-US" w:bidi="he-IL"/>
        </w:rPr>
        <w:t>Sabel</w:t>
      </w:r>
      <w:proofErr w:type="spellEnd"/>
      <w:r w:rsidRPr="00B441BB">
        <w:rPr>
          <w:rFonts w:eastAsia="Times New Roman"/>
          <w:sz w:val="22"/>
          <w:szCs w:val="22"/>
          <w:lang w:val="en-NZ" w:eastAsia="en-US" w:bidi="he-IL"/>
        </w:rPr>
        <w:t>, C., Boe-</w:t>
      </w:r>
      <w:r>
        <w:rPr>
          <w:rFonts w:eastAsia="Times New Roman"/>
          <w:sz w:val="22"/>
          <w:szCs w:val="22"/>
          <w:lang w:val="en-NZ" w:eastAsia="en-US" w:bidi="he-IL"/>
        </w:rPr>
        <w:t>Gibson, G. and Kim, B. (2007) ‘</w:t>
      </w:r>
      <w:r w:rsidRPr="00B441BB">
        <w:rPr>
          <w:rFonts w:eastAsia="Times New Roman"/>
          <w:sz w:val="22"/>
          <w:szCs w:val="22"/>
          <w:lang w:val="en-NZ" w:eastAsia="en-US" w:bidi="he-IL"/>
        </w:rPr>
        <w:t>House prices and school</w:t>
      </w:r>
      <w:r>
        <w:rPr>
          <w:rFonts w:eastAsia="Times New Roman"/>
          <w:sz w:val="22"/>
          <w:szCs w:val="22"/>
          <w:lang w:val="en-NZ" w:eastAsia="en-US" w:bidi="he-IL"/>
        </w:rPr>
        <w:t xml:space="preserve"> zones: does geography matter?</w:t>
      </w:r>
      <w:proofErr w:type="gramStart"/>
      <w:r>
        <w:rPr>
          <w:rFonts w:eastAsia="Times New Roman"/>
          <w:sz w:val="22"/>
          <w:szCs w:val="22"/>
          <w:lang w:val="en-NZ" w:eastAsia="en-US" w:bidi="he-IL"/>
        </w:rPr>
        <w:t>’</w:t>
      </w:r>
      <w:r w:rsidRPr="00B441BB">
        <w:rPr>
          <w:rFonts w:eastAsia="Times New Roman"/>
          <w:sz w:val="22"/>
          <w:szCs w:val="22"/>
          <w:lang w:val="en-NZ" w:eastAsia="en-US" w:bidi="he-IL"/>
        </w:rPr>
        <w:t>,</w:t>
      </w:r>
      <w:proofErr w:type="gramEnd"/>
      <w:r w:rsidRPr="00B441BB">
        <w:rPr>
          <w:rFonts w:eastAsia="Times New Roman"/>
          <w:sz w:val="22"/>
          <w:szCs w:val="22"/>
          <w:lang w:val="en-NZ" w:eastAsia="en-US" w:bidi="he-IL"/>
        </w:rPr>
        <w:t xml:space="preserve"> paper presented at the Spatial Econometrics Association conference, Cambridge, July 2007.</w:t>
      </w:r>
    </w:p>
    <w:p w:rsidR="0099269C" w:rsidRPr="00B441BB" w:rsidRDefault="0099269C" w:rsidP="0099269C">
      <w:pPr>
        <w:spacing w:after="140"/>
        <w:ind w:left="425" w:hanging="425"/>
        <w:jc w:val="both"/>
        <w:rPr>
          <w:rFonts w:eastAsia="SimSun"/>
          <w:sz w:val="22"/>
          <w:szCs w:val="22"/>
          <w:lang w:val="en-NZ" w:eastAsia="zh-CN"/>
        </w:rPr>
      </w:pPr>
      <w:r w:rsidRPr="00B441BB">
        <w:rPr>
          <w:rFonts w:eastAsia="SimSun"/>
          <w:sz w:val="22"/>
          <w:szCs w:val="22"/>
          <w:lang w:val="en-NZ" w:eastAsia="zh-CN"/>
        </w:rPr>
        <w:t xml:space="preserve">Harrison, M. (2004) </w:t>
      </w:r>
      <w:r w:rsidRPr="00B441BB">
        <w:rPr>
          <w:rFonts w:eastAsia="SimSun"/>
          <w:i/>
          <w:iCs/>
          <w:sz w:val="22"/>
          <w:szCs w:val="22"/>
          <w:lang w:val="en-NZ" w:eastAsia="zh-CN"/>
        </w:rPr>
        <w:t xml:space="preserve">Education Matters: Government, Markets and New Zealand Schools. </w:t>
      </w:r>
      <w:r w:rsidRPr="00B441BB">
        <w:rPr>
          <w:rFonts w:eastAsia="SimSun"/>
          <w:sz w:val="22"/>
          <w:szCs w:val="22"/>
          <w:lang w:val="en-NZ" w:eastAsia="zh-CN"/>
        </w:rPr>
        <w:t xml:space="preserve">Wellington: Education Forum. Retrieved from </w:t>
      </w:r>
      <w:hyperlink r:id="rId25" w:history="1">
        <w:r w:rsidRPr="00B441BB">
          <w:rPr>
            <w:rFonts w:eastAsia="SimSun"/>
            <w:color w:val="0000FF"/>
            <w:sz w:val="22"/>
            <w:szCs w:val="22"/>
            <w:u w:val="single"/>
            <w:lang w:val="en-NZ" w:eastAsia="zh-CN"/>
          </w:rPr>
          <w:t>http://nzinitiative.org.nz/</w:t>
        </w:r>
      </w:hyperlink>
    </w:p>
    <w:p w:rsidR="0099269C" w:rsidRPr="00B441BB" w:rsidRDefault="0099269C" w:rsidP="0099269C">
      <w:pPr>
        <w:spacing w:after="140"/>
        <w:ind w:left="426" w:hanging="426"/>
        <w:jc w:val="both"/>
        <w:rPr>
          <w:rFonts w:eastAsia="SimSun"/>
          <w:sz w:val="22"/>
          <w:szCs w:val="22"/>
          <w:lang w:val="en-NZ" w:eastAsia="zh-CN"/>
        </w:rPr>
      </w:pPr>
      <w:r w:rsidRPr="00B441BB">
        <w:rPr>
          <w:rFonts w:eastAsia="SimSun"/>
          <w:sz w:val="22"/>
          <w:szCs w:val="22"/>
          <w:lang w:val="en-NZ" w:eastAsia="zh-CN"/>
        </w:rPr>
        <w:t xml:space="preserve">Hsieh, C. and </w:t>
      </w:r>
      <w:proofErr w:type="spellStart"/>
      <w:r w:rsidRPr="00B441BB">
        <w:rPr>
          <w:rFonts w:eastAsia="SimSun"/>
          <w:sz w:val="22"/>
          <w:szCs w:val="22"/>
          <w:lang w:val="en-NZ" w:eastAsia="zh-CN"/>
        </w:rPr>
        <w:t>Urquiola</w:t>
      </w:r>
      <w:proofErr w:type="spellEnd"/>
      <w:r w:rsidRPr="00B441BB">
        <w:rPr>
          <w:rFonts w:eastAsia="SimSun"/>
          <w:sz w:val="22"/>
          <w:szCs w:val="22"/>
          <w:lang w:val="en-NZ" w:eastAsia="zh-CN"/>
        </w:rPr>
        <w:t xml:space="preserve">, M. (2006) </w:t>
      </w:r>
      <w:r>
        <w:rPr>
          <w:rFonts w:eastAsia="SimSun"/>
          <w:sz w:val="22"/>
          <w:szCs w:val="22"/>
          <w:lang w:val="en-NZ" w:eastAsia="zh-CN"/>
        </w:rPr>
        <w:t>'</w:t>
      </w:r>
      <w:proofErr w:type="gramStart"/>
      <w:r w:rsidRPr="00B441BB">
        <w:rPr>
          <w:rFonts w:eastAsia="SimSun"/>
          <w:sz w:val="22"/>
          <w:szCs w:val="22"/>
          <w:lang w:val="en-NZ" w:eastAsia="zh-CN"/>
        </w:rPr>
        <w:t>The</w:t>
      </w:r>
      <w:proofErr w:type="gramEnd"/>
      <w:r w:rsidRPr="00B441BB">
        <w:rPr>
          <w:rFonts w:eastAsia="SimSun"/>
          <w:sz w:val="22"/>
          <w:szCs w:val="22"/>
          <w:lang w:val="en-NZ" w:eastAsia="zh-CN"/>
        </w:rPr>
        <w:t xml:space="preserve"> effects of generalized school choice on achievement and stratification: Evidence from Chile’s voucher program</w:t>
      </w:r>
      <w:r>
        <w:rPr>
          <w:rFonts w:eastAsia="SimSun"/>
          <w:sz w:val="22"/>
          <w:szCs w:val="22"/>
          <w:lang w:val="en-NZ" w:eastAsia="zh-CN"/>
        </w:rPr>
        <w:t>'</w:t>
      </w:r>
      <w:r w:rsidRPr="00B441BB">
        <w:rPr>
          <w:rFonts w:eastAsia="SimSun"/>
          <w:sz w:val="22"/>
          <w:szCs w:val="22"/>
          <w:lang w:val="en-NZ" w:eastAsia="zh-CN"/>
        </w:rPr>
        <w:t xml:space="preserve"> </w:t>
      </w:r>
      <w:r w:rsidRPr="00B441BB">
        <w:rPr>
          <w:rFonts w:eastAsia="SimSun"/>
          <w:i/>
          <w:iCs/>
          <w:sz w:val="22"/>
          <w:szCs w:val="22"/>
          <w:lang w:val="en-NZ" w:eastAsia="zh-CN"/>
        </w:rPr>
        <w:t xml:space="preserve">Journal of Public Economics </w:t>
      </w:r>
      <w:r w:rsidRPr="00B441BB">
        <w:rPr>
          <w:rFonts w:eastAsia="SimSun"/>
          <w:iCs/>
          <w:sz w:val="22"/>
          <w:szCs w:val="22"/>
          <w:lang w:val="en-NZ" w:eastAsia="zh-CN"/>
        </w:rPr>
        <w:t>90(6):</w:t>
      </w:r>
      <w:r w:rsidRPr="00B441BB">
        <w:rPr>
          <w:rFonts w:eastAsia="SimSun"/>
          <w:sz w:val="22"/>
          <w:szCs w:val="22"/>
          <w:lang w:val="en-NZ" w:eastAsia="zh-CN"/>
        </w:rPr>
        <w:t xml:space="preserve"> </w:t>
      </w:r>
      <w:r>
        <w:rPr>
          <w:rFonts w:eastAsia="SimSun"/>
          <w:sz w:val="22"/>
          <w:szCs w:val="22"/>
          <w:lang w:val="en-NZ" w:eastAsia="zh-CN"/>
        </w:rPr>
        <w:br/>
      </w:r>
      <w:r w:rsidRPr="00B441BB">
        <w:rPr>
          <w:rFonts w:eastAsia="SimSun"/>
          <w:sz w:val="22"/>
          <w:szCs w:val="22"/>
          <w:lang w:val="en-NZ" w:eastAsia="zh-CN"/>
        </w:rPr>
        <w:t>1477-1503.</w:t>
      </w:r>
    </w:p>
    <w:p w:rsidR="0099269C" w:rsidRPr="00B441BB" w:rsidRDefault="0099269C" w:rsidP="0099269C">
      <w:pPr>
        <w:spacing w:after="140"/>
        <w:ind w:left="426" w:hanging="426"/>
        <w:jc w:val="both"/>
        <w:rPr>
          <w:rFonts w:eastAsia="Times New Roman"/>
          <w:sz w:val="22"/>
          <w:szCs w:val="22"/>
          <w:lang w:val="en-NZ" w:eastAsia="en-US" w:bidi="he-IL"/>
        </w:rPr>
      </w:pPr>
      <w:proofErr w:type="spellStart"/>
      <w:r w:rsidRPr="00B441BB">
        <w:rPr>
          <w:rFonts w:eastAsia="Times New Roman"/>
          <w:sz w:val="22"/>
          <w:szCs w:val="22"/>
          <w:lang w:val="en-NZ" w:eastAsia="en-US" w:bidi="he-IL"/>
        </w:rPr>
        <w:t>Jeanty</w:t>
      </w:r>
      <w:proofErr w:type="spellEnd"/>
      <w:r w:rsidRPr="00B441BB">
        <w:rPr>
          <w:rFonts w:eastAsia="Times New Roman"/>
          <w:sz w:val="22"/>
          <w:szCs w:val="22"/>
          <w:lang w:val="en-NZ" w:eastAsia="en-US" w:bidi="he-IL"/>
        </w:rPr>
        <w:t xml:space="preserve">, W. (2010) </w:t>
      </w:r>
      <w:r>
        <w:rPr>
          <w:rFonts w:eastAsia="Times New Roman"/>
          <w:sz w:val="22"/>
          <w:szCs w:val="22"/>
          <w:lang w:val="en-NZ" w:eastAsia="en-US" w:bidi="he-IL"/>
        </w:rPr>
        <w:t>'</w:t>
      </w:r>
      <w:r w:rsidRPr="00B441BB">
        <w:rPr>
          <w:rFonts w:eastAsia="Times New Roman"/>
          <w:bCs/>
          <w:sz w:val="22"/>
          <w:szCs w:val="22"/>
          <w:lang w:val="en-NZ" w:eastAsia="en-US" w:bidi="he-IL"/>
        </w:rPr>
        <w:t xml:space="preserve">SPMLREG: Stata module to estimate the spatial lag, the spatial error, the spatial </w:t>
      </w:r>
      <w:proofErr w:type="spellStart"/>
      <w:r w:rsidRPr="00B441BB">
        <w:rPr>
          <w:rFonts w:eastAsia="Times New Roman"/>
          <w:bCs/>
          <w:sz w:val="22"/>
          <w:szCs w:val="22"/>
          <w:lang w:val="en-NZ" w:eastAsia="en-US" w:bidi="he-IL"/>
        </w:rPr>
        <w:t>durbin</w:t>
      </w:r>
      <w:proofErr w:type="spellEnd"/>
      <w:r w:rsidRPr="00B441BB">
        <w:rPr>
          <w:rFonts w:eastAsia="Times New Roman"/>
          <w:bCs/>
          <w:sz w:val="22"/>
          <w:szCs w:val="22"/>
          <w:lang w:val="en-NZ" w:eastAsia="en-US" w:bidi="he-IL"/>
        </w:rPr>
        <w:t>, and the general spatial models by maximum likelihood</w:t>
      </w:r>
      <w:r>
        <w:rPr>
          <w:rFonts w:eastAsia="Times New Roman"/>
          <w:sz w:val="22"/>
          <w:szCs w:val="22"/>
          <w:lang w:val="en-NZ" w:eastAsia="en-US" w:bidi="he-IL"/>
        </w:rPr>
        <w:t>'</w:t>
      </w:r>
      <w:r w:rsidRPr="00B441BB">
        <w:rPr>
          <w:rFonts w:eastAsia="Times New Roman"/>
          <w:sz w:val="22"/>
          <w:szCs w:val="22"/>
          <w:lang w:val="en-NZ" w:eastAsia="en-US" w:bidi="he-IL"/>
        </w:rPr>
        <w:t xml:space="preserve"> </w:t>
      </w:r>
      <w:r w:rsidRPr="00B441BB">
        <w:rPr>
          <w:rFonts w:eastAsia="Times New Roman"/>
          <w:i/>
          <w:sz w:val="22"/>
          <w:szCs w:val="22"/>
          <w:lang w:val="en-NZ" w:eastAsia="en-US" w:bidi="he-IL"/>
        </w:rPr>
        <w:t>Statistical Software Components</w:t>
      </w:r>
      <w:r w:rsidRPr="00B441BB">
        <w:rPr>
          <w:rFonts w:eastAsia="Times New Roman"/>
          <w:sz w:val="22"/>
          <w:szCs w:val="22"/>
          <w:lang w:val="en-NZ" w:eastAsia="en-US" w:bidi="he-IL"/>
        </w:rPr>
        <w:t xml:space="preserve"> S457135, Boston College Department of Economics.</w:t>
      </w:r>
    </w:p>
    <w:p w:rsidR="0099269C" w:rsidRDefault="0099269C" w:rsidP="0099269C">
      <w:pPr>
        <w:spacing w:after="140"/>
        <w:ind w:left="426" w:hanging="426"/>
        <w:jc w:val="both"/>
        <w:rPr>
          <w:rFonts w:eastAsia="Times New Roman"/>
          <w:sz w:val="22"/>
          <w:szCs w:val="22"/>
          <w:lang w:val="en-NZ" w:eastAsia="en-US" w:bidi="he-IL"/>
        </w:rPr>
      </w:pPr>
      <w:proofErr w:type="spellStart"/>
      <w:proofErr w:type="gramStart"/>
      <w:r w:rsidRPr="00B441BB">
        <w:rPr>
          <w:rFonts w:eastAsia="Times New Roman"/>
          <w:sz w:val="22"/>
          <w:szCs w:val="22"/>
          <w:lang w:val="en-NZ" w:eastAsia="en-US" w:bidi="he-IL"/>
        </w:rPr>
        <w:t>LaRocque</w:t>
      </w:r>
      <w:proofErr w:type="spellEnd"/>
      <w:r w:rsidRPr="00B441BB">
        <w:rPr>
          <w:rFonts w:eastAsia="Times New Roman"/>
          <w:sz w:val="22"/>
          <w:szCs w:val="22"/>
          <w:lang w:val="en-NZ" w:eastAsia="en-US" w:bidi="he-IL"/>
        </w:rPr>
        <w:t xml:space="preserve">, N. (2005) </w:t>
      </w:r>
      <w:r w:rsidRPr="00B441BB">
        <w:rPr>
          <w:rFonts w:eastAsia="Times New Roman"/>
          <w:i/>
          <w:iCs/>
          <w:sz w:val="22"/>
          <w:szCs w:val="22"/>
          <w:lang w:val="en-NZ" w:eastAsia="en-US" w:bidi="he-IL"/>
        </w:rPr>
        <w:t>School Zoning: Locking Kids Out or Letting Them In?</w:t>
      </w:r>
      <w:proofErr w:type="gramEnd"/>
      <w:r w:rsidRPr="00B441BB">
        <w:rPr>
          <w:rFonts w:eastAsia="Times New Roman"/>
          <w:i/>
          <w:iCs/>
          <w:sz w:val="22"/>
          <w:szCs w:val="22"/>
          <w:lang w:val="en-NZ" w:eastAsia="en-US" w:bidi="he-IL"/>
        </w:rPr>
        <w:t xml:space="preserve"> </w:t>
      </w:r>
      <w:r w:rsidRPr="00B441BB">
        <w:rPr>
          <w:rFonts w:eastAsia="Times New Roman"/>
          <w:sz w:val="22"/>
          <w:szCs w:val="22"/>
          <w:lang w:val="en-NZ" w:eastAsia="en-US" w:bidi="he-IL"/>
        </w:rPr>
        <w:t xml:space="preserve">Paper presented at the Rotary Club of Wellington Conference, February, 2005. </w:t>
      </w:r>
    </w:p>
    <w:p w:rsidR="0099269C" w:rsidRPr="00B441BB" w:rsidRDefault="0099269C" w:rsidP="0099269C">
      <w:pPr>
        <w:spacing w:after="140"/>
        <w:ind w:left="426" w:hanging="426"/>
        <w:jc w:val="both"/>
        <w:rPr>
          <w:rFonts w:eastAsia="Times New Roman"/>
          <w:sz w:val="22"/>
          <w:szCs w:val="22"/>
          <w:lang w:val="en-NZ" w:eastAsia="en-US" w:bidi="he-IL"/>
        </w:rPr>
      </w:pPr>
      <w:r>
        <w:rPr>
          <w:rFonts w:eastAsia="Times New Roman"/>
          <w:sz w:val="22"/>
          <w:szCs w:val="22"/>
          <w:lang w:val="en-NZ" w:eastAsia="en-US" w:bidi="he-IL"/>
        </w:rPr>
        <w:tab/>
      </w:r>
      <w:r w:rsidRPr="00B441BB">
        <w:rPr>
          <w:rFonts w:eastAsia="Times New Roman"/>
          <w:sz w:val="22"/>
          <w:szCs w:val="22"/>
          <w:lang w:val="en-NZ" w:eastAsia="en-US" w:bidi="he-IL"/>
        </w:rPr>
        <w:t>Retrieved from http://nzinitiative.org.nz/site/nzbr/files/speeches/speeches-2005/wr100205.pdf</w:t>
      </w:r>
    </w:p>
    <w:p w:rsidR="0099269C" w:rsidRPr="00B441BB" w:rsidRDefault="0099269C" w:rsidP="0099269C">
      <w:pPr>
        <w:spacing w:after="140"/>
        <w:ind w:left="426" w:hanging="426"/>
        <w:jc w:val="both"/>
        <w:rPr>
          <w:rFonts w:eastAsia="Times New Roman"/>
          <w:sz w:val="22"/>
          <w:szCs w:val="22"/>
          <w:lang w:val="en-NZ" w:eastAsia="en-US" w:bidi="he-IL"/>
        </w:rPr>
      </w:pPr>
      <w:proofErr w:type="spellStart"/>
      <w:r>
        <w:rPr>
          <w:rFonts w:eastAsia="Times New Roman"/>
          <w:sz w:val="22"/>
          <w:szCs w:val="22"/>
          <w:lang w:val="en-NZ" w:eastAsia="en-US" w:bidi="he-IL"/>
        </w:rPr>
        <w:t>Lubienski</w:t>
      </w:r>
      <w:proofErr w:type="spellEnd"/>
      <w:r>
        <w:rPr>
          <w:rFonts w:eastAsia="Times New Roman"/>
          <w:sz w:val="22"/>
          <w:szCs w:val="22"/>
          <w:lang w:val="en-NZ" w:eastAsia="en-US" w:bidi="he-IL"/>
        </w:rPr>
        <w:t>, C., Lee, J.</w:t>
      </w:r>
      <w:r w:rsidRPr="00B441BB">
        <w:rPr>
          <w:rFonts w:eastAsia="Times New Roman"/>
          <w:sz w:val="22"/>
          <w:szCs w:val="22"/>
          <w:lang w:val="en-NZ" w:eastAsia="en-US" w:bidi="he-IL"/>
        </w:rPr>
        <w:t xml:space="preserve"> and Gordon, L.  (2013) </w:t>
      </w:r>
      <w:r>
        <w:rPr>
          <w:rFonts w:eastAsia="Times New Roman"/>
          <w:sz w:val="22"/>
          <w:szCs w:val="22"/>
          <w:lang w:val="en-NZ" w:eastAsia="en-US" w:bidi="he-IL"/>
        </w:rPr>
        <w:t>'</w:t>
      </w:r>
      <w:r w:rsidRPr="00B441BB">
        <w:rPr>
          <w:rFonts w:eastAsia="Times New Roman"/>
          <w:sz w:val="22"/>
          <w:szCs w:val="22"/>
          <w:lang w:val="en-NZ" w:eastAsia="en-US" w:bidi="he-IL"/>
        </w:rPr>
        <w:t xml:space="preserve">Self-managing schools and access for disadvantaged students: Organizational behaviour and school </w:t>
      </w:r>
      <w:proofErr w:type="gramStart"/>
      <w:r w:rsidRPr="00B441BB">
        <w:rPr>
          <w:rFonts w:eastAsia="Times New Roman"/>
          <w:sz w:val="22"/>
          <w:szCs w:val="22"/>
          <w:lang w:val="en-NZ" w:eastAsia="en-US" w:bidi="he-IL"/>
        </w:rPr>
        <w:t>admissions</w:t>
      </w:r>
      <w:r>
        <w:rPr>
          <w:rFonts w:eastAsia="Times New Roman"/>
          <w:sz w:val="22"/>
          <w:szCs w:val="22"/>
          <w:lang w:val="en-NZ" w:eastAsia="en-US" w:bidi="he-IL"/>
        </w:rPr>
        <w:t>'</w:t>
      </w:r>
      <w:r w:rsidRPr="00B441BB">
        <w:rPr>
          <w:rFonts w:eastAsia="Times New Roman"/>
          <w:sz w:val="22"/>
          <w:szCs w:val="22"/>
          <w:lang w:val="en-NZ" w:eastAsia="en-US" w:bidi="he-IL"/>
        </w:rPr>
        <w:t xml:space="preserve">  </w:t>
      </w:r>
      <w:r w:rsidRPr="00B441BB">
        <w:rPr>
          <w:rFonts w:eastAsia="Times New Roman"/>
          <w:i/>
          <w:sz w:val="22"/>
          <w:szCs w:val="22"/>
          <w:lang w:val="en-NZ" w:eastAsia="en-US" w:bidi="he-IL"/>
        </w:rPr>
        <w:t>New</w:t>
      </w:r>
      <w:proofErr w:type="gramEnd"/>
      <w:r w:rsidRPr="00B441BB">
        <w:rPr>
          <w:rFonts w:eastAsia="Times New Roman"/>
          <w:i/>
          <w:sz w:val="22"/>
          <w:szCs w:val="22"/>
          <w:lang w:val="en-NZ" w:eastAsia="en-US" w:bidi="he-IL"/>
        </w:rPr>
        <w:t xml:space="preserve"> Zealand Journal of Educational Studies </w:t>
      </w:r>
      <w:r w:rsidRPr="00B441BB">
        <w:rPr>
          <w:rFonts w:eastAsia="Times New Roman"/>
          <w:sz w:val="22"/>
          <w:szCs w:val="22"/>
          <w:lang w:val="en-NZ" w:eastAsia="en-US" w:bidi="he-IL"/>
        </w:rPr>
        <w:t>48(1): 82-98.</w:t>
      </w:r>
    </w:p>
    <w:p w:rsidR="0099269C" w:rsidRPr="00B441BB" w:rsidRDefault="0099269C" w:rsidP="0099269C">
      <w:pPr>
        <w:spacing w:after="140"/>
        <w:ind w:left="426" w:hanging="426"/>
        <w:jc w:val="both"/>
        <w:rPr>
          <w:rFonts w:eastAsia="Times New Roman"/>
          <w:sz w:val="22"/>
          <w:szCs w:val="22"/>
          <w:lang w:val="en-NZ" w:eastAsia="en-US" w:bidi="he-IL"/>
        </w:rPr>
      </w:pPr>
      <w:proofErr w:type="spellStart"/>
      <w:proofErr w:type="gramStart"/>
      <w:r w:rsidRPr="00B441BB">
        <w:rPr>
          <w:rFonts w:eastAsia="Times New Roman"/>
          <w:sz w:val="22"/>
          <w:szCs w:val="22"/>
          <w:lang w:val="en-NZ" w:eastAsia="en-US" w:bidi="he-IL"/>
        </w:rPr>
        <w:t>McClay</w:t>
      </w:r>
      <w:proofErr w:type="spellEnd"/>
      <w:r w:rsidRPr="00B441BB">
        <w:rPr>
          <w:rFonts w:eastAsia="Times New Roman"/>
          <w:sz w:val="22"/>
          <w:szCs w:val="22"/>
          <w:lang w:val="en-NZ" w:eastAsia="en-US" w:bidi="he-IL"/>
        </w:rPr>
        <w:t xml:space="preserve">, S. and Harrison, R. (2003) </w:t>
      </w:r>
      <w:r>
        <w:rPr>
          <w:rFonts w:eastAsia="Times New Roman"/>
          <w:sz w:val="22"/>
          <w:szCs w:val="22"/>
          <w:lang w:val="en-NZ" w:eastAsia="en-US" w:bidi="he-IL"/>
        </w:rPr>
        <w:t>'</w:t>
      </w:r>
      <w:r w:rsidRPr="00B441BB">
        <w:rPr>
          <w:rFonts w:eastAsia="Times New Roman"/>
          <w:sz w:val="22"/>
          <w:szCs w:val="22"/>
          <w:lang w:val="en-NZ" w:eastAsia="en-US" w:bidi="he-IL"/>
        </w:rPr>
        <w:t>The impact of schooling zoning on residential house prices in Christchurch</w:t>
      </w:r>
      <w:r>
        <w:rPr>
          <w:rFonts w:eastAsia="Times New Roman"/>
          <w:sz w:val="22"/>
          <w:szCs w:val="22"/>
          <w:lang w:val="en-NZ" w:eastAsia="en-US" w:bidi="he-IL"/>
        </w:rPr>
        <w:t>'</w:t>
      </w:r>
      <w:r w:rsidRPr="00B441BB">
        <w:rPr>
          <w:rFonts w:eastAsia="Times New Roman"/>
          <w:sz w:val="22"/>
          <w:szCs w:val="22"/>
          <w:lang w:val="en-NZ" w:eastAsia="en-US" w:bidi="he-IL"/>
        </w:rPr>
        <w:t xml:space="preserve"> Paper presented at the New Zealand Association of Economists Conference, June 2003.</w:t>
      </w:r>
      <w:proofErr w:type="gramEnd"/>
    </w:p>
    <w:p w:rsidR="0099269C" w:rsidRPr="00B441BB" w:rsidRDefault="0099269C" w:rsidP="0099269C">
      <w:pPr>
        <w:spacing w:after="140"/>
        <w:ind w:left="426" w:hanging="426"/>
        <w:jc w:val="both"/>
        <w:rPr>
          <w:rFonts w:eastAsia="Times New Roman"/>
          <w:sz w:val="22"/>
          <w:szCs w:val="22"/>
          <w:lang w:val="en-NZ" w:eastAsia="en-US" w:bidi="he-IL"/>
        </w:rPr>
      </w:pPr>
      <w:proofErr w:type="spellStart"/>
      <w:r w:rsidRPr="00B441BB">
        <w:rPr>
          <w:rFonts w:eastAsia="Times New Roman"/>
          <w:sz w:val="22"/>
          <w:szCs w:val="22"/>
          <w:lang w:val="en-NZ" w:eastAsia="en-US" w:bidi="he-IL"/>
        </w:rPr>
        <w:t>Machin</w:t>
      </w:r>
      <w:proofErr w:type="spellEnd"/>
      <w:r w:rsidRPr="00B441BB">
        <w:rPr>
          <w:rFonts w:eastAsia="Times New Roman"/>
          <w:sz w:val="22"/>
          <w:szCs w:val="22"/>
          <w:lang w:val="en-NZ" w:eastAsia="en-US" w:bidi="he-IL"/>
        </w:rPr>
        <w:t xml:space="preserve">, S. (2011) </w:t>
      </w:r>
      <w:r>
        <w:rPr>
          <w:rFonts w:eastAsia="Times New Roman"/>
          <w:sz w:val="22"/>
          <w:szCs w:val="22"/>
          <w:lang w:val="en-NZ" w:eastAsia="en-US" w:bidi="he-IL"/>
        </w:rPr>
        <w:t>'</w:t>
      </w:r>
      <w:r w:rsidRPr="00B441BB">
        <w:rPr>
          <w:rFonts w:eastAsia="Times New Roman"/>
          <w:sz w:val="22"/>
          <w:szCs w:val="22"/>
          <w:lang w:val="en-NZ" w:eastAsia="en-US" w:bidi="he-IL"/>
        </w:rPr>
        <w:t>Houses and schools: Valuation of school quality through the housing market</w:t>
      </w:r>
      <w:r>
        <w:rPr>
          <w:rFonts w:eastAsia="Times New Roman"/>
          <w:sz w:val="22"/>
          <w:szCs w:val="22"/>
          <w:lang w:val="en-NZ" w:eastAsia="en-US" w:bidi="he-IL"/>
        </w:rPr>
        <w:t>'</w:t>
      </w:r>
      <w:r w:rsidRPr="00B441BB">
        <w:rPr>
          <w:rFonts w:eastAsia="Times New Roman"/>
          <w:sz w:val="22"/>
          <w:szCs w:val="22"/>
          <w:lang w:val="en-NZ" w:eastAsia="en-US" w:bidi="he-IL"/>
        </w:rPr>
        <w:t xml:space="preserve"> </w:t>
      </w:r>
      <w:r w:rsidRPr="00B441BB">
        <w:rPr>
          <w:rFonts w:eastAsia="Times New Roman"/>
          <w:i/>
          <w:sz w:val="22"/>
          <w:szCs w:val="22"/>
          <w:lang w:val="en-NZ" w:eastAsia="en-US" w:bidi="he-IL"/>
        </w:rPr>
        <w:t>Labour Economics</w:t>
      </w:r>
      <w:r w:rsidRPr="00B441BB">
        <w:rPr>
          <w:rFonts w:eastAsia="Times New Roman"/>
          <w:sz w:val="22"/>
          <w:szCs w:val="22"/>
          <w:lang w:val="en-NZ" w:eastAsia="en-US" w:bidi="he-IL"/>
        </w:rPr>
        <w:t xml:space="preserve"> 18(6): 723-729.</w:t>
      </w:r>
    </w:p>
    <w:p w:rsidR="0099269C" w:rsidRPr="00B441BB" w:rsidRDefault="0099269C" w:rsidP="0099269C">
      <w:pPr>
        <w:spacing w:after="140"/>
        <w:ind w:left="426" w:hanging="426"/>
        <w:jc w:val="both"/>
        <w:rPr>
          <w:rFonts w:eastAsia="SimSun"/>
          <w:sz w:val="22"/>
          <w:szCs w:val="22"/>
          <w:lang w:val="en-NZ" w:eastAsia="zh-CN"/>
        </w:rPr>
      </w:pPr>
      <w:proofErr w:type="spellStart"/>
      <w:proofErr w:type="gramStart"/>
      <w:r w:rsidRPr="00B441BB">
        <w:rPr>
          <w:rFonts w:eastAsia="SimSun"/>
          <w:sz w:val="22"/>
          <w:szCs w:val="22"/>
          <w:lang w:val="en-NZ" w:eastAsia="zh-CN"/>
        </w:rPr>
        <w:lastRenderedPageBreak/>
        <w:t>Machin</w:t>
      </w:r>
      <w:proofErr w:type="spellEnd"/>
      <w:r w:rsidRPr="00B441BB">
        <w:rPr>
          <w:rFonts w:eastAsia="SimSun"/>
          <w:sz w:val="22"/>
          <w:szCs w:val="22"/>
          <w:lang w:val="en-NZ" w:eastAsia="zh-CN"/>
        </w:rPr>
        <w:t xml:space="preserve">, S. and </w:t>
      </w:r>
      <w:proofErr w:type="spellStart"/>
      <w:r w:rsidRPr="00B441BB">
        <w:rPr>
          <w:rFonts w:eastAsia="SimSun"/>
          <w:sz w:val="22"/>
          <w:szCs w:val="22"/>
          <w:lang w:val="en-NZ" w:eastAsia="zh-CN"/>
        </w:rPr>
        <w:t>Salvanes</w:t>
      </w:r>
      <w:proofErr w:type="spellEnd"/>
      <w:r w:rsidRPr="00B441BB">
        <w:rPr>
          <w:rFonts w:eastAsia="SimSun"/>
          <w:sz w:val="22"/>
          <w:szCs w:val="22"/>
          <w:lang w:val="en-NZ" w:eastAsia="zh-CN"/>
        </w:rPr>
        <w:t xml:space="preserve">, K. (2010) </w:t>
      </w:r>
      <w:r>
        <w:rPr>
          <w:rFonts w:eastAsia="SimSun"/>
          <w:sz w:val="22"/>
          <w:szCs w:val="22"/>
          <w:lang w:val="en-NZ" w:eastAsia="zh-CN"/>
        </w:rPr>
        <w:t>'</w:t>
      </w:r>
      <w:r w:rsidRPr="00B441BB">
        <w:rPr>
          <w:rFonts w:eastAsia="SimSun"/>
          <w:sz w:val="22"/>
          <w:szCs w:val="22"/>
          <w:lang w:val="en-NZ" w:eastAsia="zh-CN"/>
        </w:rPr>
        <w:t>Valuing school quality via a school choice reform</w:t>
      </w:r>
      <w:r>
        <w:rPr>
          <w:rFonts w:eastAsia="SimSun"/>
          <w:sz w:val="22"/>
          <w:szCs w:val="22"/>
          <w:lang w:val="en-NZ" w:eastAsia="zh-CN"/>
        </w:rPr>
        <w:t>'</w:t>
      </w:r>
      <w:r w:rsidRPr="00B441BB">
        <w:rPr>
          <w:rFonts w:eastAsia="SimSun"/>
          <w:sz w:val="22"/>
          <w:szCs w:val="22"/>
          <w:lang w:val="en-NZ" w:eastAsia="zh-CN"/>
        </w:rPr>
        <w:t xml:space="preserve"> </w:t>
      </w:r>
      <w:r w:rsidRPr="00B441BB">
        <w:rPr>
          <w:rFonts w:eastAsia="SimSun"/>
          <w:i/>
          <w:iCs/>
          <w:sz w:val="22"/>
          <w:szCs w:val="22"/>
          <w:lang w:val="en-NZ" w:eastAsia="zh-CN"/>
        </w:rPr>
        <w:t>IZA Discussion Papers, No. 4719.</w:t>
      </w:r>
      <w:proofErr w:type="gramEnd"/>
      <w:r w:rsidRPr="00B441BB">
        <w:rPr>
          <w:rFonts w:eastAsia="SimSun"/>
          <w:i/>
          <w:iCs/>
          <w:sz w:val="22"/>
          <w:szCs w:val="22"/>
          <w:lang w:val="en-NZ" w:eastAsia="zh-CN"/>
        </w:rPr>
        <w:t xml:space="preserve"> </w:t>
      </w:r>
    </w:p>
    <w:p w:rsidR="0099269C" w:rsidRPr="00B441BB" w:rsidRDefault="0099269C" w:rsidP="0099269C">
      <w:pPr>
        <w:spacing w:after="140"/>
        <w:ind w:left="426" w:hanging="426"/>
        <w:jc w:val="both"/>
        <w:rPr>
          <w:rFonts w:eastAsia="SimSun"/>
          <w:sz w:val="22"/>
          <w:szCs w:val="22"/>
          <w:lang w:val="en-NZ" w:eastAsia="zh-CN"/>
        </w:rPr>
      </w:pPr>
      <w:r w:rsidRPr="00B441BB">
        <w:rPr>
          <w:rFonts w:eastAsia="SimSun"/>
          <w:sz w:val="22"/>
          <w:szCs w:val="22"/>
          <w:lang w:val="en-NZ" w:eastAsia="zh-CN"/>
        </w:rPr>
        <w:t xml:space="preserve">Ministry of Education (2014) </w:t>
      </w:r>
      <w:r w:rsidRPr="00B441BB">
        <w:rPr>
          <w:rFonts w:eastAsia="SimSun"/>
          <w:i/>
          <w:iCs/>
          <w:sz w:val="22"/>
          <w:szCs w:val="22"/>
          <w:lang w:val="en-NZ" w:eastAsia="zh-CN"/>
        </w:rPr>
        <w:t xml:space="preserve">School </w:t>
      </w:r>
      <w:proofErr w:type="spellStart"/>
      <w:r w:rsidRPr="00B441BB">
        <w:rPr>
          <w:rFonts w:eastAsia="SimSun"/>
          <w:i/>
          <w:iCs/>
          <w:sz w:val="22"/>
          <w:szCs w:val="22"/>
          <w:lang w:val="en-NZ" w:eastAsia="zh-CN"/>
        </w:rPr>
        <w:t>decile</w:t>
      </w:r>
      <w:proofErr w:type="spellEnd"/>
      <w:r w:rsidRPr="00B441BB">
        <w:rPr>
          <w:rFonts w:eastAsia="SimSun"/>
          <w:i/>
          <w:iCs/>
          <w:sz w:val="22"/>
          <w:szCs w:val="22"/>
          <w:lang w:val="en-NZ" w:eastAsia="zh-CN"/>
        </w:rPr>
        <w:t xml:space="preserve"> ratings</w:t>
      </w:r>
      <w:r w:rsidRPr="00B441BB">
        <w:rPr>
          <w:rFonts w:eastAsia="SimSun"/>
          <w:sz w:val="22"/>
          <w:szCs w:val="22"/>
          <w:lang w:val="en-NZ" w:eastAsia="zh-CN"/>
        </w:rPr>
        <w:t xml:space="preserve"> Retrieved from: </w:t>
      </w:r>
      <w:hyperlink r:id="rId26" w:history="1">
        <w:r w:rsidRPr="00B441BB">
          <w:rPr>
            <w:rFonts w:eastAsia="SimSun"/>
            <w:color w:val="0000FF"/>
            <w:sz w:val="22"/>
            <w:szCs w:val="22"/>
            <w:u w:val="single"/>
            <w:lang w:val="en-NZ" w:eastAsia="zh-CN"/>
          </w:rPr>
          <w:t>http://www.minedu.govt.nz/</w:t>
        </w:r>
      </w:hyperlink>
    </w:p>
    <w:p w:rsidR="0099269C" w:rsidRPr="00B441BB" w:rsidRDefault="0099269C" w:rsidP="0099269C">
      <w:pPr>
        <w:spacing w:after="140"/>
        <w:ind w:left="426" w:hanging="426"/>
        <w:jc w:val="both"/>
        <w:rPr>
          <w:rFonts w:eastAsia="Times New Roman"/>
          <w:sz w:val="22"/>
          <w:szCs w:val="22"/>
          <w:lang w:val="en-NZ" w:eastAsia="en-US" w:bidi="he-IL"/>
        </w:rPr>
      </w:pPr>
      <w:proofErr w:type="gramStart"/>
      <w:r w:rsidRPr="00B441BB">
        <w:rPr>
          <w:rFonts w:eastAsia="Times New Roman"/>
          <w:sz w:val="22"/>
          <w:szCs w:val="22"/>
          <w:lang w:val="en-NZ" w:eastAsia="en-US" w:bidi="he-IL"/>
        </w:rPr>
        <w:t xml:space="preserve">OECD (2013) </w:t>
      </w:r>
      <w:r>
        <w:rPr>
          <w:rFonts w:eastAsia="Times New Roman"/>
          <w:sz w:val="22"/>
          <w:szCs w:val="22"/>
          <w:lang w:val="en-NZ" w:eastAsia="en-US" w:bidi="he-IL"/>
        </w:rPr>
        <w:t>'</w:t>
      </w:r>
      <w:r w:rsidRPr="00B441BB">
        <w:rPr>
          <w:rFonts w:eastAsia="Times New Roman"/>
          <w:sz w:val="22"/>
          <w:szCs w:val="22"/>
          <w:lang w:val="en-NZ" w:eastAsia="en-US" w:bidi="he-IL"/>
        </w:rPr>
        <w:t>Improving school-to-work transitions</w:t>
      </w:r>
      <w:r>
        <w:rPr>
          <w:rFonts w:eastAsia="Times New Roman"/>
          <w:sz w:val="22"/>
          <w:szCs w:val="22"/>
          <w:lang w:val="en-NZ" w:eastAsia="en-US" w:bidi="he-IL"/>
        </w:rPr>
        <w:t>'</w:t>
      </w:r>
      <w:r w:rsidRPr="00B441BB">
        <w:rPr>
          <w:rFonts w:eastAsia="Times New Roman"/>
          <w:sz w:val="22"/>
          <w:szCs w:val="22"/>
          <w:lang w:val="en-NZ" w:eastAsia="en-US" w:bidi="he-IL"/>
        </w:rPr>
        <w:t xml:space="preserve">, in </w:t>
      </w:r>
      <w:r w:rsidRPr="00B441BB">
        <w:rPr>
          <w:rFonts w:eastAsia="Times New Roman"/>
          <w:i/>
          <w:sz w:val="22"/>
          <w:szCs w:val="22"/>
          <w:lang w:val="en-NZ" w:eastAsia="en-US" w:bidi="he-IL"/>
        </w:rPr>
        <w:t>OECD Economic Surveys: New Zealand 2013</w:t>
      </w:r>
      <w:r w:rsidRPr="00B441BB">
        <w:rPr>
          <w:rFonts w:eastAsia="Times New Roman"/>
          <w:sz w:val="22"/>
          <w:szCs w:val="22"/>
          <w:lang w:val="en-NZ" w:eastAsia="en-US" w:bidi="he-IL"/>
        </w:rPr>
        <w:t>, OECD Publishing.</w:t>
      </w:r>
      <w:proofErr w:type="gramEnd"/>
      <w:r w:rsidRPr="00B441BB">
        <w:rPr>
          <w:rFonts w:eastAsia="Times New Roman"/>
          <w:sz w:val="22"/>
          <w:szCs w:val="22"/>
          <w:lang w:val="en-NZ" w:eastAsia="en-US" w:bidi="he-IL"/>
        </w:rPr>
        <w:t xml:space="preserve"> </w:t>
      </w:r>
      <w:hyperlink r:id="rId27" w:history="1">
        <w:r w:rsidRPr="00B441BB">
          <w:rPr>
            <w:rStyle w:val="Hyperlink"/>
            <w:rFonts w:eastAsia="Times New Roman"/>
            <w:sz w:val="22"/>
            <w:szCs w:val="22"/>
            <w:lang w:val="en-NZ" w:eastAsia="en-US" w:bidi="he-IL"/>
          </w:rPr>
          <w:t>http://dx.doi.org/10.1787/eco_surveys-nzl-2013-5-en</w:t>
        </w:r>
      </w:hyperlink>
      <w:r w:rsidRPr="00B441BB">
        <w:rPr>
          <w:rFonts w:eastAsia="Times New Roman"/>
          <w:sz w:val="22"/>
          <w:szCs w:val="22"/>
          <w:lang w:val="en-NZ" w:eastAsia="en-US" w:bidi="he-IL"/>
        </w:rPr>
        <w:t xml:space="preserve"> </w:t>
      </w:r>
    </w:p>
    <w:p w:rsidR="0099269C" w:rsidRPr="00B441BB" w:rsidRDefault="0099269C" w:rsidP="0099269C">
      <w:pPr>
        <w:spacing w:after="140"/>
        <w:ind w:left="426" w:hanging="426"/>
        <w:jc w:val="both"/>
        <w:rPr>
          <w:rFonts w:eastAsia="Times New Roman"/>
          <w:sz w:val="22"/>
          <w:szCs w:val="22"/>
          <w:lang w:val="en-NZ" w:eastAsia="en-US" w:bidi="he-IL"/>
        </w:rPr>
      </w:pPr>
      <w:proofErr w:type="gramStart"/>
      <w:r w:rsidRPr="00B441BB">
        <w:rPr>
          <w:rFonts w:eastAsia="Times New Roman"/>
          <w:sz w:val="22"/>
          <w:szCs w:val="22"/>
          <w:lang w:val="en-NZ" w:eastAsia="en-US" w:bidi="he-IL"/>
        </w:rPr>
        <w:t>Pear</w:t>
      </w:r>
      <w:r>
        <w:rPr>
          <w:rFonts w:eastAsia="Times New Roman"/>
          <w:sz w:val="22"/>
          <w:szCs w:val="22"/>
          <w:lang w:val="en-NZ" w:eastAsia="en-US" w:bidi="he-IL"/>
        </w:rPr>
        <w:t xml:space="preserve">ce, J., Witten, K., </w:t>
      </w:r>
      <w:proofErr w:type="spellStart"/>
      <w:r>
        <w:rPr>
          <w:rFonts w:eastAsia="Times New Roman"/>
          <w:sz w:val="22"/>
          <w:szCs w:val="22"/>
          <w:lang w:val="en-NZ" w:eastAsia="en-US" w:bidi="he-IL"/>
        </w:rPr>
        <w:t>Hiscock</w:t>
      </w:r>
      <w:proofErr w:type="spellEnd"/>
      <w:r>
        <w:rPr>
          <w:rFonts w:eastAsia="Times New Roman"/>
          <w:sz w:val="22"/>
          <w:szCs w:val="22"/>
          <w:lang w:val="en-NZ" w:eastAsia="en-US" w:bidi="he-IL"/>
        </w:rPr>
        <w:t>, R.</w:t>
      </w:r>
      <w:r w:rsidRPr="00B441BB">
        <w:rPr>
          <w:rFonts w:eastAsia="Times New Roman"/>
          <w:sz w:val="22"/>
          <w:szCs w:val="22"/>
          <w:lang w:val="en-NZ" w:eastAsia="en-US" w:bidi="he-IL"/>
        </w:rPr>
        <w:t xml:space="preserve"> and Blakely, T. (2007) </w:t>
      </w:r>
      <w:r>
        <w:rPr>
          <w:rFonts w:eastAsia="Times New Roman"/>
          <w:sz w:val="22"/>
          <w:szCs w:val="22"/>
          <w:lang w:val="en-NZ" w:eastAsia="en-US" w:bidi="he-IL"/>
        </w:rPr>
        <w:t>'</w:t>
      </w:r>
      <w:r w:rsidRPr="00B441BB">
        <w:rPr>
          <w:rFonts w:eastAsia="Times New Roman"/>
          <w:sz w:val="22"/>
          <w:szCs w:val="22"/>
          <w:lang w:val="en-NZ" w:eastAsia="en-US" w:bidi="he-IL"/>
        </w:rPr>
        <w:t>Are socially disadvantaged neighbourhoods deprived of health-related community resources?</w:t>
      </w:r>
      <w:r>
        <w:rPr>
          <w:rFonts w:eastAsia="Times New Roman"/>
          <w:sz w:val="22"/>
          <w:szCs w:val="22"/>
          <w:lang w:val="en-NZ" w:eastAsia="en-US" w:bidi="he-IL"/>
        </w:rPr>
        <w:t>'</w:t>
      </w:r>
      <w:proofErr w:type="gramEnd"/>
      <w:r w:rsidRPr="00B441BB">
        <w:rPr>
          <w:rFonts w:eastAsia="Times New Roman"/>
          <w:sz w:val="22"/>
          <w:szCs w:val="22"/>
          <w:lang w:val="en-NZ" w:eastAsia="en-US" w:bidi="he-IL"/>
        </w:rPr>
        <w:t> </w:t>
      </w:r>
      <w:r w:rsidRPr="00B441BB">
        <w:rPr>
          <w:rFonts w:eastAsia="Times New Roman"/>
          <w:i/>
          <w:iCs/>
          <w:sz w:val="22"/>
          <w:szCs w:val="22"/>
          <w:lang w:val="en-NZ" w:eastAsia="en-US" w:bidi="he-IL"/>
        </w:rPr>
        <w:t>International Journal of Epidemiology</w:t>
      </w:r>
      <w:r w:rsidRPr="00B441BB">
        <w:rPr>
          <w:rFonts w:eastAsia="Times New Roman"/>
          <w:sz w:val="22"/>
          <w:szCs w:val="22"/>
          <w:lang w:val="en-NZ" w:eastAsia="en-US" w:bidi="he-IL"/>
        </w:rPr>
        <w:t> </w:t>
      </w:r>
      <w:r w:rsidRPr="00B441BB">
        <w:rPr>
          <w:rFonts w:eastAsia="Times New Roman"/>
          <w:iCs/>
          <w:sz w:val="22"/>
          <w:szCs w:val="22"/>
          <w:lang w:val="en-NZ" w:eastAsia="en-US" w:bidi="he-IL"/>
        </w:rPr>
        <w:t>36</w:t>
      </w:r>
      <w:r w:rsidRPr="00B441BB">
        <w:rPr>
          <w:rFonts w:eastAsia="Times New Roman"/>
          <w:sz w:val="22"/>
          <w:szCs w:val="22"/>
          <w:lang w:val="en-NZ" w:eastAsia="en-US" w:bidi="he-IL"/>
        </w:rPr>
        <w:t>(2): 348-355.</w:t>
      </w:r>
    </w:p>
    <w:p w:rsidR="0099269C" w:rsidRPr="00B441BB" w:rsidRDefault="0099269C" w:rsidP="0099269C">
      <w:pPr>
        <w:spacing w:after="140"/>
        <w:ind w:left="426" w:hanging="426"/>
        <w:jc w:val="both"/>
        <w:rPr>
          <w:rFonts w:eastAsia="Times New Roman"/>
          <w:sz w:val="22"/>
          <w:szCs w:val="22"/>
          <w:lang w:val="en-NZ" w:eastAsia="en-US" w:bidi="he-IL"/>
        </w:rPr>
      </w:pPr>
      <w:proofErr w:type="spellStart"/>
      <w:r w:rsidRPr="00B441BB">
        <w:rPr>
          <w:rFonts w:eastAsia="Times New Roman"/>
          <w:sz w:val="22"/>
          <w:szCs w:val="22"/>
          <w:lang w:val="en-NZ" w:eastAsia="en-US" w:bidi="he-IL"/>
        </w:rPr>
        <w:t>Reback</w:t>
      </w:r>
      <w:proofErr w:type="spellEnd"/>
      <w:r w:rsidRPr="00B441BB">
        <w:rPr>
          <w:rFonts w:eastAsia="Times New Roman"/>
          <w:sz w:val="22"/>
          <w:szCs w:val="22"/>
          <w:lang w:val="en-NZ" w:eastAsia="en-US" w:bidi="he-IL"/>
        </w:rPr>
        <w:t xml:space="preserve">, R. (2005) </w:t>
      </w:r>
      <w:r>
        <w:rPr>
          <w:rFonts w:eastAsia="Times New Roman"/>
          <w:sz w:val="22"/>
          <w:szCs w:val="22"/>
          <w:lang w:val="en-NZ" w:eastAsia="en-US" w:bidi="he-IL"/>
        </w:rPr>
        <w:t>'</w:t>
      </w:r>
      <w:r w:rsidRPr="00B441BB">
        <w:rPr>
          <w:rFonts w:eastAsia="Times New Roman"/>
          <w:sz w:val="22"/>
          <w:szCs w:val="22"/>
          <w:lang w:val="en-NZ" w:eastAsia="en-US" w:bidi="he-IL"/>
        </w:rPr>
        <w:t>House prices and the provision of local public services: capitalization under school choice programs</w:t>
      </w:r>
      <w:r>
        <w:rPr>
          <w:rFonts w:eastAsia="Times New Roman"/>
          <w:sz w:val="22"/>
          <w:szCs w:val="22"/>
          <w:lang w:val="en-NZ" w:eastAsia="en-US" w:bidi="he-IL"/>
        </w:rPr>
        <w:t>'</w:t>
      </w:r>
      <w:r w:rsidRPr="00B441BB">
        <w:rPr>
          <w:rFonts w:eastAsia="Times New Roman"/>
          <w:sz w:val="22"/>
          <w:szCs w:val="22"/>
          <w:lang w:val="en-NZ" w:eastAsia="en-US" w:bidi="he-IL"/>
        </w:rPr>
        <w:t xml:space="preserve"> </w:t>
      </w:r>
      <w:r w:rsidRPr="00B441BB">
        <w:rPr>
          <w:rFonts w:eastAsia="Times New Roman"/>
          <w:i/>
          <w:iCs/>
          <w:sz w:val="22"/>
          <w:szCs w:val="22"/>
          <w:lang w:val="en-NZ" w:eastAsia="en-US" w:bidi="he-IL"/>
        </w:rPr>
        <w:t>Journal of Urban Economics</w:t>
      </w:r>
      <w:r w:rsidRPr="00B441BB">
        <w:rPr>
          <w:rFonts w:eastAsia="Times New Roman"/>
          <w:iCs/>
          <w:sz w:val="22"/>
          <w:szCs w:val="22"/>
          <w:lang w:val="en-NZ" w:eastAsia="en-US" w:bidi="he-IL"/>
        </w:rPr>
        <w:t xml:space="preserve"> 57(2): 275-301</w:t>
      </w:r>
      <w:r w:rsidRPr="00B441BB">
        <w:rPr>
          <w:rFonts w:eastAsia="Times New Roman"/>
          <w:sz w:val="22"/>
          <w:szCs w:val="22"/>
          <w:lang w:val="en-NZ" w:eastAsia="en-US" w:bidi="he-IL"/>
        </w:rPr>
        <w:t>.</w:t>
      </w:r>
    </w:p>
    <w:p w:rsidR="0099269C" w:rsidRPr="00B441BB" w:rsidRDefault="0099269C" w:rsidP="0099269C">
      <w:pPr>
        <w:spacing w:after="140"/>
        <w:ind w:left="426" w:hanging="426"/>
        <w:jc w:val="both"/>
        <w:rPr>
          <w:rFonts w:eastAsia="Times New Roman"/>
          <w:sz w:val="22"/>
          <w:szCs w:val="22"/>
          <w:lang w:val="en-NZ" w:eastAsia="en-US" w:bidi="he-IL"/>
        </w:rPr>
      </w:pPr>
      <w:proofErr w:type="spellStart"/>
      <w:r w:rsidRPr="00B441BB">
        <w:rPr>
          <w:rFonts w:eastAsia="Times New Roman"/>
          <w:sz w:val="22"/>
          <w:szCs w:val="22"/>
          <w:lang w:val="en-NZ" w:eastAsia="en-US" w:bidi="he-IL"/>
        </w:rPr>
        <w:t>Rehm</w:t>
      </w:r>
      <w:proofErr w:type="spellEnd"/>
      <w:r w:rsidRPr="00B441BB">
        <w:rPr>
          <w:rFonts w:eastAsia="Times New Roman"/>
          <w:sz w:val="22"/>
          <w:szCs w:val="22"/>
          <w:lang w:val="en-NZ" w:eastAsia="en-US" w:bidi="he-IL"/>
        </w:rPr>
        <w:t xml:space="preserve">, M. and </w:t>
      </w:r>
      <w:proofErr w:type="spellStart"/>
      <w:r w:rsidRPr="00B441BB">
        <w:rPr>
          <w:rFonts w:eastAsia="Times New Roman"/>
          <w:sz w:val="22"/>
          <w:szCs w:val="22"/>
          <w:lang w:val="en-NZ" w:eastAsia="en-US" w:bidi="he-IL"/>
        </w:rPr>
        <w:t>Filippova</w:t>
      </w:r>
      <w:proofErr w:type="spellEnd"/>
      <w:r w:rsidRPr="00B441BB">
        <w:rPr>
          <w:rFonts w:eastAsia="Times New Roman"/>
          <w:sz w:val="22"/>
          <w:szCs w:val="22"/>
          <w:lang w:val="en-NZ" w:eastAsia="en-US" w:bidi="he-IL"/>
        </w:rPr>
        <w:t xml:space="preserve">, O. (2008) </w:t>
      </w:r>
      <w:r>
        <w:rPr>
          <w:rFonts w:eastAsia="Times New Roman"/>
          <w:sz w:val="22"/>
          <w:szCs w:val="22"/>
          <w:lang w:val="en-NZ" w:eastAsia="en-US" w:bidi="he-IL"/>
        </w:rPr>
        <w:t>'</w:t>
      </w:r>
      <w:r w:rsidRPr="00B441BB">
        <w:rPr>
          <w:rFonts w:eastAsia="Times New Roman"/>
          <w:sz w:val="22"/>
          <w:szCs w:val="22"/>
          <w:lang w:val="en-NZ" w:eastAsia="en-US" w:bidi="he-IL"/>
        </w:rPr>
        <w:t>The impact of geographically defined school zones on house prices in New Zealand</w:t>
      </w:r>
      <w:r>
        <w:rPr>
          <w:rFonts w:eastAsia="Times New Roman"/>
          <w:sz w:val="22"/>
          <w:szCs w:val="22"/>
          <w:lang w:val="en-NZ" w:eastAsia="en-US" w:bidi="he-IL"/>
        </w:rPr>
        <w:t>'</w:t>
      </w:r>
      <w:r w:rsidRPr="00B441BB">
        <w:rPr>
          <w:rFonts w:eastAsia="Times New Roman"/>
          <w:sz w:val="22"/>
          <w:szCs w:val="22"/>
          <w:lang w:val="en-NZ" w:eastAsia="en-US" w:bidi="he-IL"/>
        </w:rPr>
        <w:t> </w:t>
      </w:r>
      <w:r w:rsidRPr="00B441BB">
        <w:rPr>
          <w:rFonts w:eastAsia="Times New Roman"/>
          <w:i/>
          <w:iCs/>
          <w:sz w:val="22"/>
          <w:szCs w:val="22"/>
          <w:lang w:val="en-NZ" w:eastAsia="en-US" w:bidi="he-IL"/>
        </w:rPr>
        <w:t>International Journal of Housing Markets and Analysis</w:t>
      </w:r>
      <w:r w:rsidRPr="00B441BB">
        <w:rPr>
          <w:rFonts w:eastAsia="Times New Roman"/>
          <w:sz w:val="22"/>
          <w:szCs w:val="22"/>
          <w:lang w:val="en-NZ" w:eastAsia="en-US" w:bidi="he-IL"/>
        </w:rPr>
        <w:t> </w:t>
      </w:r>
      <w:r w:rsidRPr="00B441BB">
        <w:rPr>
          <w:rFonts w:eastAsia="Times New Roman"/>
          <w:iCs/>
          <w:sz w:val="22"/>
          <w:szCs w:val="22"/>
          <w:lang w:val="en-NZ" w:eastAsia="en-US" w:bidi="he-IL"/>
        </w:rPr>
        <w:t>1</w:t>
      </w:r>
      <w:r w:rsidRPr="00B441BB">
        <w:rPr>
          <w:rFonts w:eastAsia="Times New Roman"/>
          <w:sz w:val="22"/>
          <w:szCs w:val="22"/>
          <w:lang w:val="en-NZ" w:eastAsia="en-US" w:bidi="he-IL"/>
        </w:rPr>
        <w:t>(4): 313-336.</w:t>
      </w:r>
    </w:p>
    <w:p w:rsidR="0099269C" w:rsidRPr="00B441BB" w:rsidRDefault="0099269C" w:rsidP="0099269C">
      <w:pPr>
        <w:spacing w:after="140"/>
        <w:ind w:left="426" w:hanging="426"/>
        <w:jc w:val="both"/>
        <w:rPr>
          <w:rFonts w:eastAsia="SimSun"/>
          <w:sz w:val="22"/>
          <w:szCs w:val="22"/>
          <w:lang w:val="en-NZ" w:eastAsia="zh-CN"/>
        </w:rPr>
      </w:pPr>
      <w:proofErr w:type="spellStart"/>
      <w:proofErr w:type="gramStart"/>
      <w:r w:rsidRPr="00B441BB">
        <w:rPr>
          <w:rFonts w:eastAsia="SimSun"/>
          <w:sz w:val="22"/>
          <w:szCs w:val="22"/>
          <w:lang w:val="en-NZ" w:eastAsia="zh-CN"/>
        </w:rPr>
        <w:t>Rothwell</w:t>
      </w:r>
      <w:proofErr w:type="spellEnd"/>
      <w:r w:rsidRPr="00B441BB">
        <w:rPr>
          <w:rFonts w:eastAsia="SimSun"/>
          <w:sz w:val="22"/>
          <w:szCs w:val="22"/>
          <w:lang w:val="en-NZ" w:eastAsia="zh-CN"/>
        </w:rPr>
        <w:t xml:space="preserve">, J. (2012) </w:t>
      </w:r>
      <w:r w:rsidRPr="00B441BB">
        <w:rPr>
          <w:rFonts w:eastAsia="SimSun"/>
          <w:i/>
          <w:sz w:val="22"/>
          <w:szCs w:val="22"/>
          <w:lang w:val="en-NZ" w:eastAsia="zh-CN"/>
        </w:rPr>
        <w:t>Housing Costs, Zoning, and Access to High-Scoring Schools</w:t>
      </w:r>
      <w:r w:rsidRPr="00B441BB">
        <w:rPr>
          <w:rFonts w:eastAsia="SimSun"/>
          <w:sz w:val="22"/>
          <w:szCs w:val="22"/>
          <w:lang w:val="en-NZ" w:eastAsia="zh-CN"/>
        </w:rPr>
        <w:t xml:space="preserve"> </w:t>
      </w:r>
      <w:r w:rsidRPr="00B441BB">
        <w:rPr>
          <w:rFonts w:eastAsia="SimSun"/>
          <w:iCs/>
          <w:sz w:val="22"/>
          <w:szCs w:val="22"/>
          <w:lang w:val="en-NZ" w:eastAsia="zh-CN"/>
        </w:rPr>
        <w:t>Brookings, Washington DC.</w:t>
      </w:r>
      <w:proofErr w:type="gramEnd"/>
      <w:r w:rsidRPr="00B441BB">
        <w:rPr>
          <w:rFonts w:eastAsia="SimSun"/>
          <w:sz w:val="22"/>
          <w:szCs w:val="22"/>
          <w:lang w:val="en-NZ" w:eastAsia="zh-CN"/>
        </w:rPr>
        <w:t xml:space="preserve"> </w:t>
      </w:r>
    </w:p>
    <w:p w:rsidR="0099269C" w:rsidRPr="00B441BB" w:rsidRDefault="0099269C" w:rsidP="0099269C">
      <w:pPr>
        <w:spacing w:after="140"/>
        <w:ind w:left="426" w:hanging="426"/>
        <w:jc w:val="both"/>
        <w:rPr>
          <w:rFonts w:eastAsia="Times New Roman"/>
          <w:sz w:val="22"/>
          <w:szCs w:val="22"/>
          <w:lang w:eastAsia="en-US" w:bidi="he-IL"/>
        </w:rPr>
      </w:pPr>
      <w:proofErr w:type="gramStart"/>
      <w:r w:rsidRPr="00B441BB">
        <w:rPr>
          <w:rFonts w:eastAsia="Times New Roman"/>
          <w:sz w:val="22"/>
          <w:szCs w:val="22"/>
          <w:lang w:eastAsia="en-US" w:bidi="he-IL"/>
        </w:rPr>
        <w:t>Scobie, G., Gibson, J., and Le, T. (2005) </w:t>
      </w:r>
      <w:r w:rsidRPr="00B441BB">
        <w:rPr>
          <w:rFonts w:eastAsia="Times New Roman"/>
          <w:i/>
          <w:iCs/>
          <w:sz w:val="22"/>
          <w:szCs w:val="22"/>
          <w:lang w:eastAsia="en-US" w:bidi="he-IL"/>
        </w:rPr>
        <w:t>Household Wealth in New Zealand</w:t>
      </w:r>
      <w:r w:rsidRPr="00B441BB">
        <w:rPr>
          <w:rFonts w:eastAsia="Times New Roman"/>
          <w:sz w:val="22"/>
          <w:szCs w:val="22"/>
          <w:lang w:eastAsia="en-US" w:bidi="he-IL"/>
        </w:rPr>
        <w:t>.</w:t>
      </w:r>
      <w:proofErr w:type="gramEnd"/>
      <w:r w:rsidRPr="00B441BB">
        <w:rPr>
          <w:rFonts w:eastAsia="Times New Roman"/>
          <w:sz w:val="22"/>
          <w:szCs w:val="22"/>
          <w:lang w:eastAsia="en-US" w:bidi="he-IL"/>
        </w:rPr>
        <w:t xml:space="preserve"> </w:t>
      </w:r>
      <w:proofErr w:type="gramStart"/>
      <w:r w:rsidRPr="00B441BB">
        <w:rPr>
          <w:rFonts w:eastAsia="Times New Roman"/>
          <w:sz w:val="22"/>
          <w:szCs w:val="22"/>
          <w:lang w:eastAsia="en-US" w:bidi="he-IL"/>
        </w:rPr>
        <w:t>Institute of Policy Studies, Wellington.</w:t>
      </w:r>
      <w:proofErr w:type="gramEnd"/>
    </w:p>
    <w:p w:rsidR="0099269C" w:rsidRPr="00B441BB" w:rsidRDefault="0099269C" w:rsidP="0099269C">
      <w:pPr>
        <w:spacing w:after="140"/>
        <w:ind w:left="426" w:hanging="426"/>
        <w:jc w:val="both"/>
        <w:rPr>
          <w:rFonts w:eastAsia="Times New Roman"/>
          <w:sz w:val="22"/>
          <w:szCs w:val="22"/>
          <w:lang w:val="en-NZ" w:eastAsia="en-US" w:bidi="he-IL"/>
        </w:rPr>
      </w:pPr>
      <w:r w:rsidRPr="00B441BB">
        <w:rPr>
          <w:rFonts w:eastAsia="Times New Roman"/>
          <w:sz w:val="22"/>
          <w:szCs w:val="22"/>
          <w:lang w:val="en-NZ" w:eastAsia="en-US" w:bidi="he-IL"/>
        </w:rPr>
        <w:t xml:space="preserve">Thomson, K. (2010) </w:t>
      </w:r>
      <w:r>
        <w:rPr>
          <w:rFonts w:eastAsia="Times New Roman"/>
          <w:sz w:val="22"/>
          <w:szCs w:val="22"/>
          <w:lang w:val="en-NZ" w:eastAsia="en-US" w:bidi="he-IL"/>
        </w:rPr>
        <w:t>'</w:t>
      </w:r>
      <w:r w:rsidRPr="00B441BB">
        <w:rPr>
          <w:rFonts w:eastAsia="Times New Roman"/>
          <w:sz w:val="22"/>
          <w:szCs w:val="22"/>
          <w:lang w:val="en-NZ" w:eastAsia="en-US" w:bidi="he-IL"/>
        </w:rPr>
        <w:t>Externalities and school enrolment policy: A supply-side analysis of school choice in New Zealand</w:t>
      </w:r>
      <w:r>
        <w:rPr>
          <w:rFonts w:eastAsia="Times New Roman"/>
          <w:sz w:val="22"/>
          <w:szCs w:val="22"/>
          <w:lang w:val="en-NZ" w:eastAsia="en-US" w:bidi="he-IL"/>
        </w:rPr>
        <w:t>'</w:t>
      </w:r>
      <w:r w:rsidRPr="00B441BB">
        <w:rPr>
          <w:rFonts w:eastAsia="Times New Roman"/>
          <w:sz w:val="22"/>
          <w:szCs w:val="22"/>
          <w:lang w:val="en-NZ" w:eastAsia="en-US" w:bidi="he-IL"/>
        </w:rPr>
        <w:t> </w:t>
      </w:r>
      <w:r w:rsidRPr="00B441BB">
        <w:rPr>
          <w:rFonts w:eastAsia="Times New Roman"/>
          <w:i/>
          <w:iCs/>
          <w:sz w:val="22"/>
          <w:szCs w:val="22"/>
          <w:lang w:val="en-NZ" w:eastAsia="en-US" w:bidi="he-IL"/>
        </w:rPr>
        <w:t>Journal of School Choice</w:t>
      </w:r>
      <w:r w:rsidRPr="00B441BB">
        <w:rPr>
          <w:rFonts w:eastAsia="Times New Roman"/>
          <w:sz w:val="22"/>
          <w:szCs w:val="22"/>
          <w:lang w:val="en-NZ" w:eastAsia="en-US" w:bidi="he-IL"/>
        </w:rPr>
        <w:t> </w:t>
      </w:r>
      <w:r w:rsidRPr="00B441BB">
        <w:rPr>
          <w:rFonts w:eastAsia="Times New Roman"/>
          <w:iCs/>
          <w:sz w:val="22"/>
          <w:szCs w:val="22"/>
          <w:lang w:val="en-NZ" w:eastAsia="en-US" w:bidi="he-IL"/>
        </w:rPr>
        <w:t>4</w:t>
      </w:r>
      <w:r w:rsidRPr="00B441BB">
        <w:rPr>
          <w:rFonts w:eastAsia="Times New Roman"/>
          <w:sz w:val="22"/>
          <w:szCs w:val="22"/>
          <w:lang w:val="en-NZ" w:eastAsia="en-US" w:bidi="he-IL"/>
        </w:rPr>
        <w:t>(4): 418-449.</w:t>
      </w:r>
    </w:p>
    <w:p w:rsidR="0099269C" w:rsidRDefault="0099269C" w:rsidP="0099269C">
      <w:pPr>
        <w:spacing w:after="140"/>
        <w:ind w:left="426" w:hanging="426"/>
        <w:jc w:val="both"/>
        <w:rPr>
          <w:rFonts w:eastAsia="Times New Roman"/>
          <w:sz w:val="22"/>
          <w:szCs w:val="22"/>
          <w:lang w:val="en-NZ" w:eastAsia="en-US" w:bidi="he-IL"/>
        </w:rPr>
      </w:pPr>
      <w:proofErr w:type="spellStart"/>
      <w:r w:rsidRPr="00B441BB">
        <w:rPr>
          <w:rFonts w:eastAsia="Times New Roman"/>
          <w:sz w:val="22"/>
          <w:szCs w:val="22"/>
          <w:lang w:val="en-NZ" w:eastAsia="en-US" w:bidi="he-IL"/>
        </w:rPr>
        <w:t>Tobler</w:t>
      </w:r>
      <w:proofErr w:type="spellEnd"/>
      <w:r w:rsidRPr="00B441BB">
        <w:rPr>
          <w:rFonts w:eastAsia="Times New Roman"/>
          <w:sz w:val="22"/>
          <w:szCs w:val="22"/>
          <w:lang w:val="en-NZ" w:eastAsia="en-US" w:bidi="he-IL"/>
        </w:rPr>
        <w:t xml:space="preserve">, W. R. (1970) </w:t>
      </w:r>
      <w:r>
        <w:rPr>
          <w:rFonts w:eastAsia="Times New Roman"/>
          <w:sz w:val="22"/>
          <w:szCs w:val="22"/>
          <w:lang w:val="en-NZ" w:eastAsia="en-US" w:bidi="he-IL"/>
        </w:rPr>
        <w:t>'</w:t>
      </w:r>
      <w:r w:rsidRPr="00B441BB">
        <w:rPr>
          <w:rFonts w:eastAsia="Times New Roman"/>
          <w:sz w:val="22"/>
          <w:szCs w:val="22"/>
          <w:lang w:val="en-NZ" w:eastAsia="en-US" w:bidi="he-IL"/>
        </w:rPr>
        <w:t>A computer movie simulating urban growth in the Detroit region</w:t>
      </w:r>
      <w:r>
        <w:rPr>
          <w:rFonts w:eastAsia="Times New Roman"/>
          <w:sz w:val="22"/>
          <w:szCs w:val="22"/>
          <w:lang w:val="en-NZ" w:eastAsia="en-US" w:bidi="he-IL"/>
        </w:rPr>
        <w:t>'</w:t>
      </w:r>
      <w:r w:rsidRPr="00B441BB">
        <w:rPr>
          <w:rFonts w:eastAsia="Times New Roman"/>
          <w:sz w:val="22"/>
          <w:szCs w:val="22"/>
          <w:lang w:val="en-NZ" w:eastAsia="en-US" w:bidi="he-IL"/>
        </w:rPr>
        <w:t xml:space="preserve"> </w:t>
      </w:r>
      <w:r w:rsidRPr="00B441BB">
        <w:rPr>
          <w:rFonts w:eastAsia="Times New Roman"/>
          <w:i/>
          <w:iCs/>
          <w:sz w:val="22"/>
          <w:szCs w:val="22"/>
          <w:lang w:val="en-NZ" w:eastAsia="en-US" w:bidi="he-IL"/>
        </w:rPr>
        <w:t>Economic Geography</w:t>
      </w:r>
      <w:r w:rsidRPr="00B441BB">
        <w:rPr>
          <w:rFonts w:eastAsia="Times New Roman"/>
          <w:sz w:val="22"/>
          <w:szCs w:val="22"/>
          <w:lang w:val="en-NZ" w:eastAsia="en-US" w:bidi="he-IL"/>
        </w:rPr>
        <w:t xml:space="preserve"> 46(2): 234-240</w:t>
      </w:r>
      <w:r>
        <w:rPr>
          <w:rFonts w:eastAsia="Times New Roman"/>
          <w:sz w:val="22"/>
          <w:szCs w:val="22"/>
          <w:lang w:val="en-NZ" w:eastAsia="en-US" w:bidi="he-IL"/>
        </w:rPr>
        <w:t>.</w:t>
      </w:r>
    </w:p>
    <w:p w:rsidR="00F22345" w:rsidRDefault="00F22345" w:rsidP="00DB3AAD">
      <w:pPr>
        <w:widowControl w:val="0"/>
        <w:tabs>
          <w:tab w:val="left" w:pos="426"/>
        </w:tabs>
        <w:spacing w:line="288" w:lineRule="auto"/>
        <w:jc w:val="both"/>
      </w:pPr>
      <w:r>
        <w:br w:type="page"/>
      </w:r>
    </w:p>
    <w:p w:rsidR="00F22345" w:rsidRDefault="00F22345" w:rsidP="00F22345">
      <w:pPr>
        <w:pStyle w:val="PlainText"/>
        <w:spacing w:after="40"/>
        <w:jc w:val="center"/>
        <w:rPr>
          <w:rFonts w:ascii="Times New Roman" w:hAnsi="Times New Roman" w:cs="Times New Roman"/>
          <w:sz w:val="22"/>
          <w:szCs w:val="22"/>
        </w:rPr>
        <w:sectPr w:rsidR="00F22345" w:rsidSect="000A67BF">
          <w:footerReference w:type="even" r:id="rId28"/>
          <w:footerReference w:type="default" r:id="rId29"/>
          <w:footerReference w:type="first" r:id="rId30"/>
          <w:pgSz w:w="11907" w:h="16840" w:code="9"/>
          <w:pgMar w:top="1440" w:right="1440" w:bottom="1440" w:left="1440" w:header="720" w:footer="720" w:gutter="0"/>
          <w:pgNumType w:start="1"/>
          <w:cols w:space="720"/>
          <w:docGrid w:linePitch="360"/>
        </w:sectPr>
      </w:pPr>
    </w:p>
    <w:tbl>
      <w:tblPr>
        <w:tblStyle w:val="TableGrid"/>
        <w:tblW w:w="15759" w:type="dxa"/>
        <w:tblLook w:val="04A0" w:firstRow="1" w:lastRow="0" w:firstColumn="1" w:lastColumn="0" w:noHBand="0" w:noVBand="1"/>
      </w:tblPr>
      <w:tblGrid>
        <w:gridCol w:w="3085"/>
        <w:gridCol w:w="1584"/>
        <w:gridCol w:w="1584"/>
        <w:gridCol w:w="1584"/>
        <w:gridCol w:w="1584"/>
        <w:gridCol w:w="1584"/>
        <w:gridCol w:w="1584"/>
        <w:gridCol w:w="1585"/>
        <w:gridCol w:w="1585"/>
      </w:tblGrid>
      <w:tr w:rsidR="00F22345" w:rsidRPr="00FF6DE6" w:rsidTr="009543A2">
        <w:trPr>
          <w:gridAfter w:val="1"/>
          <w:wAfter w:w="1585" w:type="dxa"/>
        </w:trPr>
        <w:tc>
          <w:tcPr>
            <w:tcW w:w="14174" w:type="dxa"/>
            <w:gridSpan w:val="8"/>
            <w:tcBorders>
              <w:top w:val="nil"/>
              <w:left w:val="nil"/>
              <w:bottom w:val="single" w:sz="4" w:space="0" w:color="auto"/>
              <w:right w:val="nil"/>
            </w:tcBorders>
          </w:tcPr>
          <w:p w:rsidR="009543A2" w:rsidRDefault="00F22345" w:rsidP="00F22345">
            <w:pPr>
              <w:pStyle w:val="PlainText"/>
              <w:spacing w:after="40"/>
              <w:jc w:val="center"/>
              <w:rPr>
                <w:rFonts w:ascii="Times New Roman" w:hAnsi="Times New Roman" w:cs="Times New Roman"/>
                <w:b/>
                <w:sz w:val="22"/>
                <w:szCs w:val="22"/>
              </w:rPr>
            </w:pPr>
            <w:r w:rsidRPr="00F22345">
              <w:rPr>
                <w:rFonts w:ascii="Times New Roman" w:hAnsi="Times New Roman" w:cs="Times New Roman"/>
                <w:b/>
                <w:sz w:val="22"/>
                <w:szCs w:val="22"/>
              </w:rPr>
              <w:lastRenderedPageBreak/>
              <w:t xml:space="preserve">Appendix </w:t>
            </w:r>
          </w:p>
          <w:p w:rsidR="00F22345" w:rsidRPr="00F22345" w:rsidRDefault="00F22345" w:rsidP="00F22345">
            <w:pPr>
              <w:pStyle w:val="PlainText"/>
              <w:spacing w:after="40"/>
              <w:jc w:val="center"/>
              <w:rPr>
                <w:rFonts w:ascii="Times New Roman" w:hAnsi="Times New Roman" w:cs="Times New Roman"/>
                <w:b/>
                <w:sz w:val="22"/>
                <w:szCs w:val="22"/>
              </w:rPr>
            </w:pPr>
            <w:r w:rsidRPr="00F22345">
              <w:rPr>
                <w:rFonts w:ascii="Times New Roman" w:hAnsi="Times New Roman" w:cs="Times New Roman"/>
                <w:b/>
                <w:sz w:val="22"/>
                <w:szCs w:val="22"/>
              </w:rPr>
              <w:t>Table 1: OLS and Spatial Error Regression Models of House Prices in Christchurch</w:t>
            </w:r>
          </w:p>
        </w:tc>
      </w:tr>
      <w:tr w:rsidR="00F22345" w:rsidRPr="00FF6DE6" w:rsidTr="009543A2">
        <w:trPr>
          <w:gridAfter w:val="1"/>
          <w:wAfter w:w="1585" w:type="dxa"/>
        </w:trPr>
        <w:tc>
          <w:tcPr>
            <w:tcW w:w="3085" w:type="dxa"/>
            <w:tcBorders>
              <w:top w:val="single" w:sz="4" w:space="0" w:color="auto"/>
              <w:left w:val="nil"/>
              <w:bottom w:val="nil"/>
              <w:right w:val="nil"/>
            </w:tcBorders>
          </w:tcPr>
          <w:p w:rsidR="00F22345" w:rsidRPr="00FF6DE6" w:rsidRDefault="00F22345" w:rsidP="009543A2">
            <w:pPr>
              <w:pStyle w:val="PlainText"/>
              <w:rPr>
                <w:rFonts w:ascii="Times New Roman" w:hAnsi="Times New Roman" w:cs="Times New Roman"/>
                <w:sz w:val="22"/>
                <w:szCs w:val="22"/>
              </w:rPr>
            </w:pPr>
          </w:p>
        </w:tc>
        <w:tc>
          <w:tcPr>
            <w:tcW w:w="9504" w:type="dxa"/>
            <w:gridSpan w:val="6"/>
            <w:tcBorders>
              <w:top w:val="single" w:sz="4" w:space="0" w:color="auto"/>
              <w:left w:val="nil"/>
              <w:bottom w:val="nil"/>
              <w:right w:val="nil"/>
            </w:tcBorders>
          </w:tcPr>
          <w:p w:rsidR="00F22345" w:rsidRPr="00FF6DE6" w:rsidRDefault="00F22345" w:rsidP="009543A2">
            <w:pPr>
              <w:pStyle w:val="PlainText"/>
              <w:jc w:val="center"/>
              <w:rPr>
                <w:rFonts w:ascii="Times New Roman" w:hAnsi="Times New Roman" w:cs="Times New Roman"/>
                <w:sz w:val="22"/>
                <w:szCs w:val="22"/>
              </w:rPr>
            </w:pPr>
            <w:r>
              <w:rPr>
                <w:rFonts w:ascii="Times New Roman" w:hAnsi="Times New Roman" w:cs="Times New Roman"/>
                <w:sz w:val="22"/>
                <w:szCs w:val="22"/>
              </w:rPr>
              <w:t>--------------------------------------Ordinary Least Squares</w:t>
            </w:r>
            <w:r w:rsidRPr="00495C0E">
              <w:rPr>
                <w:rFonts w:ascii="Times New Roman" w:hAnsi="Times New Roman" w:cs="Times New Roman"/>
                <w:sz w:val="22"/>
                <w:szCs w:val="22"/>
              </w:rPr>
              <w:t>----------------------------------</w:t>
            </w:r>
            <w:r>
              <w:rPr>
                <w:rFonts w:ascii="Times New Roman" w:hAnsi="Times New Roman" w:cs="Times New Roman"/>
                <w:sz w:val="22"/>
                <w:szCs w:val="22"/>
              </w:rPr>
              <w:t>----</w:t>
            </w:r>
          </w:p>
        </w:tc>
        <w:tc>
          <w:tcPr>
            <w:tcW w:w="1585" w:type="dxa"/>
            <w:tcBorders>
              <w:top w:val="single" w:sz="4" w:space="0" w:color="auto"/>
              <w:left w:val="nil"/>
              <w:bottom w:val="nil"/>
              <w:right w:val="nil"/>
            </w:tcBorders>
          </w:tcPr>
          <w:p w:rsidR="00F22345" w:rsidRPr="00FF6DE6" w:rsidRDefault="009543A2" w:rsidP="009543A2">
            <w:pPr>
              <w:pStyle w:val="PlainText"/>
              <w:rPr>
                <w:rFonts w:ascii="Times New Roman" w:hAnsi="Times New Roman" w:cs="Times New Roman"/>
                <w:sz w:val="22"/>
                <w:szCs w:val="22"/>
              </w:rPr>
            </w:pPr>
            <w:r>
              <w:rPr>
                <w:rFonts w:ascii="Times New Roman" w:hAnsi="Times New Roman" w:cs="Times New Roman"/>
                <w:sz w:val="22"/>
                <w:szCs w:val="22"/>
              </w:rPr>
              <w:t>Spatial E</w:t>
            </w:r>
            <w:r w:rsidR="00F22345">
              <w:rPr>
                <w:rFonts w:ascii="Times New Roman" w:hAnsi="Times New Roman" w:cs="Times New Roman"/>
                <w:sz w:val="22"/>
                <w:szCs w:val="22"/>
              </w:rPr>
              <w:t>rror</w:t>
            </w:r>
          </w:p>
        </w:tc>
      </w:tr>
      <w:tr w:rsidR="00F22345" w:rsidRPr="00FF6DE6" w:rsidTr="009543A2">
        <w:trPr>
          <w:gridAfter w:val="1"/>
          <w:wAfter w:w="1585" w:type="dxa"/>
        </w:trPr>
        <w:tc>
          <w:tcPr>
            <w:tcW w:w="3085" w:type="dxa"/>
            <w:tcBorders>
              <w:top w:val="nil"/>
              <w:left w:val="nil"/>
              <w:bottom w:val="nil"/>
              <w:right w:val="nil"/>
            </w:tcBorders>
          </w:tcPr>
          <w:p w:rsidR="00F22345" w:rsidRDefault="00F22345" w:rsidP="009543A2">
            <w:pPr>
              <w:pStyle w:val="PlainText"/>
              <w:rPr>
                <w:rFonts w:ascii="Times New Roman" w:hAnsi="Times New Roman" w:cs="Times New Roman"/>
                <w:sz w:val="22"/>
                <w:szCs w:val="22"/>
              </w:rPr>
            </w:pPr>
          </w:p>
        </w:tc>
        <w:tc>
          <w:tcPr>
            <w:tcW w:w="1584" w:type="dxa"/>
            <w:tcBorders>
              <w:top w:val="nil"/>
              <w:left w:val="nil"/>
              <w:bottom w:val="single" w:sz="4" w:space="0" w:color="auto"/>
              <w:right w:val="nil"/>
            </w:tcBorders>
          </w:tcPr>
          <w:p w:rsidR="00F22345" w:rsidRPr="00FF6DE6" w:rsidRDefault="00F22345" w:rsidP="009543A2">
            <w:pPr>
              <w:pStyle w:val="PlainText"/>
              <w:ind w:right="113"/>
              <w:jc w:val="center"/>
              <w:rPr>
                <w:rFonts w:ascii="Times New Roman" w:hAnsi="Times New Roman" w:cs="Times New Roman"/>
                <w:sz w:val="22"/>
                <w:szCs w:val="22"/>
              </w:rPr>
            </w:pPr>
            <w:r>
              <w:rPr>
                <w:rFonts w:ascii="Times New Roman" w:hAnsi="Times New Roman" w:cs="Times New Roman"/>
                <w:sz w:val="22"/>
                <w:szCs w:val="22"/>
              </w:rPr>
              <w:t>(1)</w:t>
            </w:r>
          </w:p>
        </w:tc>
        <w:tc>
          <w:tcPr>
            <w:tcW w:w="1584" w:type="dxa"/>
            <w:tcBorders>
              <w:top w:val="nil"/>
              <w:left w:val="nil"/>
              <w:bottom w:val="single" w:sz="4" w:space="0" w:color="auto"/>
              <w:right w:val="nil"/>
            </w:tcBorders>
          </w:tcPr>
          <w:p w:rsidR="00F22345" w:rsidRPr="00FF6DE6" w:rsidRDefault="00F22345" w:rsidP="009543A2">
            <w:pPr>
              <w:pStyle w:val="PlainText"/>
              <w:ind w:right="113"/>
              <w:jc w:val="center"/>
              <w:rPr>
                <w:rFonts w:ascii="Times New Roman" w:hAnsi="Times New Roman" w:cs="Times New Roman"/>
                <w:sz w:val="22"/>
                <w:szCs w:val="22"/>
              </w:rPr>
            </w:pPr>
            <w:r>
              <w:rPr>
                <w:rFonts w:ascii="Times New Roman" w:hAnsi="Times New Roman" w:cs="Times New Roman"/>
                <w:sz w:val="22"/>
                <w:szCs w:val="22"/>
              </w:rPr>
              <w:t>(2)</w:t>
            </w:r>
          </w:p>
        </w:tc>
        <w:tc>
          <w:tcPr>
            <w:tcW w:w="1584" w:type="dxa"/>
            <w:tcBorders>
              <w:top w:val="nil"/>
              <w:left w:val="nil"/>
              <w:bottom w:val="single" w:sz="4" w:space="0" w:color="auto"/>
              <w:right w:val="nil"/>
            </w:tcBorders>
          </w:tcPr>
          <w:p w:rsidR="00F22345" w:rsidRPr="00FF6DE6" w:rsidRDefault="00F22345" w:rsidP="009543A2">
            <w:pPr>
              <w:pStyle w:val="PlainText"/>
              <w:ind w:right="113"/>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nil"/>
              <w:left w:val="nil"/>
              <w:bottom w:val="single" w:sz="4" w:space="0" w:color="auto"/>
              <w:right w:val="nil"/>
            </w:tcBorders>
          </w:tcPr>
          <w:p w:rsidR="00F22345" w:rsidRPr="00FF6DE6" w:rsidRDefault="00F22345" w:rsidP="009543A2">
            <w:pPr>
              <w:pStyle w:val="PlainText"/>
              <w:ind w:right="113"/>
              <w:jc w:val="center"/>
              <w:rPr>
                <w:rFonts w:ascii="Times New Roman" w:hAnsi="Times New Roman" w:cs="Times New Roman"/>
                <w:sz w:val="22"/>
                <w:szCs w:val="22"/>
              </w:rPr>
            </w:pPr>
            <w:r>
              <w:rPr>
                <w:rFonts w:ascii="Times New Roman" w:hAnsi="Times New Roman" w:cs="Times New Roman"/>
                <w:sz w:val="22"/>
                <w:szCs w:val="22"/>
              </w:rPr>
              <w:t>(4)</w:t>
            </w:r>
          </w:p>
        </w:tc>
        <w:tc>
          <w:tcPr>
            <w:tcW w:w="1584" w:type="dxa"/>
            <w:tcBorders>
              <w:top w:val="nil"/>
              <w:left w:val="nil"/>
              <w:bottom w:val="single" w:sz="4" w:space="0" w:color="auto"/>
              <w:right w:val="nil"/>
            </w:tcBorders>
          </w:tcPr>
          <w:p w:rsidR="00F22345" w:rsidRPr="00FF6DE6" w:rsidRDefault="00F22345" w:rsidP="009543A2">
            <w:pPr>
              <w:pStyle w:val="PlainText"/>
              <w:ind w:right="113"/>
              <w:jc w:val="center"/>
              <w:rPr>
                <w:rFonts w:ascii="Times New Roman" w:hAnsi="Times New Roman" w:cs="Times New Roman"/>
                <w:sz w:val="22"/>
                <w:szCs w:val="22"/>
              </w:rPr>
            </w:pPr>
            <w:r>
              <w:rPr>
                <w:rFonts w:ascii="Times New Roman" w:hAnsi="Times New Roman" w:cs="Times New Roman"/>
                <w:sz w:val="22"/>
                <w:szCs w:val="22"/>
              </w:rPr>
              <w:t>(5)</w:t>
            </w:r>
          </w:p>
        </w:tc>
        <w:tc>
          <w:tcPr>
            <w:tcW w:w="1584" w:type="dxa"/>
            <w:tcBorders>
              <w:top w:val="nil"/>
              <w:left w:val="nil"/>
              <w:bottom w:val="single" w:sz="4" w:space="0" w:color="auto"/>
              <w:right w:val="nil"/>
            </w:tcBorders>
          </w:tcPr>
          <w:p w:rsidR="00F22345" w:rsidRPr="00FF6DE6" w:rsidRDefault="00F22345" w:rsidP="009543A2">
            <w:pPr>
              <w:pStyle w:val="PlainText"/>
              <w:ind w:right="113"/>
              <w:jc w:val="center"/>
              <w:rPr>
                <w:rFonts w:ascii="Times New Roman" w:hAnsi="Times New Roman" w:cs="Times New Roman"/>
                <w:sz w:val="22"/>
                <w:szCs w:val="22"/>
              </w:rPr>
            </w:pPr>
            <w:r>
              <w:rPr>
                <w:rFonts w:ascii="Times New Roman" w:hAnsi="Times New Roman" w:cs="Times New Roman"/>
                <w:sz w:val="22"/>
                <w:szCs w:val="22"/>
              </w:rPr>
              <w:t>(6)</w:t>
            </w:r>
          </w:p>
        </w:tc>
        <w:tc>
          <w:tcPr>
            <w:tcW w:w="1585" w:type="dxa"/>
            <w:tcBorders>
              <w:top w:val="nil"/>
              <w:left w:val="nil"/>
              <w:bottom w:val="single" w:sz="4" w:space="0" w:color="auto"/>
              <w:right w:val="nil"/>
            </w:tcBorders>
          </w:tcPr>
          <w:p w:rsidR="00F22345" w:rsidRPr="00FF6DE6" w:rsidRDefault="00F22345" w:rsidP="009543A2">
            <w:pPr>
              <w:pStyle w:val="PlainText"/>
              <w:ind w:right="113"/>
              <w:jc w:val="center"/>
              <w:rPr>
                <w:rFonts w:ascii="Times New Roman" w:hAnsi="Times New Roman" w:cs="Times New Roman"/>
                <w:sz w:val="22"/>
                <w:szCs w:val="22"/>
              </w:rPr>
            </w:pPr>
            <w:r>
              <w:rPr>
                <w:rFonts w:ascii="Times New Roman" w:hAnsi="Times New Roman" w:cs="Times New Roman"/>
                <w:sz w:val="22"/>
                <w:szCs w:val="22"/>
              </w:rPr>
              <w:t>(7)</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NCEA Level 1 Pass Rate</w:t>
            </w:r>
          </w:p>
        </w:tc>
        <w:tc>
          <w:tcPr>
            <w:tcW w:w="1584" w:type="dxa"/>
            <w:tcBorders>
              <w:top w:val="single" w:sz="4" w:space="0" w:color="auto"/>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0.007</w:t>
            </w:r>
          </w:p>
        </w:tc>
        <w:tc>
          <w:tcPr>
            <w:tcW w:w="1584" w:type="dxa"/>
            <w:tcBorders>
              <w:top w:val="single" w:sz="4" w:space="0" w:color="auto"/>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single" w:sz="4" w:space="0" w:color="auto"/>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single" w:sz="4" w:space="0" w:color="auto"/>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single" w:sz="4" w:space="0" w:color="auto"/>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single" w:sz="4" w:space="0" w:color="auto"/>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5" w:type="dxa"/>
            <w:tcBorders>
              <w:top w:val="single" w:sz="4" w:space="0" w:color="auto"/>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(12.28)**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5"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NCEA Level 2 Pass Rate</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5"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(14.86)**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5"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NCEA Level 3 Pass Rate</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5"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(16.06)**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5"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Average NCEA Pass Rate</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0.009</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0.007</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0.009</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(15.23)**</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(10.24)**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(6.86)**</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(16.50)**</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 of schools zones located in</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0.087</w:t>
            </w:r>
          </w:p>
        </w:tc>
        <w:tc>
          <w:tcPr>
            <w:tcW w:w="1585"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(0.94)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(2.58)**</w:t>
            </w:r>
          </w:p>
        </w:tc>
        <w:tc>
          <w:tcPr>
            <w:tcW w:w="1585"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spacing w:before="40"/>
              <w:rPr>
                <w:rFonts w:ascii="Times New Roman" w:hAnsi="Times New Roman" w:cs="Times New Roman"/>
                <w:i/>
                <w:sz w:val="22"/>
                <w:szCs w:val="22"/>
              </w:rPr>
            </w:pPr>
            <w:r>
              <w:rPr>
                <w:rFonts w:ascii="Times New Roman" w:hAnsi="Times New Roman" w:cs="Times New Roman"/>
                <w:i/>
                <w:sz w:val="22"/>
                <w:szCs w:val="22"/>
              </w:rPr>
              <w:t>Dwelling attributes</w:t>
            </w:r>
          </w:p>
        </w:tc>
        <w:tc>
          <w:tcPr>
            <w:tcW w:w="1584" w:type="dxa"/>
            <w:tcBorders>
              <w:top w:val="nil"/>
              <w:left w:val="nil"/>
              <w:bottom w:val="nil"/>
              <w:right w:val="nil"/>
            </w:tcBorders>
          </w:tcPr>
          <w:p w:rsidR="00F22345" w:rsidRPr="00FF6DE6" w:rsidRDefault="00F22345" w:rsidP="00F22345">
            <w:pPr>
              <w:pStyle w:val="PlainText"/>
              <w:tabs>
                <w:tab w:val="decimal" w:pos="397"/>
              </w:tabs>
              <w:spacing w:before="40"/>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spacing w:before="40"/>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spacing w:before="40"/>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spacing w:before="40"/>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spacing w:before="40"/>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spacing w:before="40"/>
              <w:rPr>
                <w:rFonts w:ascii="Times New Roman" w:hAnsi="Times New Roman" w:cs="Times New Roman"/>
                <w:sz w:val="22"/>
                <w:szCs w:val="22"/>
              </w:rPr>
            </w:pPr>
          </w:p>
        </w:tc>
        <w:tc>
          <w:tcPr>
            <w:tcW w:w="1585" w:type="dxa"/>
            <w:tcBorders>
              <w:top w:val="nil"/>
              <w:left w:val="nil"/>
              <w:bottom w:val="nil"/>
              <w:right w:val="nil"/>
            </w:tcBorders>
          </w:tcPr>
          <w:p w:rsidR="00F22345" w:rsidRPr="00FF6DE6" w:rsidRDefault="00F22345" w:rsidP="00F22345">
            <w:pPr>
              <w:pStyle w:val="PlainText"/>
              <w:tabs>
                <w:tab w:val="decimal" w:pos="397"/>
              </w:tabs>
              <w:spacing w:before="40"/>
              <w:rPr>
                <w:rFonts w:ascii="Times New Roman" w:hAnsi="Times New Roman" w:cs="Times New Roman"/>
                <w:sz w:val="22"/>
                <w:szCs w:val="22"/>
              </w:rPr>
            </w:pP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Dwelling age</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-0.060</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-0.058</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(13.68)**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(14.18)**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(14.33)**</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(14.23)**</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(14.16)**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(14.91)**</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(16.61)**</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Dwelling age squared</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0.437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0.455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0.455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0.454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0.452</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0.479</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0.458</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(11.70)**</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(12.17)**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(12.28)**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(12.19)**</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(12.10)**</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(12.96)**</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(14.28)**</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Dwelling floor area</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0.443</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0.444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0.446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0.445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0.445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0.446</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0.438</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(14.88)**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(15.06)**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(15.11)**</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(15.07)**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(15.06)**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(15.13)**</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(30.54)**</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Dwelling floor area squared</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-0.047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-0.047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-0.047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-0.047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-0.047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-0.048</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-0.046</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(5.88)**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(6.04)**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(6.03)**</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(6.02)**</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(6.02)**</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(6.05)**</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(14.32)**</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Land area of section (lot)</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0.122</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0.134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0.119</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0.126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0.126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0.102</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0.121</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(8.90)**</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(9.75)**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(8.76)**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(9.23)**</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(9.24)**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(7.08)**</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(13.44)**</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 xml:space="preserve">Section area </w:t>
            </w:r>
            <w:r>
              <w:rPr>
                <w:rFonts w:ascii="Times New Roman" w:hAnsi="Times New Roman" w:cs="Times New Roman"/>
                <w:sz w:val="22"/>
                <w:szCs w:val="22"/>
              </w:rPr>
              <w:sym w:font="Symbol" w:char="F0B4"/>
            </w:r>
            <w:r>
              <w:rPr>
                <w:rFonts w:ascii="Times New Roman" w:hAnsi="Times New Roman" w:cs="Times New Roman"/>
                <w:sz w:val="22"/>
                <w:szCs w:val="22"/>
              </w:rPr>
              <w:t xml:space="preserve"> outer ward</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-0.079</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-0.094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-0.047</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-0.073</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(7.43)**</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(8.74)**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(7.14)**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(7.96)**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(7.96)**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(3.80)**</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(7.98)**</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Dwelling has a good view</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0.089</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0.103</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0.092</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(7.14)**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(7.41)**</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(7.44)**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(7.49)**</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(7.45)**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(8.67)**</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(9.52)**</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 xml:space="preserve">Number of </w:t>
            </w:r>
            <w:proofErr w:type="spellStart"/>
            <w:r>
              <w:rPr>
                <w:rFonts w:ascii="Times New Roman" w:hAnsi="Times New Roman" w:cs="Times New Roman"/>
                <w:sz w:val="22"/>
                <w:szCs w:val="22"/>
              </w:rPr>
              <w:t>c</w:t>
            </w:r>
            <w:r w:rsidRPr="00FF6DE6">
              <w:rPr>
                <w:rFonts w:ascii="Times New Roman" w:hAnsi="Times New Roman" w:cs="Times New Roman"/>
                <w:sz w:val="22"/>
                <w:szCs w:val="22"/>
              </w:rPr>
              <w:t>arparks</w:t>
            </w:r>
            <w:proofErr w:type="spellEnd"/>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0.025</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0.025</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(11.88)**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(11.98)**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(12.04)**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(11.99)**</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(11.99)**</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(12.09)**</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(14.09)**</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Pr>
                <w:rFonts w:ascii="Times New Roman" w:hAnsi="Times New Roman" w:cs="Times New Roman"/>
                <w:sz w:val="22"/>
                <w:szCs w:val="22"/>
              </w:rPr>
              <w:t>Dwelling has internal g</w:t>
            </w:r>
            <w:r w:rsidRPr="00FF6DE6">
              <w:rPr>
                <w:rFonts w:ascii="Times New Roman" w:hAnsi="Times New Roman" w:cs="Times New Roman"/>
                <w:sz w:val="22"/>
                <w:szCs w:val="22"/>
              </w:rPr>
              <w:t>arage</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0.078</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0.079</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0.079</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0.079</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0.076</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0.076</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(5.27)**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(5.22)**</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(5.26)**</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(5.24)**</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(5.25)**</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(5.20)**</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(8.11)**</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r w:rsidRPr="00FF6DE6">
              <w:rPr>
                <w:rFonts w:ascii="Times New Roman" w:hAnsi="Times New Roman" w:cs="Times New Roman"/>
                <w:sz w:val="22"/>
                <w:szCs w:val="22"/>
              </w:rPr>
              <w:t>D</w:t>
            </w:r>
            <w:r>
              <w:rPr>
                <w:rFonts w:ascii="Times New Roman" w:hAnsi="Times New Roman" w:cs="Times New Roman"/>
                <w:sz w:val="22"/>
                <w:szCs w:val="22"/>
              </w:rPr>
              <w:t>welling has a d</w:t>
            </w:r>
            <w:r w:rsidRPr="00FF6DE6">
              <w:rPr>
                <w:rFonts w:ascii="Times New Roman" w:hAnsi="Times New Roman" w:cs="Times New Roman"/>
                <w:sz w:val="22"/>
                <w:szCs w:val="22"/>
              </w:rPr>
              <w:t>eck</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0.022</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0.021</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0.023</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0.022</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0.022</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0.023</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0.022</w:t>
            </w:r>
          </w:p>
        </w:tc>
      </w:tr>
      <w:tr w:rsidR="00F22345" w:rsidRPr="00FF6DE6" w:rsidTr="009543A2">
        <w:trPr>
          <w:gridAfter w:val="1"/>
          <w:wAfter w:w="1585" w:type="dxa"/>
        </w:trPr>
        <w:tc>
          <w:tcPr>
            <w:tcW w:w="3085" w:type="dxa"/>
            <w:tcBorders>
              <w:top w:val="nil"/>
              <w:left w:val="nil"/>
              <w:bottom w:val="nil"/>
              <w:right w:val="nil"/>
            </w:tcBorders>
          </w:tcPr>
          <w:p w:rsidR="00F22345" w:rsidRPr="00FF6DE6" w:rsidRDefault="00F22345"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(4.93)**</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(4.77)**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(5.27)**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(4.97)**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(4.97)**</w:t>
            </w:r>
          </w:p>
        </w:tc>
        <w:tc>
          <w:tcPr>
            <w:tcW w:w="1584" w:type="dxa"/>
            <w:tcBorders>
              <w:top w:val="nil"/>
              <w:left w:val="nil"/>
              <w:bottom w:val="nil"/>
              <w:right w:val="nil"/>
            </w:tcBorders>
          </w:tcPr>
          <w:p w:rsidR="00F22345" w:rsidRPr="00FF6DE6" w:rsidRDefault="00F22345"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(5.39)**</w:t>
            </w:r>
          </w:p>
        </w:tc>
        <w:tc>
          <w:tcPr>
            <w:tcW w:w="1585" w:type="dxa"/>
            <w:tcBorders>
              <w:top w:val="nil"/>
              <w:left w:val="nil"/>
              <w:bottom w:val="nil"/>
              <w:right w:val="nil"/>
            </w:tcBorders>
          </w:tcPr>
          <w:p w:rsidR="00F22345" w:rsidRPr="00817BD5" w:rsidRDefault="00F22345"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(5.00)**</w:t>
            </w:r>
          </w:p>
        </w:tc>
      </w:tr>
      <w:tr w:rsidR="009543A2" w:rsidRPr="00FF6DE6" w:rsidTr="009543A2">
        <w:tc>
          <w:tcPr>
            <w:tcW w:w="3085" w:type="dxa"/>
            <w:tcBorders>
              <w:top w:val="nil"/>
              <w:left w:val="nil"/>
              <w:bottom w:val="nil"/>
              <w:right w:val="nil"/>
            </w:tcBorders>
          </w:tcPr>
          <w:p w:rsidR="009543A2" w:rsidRDefault="009543A2" w:rsidP="00F22345">
            <w:pPr>
              <w:pStyle w:val="PlainText"/>
              <w:keepNext/>
              <w:widowControl w:val="0"/>
              <w:rPr>
                <w:rFonts w:ascii="Times New Roman" w:hAnsi="Times New Roman" w:cs="Times New Roman"/>
                <w:sz w:val="22"/>
                <w:szCs w:val="22"/>
              </w:rPr>
            </w:pPr>
          </w:p>
        </w:tc>
        <w:tc>
          <w:tcPr>
            <w:tcW w:w="11089" w:type="dxa"/>
            <w:gridSpan w:val="7"/>
            <w:tcBorders>
              <w:top w:val="nil"/>
              <w:left w:val="nil"/>
              <w:bottom w:val="nil"/>
              <w:right w:val="nil"/>
            </w:tcBorders>
          </w:tcPr>
          <w:p w:rsidR="009543A2" w:rsidRPr="00FF6DE6" w:rsidRDefault="009543A2" w:rsidP="009543A2">
            <w:pPr>
              <w:pStyle w:val="PlainText"/>
              <w:spacing w:before="40" w:after="40"/>
              <w:jc w:val="both"/>
              <w:rPr>
                <w:rFonts w:ascii="Times New Roman" w:hAnsi="Times New Roman" w:cs="Times New Roman"/>
                <w:sz w:val="22"/>
                <w:szCs w:val="22"/>
              </w:rPr>
            </w:pPr>
            <w:r>
              <w:rPr>
                <w:rFonts w:ascii="Times New Roman" w:hAnsi="Times New Roman" w:cs="Times New Roman"/>
                <w:sz w:val="22"/>
                <w:szCs w:val="22"/>
              </w:rPr>
              <w:t xml:space="preserve">             --------------------------------------Ordinary Least Squares</w:t>
            </w:r>
            <w:r w:rsidRPr="00495C0E">
              <w:rPr>
                <w:rFonts w:ascii="Times New Roman" w:hAnsi="Times New Roman" w:cs="Times New Roman"/>
                <w:sz w:val="22"/>
                <w:szCs w:val="22"/>
              </w:rPr>
              <w:t>----------------------------------</w:t>
            </w:r>
            <w:r>
              <w:rPr>
                <w:rFonts w:ascii="Times New Roman" w:hAnsi="Times New Roman" w:cs="Times New Roman"/>
                <w:sz w:val="22"/>
                <w:szCs w:val="22"/>
              </w:rPr>
              <w:t>----                    Spatial Error</w:t>
            </w:r>
          </w:p>
        </w:tc>
        <w:tc>
          <w:tcPr>
            <w:tcW w:w="1585" w:type="dxa"/>
            <w:tcBorders>
              <w:top w:val="nil"/>
              <w:left w:val="nil"/>
              <w:bottom w:val="nil"/>
              <w:right w:val="nil"/>
            </w:tcBorders>
          </w:tcPr>
          <w:p w:rsidR="009543A2" w:rsidRPr="00FF6DE6" w:rsidRDefault="009543A2" w:rsidP="0057251F">
            <w:pPr>
              <w:pStyle w:val="PlainText"/>
              <w:spacing w:before="40" w:after="40"/>
              <w:rPr>
                <w:rFonts w:ascii="Times New Roman" w:hAnsi="Times New Roman" w:cs="Times New Roman"/>
                <w:sz w:val="22"/>
                <w:szCs w:val="22"/>
              </w:rPr>
            </w:pPr>
          </w:p>
        </w:tc>
      </w:tr>
      <w:tr w:rsidR="009543A2" w:rsidRPr="00FF6DE6" w:rsidTr="009543A2">
        <w:trPr>
          <w:gridAfter w:val="1"/>
          <w:wAfter w:w="1585" w:type="dxa"/>
        </w:trPr>
        <w:tc>
          <w:tcPr>
            <w:tcW w:w="3085" w:type="dxa"/>
            <w:tcBorders>
              <w:top w:val="nil"/>
              <w:left w:val="nil"/>
              <w:bottom w:val="nil"/>
              <w:right w:val="nil"/>
            </w:tcBorders>
          </w:tcPr>
          <w:p w:rsidR="009543A2" w:rsidRDefault="009543A2" w:rsidP="00F22345">
            <w:pPr>
              <w:pStyle w:val="PlainText"/>
              <w:keepNext/>
              <w:widowControl w:val="0"/>
              <w:rPr>
                <w:rFonts w:ascii="Times New Roman" w:hAnsi="Times New Roman" w:cs="Times New Roman"/>
                <w:sz w:val="22"/>
                <w:szCs w:val="22"/>
              </w:rPr>
            </w:pPr>
          </w:p>
        </w:tc>
        <w:tc>
          <w:tcPr>
            <w:tcW w:w="1584" w:type="dxa"/>
            <w:tcBorders>
              <w:top w:val="nil"/>
              <w:left w:val="nil"/>
              <w:bottom w:val="single" w:sz="4" w:space="0" w:color="auto"/>
              <w:right w:val="nil"/>
            </w:tcBorders>
          </w:tcPr>
          <w:p w:rsidR="009543A2" w:rsidRPr="00FF6DE6" w:rsidRDefault="009543A2" w:rsidP="0057251F">
            <w:pPr>
              <w:pStyle w:val="PlainText"/>
              <w:spacing w:before="40" w:after="40"/>
              <w:ind w:right="113"/>
              <w:jc w:val="center"/>
              <w:rPr>
                <w:rFonts w:ascii="Times New Roman" w:hAnsi="Times New Roman" w:cs="Times New Roman"/>
                <w:sz w:val="22"/>
                <w:szCs w:val="22"/>
              </w:rPr>
            </w:pPr>
            <w:r>
              <w:rPr>
                <w:rFonts w:ascii="Times New Roman" w:hAnsi="Times New Roman" w:cs="Times New Roman"/>
                <w:sz w:val="22"/>
                <w:szCs w:val="22"/>
              </w:rPr>
              <w:t>(1)</w:t>
            </w:r>
          </w:p>
        </w:tc>
        <w:tc>
          <w:tcPr>
            <w:tcW w:w="1584" w:type="dxa"/>
            <w:tcBorders>
              <w:top w:val="nil"/>
              <w:left w:val="nil"/>
              <w:bottom w:val="single" w:sz="4" w:space="0" w:color="auto"/>
              <w:right w:val="nil"/>
            </w:tcBorders>
          </w:tcPr>
          <w:p w:rsidR="009543A2" w:rsidRPr="00FF6DE6" w:rsidRDefault="009543A2" w:rsidP="0057251F">
            <w:pPr>
              <w:pStyle w:val="PlainText"/>
              <w:spacing w:before="40" w:after="40"/>
              <w:ind w:right="113"/>
              <w:jc w:val="center"/>
              <w:rPr>
                <w:rFonts w:ascii="Times New Roman" w:hAnsi="Times New Roman" w:cs="Times New Roman"/>
                <w:sz w:val="22"/>
                <w:szCs w:val="22"/>
              </w:rPr>
            </w:pPr>
            <w:r>
              <w:rPr>
                <w:rFonts w:ascii="Times New Roman" w:hAnsi="Times New Roman" w:cs="Times New Roman"/>
                <w:sz w:val="22"/>
                <w:szCs w:val="22"/>
              </w:rPr>
              <w:t>(2)</w:t>
            </w:r>
          </w:p>
        </w:tc>
        <w:tc>
          <w:tcPr>
            <w:tcW w:w="1584" w:type="dxa"/>
            <w:tcBorders>
              <w:top w:val="nil"/>
              <w:left w:val="nil"/>
              <w:bottom w:val="single" w:sz="4" w:space="0" w:color="auto"/>
              <w:right w:val="nil"/>
            </w:tcBorders>
          </w:tcPr>
          <w:p w:rsidR="009543A2" w:rsidRPr="00FF6DE6" w:rsidRDefault="009543A2" w:rsidP="0057251F">
            <w:pPr>
              <w:pStyle w:val="PlainText"/>
              <w:spacing w:before="40" w:after="40"/>
              <w:ind w:right="113"/>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nil"/>
              <w:left w:val="nil"/>
              <w:bottom w:val="single" w:sz="4" w:space="0" w:color="auto"/>
              <w:right w:val="nil"/>
            </w:tcBorders>
          </w:tcPr>
          <w:p w:rsidR="009543A2" w:rsidRPr="00FF6DE6" w:rsidRDefault="009543A2" w:rsidP="0057251F">
            <w:pPr>
              <w:pStyle w:val="PlainText"/>
              <w:spacing w:before="40" w:after="40"/>
              <w:ind w:right="113"/>
              <w:jc w:val="center"/>
              <w:rPr>
                <w:rFonts w:ascii="Times New Roman" w:hAnsi="Times New Roman" w:cs="Times New Roman"/>
                <w:sz w:val="22"/>
                <w:szCs w:val="22"/>
              </w:rPr>
            </w:pPr>
            <w:r>
              <w:rPr>
                <w:rFonts w:ascii="Times New Roman" w:hAnsi="Times New Roman" w:cs="Times New Roman"/>
                <w:sz w:val="22"/>
                <w:szCs w:val="22"/>
              </w:rPr>
              <w:t>(4)</w:t>
            </w:r>
          </w:p>
        </w:tc>
        <w:tc>
          <w:tcPr>
            <w:tcW w:w="1584" w:type="dxa"/>
            <w:tcBorders>
              <w:top w:val="nil"/>
              <w:left w:val="nil"/>
              <w:bottom w:val="single" w:sz="4" w:space="0" w:color="auto"/>
              <w:right w:val="nil"/>
            </w:tcBorders>
          </w:tcPr>
          <w:p w:rsidR="009543A2" w:rsidRPr="00FF6DE6" w:rsidRDefault="009543A2" w:rsidP="0057251F">
            <w:pPr>
              <w:pStyle w:val="PlainText"/>
              <w:spacing w:before="40" w:after="40"/>
              <w:ind w:right="113"/>
              <w:jc w:val="center"/>
              <w:rPr>
                <w:rFonts w:ascii="Times New Roman" w:hAnsi="Times New Roman" w:cs="Times New Roman"/>
                <w:sz w:val="22"/>
                <w:szCs w:val="22"/>
              </w:rPr>
            </w:pPr>
            <w:r>
              <w:rPr>
                <w:rFonts w:ascii="Times New Roman" w:hAnsi="Times New Roman" w:cs="Times New Roman"/>
                <w:sz w:val="22"/>
                <w:szCs w:val="22"/>
              </w:rPr>
              <w:t>(5)</w:t>
            </w:r>
          </w:p>
        </w:tc>
        <w:tc>
          <w:tcPr>
            <w:tcW w:w="1584" w:type="dxa"/>
            <w:tcBorders>
              <w:top w:val="nil"/>
              <w:left w:val="nil"/>
              <w:bottom w:val="single" w:sz="4" w:space="0" w:color="auto"/>
              <w:right w:val="nil"/>
            </w:tcBorders>
          </w:tcPr>
          <w:p w:rsidR="009543A2" w:rsidRPr="00FF6DE6" w:rsidRDefault="009543A2" w:rsidP="0057251F">
            <w:pPr>
              <w:pStyle w:val="PlainText"/>
              <w:spacing w:before="40" w:after="40"/>
              <w:ind w:right="113"/>
              <w:jc w:val="center"/>
              <w:rPr>
                <w:rFonts w:ascii="Times New Roman" w:hAnsi="Times New Roman" w:cs="Times New Roman"/>
                <w:sz w:val="22"/>
                <w:szCs w:val="22"/>
              </w:rPr>
            </w:pPr>
            <w:r>
              <w:rPr>
                <w:rFonts w:ascii="Times New Roman" w:hAnsi="Times New Roman" w:cs="Times New Roman"/>
                <w:sz w:val="22"/>
                <w:szCs w:val="22"/>
              </w:rPr>
              <w:t>(6)</w:t>
            </w:r>
          </w:p>
        </w:tc>
        <w:tc>
          <w:tcPr>
            <w:tcW w:w="1585" w:type="dxa"/>
            <w:tcBorders>
              <w:top w:val="nil"/>
              <w:left w:val="nil"/>
              <w:bottom w:val="single" w:sz="4" w:space="0" w:color="auto"/>
              <w:right w:val="nil"/>
            </w:tcBorders>
          </w:tcPr>
          <w:p w:rsidR="009543A2" w:rsidRPr="00FF6DE6" w:rsidRDefault="009543A2" w:rsidP="0057251F">
            <w:pPr>
              <w:pStyle w:val="PlainText"/>
              <w:spacing w:before="40" w:after="40"/>
              <w:ind w:right="113"/>
              <w:jc w:val="center"/>
              <w:rPr>
                <w:rFonts w:ascii="Times New Roman" w:hAnsi="Times New Roman" w:cs="Times New Roman"/>
                <w:sz w:val="22"/>
                <w:szCs w:val="22"/>
              </w:rPr>
            </w:pPr>
            <w:r>
              <w:rPr>
                <w:rFonts w:ascii="Times New Roman" w:hAnsi="Times New Roman" w:cs="Times New Roman"/>
                <w:sz w:val="22"/>
                <w:szCs w:val="22"/>
              </w:rPr>
              <w:t>(7)</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keepNext/>
              <w:widowControl w:val="0"/>
              <w:rPr>
                <w:rFonts w:ascii="Times New Roman" w:hAnsi="Times New Roman" w:cs="Times New Roman"/>
                <w:sz w:val="22"/>
                <w:szCs w:val="22"/>
              </w:rPr>
            </w:pPr>
            <w:r>
              <w:rPr>
                <w:rFonts w:ascii="Times New Roman" w:hAnsi="Times New Roman" w:cs="Times New Roman"/>
                <w:sz w:val="22"/>
                <w:szCs w:val="22"/>
              </w:rPr>
              <w:t>Rated as poor quality</w:t>
            </w:r>
          </w:p>
        </w:tc>
        <w:tc>
          <w:tcPr>
            <w:tcW w:w="1584" w:type="dxa"/>
            <w:tcBorders>
              <w:top w:val="single" w:sz="4" w:space="0" w:color="auto"/>
              <w:left w:val="nil"/>
              <w:bottom w:val="nil"/>
              <w:right w:val="nil"/>
            </w:tcBorders>
          </w:tcPr>
          <w:p w:rsidR="009543A2" w:rsidRPr="00FF6DE6" w:rsidRDefault="009543A2" w:rsidP="00F22345">
            <w:pPr>
              <w:pStyle w:val="PlainText"/>
              <w:keepNext/>
              <w:widowControl w:val="0"/>
              <w:tabs>
                <w:tab w:val="decimal" w:pos="397"/>
              </w:tabs>
              <w:rPr>
                <w:rFonts w:ascii="Times New Roman" w:hAnsi="Times New Roman" w:cs="Times New Roman"/>
                <w:sz w:val="22"/>
                <w:szCs w:val="22"/>
              </w:rPr>
            </w:pPr>
            <w:r w:rsidRPr="00FF6DE6">
              <w:rPr>
                <w:rFonts w:ascii="Times New Roman" w:hAnsi="Times New Roman" w:cs="Times New Roman"/>
                <w:sz w:val="22"/>
                <w:szCs w:val="22"/>
              </w:rPr>
              <w:t>-0.067</w:t>
            </w:r>
          </w:p>
        </w:tc>
        <w:tc>
          <w:tcPr>
            <w:tcW w:w="1584" w:type="dxa"/>
            <w:tcBorders>
              <w:top w:val="single" w:sz="4" w:space="0" w:color="auto"/>
              <w:left w:val="nil"/>
              <w:bottom w:val="nil"/>
              <w:right w:val="nil"/>
            </w:tcBorders>
          </w:tcPr>
          <w:p w:rsidR="009543A2" w:rsidRPr="00FF6DE6" w:rsidRDefault="009543A2" w:rsidP="00F22345">
            <w:pPr>
              <w:pStyle w:val="PlainText"/>
              <w:keepNext/>
              <w:widowControl w:val="0"/>
              <w:tabs>
                <w:tab w:val="decimal" w:pos="397"/>
              </w:tabs>
              <w:rPr>
                <w:rFonts w:ascii="Times New Roman" w:hAnsi="Times New Roman" w:cs="Times New Roman"/>
                <w:sz w:val="22"/>
                <w:szCs w:val="22"/>
              </w:rPr>
            </w:pPr>
            <w:r w:rsidRPr="00FF6DE6">
              <w:rPr>
                <w:rFonts w:ascii="Times New Roman" w:hAnsi="Times New Roman" w:cs="Times New Roman"/>
                <w:sz w:val="22"/>
                <w:szCs w:val="22"/>
              </w:rPr>
              <w:t>-0.066</w:t>
            </w:r>
          </w:p>
        </w:tc>
        <w:tc>
          <w:tcPr>
            <w:tcW w:w="1584" w:type="dxa"/>
            <w:tcBorders>
              <w:top w:val="single" w:sz="4" w:space="0" w:color="auto"/>
              <w:left w:val="nil"/>
              <w:bottom w:val="nil"/>
              <w:right w:val="nil"/>
            </w:tcBorders>
          </w:tcPr>
          <w:p w:rsidR="009543A2" w:rsidRPr="00FF6DE6" w:rsidRDefault="009543A2" w:rsidP="00F22345">
            <w:pPr>
              <w:pStyle w:val="PlainText"/>
              <w:keepNext/>
              <w:widowControl w:val="0"/>
              <w:tabs>
                <w:tab w:val="decimal" w:pos="397"/>
              </w:tabs>
              <w:rPr>
                <w:rFonts w:ascii="Times New Roman" w:hAnsi="Times New Roman" w:cs="Times New Roman"/>
                <w:sz w:val="22"/>
                <w:szCs w:val="22"/>
              </w:rPr>
            </w:pPr>
            <w:r w:rsidRPr="00FF6DE6">
              <w:rPr>
                <w:rFonts w:ascii="Times New Roman" w:hAnsi="Times New Roman" w:cs="Times New Roman"/>
                <w:sz w:val="22"/>
                <w:szCs w:val="22"/>
              </w:rPr>
              <w:t>-0.071</w:t>
            </w:r>
          </w:p>
        </w:tc>
        <w:tc>
          <w:tcPr>
            <w:tcW w:w="1584" w:type="dxa"/>
            <w:tcBorders>
              <w:top w:val="single" w:sz="4" w:space="0" w:color="auto"/>
              <w:left w:val="nil"/>
              <w:bottom w:val="nil"/>
              <w:right w:val="nil"/>
            </w:tcBorders>
          </w:tcPr>
          <w:p w:rsidR="009543A2" w:rsidRPr="00FF6DE6" w:rsidRDefault="009543A2" w:rsidP="00F22345">
            <w:pPr>
              <w:pStyle w:val="PlainText"/>
              <w:keepNext/>
              <w:widowControl w:val="0"/>
              <w:tabs>
                <w:tab w:val="decimal" w:pos="397"/>
              </w:tabs>
              <w:rPr>
                <w:rFonts w:ascii="Times New Roman" w:hAnsi="Times New Roman" w:cs="Times New Roman"/>
                <w:sz w:val="22"/>
                <w:szCs w:val="22"/>
              </w:rPr>
            </w:pPr>
            <w:r w:rsidRPr="00FF6DE6">
              <w:rPr>
                <w:rFonts w:ascii="Times New Roman" w:hAnsi="Times New Roman" w:cs="Times New Roman"/>
                <w:sz w:val="22"/>
                <w:szCs w:val="22"/>
              </w:rPr>
              <w:t>-0.068</w:t>
            </w:r>
          </w:p>
        </w:tc>
        <w:tc>
          <w:tcPr>
            <w:tcW w:w="1584" w:type="dxa"/>
            <w:tcBorders>
              <w:top w:val="single" w:sz="4" w:space="0" w:color="auto"/>
              <w:left w:val="nil"/>
              <w:bottom w:val="nil"/>
              <w:right w:val="nil"/>
            </w:tcBorders>
          </w:tcPr>
          <w:p w:rsidR="009543A2" w:rsidRPr="00FF6DE6" w:rsidRDefault="009543A2" w:rsidP="00F22345">
            <w:pPr>
              <w:pStyle w:val="PlainText"/>
              <w:keepNext/>
              <w:widowControl w:val="0"/>
              <w:tabs>
                <w:tab w:val="decimal" w:pos="397"/>
              </w:tabs>
              <w:rPr>
                <w:rFonts w:ascii="Times New Roman" w:hAnsi="Times New Roman" w:cs="Times New Roman"/>
                <w:sz w:val="22"/>
                <w:szCs w:val="22"/>
              </w:rPr>
            </w:pPr>
            <w:r w:rsidRPr="00FF6DE6">
              <w:rPr>
                <w:rFonts w:ascii="Times New Roman" w:hAnsi="Times New Roman" w:cs="Times New Roman"/>
                <w:sz w:val="22"/>
                <w:szCs w:val="22"/>
              </w:rPr>
              <w:t>-0.068</w:t>
            </w:r>
          </w:p>
        </w:tc>
        <w:tc>
          <w:tcPr>
            <w:tcW w:w="1584" w:type="dxa"/>
            <w:tcBorders>
              <w:top w:val="single" w:sz="4" w:space="0" w:color="auto"/>
              <w:left w:val="nil"/>
              <w:bottom w:val="nil"/>
              <w:right w:val="nil"/>
            </w:tcBorders>
          </w:tcPr>
          <w:p w:rsidR="009543A2" w:rsidRPr="00FF6DE6" w:rsidRDefault="009543A2" w:rsidP="00F22345">
            <w:pPr>
              <w:pStyle w:val="PlainText"/>
              <w:keepNext/>
              <w:widowControl w:val="0"/>
              <w:tabs>
                <w:tab w:val="decimal" w:pos="397"/>
              </w:tabs>
              <w:rPr>
                <w:rFonts w:ascii="Times New Roman" w:hAnsi="Times New Roman" w:cs="Times New Roman"/>
                <w:sz w:val="22"/>
                <w:szCs w:val="22"/>
              </w:rPr>
            </w:pPr>
            <w:r w:rsidRPr="00FF6DE6">
              <w:rPr>
                <w:rFonts w:ascii="Times New Roman" w:hAnsi="Times New Roman" w:cs="Times New Roman"/>
                <w:sz w:val="22"/>
                <w:szCs w:val="22"/>
              </w:rPr>
              <w:t>-0.073</w:t>
            </w:r>
          </w:p>
        </w:tc>
        <w:tc>
          <w:tcPr>
            <w:tcW w:w="1585" w:type="dxa"/>
            <w:tcBorders>
              <w:top w:val="single" w:sz="4" w:space="0" w:color="auto"/>
              <w:left w:val="nil"/>
              <w:bottom w:val="nil"/>
              <w:right w:val="nil"/>
            </w:tcBorders>
          </w:tcPr>
          <w:p w:rsidR="009543A2" w:rsidRPr="00817BD5" w:rsidRDefault="009543A2" w:rsidP="00F22345">
            <w:pPr>
              <w:pStyle w:val="PlainText"/>
              <w:keepNext/>
              <w:widowControl w:val="0"/>
              <w:tabs>
                <w:tab w:val="decimal" w:pos="397"/>
              </w:tabs>
              <w:rPr>
                <w:rFonts w:ascii="Times New Roman" w:hAnsi="Times New Roman" w:cs="Times New Roman"/>
                <w:sz w:val="22"/>
                <w:szCs w:val="22"/>
              </w:rPr>
            </w:pPr>
            <w:r w:rsidRPr="00817BD5">
              <w:rPr>
                <w:rFonts w:ascii="Times New Roman" w:hAnsi="Times New Roman" w:cs="Times New Roman"/>
                <w:sz w:val="22"/>
                <w:szCs w:val="22"/>
              </w:rPr>
              <w:t>-0.068</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(4.21)**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(4.17)**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(4.42)**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(4.31)**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(4.31)**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(4.59)**</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(4.79)**</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Rated as superior quality</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0.122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0.118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0.115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0.117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0.117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0.106</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0.112</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(10.94)**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(10.64)**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(10.43)**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(10.56)**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(10.55)**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(9.81)**</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(12.29)**</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Wall/roof in good condition</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0.014</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0.018</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(3.79)**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(3.77)**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(3.14)**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(3.53)**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(3.58)**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(2.52)*</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(3.26)**</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spacing w:before="40"/>
              <w:rPr>
                <w:rFonts w:ascii="Times New Roman" w:hAnsi="Times New Roman" w:cs="Times New Roman"/>
                <w:i/>
                <w:sz w:val="22"/>
                <w:szCs w:val="22"/>
              </w:rPr>
            </w:pPr>
            <w:proofErr w:type="spellStart"/>
            <w:r>
              <w:rPr>
                <w:rFonts w:ascii="Times New Roman" w:hAnsi="Times New Roman" w:cs="Times New Roman"/>
                <w:i/>
                <w:sz w:val="22"/>
                <w:szCs w:val="22"/>
              </w:rPr>
              <w:t>Meshblock</w:t>
            </w:r>
            <w:proofErr w:type="spellEnd"/>
            <w:r>
              <w:rPr>
                <w:rFonts w:ascii="Times New Roman" w:hAnsi="Times New Roman" w:cs="Times New Roman"/>
                <w:i/>
                <w:sz w:val="22"/>
                <w:szCs w:val="22"/>
              </w:rPr>
              <w:t xml:space="preserve"> attributes</w:t>
            </w:r>
          </w:p>
        </w:tc>
        <w:tc>
          <w:tcPr>
            <w:tcW w:w="1584" w:type="dxa"/>
            <w:tcBorders>
              <w:top w:val="nil"/>
              <w:left w:val="nil"/>
              <w:bottom w:val="nil"/>
              <w:right w:val="nil"/>
            </w:tcBorders>
          </w:tcPr>
          <w:p w:rsidR="009543A2" w:rsidRPr="00FF6DE6" w:rsidRDefault="009543A2" w:rsidP="00F22345">
            <w:pPr>
              <w:pStyle w:val="PlainText"/>
              <w:tabs>
                <w:tab w:val="decimal" w:pos="397"/>
              </w:tabs>
              <w:spacing w:before="40"/>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spacing w:before="40"/>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spacing w:before="40"/>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spacing w:before="40"/>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spacing w:before="40"/>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spacing w:before="40"/>
              <w:rPr>
                <w:rFonts w:ascii="Times New Roman" w:hAnsi="Times New Roman" w:cs="Times New Roman"/>
                <w:sz w:val="22"/>
                <w:szCs w:val="22"/>
              </w:rPr>
            </w:pPr>
          </w:p>
        </w:tc>
        <w:tc>
          <w:tcPr>
            <w:tcW w:w="1585" w:type="dxa"/>
            <w:tcBorders>
              <w:top w:val="nil"/>
              <w:left w:val="nil"/>
              <w:bottom w:val="nil"/>
              <w:right w:val="nil"/>
            </w:tcBorders>
          </w:tcPr>
          <w:p w:rsidR="009543A2" w:rsidRPr="00FF6DE6" w:rsidRDefault="009543A2" w:rsidP="00F22345">
            <w:pPr>
              <w:pStyle w:val="PlainText"/>
              <w:tabs>
                <w:tab w:val="decimal" w:pos="397"/>
              </w:tabs>
              <w:spacing w:before="40"/>
              <w:rPr>
                <w:rFonts w:ascii="Times New Roman" w:hAnsi="Times New Roman" w:cs="Times New Roman"/>
                <w:sz w:val="22"/>
                <w:szCs w:val="22"/>
              </w:rPr>
            </w:pP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sidRPr="00FF6DE6">
              <w:rPr>
                <w:rFonts w:ascii="Times New Roman" w:hAnsi="Times New Roman" w:cs="Times New Roman"/>
                <w:sz w:val="22"/>
                <w:szCs w:val="22"/>
              </w:rPr>
              <w:t xml:space="preserve">Minority ethnic </w:t>
            </w:r>
            <w:r>
              <w:rPr>
                <w:rFonts w:ascii="Times New Roman" w:hAnsi="Times New Roman" w:cs="Times New Roman"/>
                <w:sz w:val="22"/>
                <w:szCs w:val="22"/>
              </w:rPr>
              <w:t xml:space="preserve">group </w:t>
            </w:r>
            <w:r w:rsidRPr="00FF6DE6">
              <w:rPr>
                <w:rFonts w:ascii="Times New Roman" w:hAnsi="Times New Roman" w:cs="Times New Roman"/>
                <w:sz w:val="22"/>
                <w:szCs w:val="22"/>
              </w:rPr>
              <w:t>%</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-0.398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-0.401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-0.379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-0.390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-0.390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-0.374</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-0.341</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(10.85)**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(11.02)**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(10.31)**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(10.66)**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(10.66)**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(10.19)**</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(9.46)**</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Foreign born</w:t>
            </w:r>
            <w:r w:rsidRPr="00FF6DE6">
              <w:rPr>
                <w:rFonts w:ascii="Times New Roman" w:hAnsi="Times New Roman" w:cs="Times New Roman"/>
                <w:sz w:val="22"/>
                <w:szCs w:val="22"/>
              </w:rPr>
              <w:t xml:space="preserve"> %</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0.108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0.104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0.063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0.119</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0.072</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(2.35)*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(2.31)*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(1.36)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(1.72)+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(1.77)+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(2.60)**</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(1.74)+</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sidRPr="00FF6DE6">
              <w:rPr>
                <w:rFonts w:ascii="Times New Roman" w:hAnsi="Times New Roman" w:cs="Times New Roman"/>
                <w:sz w:val="22"/>
                <w:szCs w:val="22"/>
              </w:rPr>
              <w:t>Degree or higher %</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0.547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0.527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0.490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0.511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0.512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0.461</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0.441</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(10.01)**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(9.72)**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(9.02)**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(9.42)**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(9.43)**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(8.60)**</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(8.49)**</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No school q</w:t>
            </w:r>
            <w:r w:rsidRPr="00FF6DE6">
              <w:rPr>
                <w:rFonts w:ascii="Times New Roman" w:hAnsi="Times New Roman" w:cs="Times New Roman"/>
                <w:sz w:val="22"/>
                <w:szCs w:val="22"/>
              </w:rPr>
              <w:t>ual</w:t>
            </w:r>
            <w:r>
              <w:rPr>
                <w:rFonts w:ascii="Times New Roman" w:hAnsi="Times New Roman" w:cs="Times New Roman"/>
                <w:sz w:val="22"/>
                <w:szCs w:val="22"/>
              </w:rPr>
              <w:t>ification</w:t>
            </w:r>
            <w:r w:rsidRPr="00FF6DE6">
              <w:rPr>
                <w:rFonts w:ascii="Times New Roman" w:hAnsi="Times New Roman" w:cs="Times New Roman"/>
                <w:sz w:val="22"/>
                <w:szCs w:val="22"/>
              </w:rPr>
              <w:t xml:space="preserve"> %</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-0.153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-0.146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-0.171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-0.143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-0.142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-0.217</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-0.144</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(3.79)**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(3.66)**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(4.37)**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(3.59)**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(3.58)**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(5.40)**</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(3.54)**</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roofErr w:type="spellStart"/>
            <w:r w:rsidRPr="00FF6DE6">
              <w:rPr>
                <w:rFonts w:ascii="Times New Roman" w:hAnsi="Times New Roman" w:cs="Times New Roman"/>
                <w:sz w:val="22"/>
                <w:szCs w:val="22"/>
              </w:rPr>
              <w:t>Gini</w:t>
            </w:r>
            <w:proofErr w:type="spellEnd"/>
            <w:r w:rsidRPr="00FF6DE6">
              <w:rPr>
                <w:rFonts w:ascii="Times New Roman" w:hAnsi="Times New Roman" w:cs="Times New Roman"/>
                <w:sz w:val="22"/>
                <w:szCs w:val="22"/>
              </w:rPr>
              <w:t xml:space="preserve"> - pers</w:t>
            </w:r>
            <w:r>
              <w:rPr>
                <w:rFonts w:ascii="Times New Roman" w:hAnsi="Times New Roman" w:cs="Times New Roman"/>
                <w:sz w:val="22"/>
                <w:szCs w:val="22"/>
              </w:rPr>
              <w:t>onal</w:t>
            </w:r>
            <w:r w:rsidRPr="00FF6DE6">
              <w:rPr>
                <w:rFonts w:ascii="Times New Roman" w:hAnsi="Times New Roman" w:cs="Times New Roman"/>
                <w:sz w:val="22"/>
                <w:szCs w:val="22"/>
              </w:rPr>
              <w:t xml:space="preserve"> income</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-0.200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-0.195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-0.183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-0.204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-0.205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-0.105</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-0.159</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(1.96)+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(1.92)+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(1.81)+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(2.02)*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(2.02)*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(1.04)</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(1.71)+</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Median household</w:t>
            </w:r>
            <w:r w:rsidRPr="00FF6DE6">
              <w:rPr>
                <w:rFonts w:ascii="Times New Roman" w:hAnsi="Times New Roman" w:cs="Times New Roman"/>
                <w:sz w:val="22"/>
                <w:szCs w:val="22"/>
              </w:rPr>
              <w:t xml:space="preserve"> income</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0.039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0.037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0.036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0.037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0.037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0.026</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0.034</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(13.56)**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(12.89)**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(12.83)**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(13.12)**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(13.12)**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(8.72)**</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(13.02)**</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sidRPr="00FF6DE6">
              <w:rPr>
                <w:rFonts w:ascii="Times New Roman" w:hAnsi="Times New Roman" w:cs="Times New Roman"/>
                <w:sz w:val="22"/>
                <w:szCs w:val="22"/>
              </w:rPr>
              <w:t>Crime rate</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-0.164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-0.186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-0.175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-0.169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-0.172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-0.177</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-0.171</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(3.96)**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(4.50)**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(4.25)**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(4.09)**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(4.20)**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(3.91)**</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(3.87)**</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Fulltime e</w:t>
            </w:r>
            <w:r w:rsidRPr="00FF6DE6">
              <w:rPr>
                <w:rFonts w:ascii="Times New Roman" w:hAnsi="Times New Roman" w:cs="Times New Roman"/>
                <w:sz w:val="22"/>
                <w:szCs w:val="22"/>
              </w:rPr>
              <w:t>mployed %</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-0.313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-0.280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-0.283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-0.278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-0.278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-0.240</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-0.258</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(8.75)**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(7.80)**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(8.02)**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(7.81)**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(7.80)**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(6.66)**</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(7.81)**</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sidRPr="00FF6DE6">
              <w:rPr>
                <w:rFonts w:ascii="Times New Roman" w:hAnsi="Times New Roman" w:cs="Times New Roman"/>
                <w:sz w:val="22"/>
                <w:szCs w:val="22"/>
              </w:rPr>
              <w:t>Unemployed %</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-0.185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-0.168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-0.148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-0.155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-0.158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-0.106</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-0.149</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(1.77)+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(1.62)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(1.44)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(1.50)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(1.53)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(1.05)</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(1.44)</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sidRPr="00FF6DE6">
              <w:rPr>
                <w:rFonts w:ascii="Times New Roman" w:hAnsi="Times New Roman" w:cs="Times New Roman"/>
                <w:sz w:val="22"/>
                <w:szCs w:val="22"/>
              </w:rPr>
              <w:t>Home owner %</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-0.108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-0.109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-0.090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-0.099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-0.099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-0.052</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-0.073</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(5.33)**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(5.46)**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(4.46)**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(4.95)**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(4.93)**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(2.65)**</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(3.69)**</w:t>
            </w:r>
          </w:p>
        </w:tc>
      </w:tr>
      <w:tr w:rsidR="009543A2" w:rsidRPr="00FF6DE6" w:rsidTr="009543A2">
        <w:trPr>
          <w:gridAfter w:val="1"/>
          <w:wAfter w:w="1585" w:type="dxa"/>
        </w:trPr>
        <w:tc>
          <w:tcPr>
            <w:tcW w:w="3085" w:type="dxa"/>
            <w:tcBorders>
              <w:top w:val="nil"/>
              <w:left w:val="nil"/>
              <w:bottom w:val="nil"/>
              <w:right w:val="nil"/>
            </w:tcBorders>
          </w:tcPr>
          <w:p w:rsidR="009543A2" w:rsidRPr="00495C0E" w:rsidRDefault="009543A2" w:rsidP="00F22345">
            <w:pPr>
              <w:pStyle w:val="PlainText"/>
              <w:spacing w:before="40"/>
              <w:rPr>
                <w:rFonts w:ascii="Times New Roman" w:hAnsi="Times New Roman" w:cs="Times New Roman"/>
                <w:i/>
                <w:sz w:val="22"/>
                <w:szCs w:val="22"/>
              </w:rPr>
            </w:pPr>
            <w:r>
              <w:rPr>
                <w:rFonts w:ascii="Times New Roman" w:hAnsi="Times New Roman" w:cs="Times New Roman"/>
                <w:i/>
                <w:sz w:val="22"/>
                <w:szCs w:val="22"/>
              </w:rPr>
              <w:t>Distance to nearest:</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5"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S</w:t>
            </w:r>
            <w:r w:rsidRPr="00FF6DE6">
              <w:rPr>
                <w:rFonts w:ascii="Times New Roman" w:hAnsi="Times New Roman" w:cs="Times New Roman"/>
                <w:sz w:val="22"/>
                <w:szCs w:val="22"/>
              </w:rPr>
              <w:t>port and leisure facility</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0.011</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0.016</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(8.74)**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(9.25)**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(9.46)**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(9.17)**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(8.61)**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(6.42)**</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(8.71)**</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F</w:t>
            </w:r>
            <w:r w:rsidRPr="00FF6DE6">
              <w:rPr>
                <w:rFonts w:ascii="Times New Roman" w:hAnsi="Times New Roman" w:cs="Times New Roman"/>
                <w:sz w:val="22"/>
                <w:szCs w:val="22"/>
              </w:rPr>
              <w:t>ire station</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0.002</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0.005</w:t>
            </w:r>
          </w:p>
        </w:tc>
      </w:tr>
      <w:tr w:rsidR="009543A2" w:rsidRPr="00FF6DE6" w:rsidTr="003C1CC9">
        <w:trPr>
          <w:gridAfter w:val="1"/>
          <w:wAfter w:w="1585" w:type="dxa"/>
          <w:trHeight w:val="100"/>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(3.56)**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(2.60)**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(5.65)**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(3.96)**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(3.62)**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(1.31)</w:t>
            </w:r>
          </w:p>
        </w:tc>
        <w:tc>
          <w:tcPr>
            <w:tcW w:w="1585" w:type="dxa"/>
            <w:tcBorders>
              <w:top w:val="nil"/>
              <w:left w:val="nil"/>
              <w:bottom w:val="nil"/>
              <w:right w:val="nil"/>
            </w:tcBorders>
          </w:tcPr>
          <w:p w:rsidR="009543A2"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(3.41)**</w:t>
            </w:r>
            <w:r>
              <w:rPr>
                <w:rFonts w:ascii="Times New Roman" w:hAnsi="Times New Roman" w:cs="Times New Roman"/>
                <w:sz w:val="22"/>
                <w:szCs w:val="22"/>
              </w:rPr>
              <w:br/>
            </w:r>
          </w:p>
          <w:p w:rsidR="00797F23" w:rsidRPr="00817BD5" w:rsidRDefault="00797F23" w:rsidP="00F22345">
            <w:pPr>
              <w:pStyle w:val="PlainText"/>
              <w:tabs>
                <w:tab w:val="decimal" w:pos="397"/>
              </w:tabs>
              <w:rPr>
                <w:rFonts w:ascii="Times New Roman" w:hAnsi="Times New Roman" w:cs="Times New Roman"/>
                <w:sz w:val="22"/>
                <w:szCs w:val="22"/>
              </w:rPr>
            </w:pPr>
          </w:p>
        </w:tc>
      </w:tr>
      <w:tr w:rsidR="009543A2" w:rsidRPr="00FF6DE6" w:rsidTr="0057251F">
        <w:trPr>
          <w:gridAfter w:val="1"/>
          <w:wAfter w:w="1585" w:type="dxa"/>
        </w:trPr>
        <w:tc>
          <w:tcPr>
            <w:tcW w:w="14174" w:type="dxa"/>
            <w:gridSpan w:val="8"/>
            <w:tcBorders>
              <w:top w:val="nil"/>
              <w:left w:val="nil"/>
              <w:bottom w:val="nil"/>
              <w:right w:val="nil"/>
            </w:tcBorders>
          </w:tcPr>
          <w:p w:rsidR="009543A2" w:rsidRDefault="009543A2" w:rsidP="00775707">
            <w:pPr>
              <w:pStyle w:val="PlainText"/>
              <w:ind w:right="113"/>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--------------------------------------Ordinary Least Squares</w:t>
            </w:r>
            <w:r w:rsidRPr="00495C0E">
              <w:rPr>
                <w:rFonts w:ascii="Times New Roman" w:hAnsi="Times New Roman" w:cs="Times New Roman"/>
                <w:sz w:val="22"/>
                <w:szCs w:val="22"/>
              </w:rPr>
              <w:t>----------------------------------</w:t>
            </w:r>
            <w:r>
              <w:rPr>
                <w:rFonts w:ascii="Times New Roman" w:hAnsi="Times New Roman" w:cs="Times New Roman"/>
                <w:sz w:val="22"/>
                <w:szCs w:val="22"/>
              </w:rPr>
              <w:t>----                      Spatial Error</w:t>
            </w:r>
          </w:p>
        </w:tc>
      </w:tr>
      <w:tr w:rsidR="009543A2" w:rsidRPr="00FF6DE6" w:rsidTr="009543A2">
        <w:trPr>
          <w:gridAfter w:val="1"/>
          <w:wAfter w:w="1585" w:type="dxa"/>
        </w:trPr>
        <w:tc>
          <w:tcPr>
            <w:tcW w:w="3085" w:type="dxa"/>
            <w:tcBorders>
              <w:top w:val="nil"/>
              <w:left w:val="nil"/>
              <w:bottom w:val="nil"/>
              <w:right w:val="nil"/>
            </w:tcBorders>
          </w:tcPr>
          <w:p w:rsidR="009543A2" w:rsidRDefault="009543A2" w:rsidP="00F22345">
            <w:pPr>
              <w:pStyle w:val="PlainText"/>
              <w:rPr>
                <w:rFonts w:ascii="Times New Roman" w:hAnsi="Times New Roman" w:cs="Times New Roman"/>
                <w:sz w:val="22"/>
                <w:szCs w:val="22"/>
              </w:rPr>
            </w:pPr>
          </w:p>
        </w:tc>
        <w:tc>
          <w:tcPr>
            <w:tcW w:w="1584" w:type="dxa"/>
            <w:tcBorders>
              <w:top w:val="nil"/>
              <w:left w:val="nil"/>
              <w:bottom w:val="single" w:sz="4" w:space="0" w:color="auto"/>
              <w:right w:val="nil"/>
            </w:tcBorders>
          </w:tcPr>
          <w:p w:rsidR="009543A2" w:rsidRPr="00FF6DE6" w:rsidRDefault="009543A2" w:rsidP="0057251F">
            <w:pPr>
              <w:pStyle w:val="PlainText"/>
              <w:spacing w:before="40" w:after="40"/>
              <w:ind w:right="113"/>
              <w:jc w:val="center"/>
              <w:rPr>
                <w:rFonts w:ascii="Times New Roman" w:hAnsi="Times New Roman" w:cs="Times New Roman"/>
                <w:sz w:val="22"/>
                <w:szCs w:val="22"/>
              </w:rPr>
            </w:pPr>
            <w:r>
              <w:rPr>
                <w:rFonts w:ascii="Times New Roman" w:hAnsi="Times New Roman" w:cs="Times New Roman"/>
                <w:sz w:val="22"/>
                <w:szCs w:val="22"/>
              </w:rPr>
              <w:t>(1)</w:t>
            </w:r>
          </w:p>
        </w:tc>
        <w:tc>
          <w:tcPr>
            <w:tcW w:w="1584" w:type="dxa"/>
            <w:tcBorders>
              <w:top w:val="nil"/>
              <w:left w:val="nil"/>
              <w:bottom w:val="single" w:sz="4" w:space="0" w:color="auto"/>
              <w:right w:val="nil"/>
            </w:tcBorders>
          </w:tcPr>
          <w:p w:rsidR="009543A2" w:rsidRPr="00FF6DE6" w:rsidRDefault="009543A2" w:rsidP="00775707">
            <w:pPr>
              <w:pStyle w:val="PlainText"/>
              <w:ind w:right="113"/>
              <w:jc w:val="center"/>
              <w:rPr>
                <w:rFonts w:ascii="Times New Roman" w:hAnsi="Times New Roman" w:cs="Times New Roman"/>
                <w:sz w:val="22"/>
                <w:szCs w:val="22"/>
              </w:rPr>
            </w:pPr>
            <w:r>
              <w:rPr>
                <w:rFonts w:ascii="Times New Roman" w:hAnsi="Times New Roman" w:cs="Times New Roman"/>
                <w:sz w:val="22"/>
                <w:szCs w:val="22"/>
              </w:rPr>
              <w:t>(2)</w:t>
            </w:r>
          </w:p>
        </w:tc>
        <w:tc>
          <w:tcPr>
            <w:tcW w:w="1584" w:type="dxa"/>
            <w:tcBorders>
              <w:top w:val="nil"/>
              <w:left w:val="nil"/>
              <w:bottom w:val="single" w:sz="4" w:space="0" w:color="auto"/>
              <w:right w:val="nil"/>
            </w:tcBorders>
          </w:tcPr>
          <w:p w:rsidR="009543A2" w:rsidRPr="00FF6DE6" w:rsidRDefault="009543A2" w:rsidP="00775707">
            <w:pPr>
              <w:pStyle w:val="PlainText"/>
              <w:ind w:right="113"/>
              <w:jc w:val="center"/>
              <w:rPr>
                <w:rFonts w:ascii="Times New Roman" w:hAnsi="Times New Roman" w:cs="Times New Roman"/>
                <w:sz w:val="22"/>
                <w:szCs w:val="22"/>
              </w:rPr>
            </w:pPr>
            <w:r>
              <w:rPr>
                <w:rFonts w:ascii="Times New Roman" w:hAnsi="Times New Roman" w:cs="Times New Roman"/>
                <w:sz w:val="22"/>
                <w:szCs w:val="22"/>
              </w:rPr>
              <w:t>(3)</w:t>
            </w:r>
          </w:p>
        </w:tc>
        <w:tc>
          <w:tcPr>
            <w:tcW w:w="1584" w:type="dxa"/>
            <w:tcBorders>
              <w:top w:val="nil"/>
              <w:left w:val="nil"/>
              <w:bottom w:val="single" w:sz="4" w:space="0" w:color="auto"/>
              <w:right w:val="nil"/>
            </w:tcBorders>
          </w:tcPr>
          <w:p w:rsidR="009543A2" w:rsidRPr="00FF6DE6" w:rsidRDefault="009543A2" w:rsidP="00775707">
            <w:pPr>
              <w:pStyle w:val="PlainText"/>
              <w:ind w:right="113"/>
              <w:jc w:val="center"/>
              <w:rPr>
                <w:rFonts w:ascii="Times New Roman" w:hAnsi="Times New Roman" w:cs="Times New Roman"/>
                <w:sz w:val="22"/>
                <w:szCs w:val="22"/>
              </w:rPr>
            </w:pPr>
            <w:r>
              <w:rPr>
                <w:rFonts w:ascii="Times New Roman" w:hAnsi="Times New Roman" w:cs="Times New Roman"/>
                <w:sz w:val="22"/>
                <w:szCs w:val="22"/>
              </w:rPr>
              <w:t>(4)</w:t>
            </w:r>
          </w:p>
        </w:tc>
        <w:tc>
          <w:tcPr>
            <w:tcW w:w="1584" w:type="dxa"/>
            <w:tcBorders>
              <w:top w:val="nil"/>
              <w:left w:val="nil"/>
              <w:bottom w:val="single" w:sz="4" w:space="0" w:color="auto"/>
              <w:right w:val="nil"/>
            </w:tcBorders>
          </w:tcPr>
          <w:p w:rsidR="009543A2" w:rsidRPr="00FF6DE6" w:rsidRDefault="009543A2" w:rsidP="00775707">
            <w:pPr>
              <w:pStyle w:val="PlainText"/>
              <w:ind w:right="113"/>
              <w:jc w:val="center"/>
              <w:rPr>
                <w:rFonts w:ascii="Times New Roman" w:hAnsi="Times New Roman" w:cs="Times New Roman"/>
                <w:sz w:val="22"/>
                <w:szCs w:val="22"/>
              </w:rPr>
            </w:pPr>
            <w:r>
              <w:rPr>
                <w:rFonts w:ascii="Times New Roman" w:hAnsi="Times New Roman" w:cs="Times New Roman"/>
                <w:sz w:val="22"/>
                <w:szCs w:val="22"/>
              </w:rPr>
              <w:t>(5)</w:t>
            </w:r>
          </w:p>
        </w:tc>
        <w:tc>
          <w:tcPr>
            <w:tcW w:w="1584" w:type="dxa"/>
            <w:tcBorders>
              <w:top w:val="nil"/>
              <w:left w:val="nil"/>
              <w:bottom w:val="single" w:sz="4" w:space="0" w:color="auto"/>
              <w:right w:val="nil"/>
            </w:tcBorders>
          </w:tcPr>
          <w:p w:rsidR="009543A2" w:rsidRPr="00FF6DE6" w:rsidRDefault="009543A2" w:rsidP="00775707">
            <w:pPr>
              <w:pStyle w:val="PlainText"/>
              <w:ind w:right="113"/>
              <w:jc w:val="center"/>
              <w:rPr>
                <w:rFonts w:ascii="Times New Roman" w:hAnsi="Times New Roman" w:cs="Times New Roman"/>
                <w:sz w:val="22"/>
                <w:szCs w:val="22"/>
              </w:rPr>
            </w:pPr>
            <w:r>
              <w:rPr>
                <w:rFonts w:ascii="Times New Roman" w:hAnsi="Times New Roman" w:cs="Times New Roman"/>
                <w:sz w:val="22"/>
                <w:szCs w:val="22"/>
              </w:rPr>
              <w:t>(6)</w:t>
            </w:r>
          </w:p>
        </w:tc>
        <w:tc>
          <w:tcPr>
            <w:tcW w:w="1585" w:type="dxa"/>
            <w:tcBorders>
              <w:top w:val="nil"/>
              <w:left w:val="nil"/>
              <w:bottom w:val="single" w:sz="4" w:space="0" w:color="auto"/>
              <w:right w:val="nil"/>
            </w:tcBorders>
          </w:tcPr>
          <w:p w:rsidR="009543A2" w:rsidRPr="00FF6DE6" w:rsidRDefault="009543A2" w:rsidP="00775707">
            <w:pPr>
              <w:pStyle w:val="PlainText"/>
              <w:ind w:right="113"/>
              <w:jc w:val="center"/>
              <w:rPr>
                <w:rFonts w:ascii="Times New Roman" w:hAnsi="Times New Roman" w:cs="Times New Roman"/>
                <w:sz w:val="22"/>
                <w:szCs w:val="22"/>
              </w:rPr>
            </w:pPr>
            <w:r>
              <w:rPr>
                <w:rFonts w:ascii="Times New Roman" w:hAnsi="Times New Roman" w:cs="Times New Roman"/>
                <w:sz w:val="22"/>
                <w:szCs w:val="22"/>
              </w:rPr>
              <w:t>(7)</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A</w:t>
            </w:r>
            <w:r w:rsidRPr="00FF6DE6">
              <w:rPr>
                <w:rFonts w:ascii="Times New Roman" w:hAnsi="Times New Roman" w:cs="Times New Roman"/>
                <w:sz w:val="22"/>
                <w:szCs w:val="22"/>
              </w:rPr>
              <w:t>mbulance</w:t>
            </w:r>
            <w:r>
              <w:rPr>
                <w:rFonts w:ascii="Times New Roman" w:hAnsi="Times New Roman" w:cs="Times New Roman"/>
                <w:sz w:val="22"/>
                <w:szCs w:val="22"/>
              </w:rPr>
              <w:t xml:space="preserve"> service</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-0.007</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-0.011</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(7.94)**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(6.05)**</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(10.14)**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(7.68)**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(7.28)**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(5.14)**</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(7.23)**</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S</w:t>
            </w:r>
            <w:r w:rsidRPr="00FF6DE6">
              <w:rPr>
                <w:rFonts w:ascii="Times New Roman" w:hAnsi="Times New Roman" w:cs="Times New Roman"/>
                <w:sz w:val="22"/>
                <w:szCs w:val="22"/>
              </w:rPr>
              <w:t>econdary school</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0.022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0.018</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0.023</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(11.93)**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(11.00)**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(12.00)**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(11.52)**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(11.49)**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(9.51)**</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(11.76)**</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S</w:t>
            </w:r>
            <w:r w:rsidRPr="00FF6DE6">
              <w:rPr>
                <w:rFonts w:ascii="Times New Roman" w:hAnsi="Times New Roman" w:cs="Times New Roman"/>
                <w:sz w:val="22"/>
                <w:szCs w:val="22"/>
              </w:rPr>
              <w:t>upermarket</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0.004</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0.002</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(1.57)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(0.79)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(2.04)*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(1.70)+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(1.73)+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(1.91)+</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(1.05)</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A</w:t>
            </w:r>
            <w:r w:rsidRPr="00FF6DE6">
              <w:rPr>
                <w:rFonts w:ascii="Times New Roman" w:hAnsi="Times New Roman" w:cs="Times New Roman"/>
                <w:sz w:val="22"/>
                <w:szCs w:val="22"/>
              </w:rPr>
              <w:t>ccident &amp; emergency facility</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0.001</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-0.004</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(2.52)*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(2.30)*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(2.46)*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(2.31)*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(2.14)*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(0.61)</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(2.69)**</w:t>
            </w:r>
          </w:p>
        </w:tc>
      </w:tr>
      <w:tr w:rsidR="009543A2" w:rsidRPr="00FF6DE6" w:rsidTr="009543A2">
        <w:trPr>
          <w:gridAfter w:val="1"/>
          <w:wAfter w:w="1585" w:type="dxa"/>
        </w:trPr>
        <w:tc>
          <w:tcPr>
            <w:tcW w:w="3085" w:type="dxa"/>
            <w:tcBorders>
              <w:top w:val="nil"/>
              <w:left w:val="nil"/>
              <w:bottom w:val="nil"/>
              <w:right w:val="nil"/>
            </w:tcBorders>
          </w:tcPr>
          <w:p w:rsidR="009543A2" w:rsidRPr="00744467"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 xml:space="preserve">General </w:t>
            </w:r>
            <w:r w:rsidRPr="00744467">
              <w:rPr>
                <w:rFonts w:ascii="Times New Roman" w:hAnsi="Times New Roman" w:cs="Times New Roman"/>
                <w:sz w:val="22"/>
                <w:szCs w:val="22"/>
              </w:rPr>
              <w:t>Practitioner</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-0.007</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-0.011</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(3.44)**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(3.51)**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(3.01)**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(3.33)**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(3.30)**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(1.86)+</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(2.55)*</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P</w:t>
            </w:r>
            <w:r w:rsidRPr="00FF6DE6">
              <w:rPr>
                <w:rFonts w:ascii="Times New Roman" w:hAnsi="Times New Roman" w:cs="Times New Roman"/>
                <w:sz w:val="22"/>
                <w:szCs w:val="22"/>
              </w:rPr>
              <w:t>harmacy</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0.005</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0.009</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(2.73)**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(2.57)*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(2.29)*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(2.51)*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(2.50)*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(1.12)</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(2.00)*</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F</w:t>
            </w:r>
            <w:r w:rsidRPr="00FF6DE6">
              <w:rPr>
                <w:rFonts w:ascii="Times New Roman" w:hAnsi="Times New Roman" w:cs="Times New Roman"/>
                <w:sz w:val="22"/>
                <w:szCs w:val="22"/>
              </w:rPr>
              <w:t>ood establishment</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-0.006</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-0.011</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(4.10)**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(3.56)**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(3.94)**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(3.94)**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(3.87)**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(1.91)+</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(2.96)**</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B</w:t>
            </w:r>
            <w:r w:rsidRPr="00FF6DE6">
              <w:rPr>
                <w:rFonts w:ascii="Times New Roman" w:hAnsi="Times New Roman" w:cs="Times New Roman"/>
                <w:sz w:val="22"/>
                <w:szCs w:val="22"/>
              </w:rPr>
              <w:t>each</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0.000</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-0.000</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-0.000</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(0.18)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(2.46)*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(3.46)**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(0.04)</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(0.04)</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P</w:t>
            </w:r>
            <w:r w:rsidRPr="00FF6DE6">
              <w:rPr>
                <w:rFonts w:ascii="Times New Roman" w:hAnsi="Times New Roman" w:cs="Times New Roman"/>
                <w:sz w:val="22"/>
                <w:szCs w:val="22"/>
              </w:rPr>
              <w:t>rimary school</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-0.017</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-0.016</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(6.28)**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(6.22)**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(6.47)**</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(6.46)**</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(6.48)**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(6.44)**</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(5.29)**</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r>
              <w:rPr>
                <w:rFonts w:ascii="Times New Roman" w:hAnsi="Times New Roman" w:cs="Times New Roman"/>
                <w:sz w:val="22"/>
                <w:szCs w:val="22"/>
              </w:rPr>
              <w:t>P</w:t>
            </w:r>
            <w:r w:rsidRPr="00FF6DE6">
              <w:rPr>
                <w:rFonts w:ascii="Times New Roman" w:hAnsi="Times New Roman" w:cs="Times New Roman"/>
                <w:sz w:val="22"/>
                <w:szCs w:val="22"/>
              </w:rPr>
              <w:t>ark</w:t>
            </w:r>
            <w:r>
              <w:rPr>
                <w:rFonts w:ascii="Times New Roman" w:hAnsi="Times New Roman" w:cs="Times New Roman"/>
                <w:sz w:val="22"/>
                <w:szCs w:val="22"/>
              </w:rPr>
              <w:t xml:space="preserve"> or playground</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-0.004</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-0.003</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-0.004</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-0.005</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F22345">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(0.68)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(0.98)</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(1.32)</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(1.09)</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(1.01)</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(1.32)</w:t>
            </w:r>
          </w:p>
        </w:tc>
        <w:tc>
          <w:tcPr>
            <w:tcW w:w="1585" w:type="dxa"/>
            <w:tcBorders>
              <w:top w:val="nil"/>
              <w:left w:val="nil"/>
              <w:bottom w:val="nil"/>
              <w:right w:val="nil"/>
            </w:tcBorders>
          </w:tcPr>
          <w:p w:rsidR="009543A2" w:rsidRPr="00817BD5" w:rsidRDefault="009543A2" w:rsidP="00F22345">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(1.34)</w:t>
            </w:r>
          </w:p>
        </w:tc>
      </w:tr>
      <w:tr w:rsidR="009543A2" w:rsidRPr="00FF6DE6" w:rsidTr="009543A2">
        <w:trPr>
          <w:gridAfter w:val="1"/>
          <w:wAfter w:w="1585" w:type="dxa"/>
        </w:trPr>
        <w:tc>
          <w:tcPr>
            <w:tcW w:w="3085" w:type="dxa"/>
            <w:tcBorders>
              <w:top w:val="nil"/>
              <w:left w:val="nil"/>
              <w:bottom w:val="nil"/>
              <w:right w:val="nil"/>
            </w:tcBorders>
          </w:tcPr>
          <w:p w:rsidR="009543A2" w:rsidRPr="00495C0E" w:rsidRDefault="009543A2" w:rsidP="00F22345">
            <w:pPr>
              <w:pStyle w:val="PlainText"/>
              <w:rPr>
                <w:rFonts w:ascii="Times New Roman" w:hAnsi="Times New Roman" w:cs="Times New Roman"/>
                <w:i/>
                <w:sz w:val="22"/>
                <w:szCs w:val="22"/>
              </w:rPr>
            </w:pPr>
            <w:r>
              <w:rPr>
                <w:rFonts w:ascii="Times New Roman" w:hAnsi="Times New Roman" w:cs="Times New Roman"/>
                <w:i/>
                <w:sz w:val="22"/>
                <w:szCs w:val="22"/>
              </w:rPr>
              <w:t>Temporal indicators:</w:t>
            </w: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c>
          <w:tcPr>
            <w:tcW w:w="1585" w:type="dxa"/>
            <w:tcBorders>
              <w:top w:val="nil"/>
              <w:left w:val="nil"/>
              <w:bottom w:val="nil"/>
              <w:right w:val="nil"/>
            </w:tcBorders>
          </w:tcPr>
          <w:p w:rsidR="009543A2" w:rsidRPr="00FF6DE6" w:rsidRDefault="009543A2" w:rsidP="00F22345">
            <w:pPr>
              <w:pStyle w:val="PlainText"/>
              <w:tabs>
                <w:tab w:val="decimal" w:pos="397"/>
              </w:tabs>
              <w:rPr>
                <w:rFonts w:ascii="Times New Roman" w:hAnsi="Times New Roman" w:cs="Times New Roman"/>
                <w:sz w:val="22"/>
                <w:szCs w:val="22"/>
              </w:rPr>
            </w:pP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9543A2">
            <w:pPr>
              <w:pStyle w:val="PlainText"/>
              <w:rPr>
                <w:rFonts w:ascii="Times New Roman" w:hAnsi="Times New Roman" w:cs="Times New Roman"/>
                <w:sz w:val="22"/>
                <w:szCs w:val="22"/>
              </w:rPr>
            </w:pPr>
            <w:r w:rsidRPr="00FF6DE6">
              <w:rPr>
                <w:rFonts w:ascii="Times New Roman" w:hAnsi="Times New Roman" w:cs="Times New Roman"/>
                <w:sz w:val="22"/>
                <w:szCs w:val="22"/>
              </w:rPr>
              <w:t>Quarter</w:t>
            </w:r>
            <w:r>
              <w:rPr>
                <w:rFonts w:ascii="Times New Roman" w:hAnsi="Times New Roman" w:cs="Times New Roman"/>
                <w:sz w:val="22"/>
                <w:szCs w:val="22"/>
              </w:rPr>
              <w:t xml:space="preserve"> 2</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0.055</w:t>
            </w:r>
          </w:p>
        </w:tc>
        <w:tc>
          <w:tcPr>
            <w:tcW w:w="1585" w:type="dxa"/>
            <w:tcBorders>
              <w:top w:val="nil"/>
              <w:left w:val="nil"/>
              <w:bottom w:val="nil"/>
              <w:right w:val="nil"/>
            </w:tcBorders>
          </w:tcPr>
          <w:p w:rsidR="009543A2" w:rsidRPr="00817BD5" w:rsidRDefault="009543A2" w:rsidP="009543A2">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0.054</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9543A2">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(9.10)**</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(9.13)**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(9.16)**</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(9.14)**</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(9.15)**</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(9.69)**</w:t>
            </w:r>
          </w:p>
        </w:tc>
        <w:tc>
          <w:tcPr>
            <w:tcW w:w="1585" w:type="dxa"/>
            <w:tcBorders>
              <w:top w:val="nil"/>
              <w:left w:val="nil"/>
              <w:bottom w:val="nil"/>
              <w:right w:val="nil"/>
            </w:tcBorders>
          </w:tcPr>
          <w:p w:rsidR="009543A2" w:rsidRPr="00817BD5" w:rsidRDefault="009543A2" w:rsidP="009543A2">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(9.67)**</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9543A2">
            <w:pPr>
              <w:pStyle w:val="PlainText"/>
              <w:rPr>
                <w:rFonts w:ascii="Times New Roman" w:hAnsi="Times New Roman" w:cs="Times New Roman"/>
                <w:sz w:val="22"/>
                <w:szCs w:val="22"/>
              </w:rPr>
            </w:pPr>
            <w:r w:rsidRPr="00FF6DE6">
              <w:rPr>
                <w:rFonts w:ascii="Times New Roman" w:hAnsi="Times New Roman" w:cs="Times New Roman"/>
                <w:sz w:val="22"/>
                <w:szCs w:val="22"/>
              </w:rPr>
              <w:t>Quarter</w:t>
            </w:r>
            <w:r>
              <w:rPr>
                <w:rFonts w:ascii="Times New Roman" w:hAnsi="Times New Roman" w:cs="Times New Roman"/>
                <w:sz w:val="22"/>
                <w:szCs w:val="22"/>
              </w:rPr>
              <w:t xml:space="preserve"> 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0.079</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0.080</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0.080</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0.080</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0.080</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0.082</w:t>
            </w:r>
          </w:p>
        </w:tc>
        <w:tc>
          <w:tcPr>
            <w:tcW w:w="1585" w:type="dxa"/>
            <w:tcBorders>
              <w:top w:val="nil"/>
              <w:left w:val="nil"/>
              <w:bottom w:val="nil"/>
              <w:right w:val="nil"/>
            </w:tcBorders>
          </w:tcPr>
          <w:p w:rsidR="009543A2" w:rsidRPr="00817BD5" w:rsidRDefault="009543A2" w:rsidP="009543A2">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0.081</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9543A2">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(12.21)**</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(12.34)**</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(12.38)**</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(12.35)**</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(12.35)**</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(12.91)**</w:t>
            </w:r>
          </w:p>
        </w:tc>
        <w:tc>
          <w:tcPr>
            <w:tcW w:w="1585" w:type="dxa"/>
            <w:tcBorders>
              <w:top w:val="nil"/>
              <w:left w:val="nil"/>
              <w:bottom w:val="nil"/>
              <w:right w:val="nil"/>
            </w:tcBorders>
          </w:tcPr>
          <w:p w:rsidR="009543A2" w:rsidRPr="00817BD5" w:rsidRDefault="009543A2" w:rsidP="009543A2">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(13.52)**</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9543A2">
            <w:pPr>
              <w:pStyle w:val="PlainText"/>
              <w:rPr>
                <w:rFonts w:ascii="Times New Roman" w:hAnsi="Times New Roman" w:cs="Times New Roman"/>
                <w:sz w:val="22"/>
                <w:szCs w:val="22"/>
              </w:rPr>
            </w:pPr>
            <w:r w:rsidRPr="00FF6DE6">
              <w:rPr>
                <w:rFonts w:ascii="Times New Roman" w:hAnsi="Times New Roman" w:cs="Times New Roman"/>
                <w:sz w:val="22"/>
                <w:szCs w:val="22"/>
              </w:rPr>
              <w:t>Quarter</w:t>
            </w:r>
            <w:r>
              <w:rPr>
                <w:rFonts w:ascii="Times New Roman" w:hAnsi="Times New Roman" w:cs="Times New Roman"/>
                <w:sz w:val="22"/>
                <w:szCs w:val="22"/>
              </w:rPr>
              <w:t xml:space="preserve"> 4</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0.075</w:t>
            </w:r>
          </w:p>
        </w:tc>
        <w:tc>
          <w:tcPr>
            <w:tcW w:w="1585" w:type="dxa"/>
            <w:tcBorders>
              <w:top w:val="nil"/>
              <w:left w:val="nil"/>
              <w:bottom w:val="nil"/>
              <w:right w:val="nil"/>
            </w:tcBorders>
          </w:tcPr>
          <w:p w:rsidR="009543A2" w:rsidRPr="00817BD5" w:rsidRDefault="009543A2" w:rsidP="009543A2">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0.074</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9543A2">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(11.56)**</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(11.66)**</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(11.65)**</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(11.65)**</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(11.64)**</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(12.14)**</w:t>
            </w:r>
          </w:p>
        </w:tc>
        <w:tc>
          <w:tcPr>
            <w:tcW w:w="1585" w:type="dxa"/>
            <w:tcBorders>
              <w:top w:val="nil"/>
              <w:left w:val="nil"/>
              <w:bottom w:val="nil"/>
              <w:right w:val="nil"/>
            </w:tcBorders>
          </w:tcPr>
          <w:p w:rsidR="009543A2" w:rsidRPr="00817BD5" w:rsidRDefault="009543A2" w:rsidP="009543A2">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(12.45)**</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9543A2">
            <w:pPr>
              <w:pStyle w:val="PlainText"/>
              <w:rPr>
                <w:rFonts w:ascii="Times New Roman" w:hAnsi="Times New Roman" w:cs="Times New Roman"/>
                <w:sz w:val="22"/>
                <w:szCs w:val="22"/>
              </w:rPr>
            </w:pPr>
            <w:r w:rsidRPr="00FF6DE6">
              <w:rPr>
                <w:rFonts w:ascii="Times New Roman" w:hAnsi="Times New Roman" w:cs="Times New Roman"/>
                <w:sz w:val="22"/>
                <w:szCs w:val="22"/>
              </w:rPr>
              <w:t>Constant</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11.734</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11.621</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11.831</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11.686</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11.702</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11.722</w:t>
            </w:r>
          </w:p>
        </w:tc>
        <w:tc>
          <w:tcPr>
            <w:tcW w:w="1585" w:type="dxa"/>
            <w:tcBorders>
              <w:top w:val="nil"/>
              <w:left w:val="nil"/>
              <w:bottom w:val="nil"/>
              <w:right w:val="nil"/>
            </w:tcBorders>
          </w:tcPr>
          <w:p w:rsidR="009543A2" w:rsidRPr="00817BD5" w:rsidRDefault="009543A2" w:rsidP="009543A2">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11.766</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9543A2">
            <w:pPr>
              <w:pStyle w:val="PlainText"/>
              <w:rPr>
                <w:rFonts w:ascii="Times New Roman" w:hAnsi="Times New Roman" w:cs="Times New Roman"/>
                <w:sz w:val="22"/>
                <w:szCs w:val="22"/>
              </w:rPr>
            </w:pP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(222.67)**</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(215.79)**</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(246.10)**</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(227.63)**</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(215.31)**</w:t>
            </w:r>
          </w:p>
        </w:tc>
        <w:tc>
          <w:tcPr>
            <w:tcW w:w="1584" w:type="dxa"/>
            <w:tcBorders>
              <w:top w:val="nil"/>
              <w:left w:val="nil"/>
              <w:bottom w:val="nil"/>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(196.43)**</w:t>
            </w:r>
          </w:p>
        </w:tc>
        <w:tc>
          <w:tcPr>
            <w:tcW w:w="1585" w:type="dxa"/>
            <w:tcBorders>
              <w:top w:val="nil"/>
              <w:left w:val="nil"/>
              <w:bottom w:val="nil"/>
              <w:right w:val="nil"/>
            </w:tcBorders>
          </w:tcPr>
          <w:p w:rsidR="009543A2" w:rsidRPr="00817BD5" w:rsidRDefault="009543A2" w:rsidP="009543A2">
            <w:pPr>
              <w:pStyle w:val="PlainText"/>
              <w:tabs>
                <w:tab w:val="decimal" w:pos="397"/>
              </w:tabs>
              <w:rPr>
                <w:rFonts w:ascii="Times New Roman" w:hAnsi="Times New Roman" w:cs="Times New Roman"/>
                <w:sz w:val="22"/>
                <w:szCs w:val="22"/>
              </w:rPr>
            </w:pPr>
            <w:r w:rsidRPr="00817BD5">
              <w:rPr>
                <w:rFonts w:ascii="Times New Roman" w:hAnsi="Times New Roman" w:cs="Times New Roman"/>
                <w:sz w:val="22"/>
                <w:szCs w:val="22"/>
              </w:rPr>
              <w:t>(36.03)**</w:t>
            </w:r>
          </w:p>
        </w:tc>
      </w:tr>
      <w:tr w:rsidR="009543A2" w:rsidRPr="00FF6DE6" w:rsidTr="009543A2">
        <w:trPr>
          <w:gridAfter w:val="1"/>
          <w:wAfter w:w="1585" w:type="dxa"/>
        </w:trPr>
        <w:tc>
          <w:tcPr>
            <w:tcW w:w="3085" w:type="dxa"/>
            <w:tcBorders>
              <w:top w:val="nil"/>
              <w:left w:val="nil"/>
              <w:bottom w:val="nil"/>
              <w:right w:val="nil"/>
            </w:tcBorders>
          </w:tcPr>
          <w:p w:rsidR="009543A2" w:rsidRPr="00FF6DE6" w:rsidRDefault="009543A2" w:rsidP="009543A2">
            <w:pPr>
              <w:pStyle w:val="PlainText"/>
              <w:rPr>
                <w:rFonts w:ascii="Times New Roman" w:hAnsi="Times New Roman" w:cs="Times New Roman"/>
                <w:sz w:val="22"/>
                <w:szCs w:val="22"/>
              </w:rPr>
            </w:pPr>
            <w:r>
              <w:rPr>
                <w:rFonts w:ascii="Times New Roman" w:hAnsi="Times New Roman" w:cs="Times New Roman"/>
                <w:sz w:val="22"/>
                <w:szCs w:val="22"/>
              </w:rPr>
              <w:t>Dummies for each school zone</w:t>
            </w:r>
          </w:p>
        </w:tc>
        <w:tc>
          <w:tcPr>
            <w:tcW w:w="1584" w:type="dxa"/>
            <w:tcBorders>
              <w:top w:val="nil"/>
              <w:left w:val="nil"/>
              <w:bottom w:val="nil"/>
              <w:right w:val="nil"/>
            </w:tcBorders>
          </w:tcPr>
          <w:p w:rsidR="009543A2" w:rsidRPr="00FF6DE6" w:rsidRDefault="009543A2" w:rsidP="009543A2">
            <w:pPr>
              <w:pStyle w:val="PlainText"/>
              <w:ind w:left="397"/>
              <w:rPr>
                <w:rFonts w:ascii="Times New Roman" w:hAnsi="Times New Roman" w:cs="Times New Roman"/>
                <w:sz w:val="22"/>
                <w:szCs w:val="22"/>
              </w:rPr>
            </w:pPr>
            <w:r>
              <w:rPr>
                <w:rFonts w:ascii="Times New Roman" w:hAnsi="Times New Roman" w:cs="Times New Roman"/>
                <w:sz w:val="22"/>
                <w:szCs w:val="22"/>
              </w:rPr>
              <w:t>No</w:t>
            </w:r>
          </w:p>
        </w:tc>
        <w:tc>
          <w:tcPr>
            <w:tcW w:w="1584" w:type="dxa"/>
            <w:tcBorders>
              <w:top w:val="nil"/>
              <w:left w:val="nil"/>
              <w:bottom w:val="nil"/>
              <w:right w:val="nil"/>
            </w:tcBorders>
          </w:tcPr>
          <w:p w:rsidR="009543A2" w:rsidRPr="00FF6DE6" w:rsidRDefault="009543A2" w:rsidP="009543A2">
            <w:pPr>
              <w:pStyle w:val="PlainText"/>
              <w:ind w:left="397"/>
              <w:rPr>
                <w:rFonts w:ascii="Times New Roman" w:hAnsi="Times New Roman" w:cs="Times New Roman"/>
                <w:sz w:val="22"/>
                <w:szCs w:val="22"/>
              </w:rPr>
            </w:pPr>
            <w:r w:rsidRPr="00744467">
              <w:rPr>
                <w:rFonts w:ascii="Times New Roman" w:hAnsi="Times New Roman" w:cs="Times New Roman"/>
                <w:sz w:val="22"/>
                <w:szCs w:val="22"/>
              </w:rPr>
              <w:t>No</w:t>
            </w:r>
          </w:p>
        </w:tc>
        <w:tc>
          <w:tcPr>
            <w:tcW w:w="1584" w:type="dxa"/>
            <w:tcBorders>
              <w:top w:val="nil"/>
              <w:left w:val="nil"/>
              <w:bottom w:val="nil"/>
              <w:right w:val="nil"/>
            </w:tcBorders>
          </w:tcPr>
          <w:p w:rsidR="009543A2" w:rsidRPr="00FF6DE6" w:rsidRDefault="009543A2" w:rsidP="009543A2">
            <w:pPr>
              <w:pStyle w:val="PlainText"/>
              <w:ind w:left="397"/>
              <w:rPr>
                <w:rFonts w:ascii="Times New Roman" w:hAnsi="Times New Roman" w:cs="Times New Roman"/>
                <w:sz w:val="22"/>
                <w:szCs w:val="22"/>
              </w:rPr>
            </w:pPr>
            <w:r w:rsidRPr="00744467">
              <w:rPr>
                <w:rFonts w:ascii="Times New Roman" w:hAnsi="Times New Roman" w:cs="Times New Roman"/>
                <w:sz w:val="22"/>
                <w:szCs w:val="22"/>
              </w:rPr>
              <w:t>No</w:t>
            </w:r>
          </w:p>
        </w:tc>
        <w:tc>
          <w:tcPr>
            <w:tcW w:w="1584" w:type="dxa"/>
            <w:tcBorders>
              <w:top w:val="nil"/>
              <w:left w:val="nil"/>
              <w:bottom w:val="nil"/>
              <w:right w:val="nil"/>
            </w:tcBorders>
          </w:tcPr>
          <w:p w:rsidR="009543A2" w:rsidRPr="00FF6DE6" w:rsidRDefault="009543A2" w:rsidP="009543A2">
            <w:pPr>
              <w:pStyle w:val="PlainText"/>
              <w:ind w:left="397"/>
              <w:rPr>
                <w:rFonts w:ascii="Times New Roman" w:hAnsi="Times New Roman" w:cs="Times New Roman"/>
                <w:sz w:val="22"/>
                <w:szCs w:val="22"/>
              </w:rPr>
            </w:pPr>
            <w:r w:rsidRPr="00744467">
              <w:rPr>
                <w:rFonts w:ascii="Times New Roman" w:hAnsi="Times New Roman" w:cs="Times New Roman"/>
                <w:sz w:val="22"/>
                <w:szCs w:val="22"/>
              </w:rPr>
              <w:t>No</w:t>
            </w:r>
          </w:p>
        </w:tc>
        <w:tc>
          <w:tcPr>
            <w:tcW w:w="1584" w:type="dxa"/>
            <w:tcBorders>
              <w:top w:val="nil"/>
              <w:left w:val="nil"/>
              <w:bottom w:val="nil"/>
              <w:right w:val="nil"/>
            </w:tcBorders>
          </w:tcPr>
          <w:p w:rsidR="009543A2" w:rsidRPr="00FF6DE6" w:rsidRDefault="009543A2" w:rsidP="009543A2">
            <w:pPr>
              <w:pStyle w:val="PlainText"/>
              <w:ind w:left="397"/>
              <w:rPr>
                <w:rFonts w:ascii="Times New Roman" w:hAnsi="Times New Roman" w:cs="Times New Roman"/>
                <w:sz w:val="22"/>
                <w:szCs w:val="22"/>
              </w:rPr>
            </w:pPr>
            <w:r w:rsidRPr="00744467">
              <w:rPr>
                <w:rFonts w:ascii="Times New Roman" w:hAnsi="Times New Roman" w:cs="Times New Roman"/>
                <w:sz w:val="22"/>
                <w:szCs w:val="22"/>
              </w:rPr>
              <w:t>No</w:t>
            </w:r>
          </w:p>
        </w:tc>
        <w:tc>
          <w:tcPr>
            <w:tcW w:w="1584" w:type="dxa"/>
            <w:tcBorders>
              <w:top w:val="nil"/>
              <w:left w:val="nil"/>
              <w:bottom w:val="nil"/>
              <w:right w:val="nil"/>
            </w:tcBorders>
          </w:tcPr>
          <w:p w:rsidR="009543A2" w:rsidRPr="00FF6DE6" w:rsidRDefault="009543A2" w:rsidP="009543A2">
            <w:pPr>
              <w:pStyle w:val="PlainText"/>
              <w:ind w:left="397"/>
              <w:rPr>
                <w:rFonts w:ascii="Times New Roman" w:hAnsi="Times New Roman" w:cs="Times New Roman"/>
                <w:sz w:val="22"/>
                <w:szCs w:val="22"/>
              </w:rPr>
            </w:pPr>
            <w:r>
              <w:rPr>
                <w:rFonts w:ascii="Times New Roman" w:hAnsi="Times New Roman" w:cs="Times New Roman"/>
                <w:sz w:val="22"/>
                <w:szCs w:val="22"/>
              </w:rPr>
              <w:t>Yes</w:t>
            </w:r>
          </w:p>
        </w:tc>
        <w:tc>
          <w:tcPr>
            <w:tcW w:w="1585" w:type="dxa"/>
            <w:tcBorders>
              <w:top w:val="nil"/>
              <w:left w:val="nil"/>
              <w:bottom w:val="nil"/>
              <w:right w:val="nil"/>
            </w:tcBorders>
          </w:tcPr>
          <w:p w:rsidR="009543A2" w:rsidRPr="00FF6DE6" w:rsidRDefault="009543A2" w:rsidP="009543A2">
            <w:pPr>
              <w:pStyle w:val="PlainText"/>
              <w:ind w:left="397"/>
              <w:rPr>
                <w:rFonts w:ascii="Times New Roman" w:hAnsi="Times New Roman" w:cs="Times New Roman"/>
                <w:sz w:val="22"/>
                <w:szCs w:val="22"/>
              </w:rPr>
            </w:pPr>
            <w:r w:rsidRPr="00744467">
              <w:rPr>
                <w:rFonts w:ascii="Times New Roman" w:hAnsi="Times New Roman" w:cs="Times New Roman"/>
                <w:sz w:val="22"/>
                <w:szCs w:val="22"/>
              </w:rPr>
              <w:t>No</w:t>
            </w:r>
          </w:p>
        </w:tc>
      </w:tr>
      <w:tr w:rsidR="009543A2" w:rsidRPr="00FF6DE6" w:rsidTr="009543A2">
        <w:trPr>
          <w:gridAfter w:val="1"/>
          <w:wAfter w:w="1585" w:type="dxa"/>
        </w:trPr>
        <w:tc>
          <w:tcPr>
            <w:tcW w:w="3085" w:type="dxa"/>
            <w:tcBorders>
              <w:top w:val="nil"/>
              <w:left w:val="nil"/>
              <w:bottom w:val="single" w:sz="4" w:space="0" w:color="auto"/>
              <w:right w:val="nil"/>
            </w:tcBorders>
          </w:tcPr>
          <w:p w:rsidR="009543A2" w:rsidRPr="00A839F8" w:rsidRDefault="009543A2" w:rsidP="009543A2">
            <w:pPr>
              <w:pStyle w:val="PlainText"/>
              <w:rPr>
                <w:rFonts w:ascii="Times New Roman" w:hAnsi="Times New Roman" w:cs="Times New Roman"/>
                <w:sz w:val="22"/>
                <w:szCs w:val="22"/>
                <w:vertAlign w:val="superscript"/>
              </w:rPr>
            </w:pPr>
            <w:r w:rsidRPr="00A839F8">
              <w:rPr>
                <w:rFonts w:ascii="Times New Roman" w:hAnsi="Times New Roman" w:cs="Times New Roman"/>
                <w:i/>
                <w:sz w:val="22"/>
                <w:szCs w:val="22"/>
              </w:rPr>
              <w:t>R</w:t>
            </w:r>
            <w:r>
              <w:rPr>
                <w:rFonts w:ascii="Times New Roman" w:hAnsi="Times New Roman" w:cs="Times New Roman"/>
                <w:sz w:val="22"/>
                <w:szCs w:val="22"/>
                <w:vertAlign w:val="superscript"/>
              </w:rPr>
              <w:t>2</w:t>
            </w:r>
          </w:p>
        </w:tc>
        <w:tc>
          <w:tcPr>
            <w:tcW w:w="1584" w:type="dxa"/>
            <w:tcBorders>
              <w:top w:val="nil"/>
              <w:left w:val="nil"/>
              <w:bottom w:val="single" w:sz="4" w:space="0" w:color="auto"/>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Pr>
                <w:rFonts w:ascii="Times New Roman" w:hAnsi="Times New Roman" w:cs="Times New Roman"/>
                <w:sz w:val="22"/>
                <w:szCs w:val="22"/>
              </w:rPr>
              <w:t>0.749</w:t>
            </w:r>
          </w:p>
        </w:tc>
        <w:tc>
          <w:tcPr>
            <w:tcW w:w="1584" w:type="dxa"/>
            <w:tcBorders>
              <w:top w:val="nil"/>
              <w:left w:val="nil"/>
              <w:bottom w:val="single" w:sz="4" w:space="0" w:color="auto"/>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0.75</w:t>
            </w:r>
            <w:r>
              <w:rPr>
                <w:rFonts w:ascii="Times New Roman" w:hAnsi="Times New Roman" w:cs="Times New Roman"/>
                <w:sz w:val="22"/>
                <w:szCs w:val="22"/>
              </w:rPr>
              <w:t>2</w:t>
            </w:r>
          </w:p>
        </w:tc>
        <w:tc>
          <w:tcPr>
            <w:tcW w:w="1584" w:type="dxa"/>
            <w:tcBorders>
              <w:top w:val="nil"/>
              <w:left w:val="nil"/>
              <w:bottom w:val="single" w:sz="4" w:space="0" w:color="auto"/>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0.75</w:t>
            </w:r>
            <w:r>
              <w:rPr>
                <w:rFonts w:ascii="Times New Roman" w:hAnsi="Times New Roman" w:cs="Times New Roman"/>
                <w:sz w:val="22"/>
                <w:szCs w:val="22"/>
              </w:rPr>
              <w:t>3</w:t>
            </w:r>
          </w:p>
        </w:tc>
        <w:tc>
          <w:tcPr>
            <w:tcW w:w="1584" w:type="dxa"/>
            <w:tcBorders>
              <w:top w:val="nil"/>
              <w:left w:val="nil"/>
              <w:bottom w:val="single" w:sz="4" w:space="0" w:color="auto"/>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0.75</w:t>
            </w:r>
            <w:r>
              <w:rPr>
                <w:rFonts w:ascii="Times New Roman" w:hAnsi="Times New Roman" w:cs="Times New Roman"/>
                <w:sz w:val="22"/>
                <w:szCs w:val="22"/>
              </w:rPr>
              <w:t>2</w:t>
            </w:r>
          </w:p>
        </w:tc>
        <w:tc>
          <w:tcPr>
            <w:tcW w:w="1584" w:type="dxa"/>
            <w:tcBorders>
              <w:top w:val="nil"/>
              <w:left w:val="nil"/>
              <w:bottom w:val="single" w:sz="4" w:space="0" w:color="auto"/>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0.75</w:t>
            </w:r>
            <w:r>
              <w:rPr>
                <w:rFonts w:ascii="Times New Roman" w:hAnsi="Times New Roman" w:cs="Times New Roman"/>
                <w:sz w:val="22"/>
                <w:szCs w:val="22"/>
              </w:rPr>
              <w:t>2</w:t>
            </w:r>
          </w:p>
        </w:tc>
        <w:tc>
          <w:tcPr>
            <w:tcW w:w="1584" w:type="dxa"/>
            <w:tcBorders>
              <w:top w:val="nil"/>
              <w:left w:val="nil"/>
              <w:bottom w:val="single" w:sz="4" w:space="0" w:color="auto"/>
              <w:right w:val="nil"/>
            </w:tcBorders>
          </w:tcPr>
          <w:p w:rsidR="009543A2" w:rsidRPr="00FF6DE6" w:rsidRDefault="009543A2" w:rsidP="009543A2">
            <w:pPr>
              <w:pStyle w:val="PlainText"/>
              <w:tabs>
                <w:tab w:val="decimal" w:pos="397"/>
              </w:tabs>
              <w:rPr>
                <w:rFonts w:ascii="Times New Roman" w:hAnsi="Times New Roman" w:cs="Times New Roman"/>
                <w:sz w:val="22"/>
                <w:szCs w:val="22"/>
              </w:rPr>
            </w:pPr>
            <w:r w:rsidRPr="00FF6DE6">
              <w:rPr>
                <w:rFonts w:ascii="Times New Roman" w:hAnsi="Times New Roman" w:cs="Times New Roman"/>
                <w:sz w:val="22"/>
                <w:szCs w:val="22"/>
              </w:rPr>
              <w:t>0.76</w:t>
            </w:r>
            <w:r>
              <w:rPr>
                <w:rFonts w:ascii="Times New Roman" w:hAnsi="Times New Roman" w:cs="Times New Roman"/>
                <w:sz w:val="22"/>
                <w:szCs w:val="22"/>
              </w:rPr>
              <w:t>1</w:t>
            </w:r>
          </w:p>
        </w:tc>
        <w:tc>
          <w:tcPr>
            <w:tcW w:w="1585" w:type="dxa"/>
            <w:tcBorders>
              <w:top w:val="nil"/>
              <w:left w:val="nil"/>
              <w:bottom w:val="single" w:sz="4" w:space="0" w:color="auto"/>
              <w:right w:val="nil"/>
            </w:tcBorders>
          </w:tcPr>
          <w:p w:rsidR="009543A2" w:rsidRPr="00A839F8" w:rsidRDefault="009543A2" w:rsidP="009543A2">
            <w:pPr>
              <w:pStyle w:val="PlainText"/>
              <w:ind w:left="397"/>
              <w:rPr>
                <w:rFonts w:ascii="Times New Roman" w:hAnsi="Times New Roman" w:cs="Times New Roman"/>
                <w:sz w:val="22"/>
                <w:szCs w:val="22"/>
                <w:vertAlign w:val="superscript"/>
              </w:rPr>
            </w:pPr>
            <w:r>
              <w:rPr>
                <w:rFonts w:ascii="Times New Roman" w:hAnsi="Times New Roman" w:cs="Times New Roman"/>
                <w:sz w:val="22"/>
                <w:szCs w:val="22"/>
                <w:vertAlign w:val="superscript"/>
              </w:rPr>
              <w:t>a</w:t>
            </w:r>
          </w:p>
        </w:tc>
      </w:tr>
      <w:tr w:rsidR="003C1CC9" w:rsidRPr="00FF6DE6" w:rsidTr="009543A2">
        <w:trPr>
          <w:gridAfter w:val="1"/>
          <w:wAfter w:w="1585" w:type="dxa"/>
          <w:trHeight w:val="720"/>
        </w:trPr>
        <w:tc>
          <w:tcPr>
            <w:tcW w:w="14174" w:type="dxa"/>
            <w:gridSpan w:val="8"/>
            <w:tcBorders>
              <w:top w:val="single" w:sz="4" w:space="0" w:color="auto"/>
              <w:left w:val="nil"/>
              <w:bottom w:val="nil"/>
              <w:right w:val="nil"/>
            </w:tcBorders>
          </w:tcPr>
          <w:p w:rsidR="003C1CC9" w:rsidRPr="00A839F8" w:rsidRDefault="003C1CC9" w:rsidP="00890ADA">
            <w:pPr>
              <w:pStyle w:val="PlainText"/>
              <w:spacing w:before="40"/>
              <w:rPr>
                <w:rFonts w:ascii="Times New Roman" w:hAnsi="Times New Roman" w:cs="Times New Roman"/>
                <w:sz w:val="22"/>
                <w:szCs w:val="22"/>
              </w:rPr>
            </w:pPr>
            <w:r w:rsidRPr="004C6F9B">
              <w:rPr>
                <w:rFonts w:ascii="Times New Roman" w:hAnsi="Times New Roman" w:cs="Times New Roman"/>
                <w:i/>
              </w:rPr>
              <w:t>Notes:</w:t>
            </w:r>
            <w:r w:rsidRPr="004C6F9B">
              <w:rPr>
                <w:rFonts w:ascii="Times New Roman" w:hAnsi="Times New Roman" w:cs="Times New Roman"/>
              </w:rPr>
              <w:t xml:space="preserve"> Robust </w:t>
            </w:r>
            <w:r w:rsidRPr="008C6D4E">
              <w:rPr>
                <w:rFonts w:ascii="Times New Roman" w:hAnsi="Times New Roman" w:cs="Times New Roman"/>
                <w:i/>
              </w:rPr>
              <w:t>t</w:t>
            </w:r>
            <w:r>
              <w:rPr>
                <w:rFonts w:ascii="Times New Roman" w:hAnsi="Times New Roman" w:cs="Times New Roman"/>
              </w:rPr>
              <w:t>-</w:t>
            </w:r>
            <w:r w:rsidRPr="004C6F9B">
              <w:rPr>
                <w:rFonts w:ascii="Times New Roman" w:hAnsi="Times New Roman" w:cs="Times New Roman"/>
              </w:rPr>
              <w:t>statistics in parentheses, + significant at 10%; * significant at 5%; ** significant at 1%</w:t>
            </w:r>
            <w:r>
              <w:rPr>
                <w:rFonts w:ascii="Times New Roman" w:hAnsi="Times New Roman" w:cs="Times New Roman"/>
              </w:rPr>
              <w:t xml:space="preserve">. </w:t>
            </w:r>
            <w:proofErr w:type="spellStart"/>
            <w:proofErr w:type="gramStart"/>
            <w:r w:rsidRPr="004C6F9B">
              <w:rPr>
                <w:rFonts w:ascii="Times New Roman" w:hAnsi="Times New Roman" w:cs="Times New Roman"/>
                <w:vertAlign w:val="superscript"/>
              </w:rPr>
              <w:t>a</w:t>
            </w:r>
            <w:proofErr w:type="spellEnd"/>
            <w:proofErr w:type="gramEnd"/>
            <w:r w:rsidRPr="004C6F9B">
              <w:rPr>
                <w:rFonts w:ascii="Times New Roman" w:hAnsi="Times New Roman" w:cs="Times New Roman"/>
                <w:vertAlign w:val="superscript"/>
              </w:rPr>
              <w:t xml:space="preserve"> </w:t>
            </w:r>
            <w:r w:rsidRPr="004C6F9B">
              <w:rPr>
                <w:rFonts w:ascii="Times New Roman" w:hAnsi="Times New Roman" w:cs="Times New Roman"/>
              </w:rPr>
              <w:t xml:space="preserve">There is no </w:t>
            </w:r>
            <w:r w:rsidRPr="004C6F9B">
              <w:rPr>
                <w:rFonts w:ascii="Times New Roman" w:hAnsi="Times New Roman" w:cs="Times New Roman"/>
                <w:i/>
              </w:rPr>
              <w:t>R</w:t>
            </w:r>
            <w:r w:rsidRPr="004C6F9B">
              <w:rPr>
                <w:rFonts w:ascii="Times New Roman" w:hAnsi="Times New Roman" w:cs="Times New Roman"/>
                <w:vertAlign w:val="superscript"/>
              </w:rPr>
              <w:t>2</w:t>
            </w:r>
            <w:r w:rsidRPr="004C6F9B">
              <w:rPr>
                <w:rFonts w:ascii="Times New Roman" w:hAnsi="Times New Roman" w:cs="Times New Roman"/>
              </w:rPr>
              <w:t xml:space="preserve"> defined for the spatial error model, but the squared correlation between the predicted values and actual values is 0.752. In the spatial error model the coefficient on the spatially lagged residuals (</w:t>
            </w:r>
            <w:r w:rsidRPr="004C6F9B">
              <w:rPr>
                <w:rFonts w:ascii="Times New Roman" w:hAnsi="Times New Roman" w:cs="Times New Roman"/>
                <w:i/>
              </w:rPr>
              <w:sym w:font="Symbol" w:char="F06C"/>
            </w:r>
            <w:r w:rsidRPr="004C6F9B">
              <w:rPr>
                <w:rFonts w:ascii="Times New Roman" w:hAnsi="Times New Roman" w:cs="Times New Roman"/>
              </w:rPr>
              <w:t xml:space="preserve">) is 0.99 with a </w:t>
            </w:r>
            <w:r w:rsidRPr="004C6F9B">
              <w:rPr>
                <w:rFonts w:ascii="Times New Roman" w:hAnsi="Times New Roman" w:cs="Times New Roman"/>
                <w:i/>
              </w:rPr>
              <w:t>t</w:t>
            </w:r>
            <w:r w:rsidRPr="004C6F9B">
              <w:rPr>
                <w:rFonts w:ascii="Times New Roman" w:hAnsi="Times New Roman" w:cs="Times New Roman"/>
              </w:rPr>
              <w:t xml:space="preserve">-statistic </w:t>
            </w:r>
            <w:r>
              <w:rPr>
                <w:rFonts w:ascii="Times New Roman" w:hAnsi="Times New Roman" w:cs="Times New Roman"/>
              </w:rPr>
              <w:br/>
            </w:r>
            <w:r w:rsidRPr="004C6F9B">
              <w:rPr>
                <w:rFonts w:ascii="Times New Roman" w:hAnsi="Times New Roman" w:cs="Times New Roman"/>
              </w:rPr>
              <w:t>of 145.</w:t>
            </w:r>
          </w:p>
        </w:tc>
      </w:tr>
    </w:tbl>
    <w:p w:rsidR="00254C53" w:rsidRPr="00B441BB" w:rsidRDefault="00254C53" w:rsidP="003C1CC9">
      <w:pPr>
        <w:widowControl w:val="0"/>
        <w:spacing w:line="288" w:lineRule="auto"/>
        <w:jc w:val="both"/>
        <w:rPr>
          <w:rFonts w:eastAsia="Times New Roman"/>
          <w:sz w:val="22"/>
          <w:szCs w:val="22"/>
          <w:lang w:val="en-NZ" w:eastAsia="en-US" w:bidi="he-IL"/>
        </w:rPr>
      </w:pPr>
    </w:p>
    <w:sectPr w:rsidR="00254C53" w:rsidRPr="00B441BB" w:rsidSect="00DC2C54">
      <w:pgSz w:w="16840" w:h="11907" w:orient="landscape"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7F" w:rsidRDefault="0071767F">
      <w:r>
        <w:separator/>
      </w:r>
    </w:p>
  </w:endnote>
  <w:endnote w:type="continuationSeparator" w:id="0">
    <w:p w:rsidR="0071767F" w:rsidRDefault="0071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DNKPA+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6B" w:rsidRDefault="00965C6B" w:rsidP="00815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5C6B" w:rsidRDefault="00965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54095"/>
      <w:docPartObj>
        <w:docPartGallery w:val="Page Numbers (Bottom of Page)"/>
        <w:docPartUnique/>
      </w:docPartObj>
    </w:sdtPr>
    <w:sdtEndPr>
      <w:rPr>
        <w:noProof/>
      </w:rPr>
    </w:sdtEndPr>
    <w:sdtContent>
      <w:p w:rsidR="000A67BF" w:rsidRDefault="000A67BF">
        <w:pPr>
          <w:pStyle w:val="Footer"/>
          <w:jc w:val="center"/>
        </w:pPr>
        <w:r>
          <w:fldChar w:fldCharType="begin"/>
        </w:r>
        <w:r>
          <w:instrText xml:space="preserve"> PAGE   \* MERGEFORMAT </w:instrText>
        </w:r>
        <w:r>
          <w:fldChar w:fldCharType="separate"/>
        </w:r>
        <w:r w:rsidR="00627E42">
          <w:rPr>
            <w:noProof/>
          </w:rPr>
          <w:t>23</w:t>
        </w:r>
        <w:r>
          <w:rPr>
            <w:noProof/>
          </w:rPr>
          <w:fldChar w:fldCharType="end"/>
        </w:r>
      </w:p>
    </w:sdtContent>
  </w:sdt>
  <w:p w:rsidR="000A67BF" w:rsidRDefault="000A6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AD" w:rsidRDefault="006465AD">
    <w:pPr>
      <w:pStyle w:val="Footer"/>
      <w:jc w:val="center"/>
    </w:pPr>
  </w:p>
  <w:p w:rsidR="006465AD" w:rsidRDefault="0064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7F" w:rsidRDefault="0071767F">
      <w:r>
        <w:separator/>
      </w:r>
    </w:p>
  </w:footnote>
  <w:footnote w:type="continuationSeparator" w:id="0">
    <w:p w:rsidR="0071767F" w:rsidRDefault="0071767F">
      <w:r>
        <w:continuationSeparator/>
      </w:r>
    </w:p>
  </w:footnote>
  <w:footnote w:id="1">
    <w:p w:rsidR="00965C6B" w:rsidRPr="00660D86" w:rsidRDefault="00965C6B" w:rsidP="00660D86">
      <w:pPr>
        <w:pStyle w:val="FootnoteText"/>
        <w:ind w:left="284" w:hanging="284"/>
        <w:jc w:val="both"/>
        <w:rPr>
          <w:sz w:val="22"/>
          <w:szCs w:val="22"/>
          <w:lang w:val="en-NZ"/>
        </w:rPr>
      </w:pPr>
      <w:r w:rsidRPr="00660D86">
        <w:rPr>
          <w:rStyle w:val="FootnoteReference"/>
          <w:sz w:val="22"/>
          <w:szCs w:val="22"/>
        </w:rPr>
        <w:footnoteRef/>
      </w:r>
      <w:r w:rsidRPr="00660D86">
        <w:rPr>
          <w:sz w:val="22"/>
          <w:szCs w:val="22"/>
        </w:rPr>
        <w:t xml:space="preserve"> </w:t>
      </w:r>
      <w:r>
        <w:rPr>
          <w:sz w:val="22"/>
          <w:szCs w:val="22"/>
        </w:rPr>
        <w:tab/>
      </w:r>
      <w:r w:rsidRPr="00660D86">
        <w:rPr>
          <w:sz w:val="22"/>
          <w:szCs w:val="22"/>
          <w:lang w:val="en-NZ"/>
        </w:rPr>
        <w:t>The 14 state secondary schools used in the analysis all continue to operate in the post-earthquake period but one or two may change location, while keeping within the broad neighbourhood, due to some buildings being condemned.</w:t>
      </w:r>
    </w:p>
  </w:footnote>
  <w:footnote w:id="2">
    <w:p w:rsidR="00965C6B" w:rsidRPr="00660D86" w:rsidRDefault="00965C6B" w:rsidP="00660D86">
      <w:pPr>
        <w:pStyle w:val="FootnoteText"/>
        <w:ind w:left="284" w:hanging="284"/>
        <w:rPr>
          <w:sz w:val="22"/>
          <w:szCs w:val="22"/>
          <w:lang w:val="en-NZ"/>
        </w:rPr>
      </w:pPr>
      <w:r w:rsidRPr="00660D86">
        <w:rPr>
          <w:rStyle w:val="FootnoteReference"/>
          <w:sz w:val="22"/>
          <w:szCs w:val="22"/>
        </w:rPr>
        <w:footnoteRef/>
      </w:r>
      <w:r w:rsidRPr="00660D86">
        <w:rPr>
          <w:sz w:val="22"/>
          <w:szCs w:val="22"/>
        </w:rPr>
        <w:t xml:space="preserve"> </w:t>
      </w:r>
      <w:r>
        <w:rPr>
          <w:sz w:val="22"/>
          <w:szCs w:val="22"/>
        </w:rPr>
        <w:tab/>
      </w:r>
      <w:r w:rsidRPr="00660D86">
        <w:rPr>
          <w:sz w:val="22"/>
          <w:szCs w:val="22"/>
          <w:lang w:val="en-NZ"/>
        </w:rPr>
        <w:t xml:space="preserve">See </w:t>
      </w:r>
      <w:hyperlink r:id="rId1" w:history="1">
        <w:r w:rsidRPr="00660D86">
          <w:rPr>
            <w:rStyle w:val="Hyperlink"/>
            <w:sz w:val="22"/>
            <w:szCs w:val="22"/>
          </w:rPr>
          <w:t>www.schoolzones.co.nz</w:t>
        </w:r>
      </w:hyperlink>
      <w:r w:rsidRPr="00660D86">
        <w:rPr>
          <w:sz w:val="22"/>
          <w:szCs w:val="22"/>
          <w:lang w:val="en-NZ"/>
        </w:rPr>
        <w:t xml:space="preserve"> for details.</w:t>
      </w:r>
    </w:p>
  </w:footnote>
  <w:footnote w:id="3">
    <w:p w:rsidR="00965C6B" w:rsidRPr="00660D86" w:rsidRDefault="00965C6B" w:rsidP="00660D86">
      <w:pPr>
        <w:pStyle w:val="FootnoteText"/>
        <w:ind w:left="284" w:hanging="284"/>
        <w:jc w:val="both"/>
        <w:rPr>
          <w:sz w:val="22"/>
          <w:szCs w:val="22"/>
          <w:lang w:val="en-NZ"/>
        </w:rPr>
      </w:pPr>
      <w:r w:rsidRPr="00660D86">
        <w:rPr>
          <w:rStyle w:val="FootnoteReference"/>
          <w:sz w:val="22"/>
          <w:szCs w:val="22"/>
        </w:rPr>
        <w:footnoteRef/>
      </w:r>
      <w:r w:rsidRPr="00660D86">
        <w:rPr>
          <w:sz w:val="22"/>
          <w:szCs w:val="22"/>
        </w:rPr>
        <w:t xml:space="preserve"> </w:t>
      </w:r>
      <w:r>
        <w:rPr>
          <w:sz w:val="22"/>
          <w:szCs w:val="22"/>
        </w:rPr>
        <w:tab/>
      </w:r>
      <w:r w:rsidRPr="00660D86">
        <w:rPr>
          <w:sz w:val="22"/>
          <w:szCs w:val="22"/>
        </w:rPr>
        <w:t xml:space="preserve">New Zealand has almost 40,000 </w:t>
      </w:r>
      <w:proofErr w:type="spellStart"/>
      <w:r w:rsidRPr="00660D86">
        <w:rPr>
          <w:sz w:val="22"/>
          <w:szCs w:val="22"/>
        </w:rPr>
        <w:t>meshblocks</w:t>
      </w:r>
      <w:proofErr w:type="spellEnd"/>
      <w:r w:rsidRPr="00660D86">
        <w:rPr>
          <w:sz w:val="22"/>
          <w:szCs w:val="22"/>
        </w:rPr>
        <w:t>, each with an average of just 110 residents. For an urban meshblock, if perfectly square the dimensions would be just over 200 meters, so this is a finely scaled spatial unit.</w:t>
      </w:r>
    </w:p>
  </w:footnote>
  <w:footnote w:id="4">
    <w:p w:rsidR="00965C6B" w:rsidRDefault="00965C6B" w:rsidP="008000AC">
      <w:pPr>
        <w:pStyle w:val="FootnoteText"/>
        <w:ind w:left="284" w:hanging="284"/>
        <w:jc w:val="both"/>
        <w:rPr>
          <w:sz w:val="22"/>
          <w:szCs w:val="22"/>
          <w:lang w:val="en-NZ"/>
        </w:rPr>
      </w:pPr>
      <w:r w:rsidRPr="00660D86">
        <w:rPr>
          <w:rStyle w:val="FootnoteReference"/>
          <w:sz w:val="22"/>
          <w:szCs w:val="22"/>
        </w:rPr>
        <w:footnoteRef/>
      </w:r>
      <w:r w:rsidRPr="00660D86">
        <w:rPr>
          <w:sz w:val="22"/>
          <w:szCs w:val="22"/>
        </w:rPr>
        <w:t xml:space="preserve"> </w:t>
      </w:r>
      <w:r>
        <w:rPr>
          <w:sz w:val="22"/>
          <w:szCs w:val="22"/>
        </w:rPr>
        <w:t xml:space="preserve"> </w:t>
      </w:r>
      <w:r>
        <w:rPr>
          <w:sz w:val="22"/>
          <w:szCs w:val="22"/>
        </w:rPr>
        <w:tab/>
      </w:r>
      <w:r w:rsidRPr="00660D86">
        <w:rPr>
          <w:sz w:val="22"/>
          <w:szCs w:val="22"/>
          <w:lang w:val="en-NZ"/>
        </w:rPr>
        <w:t xml:space="preserve">Notice that for this particular dwelling the three closest schools are </w:t>
      </w:r>
      <w:proofErr w:type="spellStart"/>
      <w:r w:rsidRPr="00660D86">
        <w:rPr>
          <w:sz w:val="22"/>
          <w:szCs w:val="22"/>
          <w:lang w:val="en-NZ"/>
        </w:rPr>
        <w:t>Hagley</w:t>
      </w:r>
      <w:proofErr w:type="spellEnd"/>
      <w:r w:rsidRPr="00660D86">
        <w:rPr>
          <w:sz w:val="22"/>
          <w:szCs w:val="22"/>
          <w:lang w:val="en-NZ"/>
        </w:rPr>
        <w:t xml:space="preserve"> (1.3km), Girls High (1.9km) and Boys High (2.0 km) but it is outside the attendance boundaries for all of these schools.</w:t>
      </w:r>
    </w:p>
    <w:p w:rsidR="00965C6B" w:rsidRPr="00660D86" w:rsidRDefault="00965C6B" w:rsidP="008000AC">
      <w:pPr>
        <w:pStyle w:val="FootnoteText"/>
        <w:ind w:left="284" w:hanging="284"/>
        <w:jc w:val="both"/>
        <w:rPr>
          <w:sz w:val="22"/>
          <w:szCs w:val="22"/>
          <w:lang w:val="en-NZ"/>
        </w:rPr>
      </w:pPr>
    </w:p>
  </w:footnote>
  <w:footnote w:id="5">
    <w:p w:rsidR="00965C6B" w:rsidRPr="00660D86" w:rsidRDefault="00965C6B" w:rsidP="00660D86">
      <w:pPr>
        <w:pStyle w:val="FootnoteText"/>
        <w:ind w:left="284" w:hanging="284"/>
        <w:jc w:val="both"/>
        <w:rPr>
          <w:sz w:val="22"/>
          <w:szCs w:val="22"/>
          <w:lang w:val="en-NZ"/>
        </w:rPr>
      </w:pPr>
      <w:r w:rsidRPr="00660D86">
        <w:rPr>
          <w:rStyle w:val="FootnoteReference"/>
          <w:sz w:val="22"/>
          <w:szCs w:val="22"/>
        </w:rPr>
        <w:footnoteRef/>
      </w:r>
      <w:r w:rsidRPr="00660D86">
        <w:rPr>
          <w:sz w:val="22"/>
          <w:szCs w:val="22"/>
          <w:lang w:val="en-NZ"/>
        </w:rPr>
        <w:t xml:space="preserve"> </w:t>
      </w:r>
      <w:r>
        <w:rPr>
          <w:sz w:val="22"/>
          <w:szCs w:val="22"/>
          <w:lang w:val="en-NZ"/>
        </w:rPr>
        <w:t xml:space="preserve"> </w:t>
      </w:r>
      <w:r>
        <w:rPr>
          <w:sz w:val="22"/>
          <w:szCs w:val="22"/>
          <w:lang w:val="en-NZ"/>
        </w:rPr>
        <w:tab/>
      </w:r>
      <w:proofErr w:type="spellStart"/>
      <w:r w:rsidRPr="00660D86">
        <w:rPr>
          <w:sz w:val="22"/>
          <w:szCs w:val="22"/>
          <w:lang w:val="en-NZ"/>
        </w:rPr>
        <w:t>Tobler</w:t>
      </w:r>
      <w:proofErr w:type="spellEnd"/>
      <w:r w:rsidRPr="00660D86">
        <w:rPr>
          <w:sz w:val="22"/>
          <w:szCs w:val="22"/>
          <w:lang w:val="en-NZ"/>
        </w:rPr>
        <w:t xml:space="preserve"> (1970, p.236) is the first reference known to invoke the first law of geography: 'Everything is related to everything else, but near things are more related than distant things.'</w:t>
      </w:r>
    </w:p>
  </w:footnote>
  <w:footnote w:id="6">
    <w:p w:rsidR="00965C6B" w:rsidRPr="003F3AE8" w:rsidRDefault="00965C6B" w:rsidP="003F3AE8">
      <w:pPr>
        <w:pStyle w:val="FootnoteText"/>
        <w:ind w:left="284" w:hanging="284"/>
        <w:jc w:val="both"/>
        <w:rPr>
          <w:sz w:val="22"/>
          <w:szCs w:val="22"/>
          <w:lang w:val="en-NZ"/>
        </w:rPr>
      </w:pPr>
      <w:r>
        <w:rPr>
          <w:rStyle w:val="FootnoteReference"/>
        </w:rPr>
        <w:footnoteRef/>
      </w:r>
      <w:r>
        <w:t xml:space="preserve"> </w:t>
      </w:r>
      <w:r w:rsidRPr="003F3AE8">
        <w:rPr>
          <w:sz w:val="22"/>
          <w:szCs w:val="22"/>
        </w:rPr>
        <w:tab/>
      </w:r>
      <w:r w:rsidRPr="003F3AE8">
        <w:rPr>
          <w:sz w:val="22"/>
          <w:szCs w:val="22"/>
          <w:lang w:val="en-NZ"/>
        </w:rPr>
        <w:t>Thomson (2010) notes that government in New Zealand has not provided an institutional or resource framework that allows for the expansion of successful schools, making supply highly inelastic.</w:t>
      </w:r>
    </w:p>
  </w:footnote>
  <w:footnote w:id="7">
    <w:p w:rsidR="00965C6B" w:rsidRPr="003F3AE8" w:rsidRDefault="00965C6B" w:rsidP="003F3AE8">
      <w:pPr>
        <w:pStyle w:val="FootnoteText"/>
        <w:ind w:left="284" w:hanging="284"/>
        <w:jc w:val="both"/>
        <w:rPr>
          <w:sz w:val="22"/>
          <w:szCs w:val="22"/>
          <w:lang w:val="en-NZ"/>
        </w:rPr>
      </w:pPr>
      <w:r w:rsidRPr="003F3AE8">
        <w:rPr>
          <w:rStyle w:val="FootnoteReference"/>
          <w:sz w:val="22"/>
          <w:szCs w:val="22"/>
        </w:rPr>
        <w:footnoteRef/>
      </w:r>
      <w:r w:rsidRPr="003F3AE8">
        <w:rPr>
          <w:sz w:val="22"/>
          <w:szCs w:val="22"/>
        </w:rPr>
        <w:t xml:space="preserve"> </w:t>
      </w:r>
      <w:r>
        <w:rPr>
          <w:sz w:val="22"/>
          <w:szCs w:val="22"/>
        </w:rPr>
        <w:tab/>
      </w:r>
      <w:r w:rsidRPr="003F3AE8">
        <w:rPr>
          <w:rFonts w:asciiTheme="majorBidi" w:hAnsiTheme="majorBidi" w:cstheme="majorBidi"/>
          <w:color w:val="333333"/>
          <w:sz w:val="22"/>
          <w:szCs w:val="22"/>
          <w:shd w:val="clear" w:color="auto" w:fill="FFFFFF"/>
        </w:rPr>
        <w:t xml:space="preserve">Specifically, schools are grouped into deciles based on socio-economic indicators (household income and crowding, education, income source and occupations) from Census data for their catchment area. For a secondary school with a roll of 1,000 students, a school in the lowest </w:t>
      </w:r>
      <w:proofErr w:type="spellStart"/>
      <w:r w:rsidRPr="003F3AE8">
        <w:rPr>
          <w:rFonts w:asciiTheme="majorBidi" w:hAnsiTheme="majorBidi" w:cstheme="majorBidi"/>
          <w:color w:val="333333"/>
          <w:sz w:val="22"/>
          <w:szCs w:val="22"/>
          <w:shd w:val="clear" w:color="auto" w:fill="FFFFFF"/>
        </w:rPr>
        <w:t>decile</w:t>
      </w:r>
      <w:proofErr w:type="spellEnd"/>
      <w:r w:rsidRPr="003F3AE8">
        <w:rPr>
          <w:rFonts w:asciiTheme="majorBidi" w:hAnsiTheme="majorBidi" w:cstheme="majorBidi"/>
          <w:color w:val="333333"/>
          <w:sz w:val="22"/>
          <w:szCs w:val="22"/>
          <w:shd w:val="clear" w:color="auto" w:fill="FFFFFF"/>
        </w:rPr>
        <w:t xml:space="preserve"> would get $980,000 of extra funding while an equivalently-sized top </w:t>
      </w:r>
      <w:proofErr w:type="spellStart"/>
      <w:r w:rsidRPr="003F3AE8">
        <w:rPr>
          <w:rFonts w:asciiTheme="majorBidi" w:hAnsiTheme="majorBidi" w:cstheme="majorBidi"/>
          <w:color w:val="333333"/>
          <w:sz w:val="22"/>
          <w:szCs w:val="22"/>
          <w:shd w:val="clear" w:color="auto" w:fill="FFFFFF"/>
        </w:rPr>
        <w:t>decile</w:t>
      </w:r>
      <w:proofErr w:type="spellEnd"/>
      <w:r w:rsidRPr="003F3AE8">
        <w:rPr>
          <w:rFonts w:asciiTheme="majorBidi" w:hAnsiTheme="majorBidi" w:cstheme="majorBidi"/>
          <w:color w:val="333333"/>
          <w:sz w:val="22"/>
          <w:szCs w:val="22"/>
          <w:shd w:val="clear" w:color="auto" w:fill="FFFFFF"/>
        </w:rPr>
        <w:t xml:space="preserve"> school would get $53,000, in addition to the usual salary and operating expenses that are paid for all state schools (Ministry of Education, 2014).</w:t>
      </w:r>
    </w:p>
  </w:footnote>
  <w:footnote w:id="8">
    <w:p w:rsidR="00965C6B" w:rsidRPr="008B593B" w:rsidRDefault="00965C6B" w:rsidP="008B593B">
      <w:pPr>
        <w:pStyle w:val="FootnoteText"/>
        <w:ind w:left="142" w:hanging="142"/>
        <w:jc w:val="both"/>
        <w:rPr>
          <w:sz w:val="22"/>
          <w:szCs w:val="22"/>
          <w:lang w:val="en-NZ"/>
        </w:rPr>
      </w:pPr>
      <w:r>
        <w:rPr>
          <w:rStyle w:val="FootnoteReference"/>
        </w:rPr>
        <w:footnoteRef/>
      </w:r>
      <w:r>
        <w:t xml:space="preserve"> </w:t>
      </w:r>
      <w:r>
        <w:tab/>
      </w:r>
      <w:r w:rsidRPr="008B593B">
        <w:rPr>
          <w:sz w:val="22"/>
          <w:szCs w:val="22"/>
          <w:lang w:val="en-NZ"/>
        </w:rPr>
        <w:t xml:space="preserve">This is estimated using the </w:t>
      </w:r>
      <w:r w:rsidRPr="008B593B">
        <w:rPr>
          <w:i/>
          <w:sz w:val="22"/>
          <w:szCs w:val="22"/>
          <w:lang w:val="en-NZ"/>
        </w:rPr>
        <w:t xml:space="preserve">Stata </w:t>
      </w:r>
      <w:r w:rsidRPr="008B593B">
        <w:rPr>
          <w:sz w:val="22"/>
          <w:szCs w:val="22"/>
          <w:lang w:val="en-NZ"/>
        </w:rPr>
        <w:t xml:space="preserve">maximum likelihood SPMLREG routine provided by </w:t>
      </w:r>
      <w:proofErr w:type="spellStart"/>
      <w:r w:rsidRPr="008B593B">
        <w:rPr>
          <w:sz w:val="22"/>
          <w:szCs w:val="22"/>
          <w:lang w:val="en-NZ"/>
        </w:rPr>
        <w:t>Jeanty</w:t>
      </w:r>
      <w:proofErr w:type="spellEnd"/>
      <w:r w:rsidRPr="008B593B">
        <w:rPr>
          <w:sz w:val="22"/>
          <w:szCs w:val="22"/>
          <w:lang w:val="en-NZ"/>
        </w:rPr>
        <w:t xml:space="preserve"> (2010).</w:t>
      </w:r>
    </w:p>
  </w:footnote>
  <w:footnote w:id="9">
    <w:p w:rsidR="00965C6B" w:rsidRDefault="00965C6B" w:rsidP="00426185">
      <w:pPr>
        <w:pStyle w:val="FootnoteText"/>
        <w:ind w:left="284" w:hanging="284"/>
        <w:rPr>
          <w:sz w:val="22"/>
          <w:szCs w:val="22"/>
        </w:rPr>
      </w:pPr>
      <w:r>
        <w:rPr>
          <w:rStyle w:val="FootnoteReference"/>
        </w:rPr>
        <w:footnoteRef/>
      </w:r>
      <w:r>
        <w:t xml:space="preserve"> </w:t>
      </w:r>
      <w:r>
        <w:tab/>
      </w:r>
      <w:r w:rsidRPr="00426185">
        <w:rPr>
          <w:sz w:val="22"/>
          <w:szCs w:val="22"/>
        </w:rPr>
        <w:t xml:space="preserve">Available at: </w:t>
      </w:r>
      <w:hyperlink r:id="rId2" w:history="1">
        <w:r w:rsidRPr="00426185">
          <w:rPr>
            <w:rStyle w:val="Hyperlink"/>
            <w:sz w:val="22"/>
            <w:szCs w:val="22"/>
          </w:rPr>
          <w:t>http://www.rbnz.govt.nz/statistics/tables/c18/</w:t>
        </w:r>
      </w:hyperlink>
      <w:r w:rsidRPr="00426185">
        <w:rPr>
          <w:sz w:val="22"/>
          <w:szCs w:val="22"/>
        </w:rPr>
        <w:t xml:space="preserve"> </w:t>
      </w:r>
    </w:p>
    <w:p w:rsidR="00965C6B" w:rsidRPr="00426185" w:rsidRDefault="00965C6B" w:rsidP="00426185">
      <w:pPr>
        <w:pStyle w:val="FootnoteText"/>
        <w:ind w:left="284" w:hanging="284"/>
        <w:rPr>
          <w:sz w:val="10"/>
          <w:szCs w:val="10"/>
          <w:lang w:val="en-NZ"/>
        </w:rPr>
      </w:pPr>
    </w:p>
  </w:footnote>
  <w:footnote w:id="10">
    <w:p w:rsidR="00965C6B" w:rsidRDefault="00965C6B" w:rsidP="00426185">
      <w:pPr>
        <w:pStyle w:val="FootnoteText"/>
        <w:ind w:left="284" w:hanging="284"/>
        <w:jc w:val="both"/>
        <w:rPr>
          <w:sz w:val="22"/>
          <w:szCs w:val="22"/>
          <w:lang w:val="en-NZ"/>
        </w:rPr>
      </w:pPr>
      <w:r w:rsidRPr="00426185">
        <w:rPr>
          <w:rStyle w:val="FootnoteReference"/>
          <w:sz w:val="22"/>
          <w:szCs w:val="22"/>
        </w:rPr>
        <w:footnoteRef/>
      </w:r>
      <w:r w:rsidRPr="00426185">
        <w:rPr>
          <w:sz w:val="22"/>
          <w:szCs w:val="22"/>
        </w:rPr>
        <w:t xml:space="preserve"> </w:t>
      </w:r>
      <w:r w:rsidRPr="00426185">
        <w:rPr>
          <w:sz w:val="22"/>
          <w:szCs w:val="22"/>
        </w:rPr>
        <w:tab/>
      </w:r>
      <w:r w:rsidRPr="00426185">
        <w:rPr>
          <w:sz w:val="22"/>
          <w:szCs w:val="22"/>
          <w:lang w:val="en-NZ"/>
        </w:rPr>
        <w:t xml:space="preserve">Details are available at: </w:t>
      </w:r>
      <w:hyperlink r:id="rId3" w:history="1">
        <w:r w:rsidRPr="00426185">
          <w:rPr>
            <w:rStyle w:val="Hyperlink"/>
            <w:sz w:val="22"/>
            <w:szCs w:val="22"/>
            <w:lang w:val="en-NZ"/>
          </w:rPr>
          <w:t>http://www.beehive.govt.nz/sites/all/files/FAQs%20_0.pdf</w:t>
        </w:r>
      </w:hyperlink>
      <w:r w:rsidRPr="003F3AE8">
        <w:rPr>
          <w:sz w:val="22"/>
          <w:szCs w:val="22"/>
          <w:lang w:val="en-NZ"/>
        </w:rPr>
        <w:t xml:space="preserve"> </w:t>
      </w:r>
    </w:p>
    <w:p w:rsidR="00965C6B" w:rsidRPr="003F3AE8" w:rsidRDefault="00965C6B" w:rsidP="00426185">
      <w:pPr>
        <w:pStyle w:val="FootnoteText"/>
        <w:ind w:left="284" w:hanging="284"/>
        <w:jc w:val="both"/>
        <w:rPr>
          <w:sz w:val="22"/>
          <w:szCs w:val="22"/>
          <w:lang w:val="en-NZ"/>
        </w:rPr>
      </w:pPr>
    </w:p>
  </w:footnote>
  <w:footnote w:id="11">
    <w:p w:rsidR="00965C6B" w:rsidRDefault="00965C6B" w:rsidP="003F3AE8">
      <w:pPr>
        <w:pStyle w:val="FootnoteText"/>
        <w:ind w:left="284" w:hanging="284"/>
        <w:jc w:val="both"/>
        <w:rPr>
          <w:sz w:val="22"/>
          <w:szCs w:val="22"/>
          <w:lang w:val="en-NZ"/>
        </w:rPr>
      </w:pPr>
      <w:r w:rsidRPr="003F3AE8">
        <w:rPr>
          <w:rStyle w:val="FootnoteReference"/>
          <w:sz w:val="22"/>
          <w:szCs w:val="22"/>
        </w:rPr>
        <w:footnoteRef/>
      </w:r>
      <w:r w:rsidRPr="003F3AE8">
        <w:rPr>
          <w:sz w:val="22"/>
          <w:szCs w:val="22"/>
          <w:vertAlign w:val="superscript"/>
          <w:lang w:val="en-NZ"/>
        </w:rPr>
        <w:t xml:space="preserve"> </w:t>
      </w:r>
      <w:r>
        <w:rPr>
          <w:sz w:val="22"/>
          <w:szCs w:val="22"/>
          <w:vertAlign w:val="superscript"/>
          <w:lang w:val="en-NZ"/>
        </w:rPr>
        <w:tab/>
      </w:r>
      <w:r w:rsidRPr="003F3AE8">
        <w:rPr>
          <w:sz w:val="22"/>
          <w:szCs w:val="22"/>
          <w:lang w:val="en-NZ"/>
        </w:rPr>
        <w:t>An analysis of the weakening of school district boundaries and the adoption of open enrolment in Minnesota shows that while house prices rise in some areas and fall in others, overall, average prices rise, which provides some approximate evidence on the positive</w:t>
      </w:r>
      <w:r w:rsidR="003346C7">
        <w:rPr>
          <w:sz w:val="22"/>
          <w:szCs w:val="22"/>
          <w:lang w:val="en-NZ"/>
        </w:rPr>
        <w:t xml:space="preserve"> aggregate welfare gain (</w:t>
      </w:r>
      <w:proofErr w:type="spellStart"/>
      <w:r w:rsidR="003346C7">
        <w:rPr>
          <w:sz w:val="22"/>
          <w:szCs w:val="22"/>
          <w:lang w:val="en-NZ"/>
        </w:rPr>
        <w:t>Reback</w:t>
      </w:r>
      <w:proofErr w:type="spellEnd"/>
      <w:r w:rsidRPr="003F3AE8">
        <w:rPr>
          <w:sz w:val="22"/>
          <w:szCs w:val="22"/>
          <w:lang w:val="en-NZ"/>
        </w:rPr>
        <w:t xml:space="preserve"> 2005).</w:t>
      </w:r>
    </w:p>
    <w:p w:rsidR="00965C6B" w:rsidRPr="00426185" w:rsidRDefault="00965C6B" w:rsidP="003F3AE8">
      <w:pPr>
        <w:pStyle w:val="FootnoteText"/>
        <w:ind w:left="284" w:hanging="284"/>
        <w:jc w:val="both"/>
        <w:rPr>
          <w:sz w:val="10"/>
          <w:szCs w:val="10"/>
          <w:lang w:val="en-NZ"/>
        </w:rPr>
      </w:pPr>
    </w:p>
  </w:footnote>
  <w:footnote w:id="12">
    <w:p w:rsidR="00965C6B" w:rsidRPr="003F3AE8" w:rsidRDefault="00965C6B" w:rsidP="003F3AE8">
      <w:pPr>
        <w:pStyle w:val="FootnoteText"/>
        <w:ind w:left="284" w:hanging="284"/>
        <w:jc w:val="both"/>
        <w:rPr>
          <w:sz w:val="22"/>
          <w:szCs w:val="22"/>
          <w:lang w:val="en-NZ"/>
        </w:rPr>
      </w:pPr>
      <w:r w:rsidRPr="003F3AE8">
        <w:rPr>
          <w:rStyle w:val="FootnoteReference"/>
          <w:sz w:val="22"/>
          <w:szCs w:val="22"/>
        </w:rPr>
        <w:footnoteRef/>
      </w:r>
      <w:r w:rsidRPr="003F3AE8">
        <w:rPr>
          <w:sz w:val="22"/>
          <w:szCs w:val="22"/>
        </w:rPr>
        <w:t xml:space="preserve"> </w:t>
      </w:r>
      <w:r>
        <w:rPr>
          <w:sz w:val="22"/>
          <w:szCs w:val="22"/>
        </w:rPr>
        <w:tab/>
      </w:r>
      <w:r w:rsidRPr="003F3AE8">
        <w:rPr>
          <w:sz w:val="22"/>
          <w:szCs w:val="22"/>
          <w:lang w:val="en-NZ"/>
        </w:rPr>
        <w:t>Most media commentary in New Zealand is that school zones inflate house p</w:t>
      </w:r>
      <w:r>
        <w:rPr>
          <w:sz w:val="22"/>
          <w:szCs w:val="22"/>
          <w:lang w:val="en-NZ"/>
        </w:rPr>
        <w:t>rices (for example,</w:t>
      </w:r>
      <w:r w:rsidRPr="003F3AE8">
        <w:rPr>
          <w:sz w:val="22"/>
          <w:szCs w:val="22"/>
          <w:lang w:val="en-NZ"/>
        </w:rPr>
        <w:t xml:space="preserve"> </w:t>
      </w:r>
      <w:r w:rsidRPr="003F3AE8">
        <w:rPr>
          <w:i/>
          <w:sz w:val="22"/>
          <w:szCs w:val="22"/>
          <w:lang w:val="en-NZ"/>
        </w:rPr>
        <w:t>National Business Review</w:t>
      </w:r>
      <w:r w:rsidRPr="003F3AE8">
        <w:rPr>
          <w:sz w:val="22"/>
          <w:szCs w:val="22"/>
          <w:lang w:val="en-NZ"/>
        </w:rPr>
        <w:t xml:space="preserve"> 'Removing school zones scores double-win'</w:t>
      </w:r>
      <w:r>
        <w:rPr>
          <w:sz w:val="22"/>
          <w:szCs w:val="22"/>
          <w:lang w:val="en-NZ"/>
        </w:rPr>
        <w:t xml:space="preserve"> March 7, 2014, p.</w:t>
      </w:r>
      <w:r w:rsidRPr="003F3AE8">
        <w:rPr>
          <w:sz w:val="22"/>
          <w:szCs w:val="22"/>
          <w:lang w:val="en-NZ"/>
        </w:rPr>
        <w:t>37). This commentary focuses only on the houses made more expensive by the access they offer to popular schools, not on the overall effects of restricting access to a valuable public service that reduces value for many more houses.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07D0"/>
    <w:multiLevelType w:val="hybridMultilevel"/>
    <w:tmpl w:val="8E0C07E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8624D44"/>
    <w:multiLevelType w:val="hybridMultilevel"/>
    <w:tmpl w:val="FBF0D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0F7E75"/>
    <w:multiLevelType w:val="multilevel"/>
    <w:tmpl w:val="58F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19F7"/>
    <w:rsid w:val="00001023"/>
    <w:rsid w:val="00002633"/>
    <w:rsid w:val="000036D5"/>
    <w:rsid w:val="000062C5"/>
    <w:rsid w:val="000107FB"/>
    <w:rsid w:val="000129EF"/>
    <w:rsid w:val="00016460"/>
    <w:rsid w:val="00016C12"/>
    <w:rsid w:val="000200DE"/>
    <w:rsid w:val="00021B97"/>
    <w:rsid w:val="000232A5"/>
    <w:rsid w:val="00025AD2"/>
    <w:rsid w:val="00026BF0"/>
    <w:rsid w:val="00033CE2"/>
    <w:rsid w:val="00044087"/>
    <w:rsid w:val="00056806"/>
    <w:rsid w:val="00065839"/>
    <w:rsid w:val="00065BA3"/>
    <w:rsid w:val="00065F9C"/>
    <w:rsid w:val="00070806"/>
    <w:rsid w:val="0007524D"/>
    <w:rsid w:val="00081183"/>
    <w:rsid w:val="00081430"/>
    <w:rsid w:val="000821AF"/>
    <w:rsid w:val="000877F2"/>
    <w:rsid w:val="000879E5"/>
    <w:rsid w:val="00087B6B"/>
    <w:rsid w:val="00096236"/>
    <w:rsid w:val="000A1519"/>
    <w:rsid w:val="000A158B"/>
    <w:rsid w:val="000A67BF"/>
    <w:rsid w:val="000B021F"/>
    <w:rsid w:val="000B6A5B"/>
    <w:rsid w:val="000C0CB1"/>
    <w:rsid w:val="000C1526"/>
    <w:rsid w:val="000C1CC0"/>
    <w:rsid w:val="000C616F"/>
    <w:rsid w:val="000D3DB4"/>
    <w:rsid w:val="000D4A19"/>
    <w:rsid w:val="000E4D36"/>
    <w:rsid w:val="000E5914"/>
    <w:rsid w:val="000E6517"/>
    <w:rsid w:val="000F371B"/>
    <w:rsid w:val="001017FE"/>
    <w:rsid w:val="00102EC1"/>
    <w:rsid w:val="001079BE"/>
    <w:rsid w:val="0011626F"/>
    <w:rsid w:val="001209A6"/>
    <w:rsid w:val="00121DCB"/>
    <w:rsid w:val="00121EDE"/>
    <w:rsid w:val="001225FB"/>
    <w:rsid w:val="00123551"/>
    <w:rsid w:val="00126B48"/>
    <w:rsid w:val="00126CA5"/>
    <w:rsid w:val="0013509A"/>
    <w:rsid w:val="00137C0B"/>
    <w:rsid w:val="00140331"/>
    <w:rsid w:val="00142F0A"/>
    <w:rsid w:val="0014405F"/>
    <w:rsid w:val="00144529"/>
    <w:rsid w:val="00147DB0"/>
    <w:rsid w:val="001526D7"/>
    <w:rsid w:val="0015416F"/>
    <w:rsid w:val="00154C7C"/>
    <w:rsid w:val="00156124"/>
    <w:rsid w:val="00156CA6"/>
    <w:rsid w:val="00156D41"/>
    <w:rsid w:val="0016014B"/>
    <w:rsid w:val="001735C5"/>
    <w:rsid w:val="001751DB"/>
    <w:rsid w:val="0017682C"/>
    <w:rsid w:val="00184848"/>
    <w:rsid w:val="00184DD4"/>
    <w:rsid w:val="00184F76"/>
    <w:rsid w:val="00185EF1"/>
    <w:rsid w:val="001878F0"/>
    <w:rsid w:val="001954DB"/>
    <w:rsid w:val="001A1CDB"/>
    <w:rsid w:val="001A3DDD"/>
    <w:rsid w:val="001B4EE8"/>
    <w:rsid w:val="001B6DE8"/>
    <w:rsid w:val="001C17AD"/>
    <w:rsid w:val="001C283C"/>
    <w:rsid w:val="001C2CF5"/>
    <w:rsid w:val="001C3854"/>
    <w:rsid w:val="001C6B5F"/>
    <w:rsid w:val="001D1717"/>
    <w:rsid w:val="001D228B"/>
    <w:rsid w:val="001D365C"/>
    <w:rsid w:val="001D44AD"/>
    <w:rsid w:val="001D7CD7"/>
    <w:rsid w:val="001F2072"/>
    <w:rsid w:val="001F404F"/>
    <w:rsid w:val="00201720"/>
    <w:rsid w:val="002119F7"/>
    <w:rsid w:val="0021286C"/>
    <w:rsid w:val="00213C93"/>
    <w:rsid w:val="00222DFD"/>
    <w:rsid w:val="002276F3"/>
    <w:rsid w:val="002279AB"/>
    <w:rsid w:val="00231422"/>
    <w:rsid w:val="00232F90"/>
    <w:rsid w:val="00237887"/>
    <w:rsid w:val="0024305D"/>
    <w:rsid w:val="00245372"/>
    <w:rsid w:val="0025232D"/>
    <w:rsid w:val="002549EF"/>
    <w:rsid w:val="00254C53"/>
    <w:rsid w:val="00257A2D"/>
    <w:rsid w:val="00266A8A"/>
    <w:rsid w:val="00271B59"/>
    <w:rsid w:val="00272A5C"/>
    <w:rsid w:val="002731C0"/>
    <w:rsid w:val="00273798"/>
    <w:rsid w:val="00273D45"/>
    <w:rsid w:val="002768E8"/>
    <w:rsid w:val="00276B05"/>
    <w:rsid w:val="002806BF"/>
    <w:rsid w:val="00280FF6"/>
    <w:rsid w:val="00282A09"/>
    <w:rsid w:val="00282BCC"/>
    <w:rsid w:val="00283CC9"/>
    <w:rsid w:val="00285060"/>
    <w:rsid w:val="0028538B"/>
    <w:rsid w:val="0029148E"/>
    <w:rsid w:val="00296FCE"/>
    <w:rsid w:val="00297353"/>
    <w:rsid w:val="002A43B2"/>
    <w:rsid w:val="002B1591"/>
    <w:rsid w:val="002C048C"/>
    <w:rsid w:val="002C44E5"/>
    <w:rsid w:val="002C728F"/>
    <w:rsid w:val="002C72B3"/>
    <w:rsid w:val="002D4252"/>
    <w:rsid w:val="002D582A"/>
    <w:rsid w:val="002F38C4"/>
    <w:rsid w:val="002F5D05"/>
    <w:rsid w:val="00302240"/>
    <w:rsid w:val="00303862"/>
    <w:rsid w:val="00303CA7"/>
    <w:rsid w:val="00306768"/>
    <w:rsid w:val="00310864"/>
    <w:rsid w:val="00310955"/>
    <w:rsid w:val="0031096E"/>
    <w:rsid w:val="00315DD2"/>
    <w:rsid w:val="00326916"/>
    <w:rsid w:val="003274DF"/>
    <w:rsid w:val="00330077"/>
    <w:rsid w:val="00331AB2"/>
    <w:rsid w:val="003346C7"/>
    <w:rsid w:val="00341EC8"/>
    <w:rsid w:val="00352CEE"/>
    <w:rsid w:val="00354CFB"/>
    <w:rsid w:val="00360FDC"/>
    <w:rsid w:val="00365880"/>
    <w:rsid w:val="003663CB"/>
    <w:rsid w:val="00371591"/>
    <w:rsid w:val="00375507"/>
    <w:rsid w:val="00376447"/>
    <w:rsid w:val="00376B29"/>
    <w:rsid w:val="003803CF"/>
    <w:rsid w:val="00380577"/>
    <w:rsid w:val="003856A7"/>
    <w:rsid w:val="00387745"/>
    <w:rsid w:val="0039273A"/>
    <w:rsid w:val="00395924"/>
    <w:rsid w:val="003A6449"/>
    <w:rsid w:val="003A7099"/>
    <w:rsid w:val="003B1E2A"/>
    <w:rsid w:val="003B2FDB"/>
    <w:rsid w:val="003B4452"/>
    <w:rsid w:val="003B49F6"/>
    <w:rsid w:val="003B582E"/>
    <w:rsid w:val="003C1CC9"/>
    <w:rsid w:val="003C299D"/>
    <w:rsid w:val="003D0FD9"/>
    <w:rsid w:val="003D1067"/>
    <w:rsid w:val="003D7B1F"/>
    <w:rsid w:val="003E002E"/>
    <w:rsid w:val="003E057A"/>
    <w:rsid w:val="003E3E26"/>
    <w:rsid w:val="003E4702"/>
    <w:rsid w:val="003F016D"/>
    <w:rsid w:val="003F113B"/>
    <w:rsid w:val="003F1A1A"/>
    <w:rsid w:val="003F2E07"/>
    <w:rsid w:val="003F3AE8"/>
    <w:rsid w:val="003F509F"/>
    <w:rsid w:val="00404060"/>
    <w:rsid w:val="004050D4"/>
    <w:rsid w:val="00410E9A"/>
    <w:rsid w:val="00411783"/>
    <w:rsid w:val="00416A88"/>
    <w:rsid w:val="00417D96"/>
    <w:rsid w:val="0042014E"/>
    <w:rsid w:val="00426185"/>
    <w:rsid w:val="00430A3E"/>
    <w:rsid w:val="00431B64"/>
    <w:rsid w:val="00432CB1"/>
    <w:rsid w:val="00433A00"/>
    <w:rsid w:val="00433E35"/>
    <w:rsid w:val="00437C73"/>
    <w:rsid w:val="00440643"/>
    <w:rsid w:val="00442EB0"/>
    <w:rsid w:val="00445DA5"/>
    <w:rsid w:val="00446319"/>
    <w:rsid w:val="00446A86"/>
    <w:rsid w:val="00447617"/>
    <w:rsid w:val="00450B09"/>
    <w:rsid w:val="00454EB2"/>
    <w:rsid w:val="004571DA"/>
    <w:rsid w:val="00463F24"/>
    <w:rsid w:val="00472FAF"/>
    <w:rsid w:val="00474AAC"/>
    <w:rsid w:val="00474AED"/>
    <w:rsid w:val="00474C02"/>
    <w:rsid w:val="00484DD3"/>
    <w:rsid w:val="00487320"/>
    <w:rsid w:val="00490AA3"/>
    <w:rsid w:val="00490DCF"/>
    <w:rsid w:val="00490F29"/>
    <w:rsid w:val="00494370"/>
    <w:rsid w:val="00494577"/>
    <w:rsid w:val="00494F76"/>
    <w:rsid w:val="004A07D2"/>
    <w:rsid w:val="004A1A8C"/>
    <w:rsid w:val="004A303A"/>
    <w:rsid w:val="004A58D5"/>
    <w:rsid w:val="004A72C4"/>
    <w:rsid w:val="004B3992"/>
    <w:rsid w:val="004B772B"/>
    <w:rsid w:val="004C00E3"/>
    <w:rsid w:val="004C09BE"/>
    <w:rsid w:val="004C1E64"/>
    <w:rsid w:val="004C6F9B"/>
    <w:rsid w:val="004D0C19"/>
    <w:rsid w:val="004D0EF0"/>
    <w:rsid w:val="004D2855"/>
    <w:rsid w:val="004D3709"/>
    <w:rsid w:val="004D38CA"/>
    <w:rsid w:val="004D420D"/>
    <w:rsid w:val="004D46F0"/>
    <w:rsid w:val="004E6E13"/>
    <w:rsid w:val="004F0D3C"/>
    <w:rsid w:val="004F2388"/>
    <w:rsid w:val="004F3279"/>
    <w:rsid w:val="00501DD6"/>
    <w:rsid w:val="00502D8D"/>
    <w:rsid w:val="0050563B"/>
    <w:rsid w:val="00516927"/>
    <w:rsid w:val="005202C0"/>
    <w:rsid w:val="00521814"/>
    <w:rsid w:val="005270EA"/>
    <w:rsid w:val="005327E1"/>
    <w:rsid w:val="005421B5"/>
    <w:rsid w:val="00546AE2"/>
    <w:rsid w:val="00546C6E"/>
    <w:rsid w:val="00547969"/>
    <w:rsid w:val="00553BAB"/>
    <w:rsid w:val="00555108"/>
    <w:rsid w:val="00564150"/>
    <w:rsid w:val="00565FC6"/>
    <w:rsid w:val="00566402"/>
    <w:rsid w:val="00570A2C"/>
    <w:rsid w:val="00570A5A"/>
    <w:rsid w:val="0057251F"/>
    <w:rsid w:val="005738DE"/>
    <w:rsid w:val="005764C8"/>
    <w:rsid w:val="00581BAF"/>
    <w:rsid w:val="00583E51"/>
    <w:rsid w:val="0058602D"/>
    <w:rsid w:val="00592C2B"/>
    <w:rsid w:val="00592D34"/>
    <w:rsid w:val="005942D6"/>
    <w:rsid w:val="00596237"/>
    <w:rsid w:val="005A193F"/>
    <w:rsid w:val="005A46B7"/>
    <w:rsid w:val="005A582C"/>
    <w:rsid w:val="005A6812"/>
    <w:rsid w:val="005A7B09"/>
    <w:rsid w:val="005B31E9"/>
    <w:rsid w:val="005B4C1D"/>
    <w:rsid w:val="005B5BA5"/>
    <w:rsid w:val="005C5949"/>
    <w:rsid w:val="005D0E4D"/>
    <w:rsid w:val="005D26BD"/>
    <w:rsid w:val="005D2CF4"/>
    <w:rsid w:val="005D2EE7"/>
    <w:rsid w:val="005D3F87"/>
    <w:rsid w:val="005D5CA5"/>
    <w:rsid w:val="005E0DE5"/>
    <w:rsid w:val="005E15B8"/>
    <w:rsid w:val="005E2040"/>
    <w:rsid w:val="005E3481"/>
    <w:rsid w:val="005E50C3"/>
    <w:rsid w:val="005F3C3F"/>
    <w:rsid w:val="00607AF1"/>
    <w:rsid w:val="00610E77"/>
    <w:rsid w:val="0061370F"/>
    <w:rsid w:val="00614D39"/>
    <w:rsid w:val="00615C5D"/>
    <w:rsid w:val="006170D9"/>
    <w:rsid w:val="006171EA"/>
    <w:rsid w:val="00622A56"/>
    <w:rsid w:val="00625096"/>
    <w:rsid w:val="00627B62"/>
    <w:rsid w:val="00627E42"/>
    <w:rsid w:val="0063579E"/>
    <w:rsid w:val="00636A43"/>
    <w:rsid w:val="00636F3D"/>
    <w:rsid w:val="00637E29"/>
    <w:rsid w:val="00643864"/>
    <w:rsid w:val="006465AD"/>
    <w:rsid w:val="00647612"/>
    <w:rsid w:val="006508F8"/>
    <w:rsid w:val="006560B2"/>
    <w:rsid w:val="006576C5"/>
    <w:rsid w:val="00660D86"/>
    <w:rsid w:val="00661A94"/>
    <w:rsid w:val="00664D68"/>
    <w:rsid w:val="0066789B"/>
    <w:rsid w:val="00667FF8"/>
    <w:rsid w:val="00670E7E"/>
    <w:rsid w:val="00674764"/>
    <w:rsid w:val="00680E13"/>
    <w:rsid w:val="00683CA4"/>
    <w:rsid w:val="00691863"/>
    <w:rsid w:val="00691C0C"/>
    <w:rsid w:val="006929FB"/>
    <w:rsid w:val="00693607"/>
    <w:rsid w:val="006939B0"/>
    <w:rsid w:val="0069509D"/>
    <w:rsid w:val="006975F3"/>
    <w:rsid w:val="00697F0C"/>
    <w:rsid w:val="006B219C"/>
    <w:rsid w:val="006B3B47"/>
    <w:rsid w:val="006B4EC6"/>
    <w:rsid w:val="006B62F3"/>
    <w:rsid w:val="006C29C9"/>
    <w:rsid w:val="006C32DD"/>
    <w:rsid w:val="006C3615"/>
    <w:rsid w:val="006C3771"/>
    <w:rsid w:val="006C6D33"/>
    <w:rsid w:val="006D472D"/>
    <w:rsid w:val="006D59CD"/>
    <w:rsid w:val="006D6AED"/>
    <w:rsid w:val="006D7E91"/>
    <w:rsid w:val="006E061C"/>
    <w:rsid w:val="006E60CE"/>
    <w:rsid w:val="006F3F30"/>
    <w:rsid w:val="006F65B1"/>
    <w:rsid w:val="006F682B"/>
    <w:rsid w:val="0070428D"/>
    <w:rsid w:val="00710906"/>
    <w:rsid w:val="00711A87"/>
    <w:rsid w:val="00711B8F"/>
    <w:rsid w:val="00715F7E"/>
    <w:rsid w:val="0071767F"/>
    <w:rsid w:val="007225A3"/>
    <w:rsid w:val="00724097"/>
    <w:rsid w:val="00726BE0"/>
    <w:rsid w:val="00726F58"/>
    <w:rsid w:val="0073459D"/>
    <w:rsid w:val="00735B5E"/>
    <w:rsid w:val="00740B09"/>
    <w:rsid w:val="00740C88"/>
    <w:rsid w:val="00741BFE"/>
    <w:rsid w:val="007420C1"/>
    <w:rsid w:val="00742A33"/>
    <w:rsid w:val="00742BDC"/>
    <w:rsid w:val="007437B9"/>
    <w:rsid w:val="00747D2A"/>
    <w:rsid w:val="00750C28"/>
    <w:rsid w:val="00752BEB"/>
    <w:rsid w:val="007543EB"/>
    <w:rsid w:val="00766A44"/>
    <w:rsid w:val="00772BBD"/>
    <w:rsid w:val="00774147"/>
    <w:rsid w:val="00775707"/>
    <w:rsid w:val="00776236"/>
    <w:rsid w:val="007775C6"/>
    <w:rsid w:val="007776DA"/>
    <w:rsid w:val="00777AAB"/>
    <w:rsid w:val="00780A3B"/>
    <w:rsid w:val="00780AD3"/>
    <w:rsid w:val="007917FD"/>
    <w:rsid w:val="00795E5A"/>
    <w:rsid w:val="00797F23"/>
    <w:rsid w:val="007A2771"/>
    <w:rsid w:val="007A2865"/>
    <w:rsid w:val="007B4201"/>
    <w:rsid w:val="007B5524"/>
    <w:rsid w:val="007C12CF"/>
    <w:rsid w:val="007C1747"/>
    <w:rsid w:val="007C30E6"/>
    <w:rsid w:val="007C337E"/>
    <w:rsid w:val="007C3870"/>
    <w:rsid w:val="007C39B4"/>
    <w:rsid w:val="007C4A42"/>
    <w:rsid w:val="007D149C"/>
    <w:rsid w:val="007D1E92"/>
    <w:rsid w:val="007D7C18"/>
    <w:rsid w:val="007E19B3"/>
    <w:rsid w:val="007F0E82"/>
    <w:rsid w:val="007F1E8A"/>
    <w:rsid w:val="007F244C"/>
    <w:rsid w:val="007F376F"/>
    <w:rsid w:val="007F57D5"/>
    <w:rsid w:val="007F5B71"/>
    <w:rsid w:val="007F7DA9"/>
    <w:rsid w:val="008000AC"/>
    <w:rsid w:val="00801261"/>
    <w:rsid w:val="008017E5"/>
    <w:rsid w:val="00810927"/>
    <w:rsid w:val="00812AC5"/>
    <w:rsid w:val="0081431C"/>
    <w:rsid w:val="00814A92"/>
    <w:rsid w:val="00815247"/>
    <w:rsid w:val="008154F6"/>
    <w:rsid w:val="00816A45"/>
    <w:rsid w:val="00817C31"/>
    <w:rsid w:val="00820192"/>
    <w:rsid w:val="00820641"/>
    <w:rsid w:val="008259B0"/>
    <w:rsid w:val="008260D9"/>
    <w:rsid w:val="00827520"/>
    <w:rsid w:val="00827EF9"/>
    <w:rsid w:val="00831359"/>
    <w:rsid w:val="00832BF3"/>
    <w:rsid w:val="008363A6"/>
    <w:rsid w:val="008429B3"/>
    <w:rsid w:val="008462C4"/>
    <w:rsid w:val="00846910"/>
    <w:rsid w:val="008504AE"/>
    <w:rsid w:val="0085372F"/>
    <w:rsid w:val="00855041"/>
    <w:rsid w:val="008553CF"/>
    <w:rsid w:val="0085550D"/>
    <w:rsid w:val="0086058B"/>
    <w:rsid w:val="00861957"/>
    <w:rsid w:val="008714DA"/>
    <w:rsid w:val="00871F30"/>
    <w:rsid w:val="00875272"/>
    <w:rsid w:val="008770B4"/>
    <w:rsid w:val="00880940"/>
    <w:rsid w:val="00883ACA"/>
    <w:rsid w:val="0088462A"/>
    <w:rsid w:val="008857BA"/>
    <w:rsid w:val="0089378D"/>
    <w:rsid w:val="008959B0"/>
    <w:rsid w:val="00895CB9"/>
    <w:rsid w:val="00895D04"/>
    <w:rsid w:val="0089759A"/>
    <w:rsid w:val="008A2F74"/>
    <w:rsid w:val="008A4166"/>
    <w:rsid w:val="008A675E"/>
    <w:rsid w:val="008B28BB"/>
    <w:rsid w:val="008B3362"/>
    <w:rsid w:val="008B593B"/>
    <w:rsid w:val="008C2340"/>
    <w:rsid w:val="008C459A"/>
    <w:rsid w:val="008C5709"/>
    <w:rsid w:val="008C5962"/>
    <w:rsid w:val="008C5FCB"/>
    <w:rsid w:val="008C6D4E"/>
    <w:rsid w:val="008C7D5C"/>
    <w:rsid w:val="008E023D"/>
    <w:rsid w:val="008E2BB6"/>
    <w:rsid w:val="008F0287"/>
    <w:rsid w:val="008F21BF"/>
    <w:rsid w:val="008F47D8"/>
    <w:rsid w:val="008F7DA0"/>
    <w:rsid w:val="009012DE"/>
    <w:rsid w:val="00912235"/>
    <w:rsid w:val="009134B4"/>
    <w:rsid w:val="0091780C"/>
    <w:rsid w:val="0092073B"/>
    <w:rsid w:val="00920BB2"/>
    <w:rsid w:val="00922BF4"/>
    <w:rsid w:val="00924203"/>
    <w:rsid w:val="00924B8D"/>
    <w:rsid w:val="009267BD"/>
    <w:rsid w:val="009328A9"/>
    <w:rsid w:val="00935E94"/>
    <w:rsid w:val="00936BE2"/>
    <w:rsid w:val="00936D80"/>
    <w:rsid w:val="009401B0"/>
    <w:rsid w:val="009402AD"/>
    <w:rsid w:val="00943847"/>
    <w:rsid w:val="00944C35"/>
    <w:rsid w:val="009543A2"/>
    <w:rsid w:val="00963A05"/>
    <w:rsid w:val="00965C6B"/>
    <w:rsid w:val="009764C1"/>
    <w:rsid w:val="009815F3"/>
    <w:rsid w:val="00981A32"/>
    <w:rsid w:val="00982038"/>
    <w:rsid w:val="00985892"/>
    <w:rsid w:val="00991002"/>
    <w:rsid w:val="00991B05"/>
    <w:rsid w:val="0099269C"/>
    <w:rsid w:val="00994572"/>
    <w:rsid w:val="009A2ABC"/>
    <w:rsid w:val="009A2FDB"/>
    <w:rsid w:val="009A301A"/>
    <w:rsid w:val="009A4FE0"/>
    <w:rsid w:val="009B0B8E"/>
    <w:rsid w:val="009B1E29"/>
    <w:rsid w:val="009B46E2"/>
    <w:rsid w:val="009C03E7"/>
    <w:rsid w:val="009C0B53"/>
    <w:rsid w:val="009C2D24"/>
    <w:rsid w:val="009C4CC6"/>
    <w:rsid w:val="009C7B6F"/>
    <w:rsid w:val="009D24E8"/>
    <w:rsid w:val="009D493B"/>
    <w:rsid w:val="009D6ABA"/>
    <w:rsid w:val="009D76BE"/>
    <w:rsid w:val="009E1DBF"/>
    <w:rsid w:val="009E59D0"/>
    <w:rsid w:val="009E7777"/>
    <w:rsid w:val="009F0004"/>
    <w:rsid w:val="009F0A03"/>
    <w:rsid w:val="009F1899"/>
    <w:rsid w:val="009F2264"/>
    <w:rsid w:val="009F2834"/>
    <w:rsid w:val="009F543A"/>
    <w:rsid w:val="00A02041"/>
    <w:rsid w:val="00A02448"/>
    <w:rsid w:val="00A03378"/>
    <w:rsid w:val="00A11322"/>
    <w:rsid w:val="00A21529"/>
    <w:rsid w:val="00A27674"/>
    <w:rsid w:val="00A30FCE"/>
    <w:rsid w:val="00A378DD"/>
    <w:rsid w:val="00A37EF8"/>
    <w:rsid w:val="00A4245B"/>
    <w:rsid w:val="00A47D62"/>
    <w:rsid w:val="00A553DD"/>
    <w:rsid w:val="00A579B2"/>
    <w:rsid w:val="00A65E0A"/>
    <w:rsid w:val="00A67070"/>
    <w:rsid w:val="00A6764B"/>
    <w:rsid w:val="00A7272D"/>
    <w:rsid w:val="00A76EA3"/>
    <w:rsid w:val="00A77895"/>
    <w:rsid w:val="00A8255E"/>
    <w:rsid w:val="00A85B79"/>
    <w:rsid w:val="00A87488"/>
    <w:rsid w:val="00A90D87"/>
    <w:rsid w:val="00A93675"/>
    <w:rsid w:val="00A97117"/>
    <w:rsid w:val="00AA5212"/>
    <w:rsid w:val="00AB188C"/>
    <w:rsid w:val="00AB7229"/>
    <w:rsid w:val="00AB7343"/>
    <w:rsid w:val="00AC2BF3"/>
    <w:rsid w:val="00AC402D"/>
    <w:rsid w:val="00AC47CD"/>
    <w:rsid w:val="00AC77FF"/>
    <w:rsid w:val="00AC7907"/>
    <w:rsid w:val="00AD1A43"/>
    <w:rsid w:val="00AD1E46"/>
    <w:rsid w:val="00AD2376"/>
    <w:rsid w:val="00AD43B5"/>
    <w:rsid w:val="00AD46E6"/>
    <w:rsid w:val="00AD74A6"/>
    <w:rsid w:val="00AE064E"/>
    <w:rsid w:val="00AE556D"/>
    <w:rsid w:val="00AE6219"/>
    <w:rsid w:val="00AF0B05"/>
    <w:rsid w:val="00AF50A2"/>
    <w:rsid w:val="00AF646A"/>
    <w:rsid w:val="00B00BDE"/>
    <w:rsid w:val="00B016FC"/>
    <w:rsid w:val="00B01A28"/>
    <w:rsid w:val="00B029DD"/>
    <w:rsid w:val="00B02A76"/>
    <w:rsid w:val="00B10746"/>
    <w:rsid w:val="00B125B0"/>
    <w:rsid w:val="00B12BB7"/>
    <w:rsid w:val="00B16361"/>
    <w:rsid w:val="00B20433"/>
    <w:rsid w:val="00B34023"/>
    <w:rsid w:val="00B35200"/>
    <w:rsid w:val="00B370F8"/>
    <w:rsid w:val="00B429E0"/>
    <w:rsid w:val="00B441BB"/>
    <w:rsid w:val="00B45E2C"/>
    <w:rsid w:val="00B46507"/>
    <w:rsid w:val="00B47E09"/>
    <w:rsid w:val="00B50245"/>
    <w:rsid w:val="00B627C4"/>
    <w:rsid w:val="00B656CC"/>
    <w:rsid w:val="00B671BA"/>
    <w:rsid w:val="00B71982"/>
    <w:rsid w:val="00B80BDC"/>
    <w:rsid w:val="00B86636"/>
    <w:rsid w:val="00B90DDF"/>
    <w:rsid w:val="00B9327D"/>
    <w:rsid w:val="00B94C88"/>
    <w:rsid w:val="00B95EC4"/>
    <w:rsid w:val="00B97701"/>
    <w:rsid w:val="00B97FAA"/>
    <w:rsid w:val="00BA1861"/>
    <w:rsid w:val="00BA37AF"/>
    <w:rsid w:val="00BB03BC"/>
    <w:rsid w:val="00BB0C17"/>
    <w:rsid w:val="00BB1619"/>
    <w:rsid w:val="00BB1806"/>
    <w:rsid w:val="00BB5AEC"/>
    <w:rsid w:val="00BC32B4"/>
    <w:rsid w:val="00BC7766"/>
    <w:rsid w:val="00BD0C96"/>
    <w:rsid w:val="00BD3EF0"/>
    <w:rsid w:val="00BD3F8B"/>
    <w:rsid w:val="00BD42B1"/>
    <w:rsid w:val="00BD5120"/>
    <w:rsid w:val="00BE2628"/>
    <w:rsid w:val="00BE407F"/>
    <w:rsid w:val="00BF28F2"/>
    <w:rsid w:val="00BF3573"/>
    <w:rsid w:val="00BF6FEB"/>
    <w:rsid w:val="00C00E0E"/>
    <w:rsid w:val="00C027C1"/>
    <w:rsid w:val="00C02AA3"/>
    <w:rsid w:val="00C03706"/>
    <w:rsid w:val="00C04BA8"/>
    <w:rsid w:val="00C054DA"/>
    <w:rsid w:val="00C07F63"/>
    <w:rsid w:val="00C14953"/>
    <w:rsid w:val="00C14AAD"/>
    <w:rsid w:val="00C1727D"/>
    <w:rsid w:val="00C21C52"/>
    <w:rsid w:val="00C2222A"/>
    <w:rsid w:val="00C23A41"/>
    <w:rsid w:val="00C2573E"/>
    <w:rsid w:val="00C31F10"/>
    <w:rsid w:val="00C34F44"/>
    <w:rsid w:val="00C35255"/>
    <w:rsid w:val="00C370B5"/>
    <w:rsid w:val="00C409CE"/>
    <w:rsid w:val="00C425A8"/>
    <w:rsid w:val="00C44162"/>
    <w:rsid w:val="00C4460B"/>
    <w:rsid w:val="00C44D66"/>
    <w:rsid w:val="00C45862"/>
    <w:rsid w:val="00C46F98"/>
    <w:rsid w:val="00C50338"/>
    <w:rsid w:val="00C523CE"/>
    <w:rsid w:val="00C53DB3"/>
    <w:rsid w:val="00C56116"/>
    <w:rsid w:val="00C5688D"/>
    <w:rsid w:val="00C6038B"/>
    <w:rsid w:val="00C60F49"/>
    <w:rsid w:val="00C711A6"/>
    <w:rsid w:val="00C71480"/>
    <w:rsid w:val="00C72368"/>
    <w:rsid w:val="00C72762"/>
    <w:rsid w:val="00C74414"/>
    <w:rsid w:val="00C76666"/>
    <w:rsid w:val="00C76D65"/>
    <w:rsid w:val="00C8179C"/>
    <w:rsid w:val="00C823A0"/>
    <w:rsid w:val="00C82831"/>
    <w:rsid w:val="00C83ED4"/>
    <w:rsid w:val="00C8597D"/>
    <w:rsid w:val="00C8719F"/>
    <w:rsid w:val="00C87339"/>
    <w:rsid w:val="00C90721"/>
    <w:rsid w:val="00C90D56"/>
    <w:rsid w:val="00C97D0B"/>
    <w:rsid w:val="00CA0E97"/>
    <w:rsid w:val="00CA341E"/>
    <w:rsid w:val="00CA5720"/>
    <w:rsid w:val="00CA7273"/>
    <w:rsid w:val="00CB2CB3"/>
    <w:rsid w:val="00CB5F8E"/>
    <w:rsid w:val="00CB7881"/>
    <w:rsid w:val="00CC21CF"/>
    <w:rsid w:val="00CC260E"/>
    <w:rsid w:val="00CC4312"/>
    <w:rsid w:val="00CC697E"/>
    <w:rsid w:val="00CC77D3"/>
    <w:rsid w:val="00CD29DC"/>
    <w:rsid w:val="00CE132A"/>
    <w:rsid w:val="00CE4764"/>
    <w:rsid w:val="00CF03BB"/>
    <w:rsid w:val="00CF4796"/>
    <w:rsid w:val="00CF514B"/>
    <w:rsid w:val="00CF66F0"/>
    <w:rsid w:val="00D0305C"/>
    <w:rsid w:val="00D07E3B"/>
    <w:rsid w:val="00D1155F"/>
    <w:rsid w:val="00D150CC"/>
    <w:rsid w:val="00D15ABD"/>
    <w:rsid w:val="00D15D53"/>
    <w:rsid w:val="00D21CAE"/>
    <w:rsid w:val="00D21DFC"/>
    <w:rsid w:val="00D23815"/>
    <w:rsid w:val="00D2382F"/>
    <w:rsid w:val="00D268E9"/>
    <w:rsid w:val="00D329F2"/>
    <w:rsid w:val="00D331A1"/>
    <w:rsid w:val="00D348A6"/>
    <w:rsid w:val="00D348BF"/>
    <w:rsid w:val="00D34C59"/>
    <w:rsid w:val="00D41EA5"/>
    <w:rsid w:val="00D43B20"/>
    <w:rsid w:val="00D450F6"/>
    <w:rsid w:val="00D47243"/>
    <w:rsid w:val="00D50833"/>
    <w:rsid w:val="00D5144C"/>
    <w:rsid w:val="00D5188F"/>
    <w:rsid w:val="00D5581F"/>
    <w:rsid w:val="00D55E32"/>
    <w:rsid w:val="00D576BE"/>
    <w:rsid w:val="00D61890"/>
    <w:rsid w:val="00D62F40"/>
    <w:rsid w:val="00D63A25"/>
    <w:rsid w:val="00D641A7"/>
    <w:rsid w:val="00D671B4"/>
    <w:rsid w:val="00D72B94"/>
    <w:rsid w:val="00D73661"/>
    <w:rsid w:val="00D73D73"/>
    <w:rsid w:val="00D777CC"/>
    <w:rsid w:val="00D83DE0"/>
    <w:rsid w:val="00D84614"/>
    <w:rsid w:val="00D8733E"/>
    <w:rsid w:val="00D93B83"/>
    <w:rsid w:val="00D94D8F"/>
    <w:rsid w:val="00D96AA8"/>
    <w:rsid w:val="00DA0BEA"/>
    <w:rsid w:val="00DA3E46"/>
    <w:rsid w:val="00DA6195"/>
    <w:rsid w:val="00DB0D54"/>
    <w:rsid w:val="00DB17F0"/>
    <w:rsid w:val="00DB3AAD"/>
    <w:rsid w:val="00DB3FE8"/>
    <w:rsid w:val="00DB4311"/>
    <w:rsid w:val="00DC0824"/>
    <w:rsid w:val="00DC0893"/>
    <w:rsid w:val="00DC0D8C"/>
    <w:rsid w:val="00DC2B93"/>
    <w:rsid w:val="00DC2C54"/>
    <w:rsid w:val="00DC42FC"/>
    <w:rsid w:val="00DC5FA1"/>
    <w:rsid w:val="00DC73BD"/>
    <w:rsid w:val="00DD3A8A"/>
    <w:rsid w:val="00DD6F4C"/>
    <w:rsid w:val="00DE1B68"/>
    <w:rsid w:val="00DE3BA5"/>
    <w:rsid w:val="00DE46B3"/>
    <w:rsid w:val="00DE534E"/>
    <w:rsid w:val="00DE6C49"/>
    <w:rsid w:val="00DF12BF"/>
    <w:rsid w:val="00DF5751"/>
    <w:rsid w:val="00E03661"/>
    <w:rsid w:val="00E04787"/>
    <w:rsid w:val="00E04D19"/>
    <w:rsid w:val="00E11BA8"/>
    <w:rsid w:val="00E125D1"/>
    <w:rsid w:val="00E15F65"/>
    <w:rsid w:val="00E1648F"/>
    <w:rsid w:val="00E3216C"/>
    <w:rsid w:val="00E34A48"/>
    <w:rsid w:val="00E42658"/>
    <w:rsid w:val="00E5232A"/>
    <w:rsid w:val="00E5264F"/>
    <w:rsid w:val="00E5342D"/>
    <w:rsid w:val="00E623DA"/>
    <w:rsid w:val="00E62F4A"/>
    <w:rsid w:val="00E6415C"/>
    <w:rsid w:val="00E70C15"/>
    <w:rsid w:val="00E73D49"/>
    <w:rsid w:val="00E7403A"/>
    <w:rsid w:val="00E74F0A"/>
    <w:rsid w:val="00E76F45"/>
    <w:rsid w:val="00E774F3"/>
    <w:rsid w:val="00E77C4A"/>
    <w:rsid w:val="00E83F57"/>
    <w:rsid w:val="00E83F86"/>
    <w:rsid w:val="00E85DD8"/>
    <w:rsid w:val="00E85FC5"/>
    <w:rsid w:val="00E92B6A"/>
    <w:rsid w:val="00EA0055"/>
    <w:rsid w:val="00EA16D5"/>
    <w:rsid w:val="00EA1890"/>
    <w:rsid w:val="00EB657F"/>
    <w:rsid w:val="00EC3C11"/>
    <w:rsid w:val="00ED3681"/>
    <w:rsid w:val="00ED3B35"/>
    <w:rsid w:val="00EE38BD"/>
    <w:rsid w:val="00EE3F0C"/>
    <w:rsid w:val="00EE5E73"/>
    <w:rsid w:val="00EE5EF4"/>
    <w:rsid w:val="00EE6BE9"/>
    <w:rsid w:val="00EE7088"/>
    <w:rsid w:val="00EF1178"/>
    <w:rsid w:val="00EF1723"/>
    <w:rsid w:val="00EF44F2"/>
    <w:rsid w:val="00EF76A5"/>
    <w:rsid w:val="00F055CC"/>
    <w:rsid w:val="00F05F9E"/>
    <w:rsid w:val="00F0655C"/>
    <w:rsid w:val="00F1428A"/>
    <w:rsid w:val="00F143CE"/>
    <w:rsid w:val="00F20C3D"/>
    <w:rsid w:val="00F22345"/>
    <w:rsid w:val="00F228FD"/>
    <w:rsid w:val="00F24D17"/>
    <w:rsid w:val="00F25081"/>
    <w:rsid w:val="00F260DF"/>
    <w:rsid w:val="00F27393"/>
    <w:rsid w:val="00F32ADC"/>
    <w:rsid w:val="00F347F6"/>
    <w:rsid w:val="00F3481D"/>
    <w:rsid w:val="00F35FB0"/>
    <w:rsid w:val="00F3708E"/>
    <w:rsid w:val="00F434BB"/>
    <w:rsid w:val="00F440CC"/>
    <w:rsid w:val="00F456A6"/>
    <w:rsid w:val="00F518D5"/>
    <w:rsid w:val="00F54698"/>
    <w:rsid w:val="00F54752"/>
    <w:rsid w:val="00F55B56"/>
    <w:rsid w:val="00F65B84"/>
    <w:rsid w:val="00F67CCA"/>
    <w:rsid w:val="00F7004B"/>
    <w:rsid w:val="00F70111"/>
    <w:rsid w:val="00F72909"/>
    <w:rsid w:val="00F729E0"/>
    <w:rsid w:val="00F76075"/>
    <w:rsid w:val="00F80251"/>
    <w:rsid w:val="00F80385"/>
    <w:rsid w:val="00F82348"/>
    <w:rsid w:val="00F86232"/>
    <w:rsid w:val="00F9046E"/>
    <w:rsid w:val="00F959A2"/>
    <w:rsid w:val="00FA047F"/>
    <w:rsid w:val="00FA39DB"/>
    <w:rsid w:val="00FA3E2A"/>
    <w:rsid w:val="00FA77A5"/>
    <w:rsid w:val="00FB0D07"/>
    <w:rsid w:val="00FB3150"/>
    <w:rsid w:val="00FB4D4B"/>
    <w:rsid w:val="00FB7644"/>
    <w:rsid w:val="00FC3D8A"/>
    <w:rsid w:val="00FC4117"/>
    <w:rsid w:val="00FC4586"/>
    <w:rsid w:val="00FD20C1"/>
    <w:rsid w:val="00FD349C"/>
    <w:rsid w:val="00FE0607"/>
    <w:rsid w:val="00FE3652"/>
    <w:rsid w:val="00FE47E1"/>
    <w:rsid w:val="00FF2966"/>
    <w:rsid w:val="00FF3CB0"/>
    <w:rsid w:val="00FF73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9F7"/>
    <w:rPr>
      <w:sz w:val="24"/>
      <w:szCs w:val="24"/>
      <w:lang w:val="en-US" w:eastAsia="ko-KR"/>
    </w:rPr>
  </w:style>
  <w:style w:type="paragraph" w:styleId="Heading1">
    <w:name w:val="heading 1"/>
    <w:basedOn w:val="Normal"/>
    <w:next w:val="Normal"/>
    <w:link w:val="Heading1Char"/>
    <w:uiPriority w:val="9"/>
    <w:qFormat/>
    <w:rsid w:val="00D618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47E1"/>
    <w:pPr>
      <w:keepNext/>
      <w:spacing w:line="480" w:lineRule="auto"/>
      <w:jc w:val="both"/>
      <w:outlineLvl w:val="1"/>
    </w:pPr>
    <w:rPr>
      <w:rFonts w:eastAsia="Times New Roman"/>
      <w:i/>
      <w:spacing w:val="-3"/>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rsid w:val="00ED3B35"/>
    <w:pPr>
      <w:autoSpaceDE w:val="0"/>
      <w:autoSpaceDN w:val="0"/>
      <w:adjustRightInd w:val="0"/>
    </w:pPr>
    <w:rPr>
      <w:rFonts w:ascii="BDNKPA+TimesNewRoman" w:hAnsi="BDNKPA+TimesNewRoman"/>
    </w:rPr>
  </w:style>
  <w:style w:type="paragraph" w:styleId="FootnoteText">
    <w:name w:val="footnote text"/>
    <w:basedOn w:val="Normal"/>
    <w:link w:val="FootnoteTextChar"/>
    <w:uiPriority w:val="99"/>
    <w:semiHidden/>
    <w:rsid w:val="008F7DA0"/>
    <w:rPr>
      <w:sz w:val="20"/>
      <w:szCs w:val="20"/>
    </w:rPr>
  </w:style>
  <w:style w:type="character" w:styleId="FootnoteReference">
    <w:name w:val="footnote reference"/>
    <w:uiPriority w:val="99"/>
    <w:semiHidden/>
    <w:rsid w:val="008F7DA0"/>
    <w:rPr>
      <w:vertAlign w:val="superscript"/>
    </w:rPr>
  </w:style>
  <w:style w:type="paragraph" w:styleId="Footer">
    <w:name w:val="footer"/>
    <w:basedOn w:val="Normal"/>
    <w:link w:val="FooterChar"/>
    <w:uiPriority w:val="99"/>
    <w:rsid w:val="00643864"/>
    <w:pPr>
      <w:tabs>
        <w:tab w:val="center" w:pos="4320"/>
        <w:tab w:val="right" w:pos="8640"/>
      </w:tabs>
    </w:pPr>
  </w:style>
  <w:style w:type="character" w:styleId="PageNumber">
    <w:name w:val="page number"/>
    <w:basedOn w:val="DefaultParagraphFont"/>
    <w:rsid w:val="00643864"/>
  </w:style>
  <w:style w:type="character" w:styleId="CommentReference">
    <w:name w:val="annotation reference"/>
    <w:semiHidden/>
    <w:rsid w:val="00395924"/>
    <w:rPr>
      <w:sz w:val="16"/>
      <w:szCs w:val="16"/>
    </w:rPr>
  </w:style>
  <w:style w:type="paragraph" w:styleId="CommentText">
    <w:name w:val="annotation text"/>
    <w:basedOn w:val="Normal"/>
    <w:semiHidden/>
    <w:rsid w:val="00395924"/>
    <w:rPr>
      <w:sz w:val="20"/>
      <w:szCs w:val="20"/>
    </w:rPr>
  </w:style>
  <w:style w:type="paragraph" w:styleId="CommentSubject">
    <w:name w:val="annotation subject"/>
    <w:basedOn w:val="CommentText"/>
    <w:next w:val="CommentText"/>
    <w:semiHidden/>
    <w:rsid w:val="00395924"/>
    <w:rPr>
      <w:b/>
      <w:bCs/>
    </w:rPr>
  </w:style>
  <w:style w:type="paragraph" w:styleId="BalloonText">
    <w:name w:val="Balloon Text"/>
    <w:basedOn w:val="Normal"/>
    <w:semiHidden/>
    <w:rsid w:val="00395924"/>
    <w:rPr>
      <w:rFonts w:ascii="Tahoma" w:hAnsi="Tahoma" w:cs="Tahoma"/>
      <w:sz w:val="16"/>
      <w:szCs w:val="16"/>
    </w:rPr>
  </w:style>
  <w:style w:type="paragraph" w:styleId="EndnoteText">
    <w:name w:val="endnote text"/>
    <w:basedOn w:val="Normal"/>
    <w:semiHidden/>
    <w:rsid w:val="00C823A0"/>
    <w:rPr>
      <w:rFonts w:eastAsia="Times New Roman"/>
      <w:sz w:val="20"/>
      <w:szCs w:val="20"/>
      <w:lang w:val="en-GB" w:eastAsia="en-US"/>
    </w:rPr>
  </w:style>
  <w:style w:type="character" w:styleId="EndnoteReference">
    <w:name w:val="endnote reference"/>
    <w:semiHidden/>
    <w:rsid w:val="00C823A0"/>
    <w:rPr>
      <w:vertAlign w:val="superscript"/>
    </w:rPr>
  </w:style>
  <w:style w:type="paragraph" w:styleId="PlainText">
    <w:name w:val="Plain Text"/>
    <w:basedOn w:val="Normal"/>
    <w:link w:val="PlainTextChar"/>
    <w:uiPriority w:val="99"/>
    <w:rsid w:val="00FE47E1"/>
    <w:rPr>
      <w:rFonts w:ascii="Courier New" w:hAnsi="Courier New" w:cs="Courier New"/>
      <w:sz w:val="20"/>
      <w:szCs w:val="20"/>
    </w:rPr>
  </w:style>
  <w:style w:type="table" w:styleId="TableGrid">
    <w:name w:val="Table Grid"/>
    <w:basedOn w:val="TableNormal"/>
    <w:rsid w:val="00FE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6A88"/>
    <w:pPr>
      <w:spacing w:before="100" w:beforeAutospacing="1" w:after="100" w:afterAutospacing="1"/>
    </w:pPr>
  </w:style>
  <w:style w:type="character" w:styleId="Hyperlink">
    <w:name w:val="Hyperlink"/>
    <w:uiPriority w:val="99"/>
    <w:rsid w:val="00A02041"/>
    <w:rPr>
      <w:color w:val="0000FF"/>
      <w:u w:val="single"/>
    </w:rPr>
  </w:style>
  <w:style w:type="paragraph" w:styleId="BodyText">
    <w:name w:val="Body Text"/>
    <w:basedOn w:val="Normal"/>
    <w:rsid w:val="00025AD2"/>
    <w:pPr>
      <w:spacing w:after="120"/>
    </w:pPr>
  </w:style>
  <w:style w:type="character" w:customStyle="1" w:styleId="FootnoteTextChar">
    <w:name w:val="Footnote Text Char"/>
    <w:link w:val="FootnoteText"/>
    <w:uiPriority w:val="99"/>
    <w:semiHidden/>
    <w:rsid w:val="00E623DA"/>
    <w:rPr>
      <w:lang w:val="en-US" w:eastAsia="ko-KR"/>
    </w:rPr>
  </w:style>
  <w:style w:type="character" w:customStyle="1" w:styleId="apple-converted-space">
    <w:name w:val="apple-converted-space"/>
    <w:basedOn w:val="DefaultParagraphFont"/>
    <w:rsid w:val="004B772B"/>
  </w:style>
  <w:style w:type="character" w:styleId="FollowedHyperlink">
    <w:name w:val="FollowedHyperlink"/>
    <w:rsid w:val="005A582C"/>
    <w:rPr>
      <w:color w:val="800080"/>
      <w:u w:val="single"/>
    </w:rPr>
  </w:style>
  <w:style w:type="paragraph" w:styleId="ListParagraph">
    <w:name w:val="List Paragraph"/>
    <w:basedOn w:val="Normal"/>
    <w:uiPriority w:val="34"/>
    <w:qFormat/>
    <w:rsid w:val="00F7004B"/>
    <w:pPr>
      <w:spacing w:after="200" w:line="276" w:lineRule="auto"/>
      <w:ind w:left="720"/>
      <w:contextualSpacing/>
    </w:pPr>
    <w:rPr>
      <w:rFonts w:ascii="Calibri" w:eastAsia="Calibri" w:hAnsi="Calibri" w:cs="Arial"/>
      <w:sz w:val="22"/>
      <w:szCs w:val="22"/>
      <w:lang w:val="en-CA" w:eastAsia="en-US"/>
    </w:rPr>
  </w:style>
  <w:style w:type="paragraph" w:customStyle="1" w:styleId="Default">
    <w:name w:val="Default"/>
    <w:rsid w:val="00592D34"/>
    <w:pPr>
      <w:autoSpaceDE w:val="0"/>
      <w:autoSpaceDN w:val="0"/>
      <w:adjustRightInd w:val="0"/>
    </w:pPr>
    <w:rPr>
      <w:rFonts w:eastAsia="Times New Roman"/>
      <w:color w:val="000000"/>
      <w:sz w:val="24"/>
      <w:szCs w:val="24"/>
    </w:rPr>
  </w:style>
  <w:style w:type="paragraph" w:styleId="Title">
    <w:name w:val="Title"/>
    <w:basedOn w:val="Normal"/>
    <w:link w:val="TitleChar"/>
    <w:qFormat/>
    <w:rsid w:val="00592D34"/>
    <w:pPr>
      <w:widowControl w:val="0"/>
      <w:tabs>
        <w:tab w:val="center" w:pos="5040"/>
      </w:tabs>
      <w:jc w:val="center"/>
    </w:pPr>
    <w:rPr>
      <w:rFonts w:ascii="CG Times" w:eastAsia="Times New Roman" w:hAnsi="CG Times"/>
      <w:b/>
      <w:snapToGrid w:val="0"/>
      <w:sz w:val="56"/>
      <w:szCs w:val="20"/>
      <w:lang w:eastAsia="en-US"/>
    </w:rPr>
  </w:style>
  <w:style w:type="character" w:customStyle="1" w:styleId="TitleChar">
    <w:name w:val="Title Char"/>
    <w:basedOn w:val="DefaultParagraphFont"/>
    <w:link w:val="Title"/>
    <w:rsid w:val="00592D34"/>
    <w:rPr>
      <w:rFonts w:ascii="CG Times" w:eastAsia="Times New Roman" w:hAnsi="CG Times"/>
      <w:b/>
      <w:snapToGrid w:val="0"/>
      <w:sz w:val="56"/>
      <w:lang w:val="en-US" w:eastAsia="en-US"/>
    </w:rPr>
  </w:style>
  <w:style w:type="paragraph" w:customStyle="1" w:styleId="CM1">
    <w:name w:val="CM1"/>
    <w:basedOn w:val="Default"/>
    <w:next w:val="Default"/>
    <w:rsid w:val="00592D34"/>
    <w:pPr>
      <w:widowControl w:val="0"/>
      <w:spacing w:line="323" w:lineRule="atLeast"/>
    </w:pPr>
    <w:rPr>
      <w:color w:val="auto"/>
      <w:lang w:val="en-US" w:eastAsia="en-US"/>
    </w:rPr>
  </w:style>
  <w:style w:type="paragraph" w:customStyle="1" w:styleId="CM20">
    <w:name w:val="CM20"/>
    <w:basedOn w:val="Default"/>
    <w:next w:val="Default"/>
    <w:rsid w:val="00592D34"/>
    <w:pPr>
      <w:widowControl w:val="0"/>
      <w:spacing w:after="1503"/>
    </w:pPr>
    <w:rPr>
      <w:color w:val="auto"/>
      <w:lang w:val="en-US" w:eastAsia="en-US"/>
    </w:rPr>
  </w:style>
  <w:style w:type="paragraph" w:customStyle="1" w:styleId="CM3">
    <w:name w:val="CM3"/>
    <w:basedOn w:val="Default"/>
    <w:next w:val="Default"/>
    <w:rsid w:val="00592D34"/>
    <w:pPr>
      <w:widowControl w:val="0"/>
    </w:pPr>
    <w:rPr>
      <w:color w:val="auto"/>
      <w:lang w:val="en-US" w:eastAsia="en-US"/>
    </w:rPr>
  </w:style>
  <w:style w:type="paragraph" w:customStyle="1" w:styleId="CM21">
    <w:name w:val="CM21"/>
    <w:basedOn w:val="Default"/>
    <w:next w:val="Default"/>
    <w:rsid w:val="00592D34"/>
    <w:pPr>
      <w:widowControl w:val="0"/>
      <w:spacing w:after="513"/>
    </w:pPr>
    <w:rPr>
      <w:color w:val="auto"/>
      <w:lang w:val="en-US" w:eastAsia="en-US"/>
    </w:rPr>
  </w:style>
  <w:style w:type="paragraph" w:customStyle="1" w:styleId="CM22">
    <w:name w:val="CM22"/>
    <w:basedOn w:val="Default"/>
    <w:next w:val="Default"/>
    <w:rsid w:val="00592D34"/>
    <w:pPr>
      <w:widowControl w:val="0"/>
      <w:spacing w:after="65"/>
    </w:pPr>
    <w:rPr>
      <w:color w:val="auto"/>
      <w:lang w:val="en-US" w:eastAsia="en-US"/>
    </w:rPr>
  </w:style>
  <w:style w:type="paragraph" w:customStyle="1" w:styleId="CM4">
    <w:name w:val="CM4"/>
    <w:basedOn w:val="Default"/>
    <w:next w:val="Default"/>
    <w:rsid w:val="00592D34"/>
    <w:pPr>
      <w:widowControl w:val="0"/>
      <w:spacing w:line="253" w:lineRule="atLeast"/>
    </w:pPr>
    <w:rPr>
      <w:color w:val="auto"/>
      <w:lang w:val="en-US" w:eastAsia="en-US"/>
    </w:rPr>
  </w:style>
  <w:style w:type="paragraph" w:customStyle="1" w:styleId="CM23">
    <w:name w:val="CM23"/>
    <w:basedOn w:val="Default"/>
    <w:next w:val="Default"/>
    <w:rsid w:val="00592D34"/>
    <w:pPr>
      <w:widowControl w:val="0"/>
      <w:spacing w:after="233"/>
    </w:pPr>
    <w:rPr>
      <w:color w:val="auto"/>
      <w:lang w:val="en-US" w:eastAsia="en-US"/>
    </w:rPr>
  </w:style>
  <w:style w:type="character" w:customStyle="1" w:styleId="PlainTextChar">
    <w:name w:val="Plain Text Char"/>
    <w:basedOn w:val="DefaultParagraphFont"/>
    <w:link w:val="PlainText"/>
    <w:uiPriority w:val="99"/>
    <w:rsid w:val="00F22345"/>
    <w:rPr>
      <w:rFonts w:ascii="Courier New" w:hAnsi="Courier New" w:cs="Courier New"/>
      <w:lang w:val="en-US" w:eastAsia="ko-KR"/>
    </w:rPr>
  </w:style>
  <w:style w:type="character" w:customStyle="1" w:styleId="Heading1Char">
    <w:name w:val="Heading 1 Char"/>
    <w:basedOn w:val="DefaultParagraphFont"/>
    <w:link w:val="Heading1"/>
    <w:uiPriority w:val="9"/>
    <w:rsid w:val="00F22345"/>
    <w:rPr>
      <w:rFonts w:ascii="Arial" w:hAnsi="Arial" w:cs="Arial"/>
      <w:b/>
      <w:bCs/>
      <w:kern w:val="32"/>
      <w:sz w:val="32"/>
      <w:szCs w:val="32"/>
      <w:lang w:val="en-US" w:eastAsia="ko-KR"/>
    </w:rPr>
  </w:style>
  <w:style w:type="paragraph" w:styleId="Header">
    <w:name w:val="header"/>
    <w:basedOn w:val="Normal"/>
    <w:link w:val="HeaderChar"/>
    <w:rsid w:val="006465AD"/>
    <w:pPr>
      <w:tabs>
        <w:tab w:val="center" w:pos="4513"/>
        <w:tab w:val="right" w:pos="9026"/>
      </w:tabs>
    </w:pPr>
  </w:style>
  <w:style w:type="character" w:customStyle="1" w:styleId="HeaderChar">
    <w:name w:val="Header Char"/>
    <w:basedOn w:val="DefaultParagraphFont"/>
    <w:link w:val="Header"/>
    <w:rsid w:val="006465AD"/>
    <w:rPr>
      <w:sz w:val="24"/>
      <w:szCs w:val="24"/>
      <w:lang w:val="en-US" w:eastAsia="ko-KR"/>
    </w:rPr>
  </w:style>
  <w:style w:type="character" w:customStyle="1" w:styleId="FooterChar">
    <w:name w:val="Footer Char"/>
    <w:basedOn w:val="DefaultParagraphFont"/>
    <w:link w:val="Footer"/>
    <w:uiPriority w:val="99"/>
    <w:rsid w:val="006465AD"/>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61081">
      <w:bodyDiv w:val="1"/>
      <w:marLeft w:val="0"/>
      <w:marRight w:val="0"/>
      <w:marTop w:val="0"/>
      <w:marBottom w:val="0"/>
      <w:divBdr>
        <w:top w:val="none" w:sz="0" w:space="0" w:color="auto"/>
        <w:left w:val="none" w:sz="0" w:space="0" w:color="auto"/>
        <w:bottom w:val="none" w:sz="0" w:space="0" w:color="auto"/>
        <w:right w:val="none" w:sz="0" w:space="0" w:color="auto"/>
      </w:divBdr>
    </w:div>
    <w:div w:id="869797933">
      <w:bodyDiv w:val="1"/>
      <w:marLeft w:val="0"/>
      <w:marRight w:val="0"/>
      <w:marTop w:val="0"/>
      <w:marBottom w:val="0"/>
      <w:divBdr>
        <w:top w:val="none" w:sz="0" w:space="0" w:color="auto"/>
        <w:left w:val="none" w:sz="0" w:space="0" w:color="auto"/>
        <w:bottom w:val="none" w:sz="0" w:space="0" w:color="auto"/>
        <w:right w:val="none" w:sz="0" w:space="0" w:color="auto"/>
      </w:divBdr>
      <w:divsChild>
        <w:div w:id="1837770653">
          <w:marLeft w:val="0"/>
          <w:marRight w:val="0"/>
          <w:marTop w:val="0"/>
          <w:marBottom w:val="0"/>
          <w:divBdr>
            <w:top w:val="none" w:sz="0" w:space="0" w:color="auto"/>
            <w:left w:val="none" w:sz="0" w:space="0" w:color="auto"/>
            <w:bottom w:val="none" w:sz="0" w:space="0" w:color="auto"/>
            <w:right w:val="none" w:sz="0" w:space="0" w:color="auto"/>
          </w:divBdr>
        </w:div>
      </w:divsChild>
    </w:div>
    <w:div w:id="1095134231">
      <w:bodyDiv w:val="1"/>
      <w:marLeft w:val="0"/>
      <w:marRight w:val="0"/>
      <w:marTop w:val="0"/>
      <w:marBottom w:val="0"/>
      <w:divBdr>
        <w:top w:val="none" w:sz="0" w:space="0" w:color="auto"/>
        <w:left w:val="none" w:sz="0" w:space="0" w:color="auto"/>
        <w:bottom w:val="none" w:sz="0" w:space="0" w:color="auto"/>
        <w:right w:val="none" w:sz="0" w:space="0" w:color="auto"/>
      </w:divBdr>
    </w:div>
    <w:div w:id="1581403926">
      <w:bodyDiv w:val="1"/>
      <w:marLeft w:val="0"/>
      <w:marRight w:val="0"/>
      <w:marTop w:val="0"/>
      <w:marBottom w:val="0"/>
      <w:divBdr>
        <w:top w:val="none" w:sz="0" w:space="0" w:color="auto"/>
        <w:left w:val="none" w:sz="0" w:space="0" w:color="auto"/>
        <w:bottom w:val="none" w:sz="0" w:space="0" w:color="auto"/>
        <w:right w:val="none" w:sz="0" w:space="0" w:color="auto"/>
      </w:divBdr>
      <w:divsChild>
        <w:div w:id="190444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hyperlink" Target="http://www.minedu.govt.nz/"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hyperlink" Target="http://nzinitiative.org.nz/"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5.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hyperlink" Target="http://dx.doi.org/10.1787/eco_surveys-nzl-2013-5-en"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beehive.govt.nz/sites/all/files/FAQs%20_0.pdf" TargetMode="External"/><Relationship Id="rId2" Type="http://schemas.openxmlformats.org/officeDocument/2006/relationships/hyperlink" Target="http://www.rbnz.govt.nz/statistics/tables/c18/" TargetMode="External"/><Relationship Id="rId1" Type="http://schemas.openxmlformats.org/officeDocument/2006/relationships/hyperlink" Target="http://www.schoolzone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Har04</b:Tag>
    <b:SourceType>Book</b:SourceType>
    <b:Guid>{B14233A5-9998-49E0-A004-BADC8601A2FF}</b:Guid>
    <b:Title>Education Matters: Government, Markets and New Zealand Schools</b:Title>
    <b:Year>2004</b:Year>
    <b:Publisher>Education Forum</b:Publisher>
    <b:City>Wellington</b:City>
    <b:Author>
      <b:Author>
        <b:NameList>
          <b:Person>
            <b:Last>Harrison</b:Last>
            <b:First>Mark</b:First>
          </b:Person>
        </b:NameList>
      </b:Author>
      <b:BookAuthor>
        <b:NameList>
          <b:Person>
            <b:Last>Harrison</b:Last>
            <b:First>Mark</b:First>
          </b:Person>
        </b:NameList>
      </b:BookAuthor>
    </b:Author>
    <b:BookTitle>Education Matters: Government, Markets and New Zealand Schools</b:BookTitle>
    <b:RefOrder>1</b:RefOrder>
  </b:Source>
</b:Sources>
</file>

<file path=customXml/itemProps1.xml><?xml version="1.0" encoding="utf-8"?>
<ds:datastoreItem xmlns:ds="http://schemas.openxmlformats.org/officeDocument/2006/customXml" ds:itemID="{48666CEF-DB18-48C8-9506-D8DF01F5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19810</TotalTime>
  <Pages>23</Pages>
  <Words>8411</Words>
  <Characters>47949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Many countries have recently introduced research assessments to help document and raise the quality of research carried out in their university sector</vt:lpstr>
    </vt:vector>
  </TitlesOfParts>
  <Company>University of Waikato</Company>
  <LinksUpToDate>false</LinksUpToDate>
  <CharactersWithSpaces>56248</CharactersWithSpaces>
  <SharedDoc>false</SharedDoc>
  <HLinks>
    <vt:vector size="24" baseType="variant">
      <vt:variant>
        <vt:i4>2424887</vt:i4>
      </vt:variant>
      <vt:variant>
        <vt:i4>42</vt:i4>
      </vt:variant>
      <vt:variant>
        <vt:i4>0</vt:i4>
      </vt:variant>
      <vt:variant>
        <vt:i4>5</vt:i4>
      </vt:variant>
      <vt:variant>
        <vt:lpwstr>http://dx.doi.org/10.1787/9789264094611-en</vt:lpwstr>
      </vt:variant>
      <vt:variant>
        <vt:lpwstr/>
      </vt:variant>
      <vt:variant>
        <vt:i4>3735598</vt:i4>
      </vt:variant>
      <vt:variant>
        <vt:i4>0</vt:i4>
      </vt:variant>
      <vt:variant>
        <vt:i4>0</vt:i4>
      </vt:variant>
      <vt:variant>
        <vt:i4>5</vt:i4>
      </vt:variant>
      <vt:variant>
        <vt:lpwstr>http://www.sacbee.com/statepay/</vt:lpwstr>
      </vt:variant>
      <vt:variant>
        <vt:lpwstr/>
      </vt:variant>
      <vt:variant>
        <vt:i4>3276865</vt:i4>
      </vt:variant>
      <vt:variant>
        <vt:i4>3</vt:i4>
      </vt:variant>
      <vt:variant>
        <vt:i4>0</vt:i4>
      </vt:variant>
      <vt:variant>
        <vt:i4>5</vt:i4>
      </vt:variant>
      <vt:variant>
        <vt:lpwstr>http://compensation.universityofcalifornia.edu/total_comp_facts_nov2009.pdf</vt:lpwstr>
      </vt:variant>
      <vt:variant>
        <vt:lpwstr/>
      </vt:variant>
      <vt:variant>
        <vt:i4>6094914</vt:i4>
      </vt:variant>
      <vt:variant>
        <vt:i4>0</vt:i4>
      </vt:variant>
      <vt:variant>
        <vt:i4>0</vt:i4>
      </vt:variant>
      <vt:variant>
        <vt:i4>5</vt:i4>
      </vt:variant>
      <vt:variant>
        <vt:lpwstr>http://www.sciencemag.org/cgi/content/full/335/6068/542/DC1/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countries have recently introduced research assessments to help document and raise the quality of research carried out in their university sector</dc:title>
  <dc:creator>John Gibson</dc:creator>
  <cp:lastModifiedBy>Brian Silverstone</cp:lastModifiedBy>
  <cp:revision>98</cp:revision>
  <cp:lastPrinted>2014-04-16T03:13:00Z</cp:lastPrinted>
  <dcterms:created xsi:type="dcterms:W3CDTF">2014-03-21T01:11:00Z</dcterms:created>
  <dcterms:modified xsi:type="dcterms:W3CDTF">2014-07-03T00:39:00Z</dcterms:modified>
</cp:coreProperties>
</file>