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88" w:rsidRDefault="00F84F88" w:rsidP="00D55D45">
      <w:pPr>
        <w:pStyle w:val="Default"/>
        <w:jc w:val="center"/>
        <w:rPr>
          <w:b/>
          <w:bCs/>
          <w:sz w:val="28"/>
          <w:szCs w:val="28"/>
        </w:rPr>
      </w:pPr>
    </w:p>
    <w:p w:rsidR="00F84F88" w:rsidRDefault="00F84F88" w:rsidP="00D55D45">
      <w:pPr>
        <w:pStyle w:val="Default"/>
        <w:jc w:val="center"/>
        <w:rPr>
          <w:b/>
          <w:bCs/>
          <w:sz w:val="28"/>
          <w:szCs w:val="28"/>
        </w:rPr>
      </w:pPr>
    </w:p>
    <w:p w:rsidR="00F84F88" w:rsidRDefault="00F84F88" w:rsidP="00D55D45">
      <w:pPr>
        <w:pStyle w:val="Default"/>
        <w:jc w:val="center"/>
        <w:rPr>
          <w:b/>
          <w:bCs/>
          <w:sz w:val="28"/>
          <w:szCs w:val="28"/>
        </w:rPr>
      </w:pPr>
    </w:p>
    <w:p w:rsidR="00B17977" w:rsidRDefault="00B17977" w:rsidP="00D55D45">
      <w:pPr>
        <w:pStyle w:val="Default"/>
        <w:jc w:val="center"/>
        <w:rPr>
          <w:b/>
          <w:bCs/>
          <w:sz w:val="28"/>
          <w:szCs w:val="28"/>
        </w:rPr>
      </w:pPr>
    </w:p>
    <w:p w:rsidR="00B17977" w:rsidRDefault="00B17977" w:rsidP="00D55D45">
      <w:pPr>
        <w:pStyle w:val="Default"/>
        <w:jc w:val="center"/>
        <w:rPr>
          <w:b/>
          <w:bCs/>
          <w:sz w:val="28"/>
          <w:szCs w:val="28"/>
        </w:rPr>
      </w:pPr>
    </w:p>
    <w:p w:rsidR="00D55D45" w:rsidRPr="00976543" w:rsidRDefault="00D55D45" w:rsidP="00D55D45">
      <w:pPr>
        <w:pStyle w:val="Default"/>
        <w:jc w:val="center"/>
        <w:rPr>
          <w:b/>
          <w:bCs/>
          <w:sz w:val="28"/>
          <w:szCs w:val="28"/>
        </w:rPr>
      </w:pPr>
      <w:r>
        <w:rPr>
          <w:b/>
          <w:bCs/>
          <w:sz w:val="28"/>
          <w:szCs w:val="28"/>
        </w:rPr>
        <w:t>UN</w:t>
      </w:r>
      <w:r w:rsidRPr="00976543">
        <w:rPr>
          <w:b/>
          <w:bCs/>
          <w:sz w:val="28"/>
          <w:szCs w:val="28"/>
        </w:rPr>
        <w:t>IVERSITY OF WAIKATO</w:t>
      </w:r>
    </w:p>
    <w:p w:rsidR="00D55D45" w:rsidRPr="00976543" w:rsidRDefault="00D55D45" w:rsidP="00D55D45">
      <w:pPr>
        <w:pStyle w:val="Default"/>
        <w:jc w:val="center"/>
        <w:rPr>
          <w:b/>
          <w:bCs/>
          <w:sz w:val="28"/>
          <w:szCs w:val="28"/>
        </w:rPr>
      </w:pPr>
      <w:r w:rsidRPr="00976543">
        <w:rPr>
          <w:b/>
          <w:bCs/>
          <w:sz w:val="28"/>
          <w:szCs w:val="28"/>
        </w:rPr>
        <w:br/>
        <w:t>Hamilton</w:t>
      </w:r>
    </w:p>
    <w:p w:rsidR="00D55D45" w:rsidRPr="00976543" w:rsidRDefault="00D55D45" w:rsidP="00D55D45">
      <w:pPr>
        <w:pStyle w:val="CM1"/>
        <w:spacing w:line="240" w:lineRule="auto"/>
        <w:jc w:val="center"/>
        <w:rPr>
          <w:b/>
          <w:bCs/>
          <w:sz w:val="28"/>
          <w:szCs w:val="28"/>
        </w:rPr>
      </w:pPr>
      <w:r w:rsidRPr="00976543">
        <w:rPr>
          <w:b/>
          <w:bCs/>
          <w:sz w:val="28"/>
          <w:szCs w:val="28"/>
        </w:rPr>
        <w:t xml:space="preserve">New Zealand </w:t>
      </w:r>
    </w:p>
    <w:p w:rsidR="00D55D45" w:rsidRPr="00976543" w:rsidRDefault="00D55D45" w:rsidP="00D55D45">
      <w:pPr>
        <w:pStyle w:val="Default"/>
      </w:pPr>
    </w:p>
    <w:p w:rsidR="00D55D45" w:rsidRDefault="00D55D45" w:rsidP="00D55D45">
      <w:pPr>
        <w:pStyle w:val="Default"/>
      </w:pPr>
    </w:p>
    <w:p w:rsidR="00D55D45" w:rsidRPr="00976543" w:rsidRDefault="00D55D45" w:rsidP="00D55D45">
      <w:pPr>
        <w:pStyle w:val="Default"/>
      </w:pPr>
    </w:p>
    <w:p w:rsidR="00D55D45" w:rsidRDefault="00D55D45" w:rsidP="00D55D45">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rsidR="00D55D45" w:rsidRDefault="00D55D45" w:rsidP="00D55D45">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Poverty Measurement:</w:t>
      </w:r>
    </w:p>
    <w:p w:rsidR="00D55D45" w:rsidRDefault="00D55D45" w:rsidP="00D55D45">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28"/>
          <w:szCs w:val="28"/>
        </w:rPr>
      </w:pPr>
      <w:r>
        <w:rPr>
          <w:rFonts w:ascii="Times New Roman" w:hAnsi="Times New Roman"/>
          <w:sz w:val="28"/>
          <w:szCs w:val="28"/>
        </w:rPr>
        <w:t>We Kno</w:t>
      </w:r>
      <w:r w:rsidR="00122C9F">
        <w:rPr>
          <w:rFonts w:ascii="Times New Roman" w:hAnsi="Times New Roman"/>
          <w:sz w:val="28"/>
          <w:szCs w:val="28"/>
        </w:rPr>
        <w:t>w Less Than Policy Makers Realiz</w:t>
      </w:r>
      <w:r>
        <w:rPr>
          <w:rFonts w:ascii="Times New Roman" w:hAnsi="Times New Roman"/>
          <w:sz w:val="28"/>
          <w:szCs w:val="28"/>
        </w:rPr>
        <w:t>e</w:t>
      </w:r>
    </w:p>
    <w:p w:rsidR="00D55D45" w:rsidRPr="00BF00CD" w:rsidRDefault="00D55D45" w:rsidP="00D55D45">
      <w:pPr>
        <w:pStyle w:val="Title"/>
        <w:pBdr>
          <w:top w:val="thinThickSmallGap" w:sz="24" w:space="1" w:color="auto"/>
          <w:left w:val="thinThickSmallGap" w:sz="24" w:space="4" w:color="auto"/>
          <w:bottom w:val="thinThickSmallGap" w:sz="24" w:space="1" w:color="auto"/>
          <w:right w:val="thinThickSmallGap" w:sz="24" w:space="4" w:color="auto"/>
        </w:pBdr>
        <w:spacing w:line="360" w:lineRule="auto"/>
        <w:rPr>
          <w:rFonts w:ascii="Times New Roman" w:hAnsi="Times New Roman"/>
          <w:sz w:val="14"/>
          <w:szCs w:val="14"/>
        </w:rPr>
      </w:pPr>
    </w:p>
    <w:p w:rsidR="00D55D45" w:rsidRDefault="00D55D45" w:rsidP="00D55D45">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b w:val="0"/>
          <w:sz w:val="28"/>
          <w:szCs w:val="28"/>
        </w:rPr>
      </w:pPr>
      <w:r>
        <w:rPr>
          <w:rFonts w:ascii="Times New Roman" w:hAnsi="Times New Roman"/>
          <w:b w:val="0"/>
          <w:sz w:val="28"/>
          <w:szCs w:val="28"/>
        </w:rPr>
        <w:t xml:space="preserve">John Gibson </w:t>
      </w:r>
    </w:p>
    <w:p w:rsidR="00134275" w:rsidRPr="00976543" w:rsidRDefault="00134275" w:rsidP="00D55D45">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rsidR="00D55D45" w:rsidRPr="00976543" w:rsidRDefault="00D55D45" w:rsidP="00D55D45">
      <w:pPr>
        <w:pStyle w:val="Default"/>
      </w:pPr>
    </w:p>
    <w:p w:rsidR="00D55D45" w:rsidRPr="00976543" w:rsidRDefault="00D55D45" w:rsidP="00D55D45">
      <w:pPr>
        <w:pStyle w:val="CM20"/>
        <w:spacing w:after="0"/>
        <w:jc w:val="center"/>
        <w:rPr>
          <w:i/>
          <w:iCs/>
        </w:rPr>
      </w:pPr>
    </w:p>
    <w:p w:rsidR="00D55D45" w:rsidRDefault="00D55D45" w:rsidP="00D55D45">
      <w:pPr>
        <w:pStyle w:val="Default"/>
      </w:pPr>
    </w:p>
    <w:p w:rsidR="00D55D45" w:rsidRPr="00976543" w:rsidRDefault="00D55D45" w:rsidP="00D55D45">
      <w:pPr>
        <w:pStyle w:val="Default"/>
      </w:pPr>
    </w:p>
    <w:p w:rsidR="00D55D45" w:rsidRPr="00976543" w:rsidRDefault="00D55D45" w:rsidP="00D55D45">
      <w:pPr>
        <w:pStyle w:val="CM21"/>
        <w:spacing w:after="0"/>
        <w:jc w:val="center"/>
        <w:rPr>
          <w:sz w:val="28"/>
          <w:szCs w:val="28"/>
        </w:rPr>
      </w:pPr>
      <w:r w:rsidRPr="00976543">
        <w:rPr>
          <w:b/>
          <w:bCs/>
          <w:sz w:val="28"/>
          <w:szCs w:val="28"/>
        </w:rPr>
        <w:t xml:space="preserve">Department of Economics </w:t>
      </w:r>
    </w:p>
    <w:p w:rsidR="00D55D45" w:rsidRPr="00976543" w:rsidRDefault="00D55D45" w:rsidP="00D55D45">
      <w:pPr>
        <w:pStyle w:val="Default"/>
        <w:rPr>
          <w:color w:val="auto"/>
        </w:rPr>
      </w:pPr>
    </w:p>
    <w:p w:rsidR="00D55D45" w:rsidRPr="00976543" w:rsidRDefault="00D55D45" w:rsidP="00D55D45">
      <w:pPr>
        <w:pStyle w:val="CM22"/>
        <w:spacing w:after="0"/>
        <w:jc w:val="center"/>
        <w:rPr>
          <w:b/>
          <w:bCs/>
          <w:sz w:val="28"/>
          <w:szCs w:val="28"/>
        </w:rPr>
      </w:pPr>
      <w:r w:rsidRPr="00976543">
        <w:rPr>
          <w:b/>
          <w:bCs/>
          <w:sz w:val="28"/>
          <w:szCs w:val="28"/>
        </w:rPr>
        <w:t xml:space="preserve">Working Paper in </w:t>
      </w:r>
      <w:r>
        <w:rPr>
          <w:b/>
          <w:bCs/>
          <w:sz w:val="28"/>
          <w:szCs w:val="28"/>
        </w:rPr>
        <w:t>Economics 8</w:t>
      </w:r>
      <w:r w:rsidRPr="00976543">
        <w:rPr>
          <w:b/>
          <w:bCs/>
          <w:sz w:val="28"/>
          <w:szCs w:val="28"/>
        </w:rPr>
        <w:t>/</w:t>
      </w:r>
      <w:r>
        <w:rPr>
          <w:b/>
          <w:bCs/>
          <w:sz w:val="28"/>
          <w:szCs w:val="28"/>
        </w:rPr>
        <w:t>15</w:t>
      </w:r>
    </w:p>
    <w:p w:rsidR="00D55D45" w:rsidRPr="00976543" w:rsidRDefault="00D55D45" w:rsidP="00D55D45">
      <w:pPr>
        <w:pStyle w:val="CM22"/>
        <w:spacing w:after="0"/>
        <w:jc w:val="center"/>
        <w:rPr>
          <w:sz w:val="28"/>
          <w:szCs w:val="28"/>
        </w:rPr>
      </w:pPr>
      <w:r w:rsidRPr="00976543">
        <w:rPr>
          <w:b/>
          <w:bCs/>
          <w:sz w:val="28"/>
          <w:szCs w:val="28"/>
        </w:rPr>
        <w:t xml:space="preserve"> </w:t>
      </w:r>
    </w:p>
    <w:p w:rsidR="00D55D45" w:rsidRPr="00976543" w:rsidRDefault="00D55D45" w:rsidP="00D55D45">
      <w:pPr>
        <w:pStyle w:val="CM3"/>
        <w:jc w:val="center"/>
        <w:rPr>
          <w:sz w:val="28"/>
          <w:szCs w:val="28"/>
        </w:rPr>
      </w:pPr>
      <w:r>
        <w:rPr>
          <w:sz w:val="28"/>
          <w:szCs w:val="28"/>
        </w:rPr>
        <w:t>October 2015</w:t>
      </w:r>
    </w:p>
    <w:p w:rsidR="00D55D45" w:rsidRDefault="00D55D45" w:rsidP="00D55D45">
      <w:pPr>
        <w:pStyle w:val="CM4"/>
        <w:spacing w:line="240" w:lineRule="auto"/>
        <w:jc w:val="center"/>
        <w:rPr>
          <w:b/>
          <w:bCs/>
          <w:sz w:val="22"/>
          <w:szCs w:val="22"/>
        </w:rPr>
      </w:pPr>
    </w:p>
    <w:p w:rsidR="00D55D45" w:rsidRDefault="00D55D45" w:rsidP="00D55D45">
      <w:pPr>
        <w:pStyle w:val="Default"/>
      </w:pPr>
    </w:p>
    <w:p w:rsidR="00D55D45" w:rsidRPr="007E6B57" w:rsidRDefault="00D55D45" w:rsidP="00D55D45">
      <w:pPr>
        <w:pStyle w:val="Default"/>
      </w:pPr>
    </w:p>
    <w:tbl>
      <w:tblPr>
        <w:tblW w:w="0" w:type="auto"/>
        <w:jc w:val="center"/>
        <w:tblLook w:val="04A0" w:firstRow="1" w:lastRow="0" w:firstColumn="1" w:lastColumn="0" w:noHBand="0" w:noVBand="1"/>
      </w:tblPr>
      <w:tblGrid>
        <w:gridCol w:w="4621"/>
      </w:tblGrid>
      <w:tr w:rsidR="00D55D45" w:rsidTr="00D55D45">
        <w:trPr>
          <w:jc w:val="center"/>
        </w:trPr>
        <w:tc>
          <w:tcPr>
            <w:tcW w:w="4621" w:type="dxa"/>
          </w:tcPr>
          <w:p w:rsidR="00D55D45" w:rsidRPr="00F11504" w:rsidRDefault="00D55D45" w:rsidP="00150FF6">
            <w:pPr>
              <w:pStyle w:val="CM4"/>
              <w:spacing w:line="240" w:lineRule="auto"/>
              <w:jc w:val="center"/>
              <w:rPr>
                <w:b/>
                <w:bCs/>
                <w:sz w:val="8"/>
                <w:szCs w:val="8"/>
              </w:rPr>
            </w:pPr>
          </w:p>
          <w:p w:rsidR="00D55D45" w:rsidRPr="00976543" w:rsidRDefault="00D55D45" w:rsidP="00150FF6">
            <w:pPr>
              <w:pStyle w:val="CM4"/>
              <w:spacing w:line="240" w:lineRule="auto"/>
              <w:jc w:val="center"/>
            </w:pPr>
            <w:r>
              <w:rPr>
                <w:b/>
                <w:bCs/>
              </w:rPr>
              <w:t>John Gibson</w:t>
            </w:r>
          </w:p>
          <w:p w:rsidR="00D55D45" w:rsidRPr="00F11504" w:rsidRDefault="00D55D45" w:rsidP="00150FF6">
            <w:pPr>
              <w:pStyle w:val="CM23"/>
              <w:spacing w:after="0"/>
              <w:jc w:val="center"/>
              <w:rPr>
                <w:sz w:val="12"/>
                <w:szCs w:val="12"/>
              </w:rPr>
            </w:pPr>
          </w:p>
          <w:p w:rsidR="00D55D45" w:rsidRPr="00976543" w:rsidRDefault="00D55D45" w:rsidP="00150FF6">
            <w:pPr>
              <w:pStyle w:val="CM23"/>
              <w:spacing w:after="0"/>
              <w:jc w:val="center"/>
            </w:pPr>
            <w:r>
              <w:t>Department of Economics</w:t>
            </w:r>
          </w:p>
          <w:p w:rsidR="00D55D45" w:rsidRDefault="00D55D45" w:rsidP="00150FF6">
            <w:pPr>
              <w:pStyle w:val="CM23"/>
              <w:spacing w:after="0"/>
              <w:jc w:val="center"/>
            </w:pPr>
            <w:r w:rsidRPr="00976543">
              <w:t>University of Waikato</w:t>
            </w:r>
          </w:p>
          <w:p w:rsidR="00D55D45" w:rsidRDefault="00D55D45" w:rsidP="00150FF6">
            <w:pPr>
              <w:pStyle w:val="CM23"/>
              <w:spacing w:after="0"/>
              <w:jc w:val="center"/>
            </w:pPr>
            <w:r w:rsidRPr="00976543">
              <w:t>Private Bag 3105</w:t>
            </w:r>
          </w:p>
          <w:p w:rsidR="00187E42" w:rsidRDefault="00187E42" w:rsidP="00150FF6">
            <w:pPr>
              <w:pStyle w:val="CM23"/>
              <w:spacing w:after="0"/>
              <w:jc w:val="center"/>
            </w:pPr>
            <w:r>
              <w:t>Hamilton</w:t>
            </w:r>
          </w:p>
          <w:p w:rsidR="00D55D45" w:rsidRPr="00976543" w:rsidRDefault="00D55D45" w:rsidP="00150FF6">
            <w:pPr>
              <w:pStyle w:val="CM23"/>
              <w:spacing w:after="0"/>
              <w:jc w:val="center"/>
            </w:pPr>
            <w:r w:rsidRPr="00976543">
              <w:t>New Zealand</w:t>
            </w:r>
            <w:r w:rsidR="00187E42">
              <w:t>, 3240</w:t>
            </w:r>
            <w:r w:rsidRPr="00976543">
              <w:t xml:space="preserve"> </w:t>
            </w:r>
          </w:p>
          <w:p w:rsidR="00D55D45" w:rsidRPr="00173AF5" w:rsidRDefault="00D55D45" w:rsidP="00150FF6">
            <w:pPr>
              <w:pStyle w:val="Default"/>
              <w:rPr>
                <w:sz w:val="12"/>
                <w:szCs w:val="12"/>
              </w:rPr>
            </w:pPr>
          </w:p>
          <w:p w:rsidR="00D55D45" w:rsidRPr="00976543" w:rsidRDefault="00D55D45" w:rsidP="00150FF6">
            <w:pPr>
              <w:pStyle w:val="Default"/>
              <w:jc w:val="center"/>
            </w:pPr>
            <w:r>
              <w:t>Tel: +64 (7) 838 4289</w:t>
            </w:r>
          </w:p>
          <w:p w:rsidR="00D55D45" w:rsidRPr="00F11504" w:rsidRDefault="00D55D45" w:rsidP="00150FF6">
            <w:pPr>
              <w:pStyle w:val="CM3"/>
              <w:jc w:val="center"/>
              <w:rPr>
                <w:bCs/>
                <w:sz w:val="12"/>
                <w:szCs w:val="12"/>
              </w:rPr>
            </w:pPr>
          </w:p>
          <w:p w:rsidR="00D55D45" w:rsidRPr="00F11504" w:rsidRDefault="00D55D45" w:rsidP="00150FF6">
            <w:pPr>
              <w:pStyle w:val="CM3"/>
              <w:jc w:val="center"/>
              <w:rPr>
                <w:bCs/>
              </w:rPr>
            </w:pPr>
            <w:r>
              <w:rPr>
                <w:bCs/>
              </w:rPr>
              <w:t>Email: jkgibson</w:t>
            </w:r>
            <w:r w:rsidRPr="00F11504">
              <w:rPr>
                <w:bCs/>
              </w:rPr>
              <w:t>@waikato.ac.nz</w:t>
            </w:r>
          </w:p>
          <w:p w:rsidR="00D55D45" w:rsidRDefault="00D55D45" w:rsidP="00150FF6">
            <w:pPr>
              <w:pStyle w:val="Default"/>
              <w:jc w:val="center"/>
            </w:pPr>
          </w:p>
        </w:tc>
      </w:tr>
    </w:tbl>
    <w:p w:rsidR="00D55D45" w:rsidRDefault="00D55D45" w:rsidP="00D55D45">
      <w:pPr>
        <w:pStyle w:val="Default"/>
      </w:pPr>
    </w:p>
    <w:p w:rsidR="00D55D45" w:rsidRPr="00232F90" w:rsidRDefault="00D55D45" w:rsidP="00D55D45">
      <w:pPr>
        <w:spacing w:line="288" w:lineRule="auto"/>
        <w:jc w:val="right"/>
        <w:rPr>
          <w:b/>
          <w:iCs/>
        </w:rPr>
      </w:pPr>
    </w:p>
    <w:p w:rsidR="00D55D45" w:rsidRPr="00232F90" w:rsidRDefault="00D55D45" w:rsidP="00D55D45">
      <w:pPr>
        <w:spacing w:line="288" w:lineRule="auto"/>
        <w:jc w:val="right"/>
        <w:rPr>
          <w:b/>
          <w:iCs/>
        </w:rPr>
      </w:pPr>
    </w:p>
    <w:p w:rsidR="00D55D45" w:rsidRPr="00232F90" w:rsidRDefault="00D55D45" w:rsidP="00D55D45">
      <w:pPr>
        <w:spacing w:line="288" w:lineRule="auto"/>
        <w:jc w:val="center"/>
        <w:rPr>
          <w:b/>
          <w:iCs/>
        </w:rPr>
      </w:pPr>
    </w:p>
    <w:p w:rsidR="00D55D45" w:rsidRPr="00232F90" w:rsidRDefault="00D55D45" w:rsidP="00D55D45">
      <w:pPr>
        <w:spacing w:line="288" w:lineRule="auto"/>
        <w:jc w:val="center"/>
        <w:rPr>
          <w:b/>
          <w:iCs/>
        </w:rPr>
      </w:pPr>
    </w:p>
    <w:p w:rsidR="00D55D45" w:rsidRPr="00232F90" w:rsidRDefault="00D55D45" w:rsidP="00D55D45">
      <w:pPr>
        <w:spacing w:line="288" w:lineRule="auto"/>
      </w:pPr>
    </w:p>
    <w:p w:rsidR="00B17977" w:rsidRDefault="00B17977" w:rsidP="00D55D45">
      <w:pPr>
        <w:spacing w:line="288" w:lineRule="auto"/>
        <w:jc w:val="center"/>
        <w:rPr>
          <w:b/>
        </w:rPr>
      </w:pPr>
    </w:p>
    <w:p w:rsidR="00B17977" w:rsidRDefault="00B17977" w:rsidP="00D55D45">
      <w:pPr>
        <w:spacing w:line="288" w:lineRule="auto"/>
        <w:jc w:val="center"/>
        <w:rPr>
          <w:b/>
        </w:rPr>
      </w:pPr>
    </w:p>
    <w:p w:rsidR="00B17977" w:rsidRDefault="00B17977" w:rsidP="00D55D45">
      <w:pPr>
        <w:spacing w:line="288" w:lineRule="auto"/>
        <w:jc w:val="center"/>
        <w:rPr>
          <w:b/>
        </w:rPr>
      </w:pPr>
    </w:p>
    <w:p w:rsidR="00D514C0" w:rsidRDefault="00D514C0" w:rsidP="00D55D45">
      <w:pPr>
        <w:spacing w:line="288" w:lineRule="auto"/>
        <w:jc w:val="center"/>
        <w:rPr>
          <w:b/>
        </w:rPr>
      </w:pPr>
    </w:p>
    <w:p w:rsidR="00D514C0" w:rsidRDefault="00D514C0" w:rsidP="00D55D45">
      <w:pPr>
        <w:spacing w:line="288" w:lineRule="auto"/>
        <w:jc w:val="center"/>
        <w:rPr>
          <w:b/>
        </w:rPr>
      </w:pPr>
    </w:p>
    <w:p w:rsidR="00D514C0" w:rsidRDefault="00D514C0" w:rsidP="00D55D45">
      <w:pPr>
        <w:spacing w:line="288" w:lineRule="auto"/>
        <w:jc w:val="center"/>
        <w:rPr>
          <w:b/>
        </w:rPr>
      </w:pPr>
    </w:p>
    <w:p w:rsidR="00D55D45" w:rsidRDefault="00D55D45" w:rsidP="00D55D45">
      <w:pPr>
        <w:spacing w:line="288" w:lineRule="auto"/>
        <w:jc w:val="center"/>
        <w:rPr>
          <w:b/>
        </w:rPr>
      </w:pPr>
      <w:r>
        <w:rPr>
          <w:b/>
        </w:rPr>
        <w:t>Abstract</w:t>
      </w:r>
    </w:p>
    <w:p w:rsidR="00D55D45" w:rsidRPr="00121DCB" w:rsidRDefault="00D55D45" w:rsidP="00D55D45">
      <w:pPr>
        <w:spacing w:line="288" w:lineRule="auto"/>
        <w:jc w:val="center"/>
        <w:rPr>
          <w:b/>
          <w:sz w:val="12"/>
          <w:szCs w:val="12"/>
        </w:rPr>
      </w:pPr>
    </w:p>
    <w:p w:rsidR="00D55D45" w:rsidRDefault="00D55D45" w:rsidP="00D55D45">
      <w:pPr>
        <w:tabs>
          <w:tab w:val="left" w:pos="426"/>
        </w:tabs>
        <w:spacing w:line="360" w:lineRule="auto"/>
        <w:jc w:val="both"/>
        <w:rPr>
          <w:bCs/>
          <w:lang w:val="en-NZ"/>
        </w:rPr>
      </w:pPr>
      <w:r w:rsidRPr="00E912FA">
        <w:rPr>
          <w:bCs/>
          <w:lang w:val="en-NZ"/>
        </w:rPr>
        <w:t xml:space="preserve">There is </w:t>
      </w:r>
      <w:r>
        <w:rPr>
          <w:bCs/>
          <w:lang w:val="en-NZ"/>
        </w:rPr>
        <w:t xml:space="preserve">widespread policy interest in </w:t>
      </w:r>
      <w:r w:rsidRPr="00E912FA">
        <w:rPr>
          <w:bCs/>
          <w:lang w:val="en-NZ"/>
        </w:rPr>
        <w:t xml:space="preserve">poverty </w:t>
      </w:r>
      <w:r>
        <w:rPr>
          <w:bCs/>
          <w:lang w:val="en-NZ"/>
        </w:rPr>
        <w:t xml:space="preserve">estimates </w:t>
      </w:r>
      <w:r w:rsidRPr="00E912FA">
        <w:rPr>
          <w:bCs/>
          <w:lang w:val="en-NZ"/>
        </w:rPr>
        <w:t xml:space="preserve">at both national and global level. </w:t>
      </w:r>
      <w:r>
        <w:rPr>
          <w:bCs/>
          <w:lang w:val="en-NZ"/>
        </w:rPr>
        <w:t>There has been an explosion of poverty measurement in the last two decades enabled by the growing availability of household survey data. These measurements are used by policy makers to assess progress toward national and global goals for inclusive growth and poverty reduction. But the evidence base rests on shaky foundations and policy makers may have undue confidence in poverty and inequality estimates. Many household surveys are poorly designed to measure monetary living standards and poverty in an era of rising affluence and urban transition. Some key problems in measuring food consumption, housing services, and the cost of living are discussed here. Alternatives to monetary measurement, such as using questions on life satisfaction and happiness, also rest on shaky foundations.</w:t>
      </w:r>
    </w:p>
    <w:p w:rsidR="00D55D45" w:rsidRPr="00232F90" w:rsidRDefault="00D55D45" w:rsidP="00D55D45">
      <w:pPr>
        <w:autoSpaceDE w:val="0"/>
        <w:autoSpaceDN w:val="0"/>
        <w:adjustRightInd w:val="0"/>
        <w:spacing w:line="288" w:lineRule="auto"/>
        <w:rPr>
          <w:lang w:eastAsia="en-NZ"/>
        </w:rPr>
      </w:pPr>
    </w:p>
    <w:p w:rsidR="00D55D45" w:rsidRPr="00232F90" w:rsidRDefault="00D55D45" w:rsidP="00D55D45">
      <w:pPr>
        <w:spacing w:line="288" w:lineRule="auto"/>
      </w:pPr>
    </w:p>
    <w:p w:rsidR="00D55D45" w:rsidRPr="00232F90" w:rsidRDefault="00D55D45" w:rsidP="00D55D45">
      <w:pPr>
        <w:spacing w:line="288" w:lineRule="auto"/>
      </w:pPr>
    </w:p>
    <w:p w:rsidR="00D55D45" w:rsidRDefault="00D55D45" w:rsidP="00D55D45">
      <w:pPr>
        <w:spacing w:line="288" w:lineRule="auto"/>
        <w:jc w:val="center"/>
        <w:rPr>
          <w:b/>
        </w:rPr>
      </w:pPr>
      <w:r w:rsidRPr="00121DCB">
        <w:rPr>
          <w:b/>
        </w:rPr>
        <w:t>Keywords</w:t>
      </w:r>
    </w:p>
    <w:p w:rsidR="00D55D45" w:rsidRPr="00121DCB" w:rsidRDefault="00D55D45" w:rsidP="00D55D45">
      <w:pPr>
        <w:spacing w:line="288" w:lineRule="auto"/>
        <w:jc w:val="center"/>
        <w:rPr>
          <w:sz w:val="12"/>
          <w:szCs w:val="12"/>
        </w:rPr>
      </w:pPr>
    </w:p>
    <w:p w:rsidR="00D55D45" w:rsidRDefault="00D55D45" w:rsidP="00D55D45">
      <w:pPr>
        <w:tabs>
          <w:tab w:val="left" w:pos="426"/>
        </w:tabs>
        <w:spacing w:line="276" w:lineRule="auto"/>
        <w:jc w:val="center"/>
        <w:rPr>
          <w:rFonts w:eastAsiaTheme="minorHAnsi"/>
          <w:bCs/>
          <w:lang w:val="en-AU" w:bidi="en-US"/>
        </w:rPr>
      </w:pPr>
      <w:r>
        <w:rPr>
          <w:rFonts w:eastAsiaTheme="minorHAnsi"/>
          <w:bCs/>
          <w:lang w:val="en-AU" w:bidi="en-US"/>
        </w:rPr>
        <w:t>happiness</w:t>
      </w:r>
    </w:p>
    <w:p w:rsidR="00D55D45" w:rsidRDefault="00D55D45" w:rsidP="00D55D45">
      <w:pPr>
        <w:tabs>
          <w:tab w:val="left" w:pos="426"/>
        </w:tabs>
        <w:spacing w:line="276" w:lineRule="auto"/>
        <w:jc w:val="center"/>
        <w:rPr>
          <w:rFonts w:eastAsiaTheme="minorHAnsi"/>
          <w:bCs/>
          <w:lang w:val="en-AU" w:bidi="en-US"/>
        </w:rPr>
      </w:pPr>
      <w:r>
        <w:rPr>
          <w:rFonts w:eastAsiaTheme="minorHAnsi"/>
          <w:bCs/>
          <w:lang w:val="en-AU" w:bidi="en-US"/>
        </w:rPr>
        <w:t>household surveys</w:t>
      </w:r>
    </w:p>
    <w:p w:rsidR="00D55D45" w:rsidRDefault="00D55D45" w:rsidP="00D55D45">
      <w:pPr>
        <w:tabs>
          <w:tab w:val="left" w:pos="426"/>
        </w:tabs>
        <w:spacing w:line="276" w:lineRule="auto"/>
        <w:jc w:val="center"/>
        <w:rPr>
          <w:rFonts w:eastAsiaTheme="minorHAnsi"/>
          <w:bCs/>
          <w:lang w:val="en-AU" w:bidi="en-US"/>
        </w:rPr>
      </w:pPr>
      <w:r>
        <w:rPr>
          <w:rFonts w:eastAsiaTheme="minorHAnsi"/>
          <w:bCs/>
          <w:lang w:val="en-AU" w:bidi="en-US"/>
        </w:rPr>
        <w:t>inequality</w:t>
      </w:r>
    </w:p>
    <w:p w:rsidR="00D55D45" w:rsidRDefault="00D55D45" w:rsidP="00D55D45">
      <w:pPr>
        <w:tabs>
          <w:tab w:val="left" w:pos="426"/>
        </w:tabs>
        <w:spacing w:line="276" w:lineRule="auto"/>
        <w:jc w:val="center"/>
        <w:rPr>
          <w:rFonts w:eastAsiaTheme="minorHAnsi"/>
          <w:bCs/>
          <w:lang w:val="en-AU" w:bidi="en-US"/>
        </w:rPr>
      </w:pPr>
      <w:r>
        <w:rPr>
          <w:rFonts w:eastAsiaTheme="minorHAnsi"/>
          <w:bCs/>
          <w:lang w:val="en-AU" w:bidi="en-US"/>
        </w:rPr>
        <w:t>poverty</w:t>
      </w:r>
    </w:p>
    <w:p w:rsidR="00D55D45" w:rsidRDefault="00D55D45" w:rsidP="00D55D45">
      <w:pPr>
        <w:tabs>
          <w:tab w:val="left" w:pos="426"/>
        </w:tabs>
        <w:spacing w:line="276" w:lineRule="auto"/>
        <w:jc w:val="center"/>
        <w:rPr>
          <w:rFonts w:eastAsiaTheme="minorHAnsi"/>
          <w:bCs/>
          <w:lang w:val="en-AU" w:bidi="en-US"/>
        </w:rPr>
      </w:pPr>
      <w:r>
        <w:rPr>
          <w:rFonts w:eastAsiaTheme="minorHAnsi"/>
          <w:bCs/>
          <w:lang w:val="en-AU" w:bidi="en-US"/>
        </w:rPr>
        <w:t>prices</w:t>
      </w:r>
    </w:p>
    <w:p w:rsidR="00D55D45" w:rsidRPr="00435646" w:rsidRDefault="00D55D45" w:rsidP="00D55D45">
      <w:pPr>
        <w:tabs>
          <w:tab w:val="left" w:pos="426"/>
        </w:tabs>
        <w:spacing w:line="276" w:lineRule="auto"/>
        <w:jc w:val="center"/>
        <w:rPr>
          <w:rFonts w:eastAsiaTheme="minorHAnsi"/>
          <w:b/>
          <w:lang w:bidi="en-US"/>
        </w:rPr>
      </w:pPr>
      <w:r>
        <w:rPr>
          <w:rFonts w:eastAsiaTheme="minorHAnsi"/>
          <w:bCs/>
          <w:lang w:val="en-AU" w:bidi="en-US"/>
        </w:rPr>
        <w:t>shared prosperity</w:t>
      </w:r>
    </w:p>
    <w:p w:rsidR="00D55D45" w:rsidRDefault="00D55D45" w:rsidP="00D55D45">
      <w:pPr>
        <w:spacing w:line="288" w:lineRule="auto"/>
        <w:jc w:val="center"/>
      </w:pPr>
    </w:p>
    <w:p w:rsidR="00D55D45" w:rsidRPr="00232F90" w:rsidRDefault="00D55D45" w:rsidP="00D55D45">
      <w:pPr>
        <w:spacing w:line="288" w:lineRule="auto"/>
      </w:pPr>
    </w:p>
    <w:p w:rsidR="00D55D45" w:rsidRDefault="00D55D45" w:rsidP="00D55D45">
      <w:pPr>
        <w:spacing w:line="288" w:lineRule="auto"/>
        <w:jc w:val="center"/>
        <w:rPr>
          <w:b/>
        </w:rPr>
      </w:pPr>
      <w:r w:rsidRPr="00232F90">
        <w:rPr>
          <w:b/>
        </w:rPr>
        <w:t>JEL Codes</w:t>
      </w:r>
    </w:p>
    <w:p w:rsidR="00D55D45" w:rsidRPr="00121DCB" w:rsidRDefault="00D55D45" w:rsidP="00D55D45">
      <w:pPr>
        <w:spacing w:line="288" w:lineRule="auto"/>
        <w:jc w:val="center"/>
        <w:rPr>
          <w:sz w:val="12"/>
          <w:szCs w:val="12"/>
        </w:rPr>
      </w:pPr>
    </w:p>
    <w:p w:rsidR="00D55D45" w:rsidRPr="00232F90" w:rsidRDefault="00D55D45" w:rsidP="00D55D45">
      <w:pPr>
        <w:spacing w:line="288" w:lineRule="auto"/>
        <w:jc w:val="center"/>
      </w:pPr>
      <w:r>
        <w:rPr>
          <w:rFonts w:eastAsiaTheme="minorHAnsi"/>
          <w:bCs/>
          <w:lang w:bidi="en-US"/>
        </w:rPr>
        <w:t>O15</w:t>
      </w:r>
      <w:r w:rsidRPr="0084574B">
        <w:rPr>
          <w:rFonts w:eastAsiaTheme="minorHAnsi"/>
          <w:bCs/>
          <w:lang w:bidi="en-US"/>
        </w:rPr>
        <w:t>, I38</w:t>
      </w:r>
    </w:p>
    <w:p w:rsidR="00D55D45" w:rsidRPr="00232F90" w:rsidRDefault="00D55D45" w:rsidP="00D55D45">
      <w:pPr>
        <w:spacing w:line="288" w:lineRule="auto"/>
      </w:pPr>
    </w:p>
    <w:p w:rsidR="00BA794B" w:rsidRDefault="00BA794B">
      <w:pPr>
        <w:rPr>
          <w:b/>
        </w:rPr>
      </w:pPr>
      <w:r>
        <w:rPr>
          <w:b/>
        </w:rPr>
        <w:br w:type="page"/>
      </w:r>
    </w:p>
    <w:p w:rsidR="002B7592" w:rsidRPr="000E64DF" w:rsidRDefault="004C7731" w:rsidP="00C645CE">
      <w:pPr>
        <w:pStyle w:val="ListParagraph"/>
        <w:numPr>
          <w:ilvl w:val="0"/>
          <w:numId w:val="13"/>
        </w:numPr>
        <w:tabs>
          <w:tab w:val="left" w:pos="426"/>
        </w:tabs>
        <w:spacing w:line="480" w:lineRule="auto"/>
        <w:ind w:left="0" w:firstLine="0"/>
        <w:jc w:val="both"/>
        <w:rPr>
          <w:b/>
          <w:bCs/>
        </w:rPr>
      </w:pPr>
      <w:r>
        <w:rPr>
          <w:b/>
          <w:bCs/>
        </w:rPr>
        <w:lastRenderedPageBreak/>
        <w:t>INTRODUCTON</w:t>
      </w:r>
    </w:p>
    <w:p w:rsidR="00D20C6E" w:rsidRDefault="002D61C3" w:rsidP="00C645CE">
      <w:pPr>
        <w:tabs>
          <w:tab w:val="left" w:pos="426"/>
        </w:tabs>
        <w:spacing w:line="288" w:lineRule="auto"/>
        <w:jc w:val="both"/>
        <w:rPr>
          <w:bCs/>
          <w:lang w:val="en-NZ"/>
        </w:rPr>
      </w:pPr>
      <w:r>
        <w:rPr>
          <w:bCs/>
          <w:lang w:val="en-NZ"/>
        </w:rPr>
        <w:t xml:space="preserve">World leaders recently set </w:t>
      </w:r>
      <w:r w:rsidR="00B8629D">
        <w:rPr>
          <w:bCs/>
          <w:lang w:val="en-NZ"/>
        </w:rPr>
        <w:t xml:space="preserve">a </w:t>
      </w:r>
      <w:r>
        <w:rPr>
          <w:bCs/>
          <w:lang w:val="en-NZ"/>
        </w:rPr>
        <w:t xml:space="preserve">new </w:t>
      </w:r>
      <w:r w:rsidR="00EE707A">
        <w:rPr>
          <w:bCs/>
          <w:lang w:val="en-NZ"/>
        </w:rPr>
        <w:t>goal</w:t>
      </w:r>
      <w:r w:rsidR="00B8629D">
        <w:rPr>
          <w:bCs/>
          <w:lang w:val="en-NZ"/>
        </w:rPr>
        <w:t xml:space="preserve"> to eradicate extreme poverty for all p</w:t>
      </w:r>
      <w:r w:rsidR="00D7543A">
        <w:rPr>
          <w:bCs/>
          <w:lang w:val="en-NZ"/>
        </w:rPr>
        <w:t>eople everywhere by 2030, as a Sustainable Development Goal</w:t>
      </w:r>
      <w:r>
        <w:rPr>
          <w:bCs/>
          <w:lang w:val="en-NZ"/>
        </w:rPr>
        <w:t xml:space="preserve"> </w:t>
      </w:r>
      <w:r w:rsidR="00D7543A">
        <w:rPr>
          <w:bCs/>
          <w:lang w:val="en-NZ"/>
        </w:rPr>
        <w:t>(SDG</w:t>
      </w:r>
      <w:r w:rsidR="00EE505E">
        <w:rPr>
          <w:bCs/>
          <w:lang w:val="en-NZ"/>
        </w:rPr>
        <w:t xml:space="preserve">) </w:t>
      </w:r>
      <w:r>
        <w:rPr>
          <w:bCs/>
          <w:lang w:val="en-NZ"/>
        </w:rPr>
        <w:t xml:space="preserve">agreed upon at the United Nations Sustainable Development Summit in September, 2015. </w:t>
      </w:r>
      <w:r w:rsidR="00EE505E">
        <w:rPr>
          <w:bCs/>
          <w:lang w:val="en-NZ"/>
        </w:rPr>
        <w:t>Th</w:t>
      </w:r>
      <w:r w:rsidR="00B8629D">
        <w:rPr>
          <w:bCs/>
          <w:lang w:val="en-NZ"/>
        </w:rPr>
        <w:t>e SDGs</w:t>
      </w:r>
      <w:r w:rsidR="00DE1841">
        <w:rPr>
          <w:bCs/>
          <w:lang w:val="en-NZ"/>
        </w:rPr>
        <w:t xml:space="preserve"> follow </w:t>
      </w:r>
      <w:r w:rsidR="00EE505E">
        <w:rPr>
          <w:bCs/>
          <w:lang w:val="en-NZ"/>
        </w:rPr>
        <w:t>the Millennium Development Goals (MDGs), the most prominent of which was to eradicate extreme poverty and hunger.</w:t>
      </w:r>
      <w:r w:rsidR="00D7543A">
        <w:rPr>
          <w:bCs/>
          <w:lang w:val="en-NZ"/>
        </w:rPr>
        <w:t xml:space="preserve"> High level goals for </w:t>
      </w:r>
      <w:r w:rsidR="00DE1841">
        <w:rPr>
          <w:bCs/>
          <w:lang w:val="en-NZ"/>
        </w:rPr>
        <w:t xml:space="preserve">the MDG and SDG processes are broad and </w:t>
      </w:r>
      <w:r w:rsidR="00B8629D">
        <w:rPr>
          <w:bCs/>
          <w:lang w:val="en-NZ"/>
        </w:rPr>
        <w:t xml:space="preserve">generally </w:t>
      </w:r>
      <w:r w:rsidR="00DE1841">
        <w:rPr>
          <w:bCs/>
          <w:lang w:val="en-NZ"/>
        </w:rPr>
        <w:t xml:space="preserve">unobjectionable, so </w:t>
      </w:r>
      <w:r w:rsidR="00B363D6">
        <w:rPr>
          <w:bCs/>
          <w:lang w:val="en-NZ"/>
        </w:rPr>
        <w:t>do not attract much debate about</w:t>
      </w:r>
      <w:r w:rsidR="00DE1841">
        <w:rPr>
          <w:bCs/>
          <w:lang w:val="en-NZ"/>
        </w:rPr>
        <w:t xml:space="preserve"> measurement. It is the more detailed targets </w:t>
      </w:r>
      <w:r w:rsidR="00B8629D">
        <w:rPr>
          <w:bCs/>
          <w:lang w:val="en-NZ"/>
        </w:rPr>
        <w:t>under</w:t>
      </w:r>
      <w:r w:rsidR="00DE1841">
        <w:rPr>
          <w:bCs/>
          <w:lang w:val="en-NZ"/>
        </w:rPr>
        <w:t xml:space="preserve"> the high level goals </w:t>
      </w:r>
      <w:r w:rsidR="00B363D6">
        <w:rPr>
          <w:bCs/>
          <w:lang w:val="en-NZ"/>
        </w:rPr>
        <w:t xml:space="preserve">that </w:t>
      </w:r>
      <w:r w:rsidR="00D7543A">
        <w:rPr>
          <w:bCs/>
          <w:lang w:val="en-NZ"/>
        </w:rPr>
        <w:t xml:space="preserve">generate </w:t>
      </w:r>
      <w:r w:rsidR="00DE1841">
        <w:rPr>
          <w:bCs/>
          <w:lang w:val="en-NZ"/>
        </w:rPr>
        <w:t xml:space="preserve">debate about </w:t>
      </w:r>
      <w:r w:rsidR="00B363D6">
        <w:rPr>
          <w:bCs/>
          <w:lang w:val="en-NZ"/>
        </w:rPr>
        <w:t xml:space="preserve">how </w:t>
      </w:r>
      <w:r w:rsidR="00DE1841">
        <w:rPr>
          <w:bCs/>
          <w:lang w:val="en-NZ"/>
        </w:rPr>
        <w:t xml:space="preserve">progress </w:t>
      </w:r>
      <w:r w:rsidR="00B363D6">
        <w:rPr>
          <w:bCs/>
          <w:lang w:val="en-NZ"/>
        </w:rPr>
        <w:t>should best be measured</w:t>
      </w:r>
      <w:r w:rsidR="00DE1841">
        <w:rPr>
          <w:bCs/>
          <w:lang w:val="en-NZ"/>
        </w:rPr>
        <w:t>.</w:t>
      </w:r>
      <w:r w:rsidR="00B363D6">
        <w:rPr>
          <w:bCs/>
          <w:lang w:val="en-NZ"/>
        </w:rPr>
        <w:t xml:space="preserve"> </w:t>
      </w:r>
      <w:r w:rsidR="004E390C">
        <w:rPr>
          <w:bCs/>
          <w:lang w:val="en-NZ"/>
        </w:rPr>
        <w:t xml:space="preserve"> For example, T</w:t>
      </w:r>
      <w:r w:rsidR="00B363D6">
        <w:rPr>
          <w:bCs/>
          <w:lang w:val="en-NZ"/>
        </w:rPr>
        <w:t xml:space="preserve">arget 1a for the MDGs was to </w:t>
      </w:r>
      <w:r w:rsidR="004E390C">
        <w:rPr>
          <w:bCs/>
          <w:lang w:val="en-NZ"/>
        </w:rPr>
        <w:t>'</w:t>
      </w:r>
      <w:r w:rsidR="00B363D6">
        <w:rPr>
          <w:bCs/>
          <w:lang w:val="en-NZ"/>
        </w:rPr>
        <w:t>h</w:t>
      </w:r>
      <w:r w:rsidR="00DE1841" w:rsidRPr="00DE1841">
        <w:rPr>
          <w:bCs/>
        </w:rPr>
        <w:t>alve, between 1990 and 2015, the proportion of people whose income is less than one dollar a day</w:t>
      </w:r>
      <w:r w:rsidR="00B363D6">
        <w:rPr>
          <w:bCs/>
        </w:rPr>
        <w:t>.</w:t>
      </w:r>
      <w:r w:rsidR="004E390C">
        <w:rPr>
          <w:bCs/>
          <w:lang w:val="en-NZ"/>
        </w:rPr>
        <w:t>'</w:t>
      </w:r>
      <w:r w:rsidR="00D7543A">
        <w:rPr>
          <w:bCs/>
          <w:lang w:val="en-NZ"/>
        </w:rPr>
        <w:t xml:space="preserve"> T</w:t>
      </w:r>
      <w:r w:rsidR="00B363D6">
        <w:rPr>
          <w:bCs/>
          <w:lang w:val="en-NZ"/>
        </w:rPr>
        <w:t xml:space="preserve">his </w:t>
      </w:r>
      <w:r w:rsidR="007845B3">
        <w:rPr>
          <w:bCs/>
          <w:lang w:val="en-NZ"/>
        </w:rPr>
        <w:t>w</w:t>
      </w:r>
      <w:r w:rsidR="00B363D6">
        <w:rPr>
          <w:bCs/>
          <w:lang w:val="en-NZ"/>
        </w:rPr>
        <w:t xml:space="preserve">as </w:t>
      </w:r>
      <w:r w:rsidR="007845B3">
        <w:rPr>
          <w:bCs/>
          <w:lang w:val="en-NZ"/>
        </w:rPr>
        <w:t xml:space="preserve">set as </w:t>
      </w:r>
      <w:r w:rsidR="00B363D6">
        <w:rPr>
          <w:bCs/>
          <w:lang w:val="en-NZ"/>
        </w:rPr>
        <w:t>an income target</w:t>
      </w:r>
      <w:r w:rsidR="007845B3">
        <w:rPr>
          <w:bCs/>
          <w:lang w:val="en-NZ"/>
        </w:rPr>
        <w:t xml:space="preserve"> by policy makers</w:t>
      </w:r>
      <w:r w:rsidR="00D7543A">
        <w:rPr>
          <w:bCs/>
          <w:lang w:val="en-NZ"/>
        </w:rPr>
        <w:t xml:space="preserve"> but</w:t>
      </w:r>
      <w:r w:rsidR="00B363D6">
        <w:rPr>
          <w:bCs/>
          <w:lang w:val="en-NZ"/>
        </w:rPr>
        <w:t xml:space="preserve"> </w:t>
      </w:r>
      <w:r w:rsidR="00B8629D">
        <w:rPr>
          <w:bCs/>
          <w:lang w:val="en-NZ"/>
        </w:rPr>
        <w:t xml:space="preserve">global </w:t>
      </w:r>
      <w:r w:rsidR="00B363D6">
        <w:rPr>
          <w:bCs/>
          <w:lang w:val="en-NZ"/>
        </w:rPr>
        <w:t xml:space="preserve">progress </w:t>
      </w:r>
      <w:r w:rsidR="007845B3">
        <w:rPr>
          <w:bCs/>
          <w:lang w:val="en-NZ"/>
        </w:rPr>
        <w:t>wa</w:t>
      </w:r>
      <w:r w:rsidR="00B8629D">
        <w:rPr>
          <w:bCs/>
          <w:lang w:val="en-NZ"/>
        </w:rPr>
        <w:t xml:space="preserve">s </w:t>
      </w:r>
      <w:r w:rsidR="00B363D6">
        <w:rPr>
          <w:bCs/>
          <w:lang w:val="en-NZ"/>
        </w:rPr>
        <w:t xml:space="preserve">measured </w:t>
      </w:r>
      <w:r w:rsidR="00B8629D">
        <w:rPr>
          <w:bCs/>
          <w:lang w:val="en-NZ"/>
        </w:rPr>
        <w:t xml:space="preserve">by the World Bank mostly </w:t>
      </w:r>
      <w:r w:rsidR="007845B3">
        <w:rPr>
          <w:bCs/>
          <w:lang w:val="en-NZ"/>
        </w:rPr>
        <w:t xml:space="preserve">using household </w:t>
      </w:r>
      <w:r w:rsidR="00B363D6">
        <w:rPr>
          <w:bCs/>
          <w:lang w:val="en-NZ"/>
        </w:rPr>
        <w:t>survey data on consumption</w:t>
      </w:r>
      <w:r w:rsidR="00B8629D">
        <w:rPr>
          <w:bCs/>
          <w:lang w:val="en-NZ"/>
        </w:rPr>
        <w:t xml:space="preserve">. The </w:t>
      </w:r>
      <w:r w:rsidR="00B363D6">
        <w:rPr>
          <w:bCs/>
          <w:lang w:val="en-NZ"/>
        </w:rPr>
        <w:t xml:space="preserve">benchmark </w:t>
      </w:r>
      <w:r w:rsidR="00B8629D">
        <w:rPr>
          <w:bCs/>
          <w:lang w:val="en-NZ"/>
        </w:rPr>
        <w:t xml:space="preserve">was also </w:t>
      </w:r>
      <w:r w:rsidR="00B363D6">
        <w:rPr>
          <w:bCs/>
          <w:lang w:val="en-NZ"/>
        </w:rPr>
        <w:t>moved</w:t>
      </w:r>
      <w:r w:rsidR="00B8629D">
        <w:rPr>
          <w:bCs/>
          <w:lang w:val="en-NZ"/>
        </w:rPr>
        <w:t>,</w:t>
      </w:r>
      <w:r w:rsidR="00B363D6">
        <w:rPr>
          <w:bCs/>
          <w:lang w:val="en-NZ"/>
        </w:rPr>
        <w:t xml:space="preserve"> from $1 a day to $1.08 in 1993 purchasing power parity (PPP) terms, which was then reset to $1.25 per </w:t>
      </w:r>
      <w:r w:rsidR="00D65EC8">
        <w:rPr>
          <w:bCs/>
          <w:lang w:val="en-NZ"/>
        </w:rPr>
        <w:t xml:space="preserve">day in 2005 PPP prices and is </w:t>
      </w:r>
      <w:r w:rsidR="00B8629D">
        <w:rPr>
          <w:bCs/>
          <w:lang w:val="en-NZ"/>
        </w:rPr>
        <w:t xml:space="preserve">likely </w:t>
      </w:r>
      <w:r w:rsidR="00D65EC8">
        <w:rPr>
          <w:bCs/>
          <w:lang w:val="en-NZ"/>
        </w:rPr>
        <w:t>to be reset again if</w:t>
      </w:r>
      <w:r w:rsidR="00B363D6">
        <w:rPr>
          <w:bCs/>
          <w:lang w:val="en-NZ"/>
        </w:rPr>
        <w:t xml:space="preserve"> </w:t>
      </w:r>
      <w:r w:rsidR="00D65EC8">
        <w:rPr>
          <w:bCs/>
          <w:lang w:val="en-NZ"/>
        </w:rPr>
        <w:t>the 2011 PPP estimate</w:t>
      </w:r>
      <w:r w:rsidR="00D20C6E">
        <w:rPr>
          <w:bCs/>
          <w:lang w:val="en-NZ"/>
        </w:rPr>
        <w:t xml:space="preserve">s </w:t>
      </w:r>
      <w:r w:rsidR="00B8629D">
        <w:rPr>
          <w:bCs/>
          <w:lang w:val="en-NZ"/>
        </w:rPr>
        <w:t xml:space="preserve">from the International Comparison Project </w:t>
      </w:r>
      <w:r w:rsidR="00D20C6E">
        <w:rPr>
          <w:bCs/>
          <w:lang w:val="en-NZ"/>
        </w:rPr>
        <w:t>are incorporated into global poverty monitoring.</w:t>
      </w:r>
    </w:p>
    <w:p w:rsidR="00B34D5B" w:rsidRDefault="00B34D5B" w:rsidP="00C645CE">
      <w:pPr>
        <w:tabs>
          <w:tab w:val="left" w:pos="426"/>
        </w:tabs>
        <w:spacing w:line="288" w:lineRule="auto"/>
        <w:jc w:val="both"/>
        <w:rPr>
          <w:bCs/>
          <w:lang w:val="en-NZ"/>
        </w:rPr>
      </w:pPr>
    </w:p>
    <w:p w:rsidR="00D20C6E" w:rsidRDefault="00D20C6E" w:rsidP="00C645CE">
      <w:pPr>
        <w:tabs>
          <w:tab w:val="left" w:pos="426"/>
        </w:tabs>
        <w:spacing w:line="288" w:lineRule="auto"/>
        <w:jc w:val="both"/>
        <w:rPr>
          <w:bCs/>
        </w:rPr>
      </w:pPr>
      <w:r>
        <w:rPr>
          <w:bCs/>
          <w:lang w:val="en-NZ"/>
        </w:rPr>
        <w:tab/>
        <w:t xml:space="preserve">These refinements to the </w:t>
      </w:r>
      <w:r w:rsidR="00C91F9F">
        <w:rPr>
          <w:bCs/>
          <w:lang w:val="en-NZ"/>
        </w:rPr>
        <w:t>way in which progress in</w:t>
      </w:r>
      <w:r>
        <w:rPr>
          <w:bCs/>
          <w:lang w:val="en-NZ"/>
        </w:rPr>
        <w:t xml:space="preserve"> meeting the poverty target is measured attract consi</w:t>
      </w:r>
      <w:r w:rsidR="00C645CE">
        <w:rPr>
          <w:bCs/>
          <w:lang w:val="en-NZ"/>
        </w:rPr>
        <w:t>derable academic debate (Deaton 2010, Ravallion</w:t>
      </w:r>
      <w:r>
        <w:rPr>
          <w:bCs/>
          <w:lang w:val="en-NZ"/>
        </w:rPr>
        <w:t xml:space="preserve"> 2015). Much of the debate is about international comparisons, where there are </w:t>
      </w:r>
      <w:r w:rsidR="00A40DE4">
        <w:rPr>
          <w:bCs/>
          <w:lang w:val="en-NZ"/>
        </w:rPr>
        <w:t xml:space="preserve">difficult </w:t>
      </w:r>
      <w:r w:rsidR="00D7543A">
        <w:rPr>
          <w:bCs/>
          <w:lang w:val="en-NZ"/>
        </w:rPr>
        <w:t xml:space="preserve">issues of </w:t>
      </w:r>
      <w:r>
        <w:rPr>
          <w:bCs/>
          <w:lang w:val="en-NZ"/>
        </w:rPr>
        <w:t xml:space="preserve">how </w:t>
      </w:r>
      <w:r w:rsidR="00AB2DCA">
        <w:rPr>
          <w:bCs/>
          <w:lang w:val="en-NZ"/>
        </w:rPr>
        <w:t>to</w:t>
      </w:r>
      <w:r w:rsidR="004B4282">
        <w:rPr>
          <w:bCs/>
          <w:lang w:val="en-NZ"/>
        </w:rPr>
        <w:t xml:space="preserve"> </w:t>
      </w:r>
      <w:r w:rsidR="00AB2DCA">
        <w:rPr>
          <w:bCs/>
          <w:lang w:val="en-NZ"/>
        </w:rPr>
        <w:t xml:space="preserve">consistently rank </w:t>
      </w:r>
      <w:r>
        <w:rPr>
          <w:bCs/>
          <w:lang w:val="en-NZ"/>
        </w:rPr>
        <w:t>the monetary welfare of</w:t>
      </w:r>
      <w:r w:rsidR="00D7543A">
        <w:rPr>
          <w:bCs/>
          <w:lang w:val="en-NZ"/>
        </w:rPr>
        <w:t xml:space="preserve"> a person</w:t>
      </w:r>
      <w:r>
        <w:rPr>
          <w:bCs/>
          <w:lang w:val="en-NZ"/>
        </w:rPr>
        <w:t xml:space="preserve"> in, say, Papua New Guinea </w:t>
      </w:r>
      <w:r w:rsidR="00AB2DCA">
        <w:rPr>
          <w:bCs/>
          <w:lang w:val="en-NZ"/>
        </w:rPr>
        <w:t xml:space="preserve">against </w:t>
      </w:r>
      <w:r w:rsidR="00A40DE4">
        <w:rPr>
          <w:bCs/>
          <w:lang w:val="en-NZ"/>
        </w:rPr>
        <w:t>someone in Vietnam</w:t>
      </w:r>
      <w:r w:rsidR="00D7543A">
        <w:rPr>
          <w:bCs/>
          <w:lang w:val="en-NZ"/>
        </w:rPr>
        <w:t>. Absent</w:t>
      </w:r>
      <w:r>
        <w:rPr>
          <w:bCs/>
          <w:lang w:val="en-NZ"/>
        </w:rPr>
        <w:t xml:space="preserve"> from these debates is mu</w:t>
      </w:r>
      <w:r w:rsidR="00D7543A">
        <w:rPr>
          <w:bCs/>
          <w:lang w:val="en-NZ"/>
        </w:rPr>
        <w:t>ch concern about the main building block</w:t>
      </w:r>
      <w:r w:rsidR="00437D65">
        <w:rPr>
          <w:bCs/>
          <w:lang w:val="en-NZ"/>
        </w:rPr>
        <w:t xml:space="preserve"> for measuring</w:t>
      </w:r>
      <w:r>
        <w:rPr>
          <w:bCs/>
          <w:lang w:val="en-NZ"/>
        </w:rPr>
        <w:t xml:space="preserve"> poverty</w:t>
      </w:r>
      <w:r w:rsidR="00437D65">
        <w:rPr>
          <w:bCs/>
          <w:lang w:val="en-NZ"/>
        </w:rPr>
        <w:t>, both nationally and globally, which is the record of</w:t>
      </w:r>
      <w:r>
        <w:rPr>
          <w:bCs/>
          <w:lang w:val="en-NZ"/>
        </w:rPr>
        <w:t xml:space="preserve"> living standards</w:t>
      </w:r>
      <w:r w:rsidR="00437D65">
        <w:rPr>
          <w:bCs/>
          <w:lang w:val="en-NZ"/>
        </w:rPr>
        <w:t xml:space="preserve"> </w:t>
      </w:r>
      <w:r w:rsidR="00D7543A">
        <w:rPr>
          <w:bCs/>
          <w:lang w:val="en-NZ"/>
        </w:rPr>
        <w:t>given</w:t>
      </w:r>
      <w:r w:rsidR="00437D65">
        <w:rPr>
          <w:bCs/>
          <w:lang w:val="en-NZ"/>
        </w:rPr>
        <w:t xml:space="preserve"> by household surveys. The </w:t>
      </w:r>
      <w:r w:rsidR="00437D65">
        <w:rPr>
          <w:bCs/>
        </w:rPr>
        <w:t xml:space="preserve">explosion of poverty measurement in the last two decades has been </w:t>
      </w:r>
      <w:r w:rsidR="00A40DE4">
        <w:rPr>
          <w:bCs/>
        </w:rPr>
        <w:t>enabl</w:t>
      </w:r>
      <w:r w:rsidR="00437D65">
        <w:rPr>
          <w:bCs/>
        </w:rPr>
        <w:t>ed by the growing availability of these surveys. For example, the global poverty counts by Chen and Ravallion (2013) rely on a household survey database of almost 900 surveys from 125 low- and middle-income countries fielded between 1979 and 2011. In contrast, the first global poverty estimates by Ravallion, Datt and van de Walle (1991)</w:t>
      </w:r>
      <w:r w:rsidR="00D7543A">
        <w:rPr>
          <w:bCs/>
        </w:rPr>
        <w:t xml:space="preserve"> were based on household surveys </w:t>
      </w:r>
      <w:r w:rsidR="00B93DEC">
        <w:rPr>
          <w:bCs/>
        </w:rPr>
        <w:t xml:space="preserve">from </w:t>
      </w:r>
      <w:r w:rsidR="0072355D">
        <w:rPr>
          <w:bCs/>
        </w:rPr>
        <w:t xml:space="preserve">just 22 countries, with extrapolations </w:t>
      </w:r>
      <w:r w:rsidR="00A40DE4">
        <w:rPr>
          <w:bCs/>
        </w:rPr>
        <w:t>needed for</w:t>
      </w:r>
      <w:r w:rsidR="0072355D">
        <w:rPr>
          <w:bCs/>
        </w:rPr>
        <w:t xml:space="preserve"> </w:t>
      </w:r>
      <w:r w:rsidR="00B93DEC">
        <w:rPr>
          <w:bCs/>
        </w:rPr>
        <w:t>another</w:t>
      </w:r>
      <w:r w:rsidR="00C91F9F">
        <w:rPr>
          <w:bCs/>
        </w:rPr>
        <w:t xml:space="preserve"> </w:t>
      </w:r>
      <w:r w:rsidR="0072355D">
        <w:rPr>
          <w:bCs/>
        </w:rPr>
        <w:t>64 developing countries</w:t>
      </w:r>
      <w:r w:rsidR="00A40DE4">
        <w:rPr>
          <w:bCs/>
        </w:rPr>
        <w:t xml:space="preserve"> </w:t>
      </w:r>
      <w:r w:rsidR="00D7543A">
        <w:rPr>
          <w:bCs/>
        </w:rPr>
        <w:t>that lacked</w:t>
      </w:r>
      <w:r w:rsidR="00A40DE4">
        <w:rPr>
          <w:bCs/>
        </w:rPr>
        <w:t xml:space="preserve"> suitable data on the distribution of living standards</w:t>
      </w:r>
      <w:r w:rsidR="0072355D">
        <w:rPr>
          <w:bCs/>
        </w:rPr>
        <w:t>.</w:t>
      </w:r>
    </w:p>
    <w:p w:rsidR="00C645CE" w:rsidRDefault="00C645CE" w:rsidP="00C645CE">
      <w:pPr>
        <w:tabs>
          <w:tab w:val="left" w:pos="426"/>
        </w:tabs>
        <w:spacing w:line="288" w:lineRule="auto"/>
        <w:ind w:firstLine="720"/>
        <w:jc w:val="both"/>
        <w:rPr>
          <w:bCs/>
        </w:rPr>
      </w:pPr>
    </w:p>
    <w:p w:rsidR="003D17A9" w:rsidRDefault="00464847" w:rsidP="00C645CE">
      <w:pPr>
        <w:tabs>
          <w:tab w:val="left" w:pos="426"/>
        </w:tabs>
        <w:spacing w:line="288" w:lineRule="auto"/>
        <w:ind w:firstLine="426"/>
        <w:jc w:val="both"/>
        <w:rPr>
          <w:bCs/>
          <w:lang w:val="en-NZ"/>
        </w:rPr>
      </w:pPr>
      <w:r>
        <w:rPr>
          <w:bCs/>
        </w:rPr>
        <w:t xml:space="preserve">Based on this growing availability of household survey data, policy makers might assume that we know much more about poverty than we used to, and that the foundations for </w:t>
      </w:r>
      <w:r w:rsidR="00812A27">
        <w:rPr>
          <w:bCs/>
        </w:rPr>
        <w:t xml:space="preserve">measuring </w:t>
      </w:r>
      <w:r w:rsidR="007845B3">
        <w:rPr>
          <w:bCs/>
        </w:rPr>
        <w:t>progress towards</w:t>
      </w:r>
      <w:r w:rsidR="00812A27">
        <w:rPr>
          <w:bCs/>
        </w:rPr>
        <w:t xml:space="preserve"> poverty </w:t>
      </w:r>
      <w:r>
        <w:rPr>
          <w:bCs/>
        </w:rPr>
        <w:t>targets are getting firmer over time.</w:t>
      </w:r>
      <w:r w:rsidR="007845B3">
        <w:rPr>
          <w:bCs/>
        </w:rPr>
        <w:t xml:space="preserve"> </w:t>
      </w:r>
      <w:r>
        <w:rPr>
          <w:bCs/>
        </w:rPr>
        <w:t xml:space="preserve">The </w:t>
      </w:r>
      <w:r w:rsidR="007845B3">
        <w:rPr>
          <w:bCs/>
        </w:rPr>
        <w:t xml:space="preserve">aim </w:t>
      </w:r>
      <w:r>
        <w:rPr>
          <w:bCs/>
        </w:rPr>
        <w:t xml:space="preserve">of this article is to argue the opposite – </w:t>
      </w:r>
      <w:r w:rsidR="00812A27">
        <w:rPr>
          <w:bCs/>
        </w:rPr>
        <w:t>several factor</w:t>
      </w:r>
      <w:r w:rsidR="007845B3">
        <w:rPr>
          <w:bCs/>
        </w:rPr>
        <w:t>s</w:t>
      </w:r>
      <w:r w:rsidR="00812A27">
        <w:rPr>
          <w:bCs/>
        </w:rPr>
        <w:t xml:space="preserve"> </w:t>
      </w:r>
      <w:r w:rsidR="00EF0FDC">
        <w:rPr>
          <w:bCs/>
        </w:rPr>
        <w:t xml:space="preserve">suggest </w:t>
      </w:r>
      <w:r w:rsidR="00812A27">
        <w:rPr>
          <w:bCs/>
        </w:rPr>
        <w:t xml:space="preserve">that </w:t>
      </w:r>
      <w:r>
        <w:rPr>
          <w:bCs/>
        </w:rPr>
        <w:t xml:space="preserve">our </w:t>
      </w:r>
      <w:r w:rsidR="00EF0FDC">
        <w:rPr>
          <w:bCs/>
        </w:rPr>
        <w:t xml:space="preserve">measures </w:t>
      </w:r>
      <w:r>
        <w:rPr>
          <w:bCs/>
        </w:rPr>
        <w:t xml:space="preserve">of poverty and inequality </w:t>
      </w:r>
      <w:r w:rsidR="00C91F9F">
        <w:rPr>
          <w:bCs/>
        </w:rPr>
        <w:t xml:space="preserve">may become </w:t>
      </w:r>
      <w:r w:rsidR="00EF0FDC">
        <w:rPr>
          <w:bCs/>
        </w:rPr>
        <w:t xml:space="preserve">less reliable </w:t>
      </w:r>
      <w:r>
        <w:rPr>
          <w:bCs/>
        </w:rPr>
        <w:t>over time</w:t>
      </w:r>
      <w:r w:rsidRPr="00464847">
        <w:rPr>
          <w:bCs/>
          <w:lang w:val="en-NZ"/>
        </w:rPr>
        <w:t xml:space="preserve">. </w:t>
      </w:r>
      <w:r w:rsidR="001508D1">
        <w:rPr>
          <w:bCs/>
          <w:lang w:val="en-NZ"/>
        </w:rPr>
        <w:t>In particular, many</w:t>
      </w:r>
      <w:r w:rsidRPr="00464847">
        <w:rPr>
          <w:bCs/>
          <w:lang w:val="en-NZ"/>
        </w:rPr>
        <w:t xml:space="preserve"> household surveys are poorly designed to measure living standards and poverty in an </w:t>
      </w:r>
      <w:r w:rsidR="00812A27">
        <w:rPr>
          <w:bCs/>
          <w:lang w:val="en-NZ"/>
        </w:rPr>
        <w:t xml:space="preserve">era </w:t>
      </w:r>
      <w:r w:rsidRPr="00464847">
        <w:rPr>
          <w:bCs/>
          <w:lang w:val="en-NZ"/>
        </w:rPr>
        <w:t>of rising affluence</w:t>
      </w:r>
      <w:r w:rsidR="00812A27">
        <w:rPr>
          <w:bCs/>
          <w:lang w:val="en-NZ"/>
        </w:rPr>
        <w:t xml:space="preserve"> and urban transition. The key problems for household surveys that I focus on</w:t>
      </w:r>
      <w:r w:rsidRPr="00464847">
        <w:rPr>
          <w:bCs/>
          <w:lang w:val="en-NZ"/>
        </w:rPr>
        <w:t xml:space="preserve"> </w:t>
      </w:r>
      <w:r w:rsidR="007845B3">
        <w:rPr>
          <w:bCs/>
          <w:lang w:val="en-NZ"/>
        </w:rPr>
        <w:t xml:space="preserve">in this article </w:t>
      </w:r>
      <w:r w:rsidRPr="00464847">
        <w:rPr>
          <w:bCs/>
          <w:lang w:val="en-NZ"/>
        </w:rPr>
        <w:t xml:space="preserve">are problems in measuring food consumption, </w:t>
      </w:r>
      <w:r w:rsidR="00812A27">
        <w:rPr>
          <w:bCs/>
          <w:lang w:val="en-NZ"/>
        </w:rPr>
        <w:t xml:space="preserve">in measuring </w:t>
      </w:r>
      <w:r w:rsidRPr="00464847">
        <w:rPr>
          <w:bCs/>
          <w:lang w:val="en-NZ"/>
        </w:rPr>
        <w:t xml:space="preserve">housing services, and </w:t>
      </w:r>
      <w:r w:rsidR="00812A27">
        <w:rPr>
          <w:bCs/>
          <w:lang w:val="en-NZ"/>
        </w:rPr>
        <w:t xml:space="preserve">in measuring </w:t>
      </w:r>
      <w:r w:rsidRPr="00464847">
        <w:rPr>
          <w:bCs/>
          <w:lang w:val="en-NZ"/>
        </w:rPr>
        <w:t>the cost of living.</w:t>
      </w:r>
      <w:r w:rsidR="007845B3">
        <w:rPr>
          <w:bCs/>
          <w:lang w:val="en-NZ"/>
        </w:rPr>
        <w:t xml:space="preserve"> </w:t>
      </w:r>
      <w:r w:rsidR="00426DB0">
        <w:rPr>
          <w:bCs/>
          <w:lang w:val="en-NZ"/>
        </w:rPr>
        <w:t>The</w:t>
      </w:r>
      <w:r w:rsidR="007845B3">
        <w:rPr>
          <w:bCs/>
          <w:lang w:val="en-NZ"/>
        </w:rPr>
        <w:t xml:space="preserve"> problems </w:t>
      </w:r>
      <w:r w:rsidR="003D17A9">
        <w:rPr>
          <w:bCs/>
          <w:lang w:val="en-NZ"/>
        </w:rPr>
        <w:t>matter more as people get richer</w:t>
      </w:r>
      <w:r w:rsidR="00426DB0">
        <w:rPr>
          <w:bCs/>
          <w:lang w:val="en-NZ"/>
        </w:rPr>
        <w:t xml:space="preserve">, so they </w:t>
      </w:r>
      <w:r w:rsidR="003D17A9">
        <w:rPr>
          <w:bCs/>
          <w:lang w:val="en-NZ"/>
        </w:rPr>
        <w:t xml:space="preserve">apply </w:t>
      </w:r>
      <w:r w:rsidR="00EF0FDC">
        <w:rPr>
          <w:bCs/>
          <w:lang w:val="en-NZ"/>
        </w:rPr>
        <w:t xml:space="preserve">especially </w:t>
      </w:r>
      <w:r w:rsidR="00426DB0">
        <w:rPr>
          <w:bCs/>
          <w:lang w:val="en-NZ"/>
        </w:rPr>
        <w:t xml:space="preserve">in rapidly growing </w:t>
      </w:r>
      <w:r w:rsidR="00B93DEC">
        <w:rPr>
          <w:bCs/>
          <w:lang w:val="en-NZ"/>
        </w:rPr>
        <w:t>Asian countries, and they impede</w:t>
      </w:r>
      <w:r w:rsidR="00426DB0">
        <w:rPr>
          <w:bCs/>
          <w:lang w:val="en-NZ"/>
        </w:rPr>
        <w:t xml:space="preserve"> measurement of both inequality and </w:t>
      </w:r>
      <w:r w:rsidR="00426DB0">
        <w:rPr>
          <w:bCs/>
          <w:lang w:val="en-NZ"/>
        </w:rPr>
        <w:lastRenderedPageBreak/>
        <w:t>poverty</w:t>
      </w:r>
      <w:r w:rsidR="00EF0FDC">
        <w:rPr>
          <w:bCs/>
          <w:lang w:val="en-NZ"/>
        </w:rPr>
        <w:t>,</w:t>
      </w:r>
      <w:r w:rsidR="00426DB0">
        <w:rPr>
          <w:bCs/>
          <w:lang w:val="en-NZ"/>
        </w:rPr>
        <w:t xml:space="preserve"> so they matter even to countries </w:t>
      </w:r>
      <w:r w:rsidR="00B93DEC">
        <w:rPr>
          <w:bCs/>
          <w:lang w:val="en-NZ"/>
        </w:rPr>
        <w:t>that escape</w:t>
      </w:r>
      <w:r w:rsidR="00C571BA">
        <w:rPr>
          <w:bCs/>
          <w:lang w:val="en-NZ"/>
        </w:rPr>
        <w:t xml:space="preserve"> mass poverty. In the next section I show that</w:t>
      </w:r>
      <w:r w:rsidR="00EF0FDC">
        <w:rPr>
          <w:bCs/>
          <w:lang w:val="en-NZ"/>
        </w:rPr>
        <w:t xml:space="preserve"> </w:t>
      </w:r>
      <w:r w:rsidR="00A40DE4">
        <w:rPr>
          <w:bCs/>
          <w:lang w:val="en-NZ"/>
        </w:rPr>
        <w:t xml:space="preserve">it is </w:t>
      </w:r>
      <w:r w:rsidR="00EF0FDC">
        <w:rPr>
          <w:bCs/>
          <w:lang w:val="en-NZ"/>
        </w:rPr>
        <w:t xml:space="preserve">the escape from mass poverty </w:t>
      </w:r>
      <w:r w:rsidR="00A40DE4">
        <w:rPr>
          <w:bCs/>
          <w:lang w:val="en-NZ"/>
        </w:rPr>
        <w:t xml:space="preserve">that </w:t>
      </w:r>
      <w:r w:rsidR="00EF0FDC">
        <w:rPr>
          <w:bCs/>
          <w:lang w:val="en-NZ"/>
        </w:rPr>
        <w:t xml:space="preserve">makes </w:t>
      </w:r>
      <w:r w:rsidR="001B4F42">
        <w:rPr>
          <w:bCs/>
          <w:lang w:val="en-NZ"/>
        </w:rPr>
        <w:t xml:space="preserve">the </w:t>
      </w:r>
      <w:r w:rsidR="00EF0FDC">
        <w:rPr>
          <w:bCs/>
          <w:lang w:val="en-NZ"/>
        </w:rPr>
        <w:t xml:space="preserve">remaining poverty more sensitive to </w:t>
      </w:r>
      <w:r w:rsidR="003D17A9">
        <w:rPr>
          <w:bCs/>
          <w:lang w:val="en-NZ"/>
        </w:rPr>
        <w:t xml:space="preserve">measured </w:t>
      </w:r>
      <w:r w:rsidR="00EF0FDC">
        <w:rPr>
          <w:bCs/>
          <w:lang w:val="en-NZ"/>
        </w:rPr>
        <w:t>inequality</w:t>
      </w:r>
      <w:r w:rsidR="003D17A9">
        <w:rPr>
          <w:bCs/>
          <w:lang w:val="en-NZ"/>
        </w:rPr>
        <w:t>, and so heightens these measurement problems.</w:t>
      </w:r>
    </w:p>
    <w:p w:rsidR="00B34D5B" w:rsidRDefault="00B34D5B" w:rsidP="00C645CE">
      <w:pPr>
        <w:tabs>
          <w:tab w:val="left" w:pos="426"/>
        </w:tabs>
        <w:spacing w:line="288" w:lineRule="auto"/>
        <w:ind w:firstLine="720"/>
        <w:jc w:val="both"/>
        <w:rPr>
          <w:bCs/>
          <w:lang w:val="en-NZ"/>
        </w:rPr>
      </w:pPr>
    </w:p>
    <w:p w:rsidR="007E179E" w:rsidRDefault="003D17A9" w:rsidP="00C645CE">
      <w:pPr>
        <w:tabs>
          <w:tab w:val="left" w:pos="426"/>
        </w:tabs>
        <w:spacing w:line="288" w:lineRule="auto"/>
        <w:ind w:firstLine="426"/>
        <w:jc w:val="both"/>
        <w:rPr>
          <w:bCs/>
        </w:rPr>
      </w:pPr>
      <w:r>
        <w:rPr>
          <w:bCs/>
          <w:lang w:val="en-NZ"/>
        </w:rPr>
        <w:t xml:space="preserve">One </w:t>
      </w:r>
      <w:r w:rsidR="00A40DE4">
        <w:rPr>
          <w:bCs/>
          <w:lang w:val="en-NZ"/>
        </w:rPr>
        <w:t xml:space="preserve">(wrong) </w:t>
      </w:r>
      <w:r>
        <w:rPr>
          <w:bCs/>
          <w:lang w:val="en-NZ"/>
        </w:rPr>
        <w:t>response</w:t>
      </w:r>
      <w:r w:rsidR="00A40DE4">
        <w:rPr>
          <w:bCs/>
          <w:lang w:val="en-NZ"/>
        </w:rPr>
        <w:t xml:space="preserve"> to these difficulties would be to abandon attempts at me</w:t>
      </w:r>
      <w:r w:rsidR="00716F86">
        <w:rPr>
          <w:bCs/>
          <w:lang w:val="en-NZ"/>
        </w:rPr>
        <w:t xml:space="preserve">asuring monetary </w:t>
      </w:r>
      <w:r w:rsidR="00C91F9F">
        <w:rPr>
          <w:bCs/>
          <w:lang w:val="en-NZ"/>
        </w:rPr>
        <w:t xml:space="preserve">living </w:t>
      </w:r>
      <w:r w:rsidR="00716F86">
        <w:rPr>
          <w:bCs/>
          <w:lang w:val="en-NZ"/>
        </w:rPr>
        <w:t>standards</w:t>
      </w:r>
      <w:r w:rsidR="00A40DE4">
        <w:rPr>
          <w:bCs/>
          <w:lang w:val="en-NZ"/>
        </w:rPr>
        <w:t>, inequality in monetary measures, and the poverty</w:t>
      </w:r>
      <w:r w:rsidR="007E179E">
        <w:rPr>
          <w:bCs/>
          <w:lang w:val="en-NZ"/>
        </w:rPr>
        <w:t xml:space="preserve"> of those </w:t>
      </w:r>
      <w:r w:rsidR="00A40DE4">
        <w:rPr>
          <w:bCs/>
          <w:lang w:val="en-NZ"/>
        </w:rPr>
        <w:t>fall</w:t>
      </w:r>
      <w:r w:rsidR="007E179E">
        <w:rPr>
          <w:bCs/>
          <w:lang w:val="en-NZ"/>
        </w:rPr>
        <w:t>ing</w:t>
      </w:r>
      <w:r w:rsidR="00A40DE4">
        <w:rPr>
          <w:bCs/>
          <w:lang w:val="en-NZ"/>
        </w:rPr>
        <w:t xml:space="preserve"> below acceptable </w:t>
      </w:r>
      <w:r w:rsidR="00716F86">
        <w:rPr>
          <w:bCs/>
          <w:lang w:val="en-NZ"/>
        </w:rPr>
        <w:t xml:space="preserve">thresholds </w:t>
      </w:r>
      <w:r w:rsidR="00A40DE4">
        <w:rPr>
          <w:bCs/>
          <w:lang w:val="en-NZ"/>
        </w:rPr>
        <w:t>of monetary welfare.</w:t>
      </w:r>
      <w:r w:rsidR="004B4282">
        <w:rPr>
          <w:bCs/>
          <w:lang w:val="en-NZ"/>
        </w:rPr>
        <w:t xml:space="preserve"> R</w:t>
      </w:r>
      <w:r w:rsidR="00A40DE4">
        <w:rPr>
          <w:bCs/>
          <w:lang w:val="en-NZ"/>
        </w:rPr>
        <w:t xml:space="preserve">ecent years </w:t>
      </w:r>
      <w:r w:rsidR="004B4282">
        <w:rPr>
          <w:bCs/>
          <w:lang w:val="en-NZ"/>
        </w:rPr>
        <w:t xml:space="preserve">have seen </w:t>
      </w:r>
      <w:r w:rsidR="00A40DE4">
        <w:rPr>
          <w:bCs/>
          <w:lang w:val="en-NZ"/>
        </w:rPr>
        <w:t>a broad movement to develop non-monetary approaches, such as measuring happiness and life satisfaction</w:t>
      </w:r>
      <w:r w:rsidR="00F36E52">
        <w:rPr>
          <w:bCs/>
          <w:lang w:val="en-NZ"/>
        </w:rPr>
        <w:t xml:space="preserve"> (Layard</w:t>
      </w:r>
      <w:r w:rsidR="00A43326">
        <w:rPr>
          <w:bCs/>
          <w:lang w:val="en-NZ"/>
        </w:rPr>
        <w:t xml:space="preserve"> 2005)</w:t>
      </w:r>
      <w:r w:rsidR="00A40DE4">
        <w:rPr>
          <w:bCs/>
          <w:lang w:val="en-NZ"/>
        </w:rPr>
        <w:t xml:space="preserve">. </w:t>
      </w:r>
      <w:r w:rsidR="007E179E">
        <w:rPr>
          <w:bCs/>
          <w:lang w:val="en-NZ"/>
        </w:rPr>
        <w:t xml:space="preserve">This movement </w:t>
      </w:r>
      <w:r w:rsidR="007E179E" w:rsidRPr="008F0BBA">
        <w:rPr>
          <w:bCs/>
        </w:rPr>
        <w:t xml:space="preserve">gained prominent support </w:t>
      </w:r>
      <w:r w:rsidR="00D7543A">
        <w:rPr>
          <w:bCs/>
        </w:rPr>
        <w:t xml:space="preserve">when </w:t>
      </w:r>
      <w:r w:rsidR="00D7543A" w:rsidRPr="00D7543A">
        <w:rPr>
          <w:bCs/>
        </w:rPr>
        <w:t xml:space="preserve">French President Sarkozy </w:t>
      </w:r>
      <w:r w:rsidR="00D7543A">
        <w:rPr>
          <w:bCs/>
        </w:rPr>
        <w:t xml:space="preserve">set up </w:t>
      </w:r>
      <w:r w:rsidR="007E179E" w:rsidRPr="008F0BBA">
        <w:rPr>
          <w:bCs/>
        </w:rPr>
        <w:t xml:space="preserve">the ‘Stiglitz Commission’ </w:t>
      </w:r>
      <w:r w:rsidR="00C645CE">
        <w:rPr>
          <w:bCs/>
        </w:rPr>
        <w:t xml:space="preserve">whose mandate reflected a </w:t>
      </w:r>
      <w:r w:rsidR="007E179E" w:rsidRPr="008F0BBA">
        <w:rPr>
          <w:bCs/>
        </w:rPr>
        <w:t>dissatisfaction with the present state of statistical information about the economy and society</w:t>
      </w:r>
      <w:r w:rsidR="00C645CE">
        <w:rPr>
          <w:bCs/>
        </w:rPr>
        <w:t xml:space="preserve"> (Stiglitz, Sen and Fitoussi</w:t>
      </w:r>
      <w:r w:rsidR="007E179E">
        <w:rPr>
          <w:bCs/>
        </w:rPr>
        <w:t xml:space="preserve"> </w:t>
      </w:r>
      <w:r w:rsidR="007E179E" w:rsidRPr="008F0BBA">
        <w:rPr>
          <w:bCs/>
        </w:rPr>
        <w:t>2010)</w:t>
      </w:r>
      <w:r w:rsidR="007E179E">
        <w:rPr>
          <w:bCs/>
        </w:rPr>
        <w:t>.</w:t>
      </w:r>
      <w:r w:rsidR="00716F86">
        <w:rPr>
          <w:bCs/>
        </w:rPr>
        <w:t xml:space="preserve"> The last section of this article </w:t>
      </w:r>
      <w:r w:rsidR="00C91F9F">
        <w:rPr>
          <w:bCs/>
        </w:rPr>
        <w:t xml:space="preserve">discusses </w:t>
      </w:r>
      <w:r w:rsidR="00716F86">
        <w:rPr>
          <w:bCs/>
        </w:rPr>
        <w:t xml:space="preserve">why these non-monetary approaches </w:t>
      </w:r>
      <w:r w:rsidR="00D7543A">
        <w:rPr>
          <w:bCs/>
        </w:rPr>
        <w:t xml:space="preserve">of measuring and comparing subjective reports of happiness and life satisfaction </w:t>
      </w:r>
      <w:r w:rsidR="00716F86">
        <w:rPr>
          <w:bCs/>
        </w:rPr>
        <w:t>also rest on shaky foundations.</w:t>
      </w:r>
    </w:p>
    <w:p w:rsidR="00B34D5B" w:rsidRDefault="00B34D5B" w:rsidP="00C645CE">
      <w:pPr>
        <w:tabs>
          <w:tab w:val="left" w:pos="426"/>
        </w:tabs>
        <w:spacing w:line="288" w:lineRule="auto"/>
        <w:ind w:firstLine="720"/>
        <w:jc w:val="both"/>
        <w:rPr>
          <w:bCs/>
        </w:rPr>
      </w:pPr>
    </w:p>
    <w:p w:rsidR="00B34D5B" w:rsidRDefault="00B34D5B" w:rsidP="00C645CE">
      <w:pPr>
        <w:tabs>
          <w:tab w:val="left" w:pos="426"/>
        </w:tabs>
        <w:spacing w:line="288" w:lineRule="auto"/>
        <w:ind w:firstLine="720"/>
        <w:jc w:val="both"/>
        <w:rPr>
          <w:bCs/>
        </w:rPr>
      </w:pPr>
    </w:p>
    <w:p w:rsidR="00C301E7" w:rsidRDefault="001E6874" w:rsidP="00C645CE">
      <w:pPr>
        <w:tabs>
          <w:tab w:val="left" w:pos="426"/>
        </w:tabs>
        <w:spacing w:line="288" w:lineRule="auto"/>
        <w:jc w:val="both"/>
        <w:rPr>
          <w:b/>
          <w:bCs/>
          <w:lang w:val="en-NZ"/>
        </w:rPr>
      </w:pPr>
      <w:r w:rsidRPr="00ED5B5C">
        <w:rPr>
          <w:b/>
          <w:bCs/>
          <w:lang w:val="en-NZ"/>
        </w:rPr>
        <w:t xml:space="preserve">2. </w:t>
      </w:r>
      <w:r w:rsidR="00C571BA">
        <w:rPr>
          <w:b/>
          <w:bCs/>
          <w:lang w:val="en-NZ"/>
        </w:rPr>
        <w:t>THE RISING INEQUALITY-</w:t>
      </w:r>
      <w:r w:rsidR="00064272">
        <w:rPr>
          <w:b/>
          <w:bCs/>
          <w:lang w:val="en-NZ"/>
        </w:rPr>
        <w:t xml:space="preserve">SENSITIVITY OF </w:t>
      </w:r>
      <w:r w:rsidR="00ED5B5C" w:rsidRPr="00ED5B5C">
        <w:rPr>
          <w:b/>
          <w:bCs/>
          <w:lang w:val="en-NZ"/>
        </w:rPr>
        <w:t>POVERTY</w:t>
      </w:r>
    </w:p>
    <w:p w:rsidR="00B34D5B" w:rsidRPr="00B34D5B" w:rsidRDefault="00B34D5B" w:rsidP="00C645CE">
      <w:pPr>
        <w:tabs>
          <w:tab w:val="left" w:pos="426"/>
        </w:tabs>
        <w:spacing w:line="288" w:lineRule="auto"/>
        <w:jc w:val="both"/>
        <w:rPr>
          <w:b/>
          <w:bCs/>
          <w:sz w:val="12"/>
          <w:szCs w:val="12"/>
          <w:lang w:val="en-NZ"/>
        </w:rPr>
      </w:pPr>
    </w:p>
    <w:p w:rsidR="00C645CE" w:rsidRDefault="00BB467C" w:rsidP="00C645CE">
      <w:pPr>
        <w:widowControl w:val="0"/>
        <w:tabs>
          <w:tab w:val="left" w:pos="426"/>
        </w:tabs>
        <w:spacing w:line="288" w:lineRule="auto"/>
        <w:jc w:val="both"/>
        <w:rPr>
          <w:bCs/>
        </w:rPr>
      </w:pPr>
      <w:r>
        <w:t>Poverty estimates</w:t>
      </w:r>
      <w:r w:rsidR="00064272">
        <w:t xml:space="preserve"> can be derived with three types</w:t>
      </w:r>
      <w:r>
        <w:t xml:space="preserve"> of information: mean </w:t>
      </w:r>
      <w:r w:rsidR="00064272">
        <w:t xml:space="preserve">living standards, inequality around that mean, and where the line dividing the poor from the non-poor is </w:t>
      </w:r>
      <w:r>
        <w:t>drawn.</w:t>
      </w:r>
      <w:r w:rsidR="00064272">
        <w:t xml:space="preserve"> The evidence from thought experiments</w:t>
      </w:r>
      <w:r>
        <w:t>,</w:t>
      </w:r>
      <w:r w:rsidR="00064272">
        <w:t xml:space="preserve"> </w:t>
      </w:r>
      <w:r w:rsidRPr="00BB467C">
        <w:t>as the mean is change</w:t>
      </w:r>
      <w:r>
        <w:t>d</w:t>
      </w:r>
      <w:r w:rsidRPr="00BB467C">
        <w:t xml:space="preserve"> holding inequality constant</w:t>
      </w:r>
      <w:r>
        <w:t xml:space="preserve"> or </w:t>
      </w:r>
      <w:r w:rsidRPr="00BB467C">
        <w:rPr>
          <w:i/>
        </w:rPr>
        <w:t>vice versa</w:t>
      </w:r>
      <w:r>
        <w:t xml:space="preserve"> </w:t>
      </w:r>
      <w:r w:rsidR="004E390C">
        <w:t>(Datt and Ravallion</w:t>
      </w:r>
      <w:r w:rsidRPr="00BB467C">
        <w:t xml:space="preserve"> 1992)</w:t>
      </w:r>
      <w:r>
        <w:t>, and also from observed changes</w:t>
      </w:r>
      <w:r w:rsidR="00064272">
        <w:t xml:space="preserve"> is that poverty becomes more sensitive to inequality and less sensitive to growth </w:t>
      </w:r>
      <w:r w:rsidR="001A2040" w:rsidRPr="001A2040">
        <w:t>as</w:t>
      </w:r>
      <w:r w:rsidR="001A2040">
        <w:t xml:space="preserve"> poverty falls</w:t>
      </w:r>
      <w:r w:rsidR="00064272">
        <w:t>.</w:t>
      </w:r>
      <w:r>
        <w:rPr>
          <w:bCs/>
        </w:rPr>
        <w:t xml:space="preserve"> </w:t>
      </w:r>
    </w:p>
    <w:p w:rsidR="00C645CE" w:rsidRDefault="00C645CE" w:rsidP="00C645CE">
      <w:pPr>
        <w:widowControl w:val="0"/>
        <w:tabs>
          <w:tab w:val="left" w:pos="426"/>
        </w:tabs>
        <w:spacing w:line="288" w:lineRule="auto"/>
        <w:jc w:val="both"/>
        <w:rPr>
          <w:bCs/>
        </w:rPr>
      </w:pPr>
    </w:p>
    <w:p w:rsidR="00064272" w:rsidRDefault="00C645CE" w:rsidP="00C645CE">
      <w:pPr>
        <w:widowControl w:val="0"/>
        <w:tabs>
          <w:tab w:val="left" w:pos="426"/>
        </w:tabs>
        <w:spacing w:line="288" w:lineRule="auto"/>
        <w:jc w:val="both"/>
        <w:rPr>
          <w:bCs/>
        </w:rPr>
      </w:pPr>
      <w:r>
        <w:rPr>
          <w:bCs/>
        </w:rPr>
        <w:tab/>
      </w:r>
      <w:r w:rsidR="00064272">
        <w:rPr>
          <w:bCs/>
        </w:rPr>
        <w:t xml:space="preserve">The intuition behind the rising inequality-sensitivity of poverty </w:t>
      </w:r>
      <w:r w:rsidR="00BB467C">
        <w:rPr>
          <w:bCs/>
        </w:rPr>
        <w:t>is seen in</w:t>
      </w:r>
      <w:r w:rsidR="00064272">
        <w:rPr>
          <w:bCs/>
        </w:rPr>
        <w:t xml:space="preserve"> Figure 1 </w:t>
      </w:r>
      <w:r w:rsidR="00BB467C">
        <w:rPr>
          <w:bCs/>
        </w:rPr>
        <w:t xml:space="preserve">using </w:t>
      </w:r>
      <w:r w:rsidR="00064272">
        <w:rPr>
          <w:bCs/>
        </w:rPr>
        <w:t>cumulative distribution function</w:t>
      </w:r>
      <w:r w:rsidR="00BB467C">
        <w:rPr>
          <w:bCs/>
        </w:rPr>
        <w:t>s</w:t>
      </w:r>
      <w:r w:rsidR="00064272">
        <w:rPr>
          <w:bCs/>
        </w:rPr>
        <w:t xml:space="preserve"> (CDF</w:t>
      </w:r>
      <w:r w:rsidR="00BB467C">
        <w:rPr>
          <w:bCs/>
        </w:rPr>
        <w:t>s</w:t>
      </w:r>
      <w:r w:rsidR="00D7543A">
        <w:rPr>
          <w:bCs/>
        </w:rPr>
        <w:t>) of</w:t>
      </w:r>
      <w:r w:rsidR="00064272">
        <w:rPr>
          <w:bCs/>
        </w:rPr>
        <w:t xml:space="preserve"> a more equal and a less equal distribution with means of $1.1 per day. The CDF is also known as the poverty incidence cu</w:t>
      </w:r>
      <w:r w:rsidR="00992EBE">
        <w:rPr>
          <w:bCs/>
        </w:rPr>
        <w:t>rve because one can directly get</w:t>
      </w:r>
      <w:r w:rsidR="00064272">
        <w:rPr>
          <w:bCs/>
        </w:rPr>
        <w:t xml:space="preserve"> the head count poverty rate from where the poverty line (set </w:t>
      </w:r>
      <w:r w:rsidR="00BB467C">
        <w:rPr>
          <w:bCs/>
        </w:rPr>
        <w:t xml:space="preserve">here </w:t>
      </w:r>
      <w:r w:rsidR="00064272">
        <w:rPr>
          <w:bCs/>
        </w:rPr>
        <w:t xml:space="preserve">at $1 a day) cuts the CDF. When poverty is widespread, the poverty line cuts the CDF near the point of inflexion, where the CDF is almost straight, and the poverty rate is not very </w:t>
      </w:r>
      <w:r w:rsidR="00C571BA">
        <w:rPr>
          <w:bCs/>
        </w:rPr>
        <w:t>sensitive to inequality (shown by</w:t>
      </w:r>
      <w:r w:rsidR="00064272">
        <w:rPr>
          <w:bCs/>
        </w:rPr>
        <w:t xml:space="preserve"> the curvature of the CDF). </w:t>
      </w:r>
      <w:r w:rsidR="00992EBE">
        <w:rPr>
          <w:bCs/>
        </w:rPr>
        <w:t xml:space="preserve">Instead, </w:t>
      </w:r>
      <w:r w:rsidR="00742BE2">
        <w:rPr>
          <w:bCs/>
        </w:rPr>
        <w:t xml:space="preserve">the head count </w:t>
      </w:r>
      <w:r w:rsidR="001A2040">
        <w:rPr>
          <w:bCs/>
        </w:rPr>
        <w:t xml:space="preserve">poverty </w:t>
      </w:r>
      <w:r w:rsidR="00742BE2">
        <w:rPr>
          <w:bCs/>
        </w:rPr>
        <w:t xml:space="preserve">rate </w:t>
      </w:r>
      <w:r w:rsidR="00064272">
        <w:rPr>
          <w:bCs/>
        </w:rPr>
        <w:t>is sensitive to the location of the overall dis</w:t>
      </w:r>
      <w:r w:rsidR="001A2040">
        <w:rPr>
          <w:bCs/>
        </w:rPr>
        <w:t>tribution (the mean), since the CDF</w:t>
      </w:r>
      <w:r w:rsidR="005073DA">
        <w:rPr>
          <w:bCs/>
        </w:rPr>
        <w:t xml:space="preserve"> </w:t>
      </w:r>
      <w:r w:rsidR="00D65EC8">
        <w:rPr>
          <w:bCs/>
        </w:rPr>
        <w:t>is close to</w:t>
      </w:r>
      <w:r w:rsidR="00A43326">
        <w:rPr>
          <w:bCs/>
        </w:rPr>
        <w:t xml:space="preserve"> vertical </w:t>
      </w:r>
      <w:r w:rsidR="001A2040">
        <w:rPr>
          <w:bCs/>
        </w:rPr>
        <w:t>where the poverty line</w:t>
      </w:r>
      <w:r w:rsidR="005073DA">
        <w:rPr>
          <w:bCs/>
        </w:rPr>
        <w:t xml:space="preserve"> cuts it</w:t>
      </w:r>
      <w:r w:rsidR="00064272">
        <w:rPr>
          <w:bCs/>
        </w:rPr>
        <w:t>. In the example, the gap in the poverty rate between the two distributions is just</w:t>
      </w:r>
      <w:r w:rsidR="00064272" w:rsidRPr="00A570D8">
        <w:rPr>
          <w:bCs/>
        </w:rPr>
        <w:t xml:space="preserve"> fi</w:t>
      </w:r>
      <w:r w:rsidR="00064272">
        <w:rPr>
          <w:bCs/>
        </w:rPr>
        <w:t>ve percentage points (41% and</w:t>
      </w:r>
      <w:r w:rsidR="00064272" w:rsidRPr="00A570D8">
        <w:rPr>
          <w:bCs/>
        </w:rPr>
        <w:t xml:space="preserve"> 36%)</w:t>
      </w:r>
      <w:r w:rsidR="00064272">
        <w:rPr>
          <w:bCs/>
        </w:rPr>
        <w:t xml:space="preserve"> even though the coefficient of variation (CoV) of the less equal distribution is almost double that of the more equal one (0.46 and 0.27).</w:t>
      </w:r>
    </w:p>
    <w:p w:rsidR="00A7668D" w:rsidRDefault="00A7668D" w:rsidP="00C645CE">
      <w:pPr>
        <w:widowControl w:val="0"/>
        <w:tabs>
          <w:tab w:val="left" w:pos="426"/>
        </w:tabs>
        <w:spacing w:line="288" w:lineRule="auto"/>
        <w:jc w:val="both"/>
        <w:rPr>
          <w:bCs/>
        </w:rPr>
      </w:pPr>
    </w:p>
    <w:p w:rsidR="00D514C0" w:rsidRDefault="00D514C0" w:rsidP="00D514C0">
      <w:pPr>
        <w:tabs>
          <w:tab w:val="left" w:pos="426"/>
        </w:tabs>
        <w:spacing w:line="288" w:lineRule="auto"/>
        <w:ind w:firstLine="426"/>
        <w:jc w:val="both"/>
        <w:rPr>
          <w:bCs/>
        </w:rPr>
      </w:pPr>
      <w:r>
        <w:rPr>
          <w:bCs/>
        </w:rPr>
        <w:t xml:space="preserve">The remaining curves in Figure 1 show the situation after a period of uniform growth (all consumption rises by two-thirds in the figure). A big gap in poverty rates </w:t>
      </w:r>
      <w:r w:rsidRPr="001A2040">
        <w:rPr>
          <w:bCs/>
        </w:rPr>
        <w:t xml:space="preserve">opens up </w:t>
      </w:r>
      <w:r>
        <w:rPr>
          <w:bCs/>
        </w:rPr>
        <w:t xml:space="preserve">between the more equal (head count=5%) and less equal (head count=18%) distribution. Thus, as a country escapes mass poverty the sensitivity of the remaining poverty to inequality increases. If growth gave the same absolute rise in consumption for everyone (a higher growth rate for </w:t>
      </w:r>
      <w:r>
        <w:rPr>
          <w:bCs/>
        </w:rPr>
        <w:lastRenderedPageBreak/>
        <w:t xml:space="preserve">the poor instead of the equal growth rate in Figure 1), this would just shift the CDFs in parallel and the large gap in the poverty rates under the less equal and more equal distributions still occurs. </w:t>
      </w:r>
    </w:p>
    <w:p w:rsidR="00A7668D" w:rsidRDefault="00A7668D" w:rsidP="00A7668D">
      <w:pPr>
        <w:tabs>
          <w:tab w:val="left" w:pos="426"/>
        </w:tabs>
        <w:spacing w:line="288" w:lineRule="auto"/>
        <w:ind w:firstLine="720"/>
        <w:jc w:val="both"/>
        <w:rPr>
          <w:bCs/>
        </w:rPr>
      </w:pPr>
    </w:p>
    <w:p w:rsidR="00B34D5B" w:rsidRDefault="00C645CE" w:rsidP="00C645CE">
      <w:pPr>
        <w:tabs>
          <w:tab w:val="left" w:pos="426"/>
        </w:tabs>
        <w:spacing w:line="288" w:lineRule="auto"/>
        <w:ind w:firstLine="720"/>
        <w:jc w:val="both"/>
        <w:rPr>
          <w:bCs/>
        </w:rPr>
      </w:pPr>
      <w:r>
        <w:rPr>
          <w:bCs/>
          <w:noProof/>
          <w:lang w:val="en-NZ" w:eastAsia="en-NZ"/>
        </w:rPr>
        <w:drawing>
          <wp:inline distT="0" distB="0" distL="0" distR="0">
            <wp:extent cx="4867275" cy="37891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126" cy="3791400"/>
                    </a:xfrm>
                    <a:prstGeom prst="rect">
                      <a:avLst/>
                    </a:prstGeom>
                    <a:noFill/>
                    <a:ln>
                      <a:noFill/>
                    </a:ln>
                  </pic:spPr>
                </pic:pic>
              </a:graphicData>
            </a:graphic>
          </wp:inline>
        </w:drawing>
      </w:r>
    </w:p>
    <w:p w:rsidR="00134275" w:rsidRDefault="00134275" w:rsidP="00134275">
      <w:pPr>
        <w:tabs>
          <w:tab w:val="left" w:pos="426"/>
        </w:tabs>
        <w:spacing w:line="288" w:lineRule="auto"/>
        <w:ind w:firstLine="426"/>
        <w:jc w:val="both"/>
        <w:rPr>
          <w:bCs/>
        </w:rPr>
      </w:pPr>
    </w:p>
    <w:p w:rsidR="00064272" w:rsidRDefault="00064272" w:rsidP="009F1D18">
      <w:pPr>
        <w:tabs>
          <w:tab w:val="left" w:pos="426"/>
        </w:tabs>
        <w:spacing w:line="288" w:lineRule="auto"/>
        <w:ind w:firstLine="426"/>
        <w:jc w:val="both"/>
        <w:rPr>
          <w:bCs/>
        </w:rPr>
      </w:pPr>
      <w:r>
        <w:rPr>
          <w:bCs/>
        </w:rPr>
        <w:t xml:space="preserve">The heightened sensitivity </w:t>
      </w:r>
      <w:r w:rsidR="00F3392E">
        <w:rPr>
          <w:bCs/>
        </w:rPr>
        <w:t xml:space="preserve">of poverty </w:t>
      </w:r>
      <w:r>
        <w:rPr>
          <w:bCs/>
        </w:rPr>
        <w:t xml:space="preserve">to inequality as countries escape mass poverty is </w:t>
      </w:r>
      <w:r w:rsidR="001A2040">
        <w:rPr>
          <w:bCs/>
        </w:rPr>
        <w:t xml:space="preserve">seen in </w:t>
      </w:r>
      <w:r>
        <w:rPr>
          <w:bCs/>
        </w:rPr>
        <w:t xml:space="preserve">the experience of Vietnam. At the $1 a day global poverty line, </w:t>
      </w:r>
      <w:r>
        <w:rPr>
          <w:lang w:val="en-NZ"/>
        </w:rPr>
        <w:t xml:space="preserve">the </w:t>
      </w:r>
      <w:r w:rsidR="001A2040">
        <w:rPr>
          <w:lang w:val="en-NZ"/>
        </w:rPr>
        <w:t xml:space="preserve">poverty </w:t>
      </w:r>
      <w:r>
        <w:rPr>
          <w:lang w:val="en-NZ"/>
        </w:rPr>
        <w:t xml:space="preserve">rate in Vietnam fell from 64% in 1993 to 17% in 2008 </w:t>
      </w:r>
      <w:r w:rsidRPr="000A0331">
        <w:rPr>
          <w:bCs/>
        </w:rPr>
        <w:t>(World Bank 2012)</w:t>
      </w:r>
      <w:r>
        <w:rPr>
          <w:bCs/>
        </w:rPr>
        <w:t xml:space="preserve"> and was down to about 5% by 2010.</w:t>
      </w:r>
      <w:r w:rsidRPr="004D068C">
        <w:rPr>
          <w:bCs/>
          <w:vertAlign w:val="superscript"/>
        </w:rPr>
        <w:footnoteReference w:id="1"/>
      </w:r>
      <w:r>
        <w:rPr>
          <w:bCs/>
        </w:rPr>
        <w:t xml:space="preserve"> Figure 2 shows this progress (using the left axis) and what happened to the sensitivity to growth and inequality (using the right axis). When the poverty rate was high, the elasticity with respect to inequality was </w:t>
      </w:r>
      <w:r w:rsidR="00AB2DCA">
        <w:rPr>
          <w:bCs/>
        </w:rPr>
        <w:t xml:space="preserve">little </w:t>
      </w:r>
      <w:r>
        <w:rPr>
          <w:bCs/>
        </w:rPr>
        <w:t xml:space="preserve">over </w:t>
      </w:r>
      <w:r w:rsidR="00AB2DCA">
        <w:rPr>
          <w:bCs/>
        </w:rPr>
        <w:t>one-</w:t>
      </w:r>
      <w:r>
        <w:rPr>
          <w:bCs/>
        </w:rPr>
        <w:t xml:space="preserve">half </w:t>
      </w:r>
      <w:r w:rsidR="00AB2DCA">
        <w:rPr>
          <w:bCs/>
        </w:rPr>
        <w:t xml:space="preserve">of </w:t>
      </w:r>
      <w:r>
        <w:rPr>
          <w:bCs/>
        </w:rPr>
        <w:t>the elasticity with respect to growth, but as the poverty rate fell the inequality elasticity rose to almost three times that of the growth elasticity.</w:t>
      </w:r>
      <w:r w:rsidR="00F3392E">
        <w:rPr>
          <w:bCs/>
        </w:rPr>
        <w:t xml:space="preserve"> Another way to show fall</w:t>
      </w:r>
      <w:r>
        <w:rPr>
          <w:bCs/>
        </w:rPr>
        <w:t>in</w:t>
      </w:r>
      <w:r w:rsidR="00F3392E">
        <w:rPr>
          <w:bCs/>
        </w:rPr>
        <w:t>g</w:t>
      </w:r>
      <w:r>
        <w:rPr>
          <w:bCs/>
        </w:rPr>
        <w:t xml:space="preserve"> growth-sensitivity is to consider </w:t>
      </w:r>
      <w:r w:rsidR="00F3392E">
        <w:rPr>
          <w:bCs/>
        </w:rPr>
        <w:t xml:space="preserve">the </w:t>
      </w:r>
      <w:r>
        <w:rPr>
          <w:bCs/>
        </w:rPr>
        <w:t>gro</w:t>
      </w:r>
      <w:r w:rsidR="00F3392E">
        <w:rPr>
          <w:bCs/>
        </w:rPr>
        <w:t xml:space="preserve">wth rate in mean </w:t>
      </w:r>
      <w:r w:rsidR="00AC7EF1">
        <w:rPr>
          <w:bCs/>
        </w:rPr>
        <w:t xml:space="preserve">living standards </w:t>
      </w:r>
      <w:r>
        <w:rPr>
          <w:bCs/>
        </w:rPr>
        <w:t>needed to achieve a one percentage point fall in the poverty rate; when the poverty rate was high in 2002, a growth rate of 1.6% per annum was sufficient to drop the poverty rate by a percentage point, but by 2010 it took an annual growth rate of 6% to achieve the same drop in the poverty rate.</w:t>
      </w:r>
    </w:p>
    <w:p w:rsidR="00D514C0" w:rsidRDefault="00D514C0" w:rsidP="009F1D18">
      <w:pPr>
        <w:tabs>
          <w:tab w:val="left" w:pos="426"/>
        </w:tabs>
        <w:spacing w:line="288" w:lineRule="auto"/>
        <w:ind w:firstLine="426"/>
        <w:jc w:val="both"/>
        <w:rPr>
          <w:bCs/>
        </w:rPr>
      </w:pPr>
    </w:p>
    <w:p w:rsidR="00D514C0" w:rsidRDefault="00D514C0" w:rsidP="00D514C0">
      <w:pPr>
        <w:tabs>
          <w:tab w:val="left" w:pos="426"/>
        </w:tabs>
        <w:spacing w:line="288" w:lineRule="auto"/>
        <w:jc w:val="both"/>
        <w:rPr>
          <w:bCs/>
          <w:lang w:val="en-NZ"/>
        </w:rPr>
      </w:pPr>
      <w:r>
        <w:rPr>
          <w:bCs/>
        </w:rPr>
        <w:tab/>
        <w:t xml:space="preserve">Rising inequality-sensitivity of poverty matters to measurement because inequality data are mostly from household surveys. With mass poverty, the real growth rate matters most and this can be got without surveys, using the national accounts or proxies like night lights </w:t>
      </w:r>
      <w:r>
        <w:rPr>
          <w:bCs/>
        </w:rPr>
        <w:lastRenderedPageBreak/>
        <w:t>(</w:t>
      </w:r>
      <w:r>
        <w:rPr>
          <w:bCs/>
          <w:lang w:val="en-NZ"/>
        </w:rPr>
        <w:t xml:space="preserve">Pinkovskiy and </w:t>
      </w:r>
      <w:r w:rsidRPr="00F23AE0">
        <w:rPr>
          <w:bCs/>
          <w:lang w:val="en-NZ"/>
        </w:rPr>
        <w:t>Sala-i-Martin</w:t>
      </w:r>
      <w:r>
        <w:rPr>
          <w:bCs/>
          <w:lang w:val="en-NZ"/>
        </w:rPr>
        <w:t xml:space="preserve"> 2014</w:t>
      </w:r>
      <w:r>
        <w:rPr>
          <w:bCs/>
        </w:rPr>
        <w:t xml:space="preserve">). But there are few alternatives to surveys for measuring inequality. Indeed, researchers such as </w:t>
      </w:r>
      <w:r w:rsidRPr="00AC7EF1">
        <w:rPr>
          <w:bCs/>
          <w:lang w:val="en-NZ"/>
        </w:rPr>
        <w:t>Sala-i-Martin</w:t>
      </w:r>
      <w:r>
        <w:rPr>
          <w:bCs/>
          <w:lang w:val="en-NZ"/>
        </w:rPr>
        <w:t xml:space="preserve"> who argue against using surveys to estimate poverty trends still use them to measure inequality even as they obtain growth rates from other sources. The new focus by the World Bank on ‘shared prosperity’ also increases attention to issues with inequality data (Jolliffe </w:t>
      </w:r>
      <w:r w:rsidRPr="00C645CE">
        <w:rPr>
          <w:bCs/>
          <w:i/>
          <w:lang w:val="en-NZ"/>
        </w:rPr>
        <w:t>et al</w:t>
      </w:r>
      <w:r>
        <w:rPr>
          <w:bCs/>
          <w:lang w:val="en-NZ"/>
        </w:rPr>
        <w:t>. 2015). Surveys designs that let one adequately count extremely poor people may do less well at measuring more affluent living standards, but if policy makers are to judge if prosperity is being shared, it requires accurately measuring the living standards of the more prosperous.</w:t>
      </w:r>
    </w:p>
    <w:p w:rsidR="007E3C10" w:rsidRDefault="007E3C10" w:rsidP="009F1D18">
      <w:pPr>
        <w:tabs>
          <w:tab w:val="left" w:pos="426"/>
        </w:tabs>
        <w:spacing w:line="288" w:lineRule="auto"/>
        <w:ind w:firstLine="426"/>
        <w:jc w:val="both"/>
        <w:rPr>
          <w:bCs/>
        </w:rPr>
      </w:pPr>
    </w:p>
    <w:p w:rsidR="00B34D5B" w:rsidRDefault="009671AD" w:rsidP="00C645CE">
      <w:pPr>
        <w:tabs>
          <w:tab w:val="left" w:pos="426"/>
        </w:tabs>
        <w:spacing w:line="288" w:lineRule="auto"/>
        <w:jc w:val="center"/>
        <w:rPr>
          <w:bCs/>
        </w:rPr>
      </w:pPr>
      <w:r w:rsidRPr="00162F08">
        <w:rPr>
          <w:noProof/>
          <w:lang w:val="en-NZ" w:eastAsia="en-NZ"/>
        </w:rPr>
        <w:drawing>
          <wp:inline distT="0" distB="0" distL="0" distR="0" wp14:anchorId="0D75F017" wp14:editId="00885144">
            <wp:extent cx="5810250" cy="412523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5820" cy="4129186"/>
                    </a:xfrm>
                    <a:prstGeom prst="rect">
                      <a:avLst/>
                    </a:prstGeom>
                    <a:noFill/>
                    <a:ln>
                      <a:noFill/>
                    </a:ln>
                  </pic:spPr>
                </pic:pic>
              </a:graphicData>
            </a:graphic>
          </wp:inline>
        </w:drawing>
      </w:r>
    </w:p>
    <w:p w:rsidR="004E390C" w:rsidRDefault="00B34D5B" w:rsidP="00C645CE">
      <w:pPr>
        <w:tabs>
          <w:tab w:val="left" w:pos="426"/>
        </w:tabs>
        <w:spacing w:line="288" w:lineRule="auto"/>
        <w:jc w:val="both"/>
        <w:rPr>
          <w:bCs/>
        </w:rPr>
      </w:pPr>
      <w:r>
        <w:rPr>
          <w:bCs/>
        </w:rPr>
        <w:tab/>
      </w:r>
    </w:p>
    <w:p w:rsidR="007E3C10" w:rsidRDefault="004E390C" w:rsidP="00D514C0">
      <w:pPr>
        <w:tabs>
          <w:tab w:val="left" w:pos="426"/>
        </w:tabs>
        <w:spacing w:line="288" w:lineRule="auto"/>
        <w:jc w:val="both"/>
        <w:rPr>
          <w:b/>
        </w:rPr>
      </w:pPr>
      <w:r>
        <w:rPr>
          <w:bCs/>
        </w:rPr>
        <w:tab/>
      </w:r>
    </w:p>
    <w:p w:rsidR="00ED5B5C" w:rsidRDefault="00ED5B5C" w:rsidP="00C645CE">
      <w:pPr>
        <w:tabs>
          <w:tab w:val="left" w:pos="426"/>
        </w:tabs>
        <w:spacing w:line="288" w:lineRule="auto"/>
        <w:jc w:val="both"/>
        <w:rPr>
          <w:b/>
        </w:rPr>
      </w:pPr>
      <w:r w:rsidRPr="00ED5B5C">
        <w:rPr>
          <w:b/>
        </w:rPr>
        <w:t xml:space="preserve">3. </w:t>
      </w:r>
      <w:r w:rsidR="00C645CE">
        <w:rPr>
          <w:b/>
        </w:rPr>
        <w:t xml:space="preserve"> </w:t>
      </w:r>
      <w:r w:rsidR="006C50A1">
        <w:rPr>
          <w:b/>
        </w:rPr>
        <w:t>PROBLEMS IN MEASURING FOOD CONSUMPTION</w:t>
      </w:r>
    </w:p>
    <w:p w:rsidR="00B34D5B" w:rsidRPr="00B34D5B" w:rsidRDefault="00B34D5B" w:rsidP="00C645CE">
      <w:pPr>
        <w:tabs>
          <w:tab w:val="left" w:pos="426"/>
        </w:tabs>
        <w:spacing w:line="288" w:lineRule="auto"/>
        <w:jc w:val="both"/>
        <w:rPr>
          <w:b/>
          <w:sz w:val="12"/>
          <w:szCs w:val="12"/>
        </w:rPr>
      </w:pPr>
    </w:p>
    <w:p w:rsidR="00B34D5B" w:rsidRDefault="006C50A1" w:rsidP="00C645CE">
      <w:pPr>
        <w:tabs>
          <w:tab w:val="left" w:pos="426"/>
        </w:tabs>
        <w:spacing w:line="288" w:lineRule="auto"/>
        <w:jc w:val="both"/>
        <w:rPr>
          <w:rFonts w:eastAsia="Batang"/>
          <w:lang w:eastAsia="ko-KR"/>
        </w:rPr>
      </w:pPr>
      <w:r w:rsidRPr="00B4137D">
        <w:rPr>
          <w:rFonts w:eastAsia="Batang"/>
          <w:lang w:eastAsia="ko-KR"/>
        </w:rPr>
        <w:t>The dat</w:t>
      </w:r>
      <w:r w:rsidR="00622FE6">
        <w:rPr>
          <w:rFonts w:eastAsia="Batang"/>
          <w:lang w:eastAsia="ko-KR"/>
        </w:rPr>
        <w:t>a workhorse for measuring poverty</w:t>
      </w:r>
      <w:r w:rsidRPr="00B4137D">
        <w:rPr>
          <w:rFonts w:eastAsia="Batang"/>
          <w:lang w:eastAsia="ko-KR"/>
        </w:rPr>
        <w:t xml:space="preserve"> in developing countries is a Household Consumption Expenditure Survey (HCES).</w:t>
      </w:r>
      <w:r w:rsidRPr="00B4137D">
        <w:rPr>
          <w:rFonts w:eastAsia="Batang"/>
          <w:vertAlign w:val="superscript"/>
          <w:lang w:eastAsia="ko-KR"/>
        </w:rPr>
        <w:footnoteReference w:id="2"/>
      </w:r>
      <w:r w:rsidRPr="00B4137D">
        <w:rPr>
          <w:rFonts w:eastAsia="Batang"/>
          <w:lang w:eastAsia="ko-KR"/>
        </w:rPr>
        <w:t xml:space="preserve"> While income surveys are </w:t>
      </w:r>
      <w:r w:rsidR="00622FE6">
        <w:rPr>
          <w:rFonts w:eastAsia="Batang"/>
          <w:lang w:eastAsia="ko-KR"/>
        </w:rPr>
        <w:t xml:space="preserve">widely used </w:t>
      </w:r>
      <w:r w:rsidR="0078540F">
        <w:rPr>
          <w:rFonts w:eastAsia="Batang"/>
          <w:lang w:eastAsia="ko-KR"/>
        </w:rPr>
        <w:t xml:space="preserve">to study </w:t>
      </w:r>
      <w:r w:rsidR="00622FE6">
        <w:rPr>
          <w:rFonts w:eastAsia="Batang"/>
          <w:lang w:eastAsia="ko-KR"/>
        </w:rPr>
        <w:t xml:space="preserve">poverty </w:t>
      </w:r>
      <w:r w:rsidRPr="00B4137D">
        <w:rPr>
          <w:rFonts w:eastAsia="Batang"/>
          <w:lang w:eastAsia="ko-KR"/>
        </w:rPr>
        <w:t>in rich countries, amo</w:t>
      </w:r>
      <w:r>
        <w:rPr>
          <w:rFonts w:eastAsia="Batang"/>
          <w:lang w:eastAsia="ko-KR"/>
        </w:rPr>
        <w:t xml:space="preserve">ngst developing countries only in Latin America are income surveys </w:t>
      </w:r>
      <w:r w:rsidRPr="00B4137D">
        <w:rPr>
          <w:rFonts w:eastAsia="Batang"/>
          <w:lang w:eastAsia="ko-KR"/>
        </w:rPr>
        <w:t>used</w:t>
      </w:r>
      <w:r>
        <w:rPr>
          <w:rFonts w:eastAsia="Batang"/>
          <w:lang w:eastAsia="ko-KR"/>
        </w:rPr>
        <w:t xml:space="preserve"> more than HCES. These surveys</w:t>
      </w:r>
      <w:r w:rsidRPr="00B4137D">
        <w:rPr>
          <w:rFonts w:eastAsia="Batang"/>
          <w:lang w:eastAsia="ko-KR"/>
        </w:rPr>
        <w:t xml:space="preserve"> differ along </w:t>
      </w:r>
      <w:r w:rsidRPr="00B4137D">
        <w:rPr>
          <w:rFonts w:eastAsia="Calibri"/>
          <w:lang w:eastAsia="ko-KR"/>
        </w:rPr>
        <w:t xml:space="preserve">several key dimensions, such as method of data capture (diary versus recall questionnaires), the level of respondent (individual versus household), the reference period for which consumption is reported </w:t>
      </w:r>
      <w:r w:rsidRPr="00B4137D">
        <w:rPr>
          <w:rFonts w:eastAsia="Calibri"/>
          <w:lang w:eastAsia="ko-KR"/>
        </w:rPr>
        <w:lastRenderedPageBreak/>
        <w:t>(anywhere from one day to one year), and the degree of commodity detail (from less than 20 items to over 400 items).</w:t>
      </w:r>
      <w:r w:rsidRPr="00B4137D">
        <w:rPr>
          <w:rFonts w:eastAsia="Calibri"/>
          <w:vertAlign w:val="superscript"/>
          <w:lang w:eastAsia="ko-KR"/>
        </w:rPr>
        <w:footnoteReference w:id="3"/>
      </w:r>
      <w:r w:rsidRPr="00B4137D">
        <w:rPr>
          <w:rFonts w:eastAsia="Calibri"/>
          <w:lang w:eastAsia="ko-KR"/>
        </w:rPr>
        <w:t xml:space="preserve"> Despite these differences, most HCES </w:t>
      </w:r>
      <w:r w:rsidR="004B4282">
        <w:rPr>
          <w:rFonts w:eastAsia="Calibri"/>
          <w:lang w:eastAsia="ko-KR"/>
        </w:rPr>
        <w:t xml:space="preserve">have </w:t>
      </w:r>
      <w:r w:rsidRPr="00B4137D">
        <w:rPr>
          <w:rFonts w:eastAsia="Calibri"/>
          <w:lang w:eastAsia="ko-KR"/>
        </w:rPr>
        <w:t xml:space="preserve">an </w:t>
      </w:r>
      <w:r w:rsidRPr="00B4137D">
        <w:rPr>
          <w:rFonts w:eastAsia="Batang"/>
          <w:lang w:eastAsia="ko-KR"/>
        </w:rPr>
        <w:t xml:space="preserve">implicit </w:t>
      </w:r>
      <w:r>
        <w:rPr>
          <w:rFonts w:eastAsia="Batang"/>
          <w:lang w:eastAsia="ko-KR"/>
        </w:rPr>
        <w:t xml:space="preserve">aim </w:t>
      </w:r>
      <w:r w:rsidR="004B4282">
        <w:rPr>
          <w:rFonts w:eastAsia="Batang"/>
          <w:lang w:eastAsia="ko-KR"/>
        </w:rPr>
        <w:t xml:space="preserve">of </w:t>
      </w:r>
      <w:r>
        <w:rPr>
          <w:rFonts w:eastAsia="Batang"/>
          <w:lang w:eastAsia="ko-KR"/>
        </w:rPr>
        <w:t>record</w:t>
      </w:r>
      <w:r w:rsidR="004B4282">
        <w:rPr>
          <w:rFonts w:eastAsia="Batang"/>
          <w:lang w:eastAsia="ko-KR"/>
        </w:rPr>
        <w:t>ing</w:t>
      </w:r>
      <w:r w:rsidRPr="00B4137D">
        <w:rPr>
          <w:rFonts w:eastAsia="Batang"/>
          <w:lang w:eastAsia="ko-KR"/>
        </w:rPr>
        <w:t xml:space="preserve"> living standard</w:t>
      </w:r>
      <w:r w:rsidR="00217BC5">
        <w:rPr>
          <w:rFonts w:eastAsia="Batang"/>
          <w:lang w:eastAsia="ko-KR"/>
        </w:rPr>
        <w:t>s</w:t>
      </w:r>
      <w:r w:rsidRPr="00B4137D">
        <w:rPr>
          <w:rFonts w:eastAsia="Batang"/>
          <w:lang w:eastAsia="ko-KR"/>
        </w:rPr>
        <w:t xml:space="preserve"> of </w:t>
      </w:r>
      <w:r>
        <w:rPr>
          <w:rFonts w:eastAsia="Batang"/>
          <w:lang w:eastAsia="ko-KR"/>
        </w:rPr>
        <w:t xml:space="preserve">the </w:t>
      </w:r>
      <w:r w:rsidRPr="00B4137D">
        <w:rPr>
          <w:rFonts w:eastAsia="Batang"/>
          <w:lang w:eastAsia="ko-KR"/>
        </w:rPr>
        <w:t>memb</w:t>
      </w:r>
      <w:r>
        <w:rPr>
          <w:rFonts w:eastAsia="Batang"/>
          <w:lang w:eastAsia="ko-KR"/>
        </w:rPr>
        <w:t xml:space="preserve">ers of a household </w:t>
      </w:r>
      <w:r w:rsidR="004B4282">
        <w:rPr>
          <w:rFonts w:eastAsia="Batang"/>
          <w:lang w:eastAsia="ko-KR"/>
        </w:rPr>
        <w:t xml:space="preserve">who </w:t>
      </w:r>
      <w:r w:rsidRPr="00B4137D">
        <w:rPr>
          <w:rFonts w:eastAsia="Batang"/>
          <w:lang w:eastAsia="ko-KR"/>
        </w:rPr>
        <w:t>eat meals from a common pot</w:t>
      </w:r>
      <w:r w:rsidR="004B4282">
        <w:rPr>
          <w:rFonts w:eastAsia="Batang"/>
          <w:lang w:eastAsia="ko-KR"/>
        </w:rPr>
        <w:t xml:space="preserve">, where those meals are cooked </w:t>
      </w:r>
      <w:r w:rsidR="003F3DFB">
        <w:rPr>
          <w:rFonts w:eastAsia="Batang"/>
          <w:lang w:eastAsia="ko-KR"/>
        </w:rPr>
        <w:t>from ingredients that householders</w:t>
      </w:r>
      <w:r w:rsidRPr="00B4137D">
        <w:rPr>
          <w:rFonts w:eastAsia="Batang"/>
          <w:lang w:eastAsia="ko-KR"/>
        </w:rPr>
        <w:t xml:space="preserve"> acquired by either purchase, receiving as a gift or payment, or self-production.</w:t>
      </w:r>
    </w:p>
    <w:p w:rsidR="006C50A1" w:rsidRPr="00B4137D" w:rsidRDefault="006C50A1" w:rsidP="00C645CE">
      <w:pPr>
        <w:tabs>
          <w:tab w:val="left" w:pos="426"/>
        </w:tabs>
        <w:spacing w:line="288" w:lineRule="auto"/>
        <w:jc w:val="both"/>
        <w:rPr>
          <w:rFonts w:eastAsia="Batang"/>
          <w:lang w:eastAsia="ko-KR"/>
        </w:rPr>
      </w:pPr>
      <w:r w:rsidRPr="00B4137D">
        <w:rPr>
          <w:rFonts w:eastAsia="Batang"/>
          <w:lang w:eastAsia="ko-KR"/>
        </w:rPr>
        <w:t xml:space="preserve"> </w:t>
      </w:r>
    </w:p>
    <w:p w:rsidR="006C50A1" w:rsidRDefault="006C50A1" w:rsidP="009F1D18">
      <w:pPr>
        <w:tabs>
          <w:tab w:val="left" w:pos="426"/>
        </w:tabs>
        <w:spacing w:line="288" w:lineRule="auto"/>
        <w:ind w:firstLine="426"/>
        <w:jc w:val="both"/>
        <w:rPr>
          <w:bCs/>
        </w:rPr>
      </w:pPr>
      <w:r w:rsidRPr="00B4137D">
        <w:rPr>
          <w:rFonts w:eastAsia="Batang"/>
          <w:lang w:eastAsia="ko-KR"/>
        </w:rPr>
        <w:t>In recognition of this</w:t>
      </w:r>
      <w:r w:rsidR="00217BC5">
        <w:rPr>
          <w:rFonts w:eastAsia="Batang"/>
          <w:lang w:eastAsia="ko-KR"/>
        </w:rPr>
        <w:t xml:space="preserve"> target</w:t>
      </w:r>
      <w:r w:rsidRPr="00B4137D">
        <w:rPr>
          <w:rFonts w:eastAsia="Batang"/>
          <w:lang w:eastAsia="ko-KR"/>
        </w:rPr>
        <w:t xml:space="preserve">, the </w:t>
      </w:r>
      <w:r>
        <w:rPr>
          <w:rFonts w:eastAsia="Batang"/>
          <w:lang w:eastAsia="ko-KR"/>
        </w:rPr>
        <w:t xml:space="preserve">food modules of these </w:t>
      </w:r>
      <w:r w:rsidRPr="00B4137D">
        <w:rPr>
          <w:rFonts w:eastAsia="Batang"/>
          <w:lang w:eastAsia="ko-KR"/>
        </w:rPr>
        <w:t>surveys are organized ac</w:t>
      </w:r>
      <w:r>
        <w:rPr>
          <w:rFonts w:eastAsia="Batang"/>
          <w:lang w:eastAsia="ko-KR"/>
        </w:rPr>
        <w:t>cording to lists of ingredients</w:t>
      </w:r>
      <w:r w:rsidRPr="00B4137D">
        <w:rPr>
          <w:rFonts w:eastAsia="Batang"/>
          <w:lang w:eastAsia="ko-KR"/>
        </w:rPr>
        <w:t xml:space="preserve"> such as rice, wheat flour, maize flour, and so forth. The important staples may </w:t>
      </w:r>
      <w:r w:rsidR="00217BC5">
        <w:rPr>
          <w:rFonts w:eastAsia="Batang"/>
          <w:lang w:eastAsia="ko-KR"/>
        </w:rPr>
        <w:t xml:space="preserve">get </w:t>
      </w:r>
      <w:r w:rsidRPr="00B4137D">
        <w:rPr>
          <w:rFonts w:eastAsia="Batang"/>
          <w:lang w:eastAsia="ko-KR"/>
        </w:rPr>
        <w:t>several lines on the list, such as for different rice varieties according to quality</w:t>
      </w:r>
      <w:r w:rsidR="0078540F">
        <w:rPr>
          <w:rFonts w:eastAsia="Batang"/>
          <w:lang w:eastAsia="ko-KR"/>
        </w:rPr>
        <w:t xml:space="preserve"> or</w:t>
      </w:r>
      <w:r w:rsidRPr="00B4137D">
        <w:rPr>
          <w:rFonts w:eastAsia="Batang"/>
          <w:lang w:eastAsia="ko-KR"/>
        </w:rPr>
        <w:t xml:space="preserve"> season of production. </w:t>
      </w:r>
      <w:r>
        <w:rPr>
          <w:rFonts w:eastAsia="Batang"/>
          <w:lang w:eastAsia="ko-KR"/>
        </w:rPr>
        <w:t>A</w:t>
      </w:r>
      <w:r w:rsidRPr="00B4137D">
        <w:rPr>
          <w:rFonts w:eastAsia="Batang"/>
          <w:lang w:eastAsia="ko-KR"/>
        </w:rPr>
        <w:t xml:space="preserve">sking about ingredients makes </w:t>
      </w:r>
      <w:r>
        <w:rPr>
          <w:rFonts w:eastAsia="Batang"/>
          <w:lang w:eastAsia="ko-KR"/>
        </w:rPr>
        <w:t xml:space="preserve">sense for people who prepare their own meals, and </w:t>
      </w:r>
      <w:r w:rsidR="00D40681">
        <w:rPr>
          <w:rFonts w:eastAsia="Batang"/>
          <w:lang w:eastAsia="ko-KR"/>
        </w:rPr>
        <w:t xml:space="preserve">thus </w:t>
      </w:r>
      <w:r>
        <w:rPr>
          <w:rFonts w:eastAsia="Batang"/>
          <w:lang w:eastAsia="ko-KR"/>
        </w:rPr>
        <w:t xml:space="preserve">made sense at </w:t>
      </w:r>
      <w:r w:rsidRPr="00993037">
        <w:rPr>
          <w:rFonts w:eastAsia="Batang"/>
          <w:lang w:eastAsia="ko-KR"/>
        </w:rPr>
        <w:t>b</w:t>
      </w:r>
      <w:r w:rsidR="00C571BA">
        <w:rPr>
          <w:rFonts w:eastAsia="Batang"/>
          <w:lang w:eastAsia="ko-KR"/>
        </w:rPr>
        <w:t>aseline</w:t>
      </w:r>
      <w:r w:rsidR="003F3DFB">
        <w:rPr>
          <w:rFonts w:eastAsia="Batang"/>
          <w:lang w:eastAsia="ko-KR"/>
        </w:rPr>
        <w:t xml:space="preserve"> </w:t>
      </w:r>
      <w:r w:rsidR="00C571BA">
        <w:rPr>
          <w:rFonts w:eastAsia="Batang"/>
          <w:lang w:eastAsia="ko-KR"/>
        </w:rPr>
        <w:t>of</w:t>
      </w:r>
      <w:r>
        <w:rPr>
          <w:rFonts w:eastAsia="Batang"/>
          <w:lang w:eastAsia="ko-KR"/>
        </w:rPr>
        <w:t xml:space="preserve"> the MDGs </w:t>
      </w:r>
      <w:r w:rsidR="003F3DFB">
        <w:rPr>
          <w:rFonts w:eastAsia="Batang"/>
          <w:lang w:eastAsia="ko-KR"/>
        </w:rPr>
        <w:t xml:space="preserve">(1990) </w:t>
      </w:r>
      <w:r>
        <w:rPr>
          <w:rFonts w:eastAsia="Batang"/>
          <w:lang w:eastAsia="ko-KR"/>
        </w:rPr>
        <w:t xml:space="preserve">when most of the poor were still rural and </w:t>
      </w:r>
      <w:r w:rsidR="00D40681">
        <w:rPr>
          <w:rFonts w:eastAsia="Batang"/>
          <w:lang w:eastAsia="ko-KR"/>
        </w:rPr>
        <w:t xml:space="preserve">likely </w:t>
      </w:r>
      <w:r w:rsidR="004B4282">
        <w:rPr>
          <w:rFonts w:eastAsia="Batang"/>
          <w:lang w:eastAsia="ko-KR"/>
        </w:rPr>
        <w:t xml:space="preserve">ate </w:t>
      </w:r>
      <w:r w:rsidR="00D40681">
        <w:rPr>
          <w:rFonts w:eastAsia="Batang"/>
          <w:lang w:eastAsia="ko-KR"/>
        </w:rPr>
        <w:t xml:space="preserve">together </w:t>
      </w:r>
      <w:r>
        <w:rPr>
          <w:rFonts w:eastAsia="Batang"/>
          <w:lang w:eastAsia="ko-KR"/>
        </w:rPr>
        <w:t xml:space="preserve">as a family. But this approach makes </w:t>
      </w:r>
      <w:r w:rsidRPr="00B4137D">
        <w:rPr>
          <w:rFonts w:eastAsia="Batang"/>
          <w:lang w:eastAsia="ko-KR"/>
        </w:rPr>
        <w:t xml:space="preserve">less sense for </w:t>
      </w:r>
      <w:r w:rsidR="0078540F">
        <w:rPr>
          <w:rFonts w:eastAsia="Batang"/>
          <w:lang w:eastAsia="ko-KR"/>
        </w:rPr>
        <w:t xml:space="preserve">urban </w:t>
      </w:r>
      <w:r w:rsidRPr="00B4137D">
        <w:rPr>
          <w:rFonts w:eastAsia="Batang"/>
          <w:lang w:eastAsia="ko-KR"/>
        </w:rPr>
        <w:t xml:space="preserve">people who obtain food </w:t>
      </w:r>
      <w:r>
        <w:rPr>
          <w:rFonts w:eastAsia="Batang"/>
          <w:lang w:eastAsia="ko-KR"/>
        </w:rPr>
        <w:t xml:space="preserve">independently of other family members, </w:t>
      </w:r>
      <w:r w:rsidRPr="00B4137D">
        <w:rPr>
          <w:rFonts w:eastAsia="Batang"/>
          <w:lang w:eastAsia="ko-KR"/>
        </w:rPr>
        <w:t xml:space="preserve">in the form of prepared meals, whether as street foods, in restaurants or purchased </w:t>
      </w:r>
      <w:r>
        <w:rPr>
          <w:rFonts w:eastAsia="Batang"/>
          <w:lang w:eastAsia="ko-KR"/>
        </w:rPr>
        <w:t xml:space="preserve">to heat and eat at home. The </w:t>
      </w:r>
      <w:r>
        <w:rPr>
          <w:bCs/>
          <w:lang w:val="en-NZ"/>
        </w:rPr>
        <w:t>poor urbanize faster than developing country populations as a who</w:t>
      </w:r>
      <w:r w:rsidR="00D40681">
        <w:rPr>
          <w:bCs/>
          <w:lang w:val="en-NZ"/>
        </w:rPr>
        <w:t xml:space="preserve">le (Ravallion </w:t>
      </w:r>
      <w:r w:rsidR="00D40681" w:rsidRPr="004E390C">
        <w:rPr>
          <w:bCs/>
          <w:i/>
          <w:lang w:val="en-NZ"/>
        </w:rPr>
        <w:t>et al</w:t>
      </w:r>
      <w:r w:rsidR="004E390C">
        <w:rPr>
          <w:bCs/>
          <w:lang w:val="en-NZ"/>
        </w:rPr>
        <w:t>.</w:t>
      </w:r>
      <w:r w:rsidR="00D40681">
        <w:rPr>
          <w:bCs/>
          <w:lang w:val="en-NZ"/>
        </w:rPr>
        <w:t xml:space="preserve"> 2007) so the</w:t>
      </w:r>
      <w:r>
        <w:rPr>
          <w:bCs/>
          <w:lang w:val="en-NZ"/>
        </w:rPr>
        <w:t xml:space="preserve"> ingredients-based, common-pot method of measuring consumption </w:t>
      </w:r>
      <w:r w:rsidR="00AC7BA2">
        <w:rPr>
          <w:bCs/>
          <w:lang w:val="en-NZ"/>
        </w:rPr>
        <w:t xml:space="preserve">becomes </w:t>
      </w:r>
      <w:r>
        <w:rPr>
          <w:bCs/>
          <w:lang w:val="en-NZ"/>
        </w:rPr>
        <w:t xml:space="preserve">increasingly ill-suited to measuring </w:t>
      </w:r>
      <w:r w:rsidR="00AC7BA2">
        <w:rPr>
          <w:bCs/>
          <w:lang w:val="en-NZ"/>
        </w:rPr>
        <w:t xml:space="preserve">living standards and </w:t>
      </w:r>
      <w:r>
        <w:rPr>
          <w:bCs/>
          <w:lang w:val="en-NZ"/>
        </w:rPr>
        <w:t>poverty</w:t>
      </w:r>
      <w:r>
        <w:rPr>
          <w:bCs/>
        </w:rPr>
        <w:t>.</w:t>
      </w:r>
    </w:p>
    <w:p w:rsidR="00B34D5B" w:rsidRPr="000D6415" w:rsidRDefault="00B34D5B" w:rsidP="00C645CE">
      <w:pPr>
        <w:tabs>
          <w:tab w:val="left" w:pos="426"/>
        </w:tabs>
        <w:spacing w:line="288" w:lineRule="auto"/>
        <w:ind w:firstLine="720"/>
        <w:jc w:val="both"/>
        <w:rPr>
          <w:rFonts w:eastAsia="Batang"/>
          <w:lang w:eastAsia="ko-KR"/>
        </w:rPr>
      </w:pPr>
    </w:p>
    <w:p w:rsidR="006C50A1" w:rsidRDefault="006C50A1" w:rsidP="009F1D18">
      <w:pPr>
        <w:tabs>
          <w:tab w:val="left" w:pos="426"/>
        </w:tabs>
        <w:spacing w:line="288" w:lineRule="auto"/>
        <w:ind w:firstLine="426"/>
        <w:jc w:val="both"/>
        <w:rPr>
          <w:bCs/>
        </w:rPr>
      </w:pPr>
      <w:r>
        <w:rPr>
          <w:bCs/>
        </w:rPr>
        <w:t xml:space="preserve">Consider first the problem of independent eating, or more broadly the issues for surveying urban family members </w:t>
      </w:r>
      <w:r w:rsidR="004B4282">
        <w:rPr>
          <w:bCs/>
        </w:rPr>
        <w:t xml:space="preserve">who </w:t>
      </w:r>
      <w:r>
        <w:rPr>
          <w:bCs/>
        </w:rPr>
        <w:t xml:space="preserve">may only sleep together but not work and eat together as they did in the countryside. In a survey experiment in Tanzania, Beegle </w:t>
      </w:r>
      <w:r w:rsidRPr="004E390C">
        <w:rPr>
          <w:bCs/>
          <w:i/>
        </w:rPr>
        <w:t>et al</w:t>
      </w:r>
      <w:r w:rsidR="004E390C">
        <w:rPr>
          <w:bCs/>
        </w:rPr>
        <w:t>.</w:t>
      </w:r>
      <w:r w:rsidRPr="004E390C">
        <w:rPr>
          <w:bCs/>
          <w:i/>
        </w:rPr>
        <w:t xml:space="preserve"> </w:t>
      </w:r>
      <w:r>
        <w:rPr>
          <w:bCs/>
        </w:rPr>
        <w:t xml:space="preserve">(2012) compare two types of HCES diary surveys; </w:t>
      </w:r>
      <w:r w:rsidR="00217BC5">
        <w:rPr>
          <w:bCs/>
        </w:rPr>
        <w:t xml:space="preserve">in </w:t>
      </w:r>
      <w:r>
        <w:rPr>
          <w:bCs/>
        </w:rPr>
        <w:t>one</w:t>
      </w:r>
      <w:r w:rsidR="003F3DFB">
        <w:rPr>
          <w:bCs/>
        </w:rPr>
        <w:t>,</w:t>
      </w:r>
      <w:r>
        <w:rPr>
          <w:bCs/>
        </w:rPr>
        <w:t xml:space="preserve"> </w:t>
      </w:r>
      <w:r w:rsidR="00217BC5">
        <w:rPr>
          <w:bCs/>
        </w:rPr>
        <w:t>each adult records</w:t>
      </w:r>
      <w:r>
        <w:rPr>
          <w:bCs/>
        </w:rPr>
        <w:t xml:space="preserve"> their own commodity acquisitions</w:t>
      </w:r>
      <w:r w:rsidR="003F3DFB">
        <w:rPr>
          <w:bCs/>
        </w:rPr>
        <w:t>,</w:t>
      </w:r>
      <w:r>
        <w:rPr>
          <w:bCs/>
        </w:rPr>
        <w:t xml:space="preserve"> while </w:t>
      </w:r>
      <w:r w:rsidR="00217BC5">
        <w:rPr>
          <w:bCs/>
        </w:rPr>
        <w:t xml:space="preserve">in </w:t>
      </w:r>
      <w:r>
        <w:rPr>
          <w:bCs/>
        </w:rPr>
        <w:t>the other</w:t>
      </w:r>
      <w:r w:rsidR="003F3DFB">
        <w:rPr>
          <w:bCs/>
        </w:rPr>
        <w:t>,</w:t>
      </w:r>
      <w:r>
        <w:rPr>
          <w:bCs/>
        </w:rPr>
        <w:t xml:space="preserve"> one respondent </w:t>
      </w:r>
      <w:r w:rsidR="004908CE">
        <w:rPr>
          <w:bCs/>
        </w:rPr>
        <w:t xml:space="preserve">keeps a diary </w:t>
      </w:r>
      <w:r>
        <w:rPr>
          <w:bCs/>
        </w:rPr>
        <w:t>on behalf of the whole household. For rural households</w:t>
      </w:r>
      <w:r w:rsidR="003F3DFB">
        <w:rPr>
          <w:bCs/>
        </w:rPr>
        <w:t>,</w:t>
      </w:r>
      <w:r>
        <w:rPr>
          <w:bCs/>
        </w:rPr>
        <w:t xml:space="preserve"> there is no difference in the consumption recorded with one type of diary or the other. But urban households report 29 percent lower consumption, if surveyed with a household-level diary rather than having each adult keeping a diary. The large error when using a HCES design that seemed to </w:t>
      </w:r>
      <w:r w:rsidR="003F3DFB">
        <w:rPr>
          <w:bCs/>
        </w:rPr>
        <w:t xml:space="preserve">cause no bias when used </w:t>
      </w:r>
      <w:r>
        <w:rPr>
          <w:bCs/>
        </w:rPr>
        <w:t xml:space="preserve">in the countryside (the household-level diary) shows the challenge facing HCES methods if they are to accurately measure living standards in future as poverty urbanizes and as common-pot measuring techniques become less relevant. </w:t>
      </w:r>
    </w:p>
    <w:p w:rsidR="00F36E52" w:rsidRDefault="00F36E52" w:rsidP="009F1D18">
      <w:pPr>
        <w:tabs>
          <w:tab w:val="left" w:pos="426"/>
        </w:tabs>
        <w:spacing w:line="288" w:lineRule="auto"/>
        <w:ind w:firstLine="426"/>
        <w:jc w:val="both"/>
        <w:rPr>
          <w:bCs/>
        </w:rPr>
      </w:pPr>
    </w:p>
    <w:p w:rsidR="006C50A1" w:rsidRPr="004E390C" w:rsidRDefault="00D40681" w:rsidP="00C645CE">
      <w:pPr>
        <w:tabs>
          <w:tab w:val="left" w:pos="426"/>
        </w:tabs>
        <w:spacing w:line="288" w:lineRule="auto"/>
        <w:ind w:firstLine="426"/>
        <w:jc w:val="both"/>
        <w:rPr>
          <w:rFonts w:eastAsia="Batang"/>
          <w:b/>
          <w:lang w:eastAsia="ko-KR"/>
        </w:rPr>
      </w:pPr>
      <w:r>
        <w:rPr>
          <w:bCs/>
        </w:rPr>
        <w:t xml:space="preserve">Asking about </w:t>
      </w:r>
      <w:r w:rsidR="006C50A1">
        <w:rPr>
          <w:bCs/>
        </w:rPr>
        <w:t xml:space="preserve">ingredients </w:t>
      </w:r>
      <w:r>
        <w:rPr>
          <w:bCs/>
        </w:rPr>
        <w:t>makes lit</w:t>
      </w:r>
      <w:r w:rsidR="00C253CC">
        <w:rPr>
          <w:bCs/>
        </w:rPr>
        <w:t>tle sense for many urban people</w:t>
      </w:r>
      <w:r>
        <w:rPr>
          <w:bCs/>
        </w:rPr>
        <w:t xml:space="preserve"> who</w:t>
      </w:r>
      <w:r w:rsidR="006C50A1">
        <w:rPr>
          <w:bCs/>
        </w:rPr>
        <w:t xml:space="preserve"> </w:t>
      </w:r>
      <w:r w:rsidR="00C253CC">
        <w:rPr>
          <w:bCs/>
        </w:rPr>
        <w:t xml:space="preserve">mainly </w:t>
      </w:r>
      <w:r w:rsidR="006C50A1">
        <w:rPr>
          <w:bCs/>
        </w:rPr>
        <w:t xml:space="preserve">buy meals. </w:t>
      </w:r>
      <w:r w:rsidR="006C50A1">
        <w:rPr>
          <w:rFonts w:eastAsia="Batang"/>
          <w:lang w:eastAsia="ko-KR"/>
        </w:rPr>
        <w:t>Yet</w:t>
      </w:r>
      <w:r w:rsidR="0078540F">
        <w:rPr>
          <w:rFonts w:eastAsia="Batang"/>
          <w:lang w:eastAsia="ko-KR"/>
        </w:rPr>
        <w:t xml:space="preserve"> in most</w:t>
      </w:r>
      <w:r w:rsidR="00C253CC">
        <w:rPr>
          <w:rFonts w:eastAsia="Batang"/>
          <w:lang w:eastAsia="ko-KR"/>
        </w:rPr>
        <w:t xml:space="preserve"> HCES</w:t>
      </w:r>
      <w:r w:rsidR="006C50A1" w:rsidRPr="00B4137D">
        <w:rPr>
          <w:rFonts w:eastAsia="Batang"/>
          <w:lang w:eastAsia="ko-KR"/>
        </w:rPr>
        <w:t xml:space="preserve"> meals eaten outside of the home are little more than an afterthought, with just </w:t>
      </w:r>
      <w:r>
        <w:rPr>
          <w:rFonts w:eastAsia="Batang"/>
          <w:lang w:eastAsia="ko-KR"/>
        </w:rPr>
        <w:t>a question or two</w:t>
      </w:r>
      <w:r w:rsidR="006C50A1" w:rsidRPr="00B4137D">
        <w:rPr>
          <w:rFonts w:eastAsia="Batang"/>
          <w:lang w:eastAsia="ko-KR"/>
        </w:rPr>
        <w:t xml:space="preserve"> about expenditures</w:t>
      </w:r>
      <w:r w:rsidR="00A43326">
        <w:rPr>
          <w:rFonts w:eastAsia="Batang"/>
          <w:lang w:eastAsia="ko-KR"/>
        </w:rPr>
        <w:t xml:space="preserve"> but</w:t>
      </w:r>
      <w:r w:rsidR="006C50A1" w:rsidRPr="00B4137D">
        <w:rPr>
          <w:rFonts w:eastAsia="Batang"/>
          <w:lang w:eastAsia="ko-KR"/>
        </w:rPr>
        <w:t xml:space="preserve"> not quantities. </w:t>
      </w:r>
      <w:r>
        <w:rPr>
          <w:rFonts w:eastAsia="Batang"/>
          <w:lang w:eastAsia="ko-KR"/>
        </w:rPr>
        <w:t xml:space="preserve">By ignoring eating out, </w:t>
      </w:r>
      <w:r w:rsidR="0078540F">
        <w:rPr>
          <w:rFonts w:eastAsia="Batang"/>
          <w:lang w:eastAsia="ko-KR"/>
        </w:rPr>
        <w:t>policy makers</w:t>
      </w:r>
      <w:r>
        <w:rPr>
          <w:rFonts w:eastAsia="Batang"/>
          <w:lang w:eastAsia="ko-KR"/>
        </w:rPr>
        <w:t xml:space="preserve"> </w:t>
      </w:r>
      <w:r w:rsidR="00C253CC">
        <w:rPr>
          <w:rFonts w:eastAsia="Batang"/>
          <w:lang w:eastAsia="ko-KR"/>
        </w:rPr>
        <w:t xml:space="preserve">may </w:t>
      </w:r>
      <w:r>
        <w:rPr>
          <w:rFonts w:eastAsia="Batang"/>
          <w:lang w:eastAsia="ko-KR"/>
        </w:rPr>
        <w:t xml:space="preserve">get distracted by dead-end debates, </w:t>
      </w:r>
      <w:r w:rsidR="0078540F">
        <w:rPr>
          <w:rFonts w:eastAsia="Batang"/>
          <w:lang w:eastAsia="ko-KR"/>
        </w:rPr>
        <w:t xml:space="preserve">such as </w:t>
      </w:r>
      <w:r>
        <w:rPr>
          <w:rFonts w:eastAsia="Batang"/>
          <w:lang w:eastAsia="ko-KR"/>
        </w:rPr>
        <w:t xml:space="preserve">one </w:t>
      </w:r>
      <w:r w:rsidR="0078540F">
        <w:rPr>
          <w:rFonts w:eastAsia="Batang"/>
          <w:lang w:eastAsia="ko-KR"/>
        </w:rPr>
        <w:t xml:space="preserve">in India </w:t>
      </w:r>
      <w:r w:rsidR="006C50A1" w:rsidRPr="00106193">
        <w:rPr>
          <w:rFonts w:eastAsia="Batang"/>
          <w:lang w:eastAsia="ko-KR"/>
        </w:rPr>
        <w:t xml:space="preserve">about </w:t>
      </w:r>
      <w:r w:rsidR="00C253CC">
        <w:rPr>
          <w:rFonts w:eastAsia="Batang"/>
          <w:lang w:eastAsia="ko-KR"/>
        </w:rPr>
        <w:t xml:space="preserve">seemingly rising </w:t>
      </w:r>
      <w:r w:rsidR="006C50A1" w:rsidRPr="00106193">
        <w:rPr>
          <w:rFonts w:eastAsia="Batang"/>
          <w:lang w:eastAsia="ko-KR"/>
        </w:rPr>
        <w:t>under-nu</w:t>
      </w:r>
      <w:r w:rsidR="00C253CC">
        <w:rPr>
          <w:rFonts w:eastAsia="Batang"/>
          <w:lang w:eastAsia="ko-KR"/>
        </w:rPr>
        <w:t>trition during the</w:t>
      </w:r>
      <w:r w:rsidR="0078540F">
        <w:rPr>
          <w:rFonts w:eastAsia="Batang"/>
          <w:lang w:eastAsia="ko-KR"/>
        </w:rPr>
        <w:t xml:space="preserve"> recent era</w:t>
      </w:r>
      <w:r w:rsidR="006C50A1" w:rsidRPr="00106193">
        <w:rPr>
          <w:rFonts w:eastAsia="Batang"/>
          <w:lang w:eastAsia="ko-KR"/>
        </w:rPr>
        <w:t xml:space="preserve"> of rapid economic growth. </w:t>
      </w:r>
      <w:r>
        <w:rPr>
          <w:rFonts w:eastAsia="Batang"/>
          <w:lang w:eastAsia="ko-KR"/>
        </w:rPr>
        <w:t>In</w:t>
      </w:r>
      <w:r w:rsidR="006C50A1" w:rsidRPr="00106193">
        <w:rPr>
          <w:rFonts w:eastAsia="Batang"/>
          <w:lang w:eastAsia="ko-KR"/>
        </w:rPr>
        <w:t xml:space="preserve"> two decades from 1987-88, mean calorie</w:t>
      </w:r>
      <w:r w:rsidR="004B4282">
        <w:rPr>
          <w:rFonts w:eastAsia="Batang"/>
          <w:lang w:eastAsia="ko-KR"/>
        </w:rPr>
        <w:t>s</w:t>
      </w:r>
      <w:r w:rsidR="006C50A1" w:rsidRPr="00106193">
        <w:rPr>
          <w:rFonts w:eastAsia="Batang"/>
          <w:lang w:eastAsia="ko-KR"/>
        </w:rPr>
        <w:t xml:space="preserve"> </w:t>
      </w:r>
      <w:r w:rsidR="004B4282">
        <w:rPr>
          <w:rFonts w:eastAsia="Batang"/>
          <w:lang w:eastAsia="ko-KR"/>
        </w:rPr>
        <w:t>per capita se</w:t>
      </w:r>
      <w:r w:rsidR="006C50A1" w:rsidRPr="00106193">
        <w:rPr>
          <w:rFonts w:eastAsia="Batang"/>
          <w:lang w:eastAsia="ko-KR"/>
        </w:rPr>
        <w:t>e</w:t>
      </w:r>
      <w:r w:rsidR="004B4282">
        <w:rPr>
          <w:rFonts w:eastAsia="Batang"/>
          <w:lang w:eastAsia="ko-KR"/>
        </w:rPr>
        <w:t>me</w:t>
      </w:r>
      <w:r w:rsidR="006C50A1" w:rsidRPr="00106193">
        <w:rPr>
          <w:rFonts w:eastAsia="Batang"/>
          <w:lang w:eastAsia="ko-KR"/>
        </w:rPr>
        <w:t xml:space="preserve">d to fall by 10 percent and the under-nourishment rate </w:t>
      </w:r>
      <w:r w:rsidR="004B4282">
        <w:rPr>
          <w:rFonts w:eastAsia="Batang"/>
          <w:lang w:eastAsia="ko-KR"/>
        </w:rPr>
        <w:t xml:space="preserve">seemed to rise from </w:t>
      </w:r>
      <w:r w:rsidR="006C50A1" w:rsidRPr="00106193">
        <w:rPr>
          <w:rFonts w:eastAsia="Batang"/>
          <w:lang w:eastAsia="ko-KR"/>
        </w:rPr>
        <w:t xml:space="preserve">one-quarter to </w:t>
      </w:r>
      <w:r w:rsidR="004B4282">
        <w:rPr>
          <w:rFonts w:eastAsia="Batang"/>
          <w:lang w:eastAsia="ko-KR"/>
        </w:rPr>
        <w:t xml:space="preserve">over </w:t>
      </w:r>
      <w:r w:rsidR="006C50A1" w:rsidRPr="00106193">
        <w:rPr>
          <w:rFonts w:eastAsia="Batang"/>
          <w:lang w:eastAsia="ko-KR"/>
        </w:rPr>
        <w:t xml:space="preserve">one-third of the population, all while India was recording some of its fastest ever economic growth rates. </w:t>
      </w:r>
      <w:r w:rsidR="006C50A1">
        <w:rPr>
          <w:rFonts w:eastAsia="Batang"/>
          <w:lang w:eastAsia="ko-KR"/>
        </w:rPr>
        <w:t xml:space="preserve">Hypotheses </w:t>
      </w:r>
      <w:r w:rsidR="0078540F">
        <w:rPr>
          <w:rFonts w:eastAsia="Batang"/>
          <w:lang w:eastAsia="ko-KR"/>
        </w:rPr>
        <w:t xml:space="preserve">about </w:t>
      </w:r>
      <w:r w:rsidR="006C50A1">
        <w:rPr>
          <w:rFonts w:eastAsia="Batang"/>
          <w:lang w:eastAsia="ko-KR"/>
        </w:rPr>
        <w:lastRenderedPageBreak/>
        <w:t>the</w:t>
      </w:r>
      <w:r w:rsidR="006C50A1" w:rsidRPr="00106193">
        <w:rPr>
          <w:rFonts w:eastAsia="Batang"/>
          <w:lang w:eastAsia="ko-KR"/>
        </w:rPr>
        <w:t xml:space="preserve"> puzzle include relative price changes, declining calorie needs with urbanization, dietary diversification, and a squeeze on the food budget due to rising expen</w:t>
      </w:r>
      <w:r w:rsidR="00AC7BA2">
        <w:rPr>
          <w:rFonts w:eastAsia="Batang"/>
          <w:lang w:eastAsia="ko-KR"/>
        </w:rPr>
        <w:t xml:space="preserve">ditures on non-food essentials. </w:t>
      </w:r>
      <w:r w:rsidR="006C50A1" w:rsidRPr="00106193">
        <w:rPr>
          <w:rFonts w:eastAsia="Batang"/>
          <w:lang w:eastAsia="ko-KR"/>
        </w:rPr>
        <w:t xml:space="preserve">Yet the most likely explanation is much simpler – and more troubling – the HCES </w:t>
      </w:r>
      <w:r w:rsidR="006C50A1">
        <w:rPr>
          <w:rFonts w:eastAsia="Batang"/>
          <w:lang w:eastAsia="ko-KR"/>
        </w:rPr>
        <w:t xml:space="preserve">evidence </w:t>
      </w:r>
      <w:r w:rsidR="006C50A1" w:rsidRPr="00106193">
        <w:rPr>
          <w:rFonts w:eastAsia="Batang"/>
          <w:lang w:eastAsia="ko-KR"/>
        </w:rPr>
        <w:t xml:space="preserve">relied on for much of the </w:t>
      </w:r>
      <w:r w:rsidR="006C50A1">
        <w:rPr>
          <w:rFonts w:eastAsia="Batang"/>
          <w:lang w:eastAsia="ko-KR"/>
        </w:rPr>
        <w:t xml:space="preserve">debate </w:t>
      </w:r>
      <w:r w:rsidR="006C50A1" w:rsidRPr="00106193">
        <w:rPr>
          <w:rFonts w:eastAsia="Batang"/>
          <w:lang w:eastAsia="ko-KR"/>
        </w:rPr>
        <w:t>increasingly understates calorie</w:t>
      </w:r>
      <w:r w:rsidR="004B4282">
        <w:rPr>
          <w:rFonts w:eastAsia="Batang"/>
          <w:lang w:eastAsia="ko-KR"/>
        </w:rPr>
        <w:t>s</w:t>
      </w:r>
      <w:r w:rsidR="006C50A1" w:rsidRPr="00106193">
        <w:rPr>
          <w:rFonts w:eastAsia="Batang"/>
          <w:lang w:eastAsia="ko-KR"/>
        </w:rPr>
        <w:t xml:space="preserve"> because it misses the rising share of calories coming from eating out</w:t>
      </w:r>
      <w:r w:rsidR="0078540F">
        <w:rPr>
          <w:rFonts w:eastAsia="Batang"/>
          <w:lang w:eastAsia="ko-KR"/>
        </w:rPr>
        <w:t xml:space="preserve"> </w:t>
      </w:r>
      <w:r w:rsidR="004E390C">
        <w:rPr>
          <w:rFonts w:eastAsia="Batang"/>
          <w:lang w:eastAsia="ko-KR"/>
        </w:rPr>
        <w:t>(Smith</w:t>
      </w:r>
      <w:r w:rsidR="0078540F" w:rsidRPr="0078540F">
        <w:rPr>
          <w:rFonts w:eastAsia="Batang"/>
          <w:lang w:eastAsia="ko-KR"/>
        </w:rPr>
        <w:t xml:space="preserve"> 2015)</w:t>
      </w:r>
      <w:r w:rsidR="006C50A1" w:rsidRPr="00106193">
        <w:rPr>
          <w:rFonts w:eastAsia="Batang"/>
          <w:lang w:eastAsia="ko-KR"/>
        </w:rPr>
        <w:t>. A similar</w:t>
      </w:r>
      <w:r w:rsidR="006C50A1">
        <w:rPr>
          <w:rFonts w:eastAsia="Batang"/>
          <w:lang w:eastAsia="ko-KR"/>
        </w:rPr>
        <w:t xml:space="preserve"> data problem occurred </w:t>
      </w:r>
      <w:r w:rsidR="00AC7BA2">
        <w:rPr>
          <w:rFonts w:eastAsia="Batang"/>
          <w:lang w:eastAsia="ko-KR"/>
        </w:rPr>
        <w:t xml:space="preserve">earlier </w:t>
      </w:r>
      <w:r w:rsidR="006C50A1">
        <w:rPr>
          <w:rFonts w:eastAsia="Batang"/>
          <w:lang w:eastAsia="ko-KR"/>
        </w:rPr>
        <w:t>in China</w:t>
      </w:r>
      <w:r w:rsidR="00AC7BA2">
        <w:rPr>
          <w:rFonts w:eastAsia="Batang"/>
          <w:lang w:eastAsia="ko-KR"/>
        </w:rPr>
        <w:t xml:space="preserve"> when</w:t>
      </w:r>
      <w:r w:rsidR="006C50A1" w:rsidRPr="00106193">
        <w:rPr>
          <w:rFonts w:eastAsia="Batang"/>
          <w:lang w:eastAsia="ko-KR"/>
        </w:rPr>
        <w:t xml:space="preserve"> the per capita quantity of meat consumed appeared almost static</w:t>
      </w:r>
      <w:r w:rsidR="006C50A1">
        <w:rPr>
          <w:rFonts w:eastAsia="Batang"/>
          <w:lang w:eastAsia="ko-KR"/>
        </w:rPr>
        <w:t>,</w:t>
      </w:r>
      <w:r w:rsidR="006C50A1" w:rsidRPr="00106193">
        <w:rPr>
          <w:rFonts w:eastAsia="Batang"/>
          <w:lang w:eastAsia="ko-KR"/>
        </w:rPr>
        <w:t xml:space="preserve"> despite rapid</w:t>
      </w:r>
      <w:r w:rsidR="004B4282">
        <w:rPr>
          <w:rFonts w:eastAsia="Batang"/>
          <w:lang w:eastAsia="ko-KR"/>
        </w:rPr>
        <w:t>ly rising</w:t>
      </w:r>
      <w:r w:rsidR="006C50A1" w:rsidRPr="00106193">
        <w:rPr>
          <w:rFonts w:eastAsia="Batang"/>
          <w:lang w:eastAsia="ko-KR"/>
        </w:rPr>
        <w:t xml:space="preserve"> incomes</w:t>
      </w:r>
      <w:r w:rsidR="006C50A1">
        <w:rPr>
          <w:rFonts w:eastAsia="Batang"/>
          <w:lang w:eastAsia="ko-KR"/>
        </w:rPr>
        <w:t xml:space="preserve"> and </w:t>
      </w:r>
      <w:r w:rsidR="006C50A1" w:rsidRPr="00106193">
        <w:rPr>
          <w:rFonts w:eastAsia="Batang"/>
          <w:lang w:eastAsia="ko-KR"/>
        </w:rPr>
        <w:t>rapid growth in meat supply (</w:t>
      </w:r>
      <w:r w:rsidR="004E390C">
        <w:rPr>
          <w:rFonts w:eastAsia="Batang"/>
          <w:lang w:eastAsia="ko-KR"/>
        </w:rPr>
        <w:t xml:space="preserve">for example, </w:t>
      </w:r>
      <w:r w:rsidR="006C50A1">
        <w:rPr>
          <w:rFonts w:eastAsia="Batang"/>
          <w:lang w:eastAsia="ko-KR"/>
        </w:rPr>
        <w:t>pork supply appeared to be 45 percent</w:t>
      </w:r>
      <w:r w:rsidR="006C50A1" w:rsidRPr="00106193">
        <w:rPr>
          <w:rFonts w:eastAsia="Batang"/>
          <w:lang w:eastAsia="ko-KR"/>
        </w:rPr>
        <w:t xml:space="preserve"> higher than pork demand)</w:t>
      </w:r>
      <w:r w:rsidR="00AC7BA2">
        <w:rPr>
          <w:rFonts w:eastAsia="Batang"/>
          <w:lang w:eastAsia="ko-KR"/>
        </w:rPr>
        <w:t xml:space="preserve">. </w:t>
      </w:r>
      <w:r w:rsidR="006C50A1" w:rsidRPr="00106193">
        <w:rPr>
          <w:rFonts w:eastAsia="Batang"/>
          <w:lang w:eastAsia="ko-KR"/>
        </w:rPr>
        <w:t xml:space="preserve">At least part of this gap was due to the failure of </w:t>
      </w:r>
      <w:r w:rsidR="00D65EC8">
        <w:rPr>
          <w:rFonts w:eastAsia="Batang"/>
          <w:lang w:eastAsia="ko-KR"/>
        </w:rPr>
        <w:t xml:space="preserve">food </w:t>
      </w:r>
      <w:r w:rsidR="006C50A1" w:rsidRPr="00106193">
        <w:rPr>
          <w:rFonts w:eastAsia="Batang"/>
          <w:lang w:eastAsia="ko-KR"/>
        </w:rPr>
        <w:t>consumption statistics based on HCES data to account for the pork</w:t>
      </w:r>
      <w:r w:rsidR="006C50A1">
        <w:rPr>
          <w:rFonts w:eastAsia="Batang"/>
          <w:lang w:eastAsia="ko-KR"/>
        </w:rPr>
        <w:t xml:space="preserve"> consumed as meals during</w:t>
      </w:r>
      <w:r w:rsidR="006C50A1" w:rsidRPr="00106193">
        <w:rPr>
          <w:rFonts w:eastAsia="Batang"/>
          <w:lang w:eastAsia="ko-KR"/>
        </w:rPr>
        <w:t xml:space="preserve"> eating out occasions (Ma, Huang, Fuller and Rozelle</w:t>
      </w:r>
      <w:r w:rsidR="006C50A1" w:rsidRPr="004E390C">
        <w:rPr>
          <w:rFonts w:eastAsia="Batang"/>
          <w:b/>
          <w:lang w:eastAsia="ko-KR"/>
        </w:rPr>
        <w:t xml:space="preserve"> </w:t>
      </w:r>
      <w:r w:rsidR="006C50A1" w:rsidRPr="004E390C">
        <w:rPr>
          <w:rFonts w:eastAsia="Batang"/>
          <w:lang w:eastAsia="ko-KR"/>
        </w:rPr>
        <w:t>2006).</w:t>
      </w:r>
    </w:p>
    <w:p w:rsidR="00B34D5B" w:rsidRPr="004E390C" w:rsidRDefault="00B34D5B" w:rsidP="00C645CE">
      <w:pPr>
        <w:tabs>
          <w:tab w:val="left" w:pos="426"/>
        </w:tabs>
        <w:spacing w:line="288" w:lineRule="auto"/>
        <w:ind w:firstLine="720"/>
        <w:jc w:val="both"/>
        <w:rPr>
          <w:rFonts w:eastAsia="Batang"/>
          <w:b/>
          <w:lang w:eastAsia="ko-KR"/>
        </w:rPr>
      </w:pPr>
    </w:p>
    <w:p w:rsidR="000D6415" w:rsidRDefault="006C50A1" w:rsidP="00F84F88">
      <w:pPr>
        <w:tabs>
          <w:tab w:val="left" w:pos="426"/>
        </w:tabs>
        <w:spacing w:line="288" w:lineRule="auto"/>
        <w:ind w:firstLine="426"/>
        <w:jc w:val="both"/>
        <w:rPr>
          <w:rFonts w:eastAsia="Batang"/>
          <w:lang w:eastAsia="ko-KR"/>
        </w:rPr>
      </w:pPr>
      <w:r w:rsidRPr="004E390C">
        <w:rPr>
          <w:rFonts w:eastAsia="Batang"/>
          <w:lang w:eastAsia="ko-KR"/>
        </w:rPr>
        <w:t>Meals out are</w:t>
      </w:r>
      <w:r>
        <w:rPr>
          <w:rFonts w:eastAsia="Batang"/>
          <w:lang w:eastAsia="ko-KR"/>
        </w:rPr>
        <w:t xml:space="preserve"> highly income elastic and so their budget share rises with rising affluence, and they become the most important cat</w:t>
      </w:r>
      <w:r w:rsidR="0078540F">
        <w:rPr>
          <w:rFonts w:eastAsia="Batang"/>
          <w:lang w:eastAsia="ko-KR"/>
        </w:rPr>
        <w:t>egory of food expenditure. O</w:t>
      </w:r>
      <w:r>
        <w:rPr>
          <w:rFonts w:eastAsia="Batang"/>
          <w:lang w:eastAsia="ko-KR"/>
        </w:rPr>
        <w:t xml:space="preserve">ne would not know this from looking at </w:t>
      </w:r>
      <w:r w:rsidR="0078540F">
        <w:rPr>
          <w:rFonts w:eastAsia="Batang"/>
          <w:lang w:eastAsia="ko-KR"/>
        </w:rPr>
        <w:t xml:space="preserve">HCES </w:t>
      </w:r>
      <w:r>
        <w:rPr>
          <w:rFonts w:eastAsia="Batang"/>
          <w:lang w:eastAsia="ko-KR"/>
        </w:rPr>
        <w:t xml:space="preserve">questionnaires which have very many questions devoted to ingredients and few </w:t>
      </w:r>
      <w:r w:rsidR="00C253CC">
        <w:rPr>
          <w:rFonts w:eastAsia="Batang"/>
          <w:lang w:eastAsia="ko-KR"/>
        </w:rPr>
        <w:t xml:space="preserve">for </w:t>
      </w:r>
      <w:r>
        <w:rPr>
          <w:rFonts w:eastAsia="Batang"/>
          <w:lang w:eastAsia="ko-KR"/>
        </w:rPr>
        <w:t>meals</w:t>
      </w:r>
      <w:r w:rsidR="00AC7BA2">
        <w:rPr>
          <w:rFonts w:eastAsia="Batang"/>
          <w:lang w:eastAsia="ko-KR"/>
        </w:rPr>
        <w:t xml:space="preserve">. </w:t>
      </w:r>
      <w:r w:rsidR="004E390C">
        <w:rPr>
          <w:rFonts w:eastAsia="Batang"/>
          <w:lang w:eastAsia="ko-KR"/>
        </w:rPr>
        <w:t xml:space="preserve"> </w:t>
      </w:r>
      <w:r w:rsidR="00AC7BA2">
        <w:rPr>
          <w:rFonts w:eastAsia="Batang"/>
          <w:lang w:eastAsia="ko-KR"/>
        </w:rPr>
        <w:t>Figure 3</w:t>
      </w:r>
      <w:r>
        <w:rPr>
          <w:rFonts w:eastAsia="Batang"/>
          <w:lang w:eastAsia="ko-KR"/>
        </w:rPr>
        <w:t xml:space="preserve"> reports trends in the share of total food expenditure </w:t>
      </w:r>
      <w:r w:rsidR="00EA5653">
        <w:rPr>
          <w:rFonts w:eastAsia="Batang"/>
          <w:lang w:eastAsia="ko-KR"/>
        </w:rPr>
        <w:t xml:space="preserve">on </w:t>
      </w:r>
      <w:r>
        <w:rPr>
          <w:rFonts w:eastAsia="Batang"/>
          <w:lang w:eastAsia="ko-KR"/>
        </w:rPr>
        <w:t xml:space="preserve">eating out, for urban China and national Vietnam. The trend in this ratio is compared with the trend in the share of the food budget spent on the major ingredient – grains in urban China and rice in Vietnam. </w:t>
      </w:r>
      <w:r w:rsidRPr="00B4137D">
        <w:rPr>
          <w:rFonts w:eastAsia="Batang"/>
          <w:lang w:eastAsia="ko-KR"/>
        </w:rPr>
        <w:t>In urban China, the total for all grains, such as rice and wheat flour (in terms of what is acquired as ingredients</w:t>
      </w:r>
      <w:r w:rsidR="0078540F">
        <w:rPr>
          <w:rFonts w:eastAsia="Batang"/>
          <w:lang w:eastAsia="ko-KR"/>
        </w:rPr>
        <w:t>) fell</w:t>
      </w:r>
      <w:r w:rsidRPr="00B4137D">
        <w:rPr>
          <w:rFonts w:eastAsia="Batang"/>
          <w:lang w:eastAsia="ko-KR"/>
        </w:rPr>
        <w:t xml:space="preserve"> from one-seventh of all food spend</w:t>
      </w:r>
      <w:r w:rsidR="0078540F">
        <w:rPr>
          <w:rFonts w:eastAsia="Batang"/>
          <w:lang w:eastAsia="ko-KR"/>
        </w:rPr>
        <w:t xml:space="preserve">ing in 1996 to half </w:t>
      </w:r>
      <w:r w:rsidRPr="00B4137D">
        <w:rPr>
          <w:rFonts w:eastAsia="Batang"/>
          <w:lang w:eastAsia="ko-KR"/>
        </w:rPr>
        <w:t xml:space="preserve">that level by 2011. </w:t>
      </w:r>
      <w:r w:rsidR="0078540F">
        <w:rPr>
          <w:rFonts w:eastAsia="Batang"/>
          <w:lang w:eastAsia="ko-KR"/>
        </w:rPr>
        <w:t>Meanwhile eating out rose</w:t>
      </w:r>
      <w:r w:rsidRPr="007D3644">
        <w:rPr>
          <w:rFonts w:eastAsia="Batang"/>
          <w:lang w:eastAsia="ko-KR"/>
        </w:rPr>
        <w:t xml:space="preserve"> from under one-</w:t>
      </w:r>
      <w:r w:rsidR="000D6415">
        <w:rPr>
          <w:rFonts w:eastAsia="Batang"/>
          <w:lang w:eastAsia="ko-KR"/>
        </w:rPr>
        <w:t>tenth of the food budget to become</w:t>
      </w:r>
      <w:r w:rsidRPr="007D3644">
        <w:rPr>
          <w:rFonts w:eastAsia="Batang"/>
          <w:lang w:eastAsia="ko-KR"/>
        </w:rPr>
        <w:t xml:space="preserve"> almost one</w:t>
      </w:r>
      <w:r w:rsidR="00C571BA">
        <w:rPr>
          <w:rFonts w:eastAsia="Batang"/>
          <w:lang w:eastAsia="ko-KR"/>
        </w:rPr>
        <w:t>-quarter of total food spending</w:t>
      </w:r>
      <w:r w:rsidR="003F3DFB">
        <w:rPr>
          <w:rFonts w:eastAsia="Batang"/>
          <w:lang w:eastAsia="ko-KR"/>
        </w:rPr>
        <w:t>,</w:t>
      </w:r>
      <w:r w:rsidR="00C571BA">
        <w:rPr>
          <w:rFonts w:eastAsia="Batang"/>
          <w:lang w:eastAsia="ko-KR"/>
        </w:rPr>
        <w:t xml:space="preserve"> with t</w:t>
      </w:r>
      <w:r w:rsidR="000D6415">
        <w:rPr>
          <w:rFonts w:eastAsia="Batang"/>
          <w:lang w:eastAsia="ko-KR"/>
        </w:rPr>
        <w:t>he</w:t>
      </w:r>
      <w:r w:rsidR="00C571BA">
        <w:rPr>
          <w:rFonts w:eastAsia="Batang"/>
          <w:lang w:eastAsia="ko-KR"/>
        </w:rPr>
        <w:t xml:space="preserve"> two budget shares crossing</w:t>
      </w:r>
      <w:r>
        <w:rPr>
          <w:rFonts w:eastAsia="Batang"/>
          <w:lang w:eastAsia="ko-KR"/>
        </w:rPr>
        <w:t xml:space="preserve"> in 1998</w:t>
      </w:r>
      <w:r w:rsidR="00C571BA">
        <w:rPr>
          <w:rFonts w:eastAsia="Batang"/>
          <w:lang w:eastAsia="ko-KR"/>
        </w:rPr>
        <w:t>. W</w:t>
      </w:r>
      <w:r>
        <w:rPr>
          <w:rFonts w:eastAsia="Batang"/>
          <w:lang w:eastAsia="ko-KR"/>
        </w:rPr>
        <w:t>hen the series stops</w:t>
      </w:r>
      <w:r w:rsidR="00C571BA">
        <w:rPr>
          <w:rFonts w:eastAsia="Batang"/>
          <w:lang w:eastAsia="ko-KR"/>
        </w:rPr>
        <w:t>, in 2011</w:t>
      </w:r>
      <w:r>
        <w:rPr>
          <w:rFonts w:eastAsia="Batang"/>
          <w:lang w:eastAsia="ko-KR"/>
        </w:rPr>
        <w:t xml:space="preserve">, spending on eating out was almost three times spending on grains. </w:t>
      </w:r>
      <w:r w:rsidRPr="00B4137D">
        <w:rPr>
          <w:rFonts w:eastAsia="Batang"/>
          <w:lang w:eastAsia="ko-KR"/>
        </w:rPr>
        <w:t xml:space="preserve">A similar pattern is apparent in Vietnam, where </w:t>
      </w:r>
      <w:r>
        <w:rPr>
          <w:rFonts w:eastAsia="Batang"/>
          <w:lang w:eastAsia="ko-KR"/>
        </w:rPr>
        <w:t xml:space="preserve">spending on rice went from being one-third of total food spending in 1998 to </w:t>
      </w:r>
      <w:r w:rsidR="004B4282">
        <w:rPr>
          <w:rFonts w:eastAsia="Batang"/>
          <w:lang w:eastAsia="ko-KR"/>
        </w:rPr>
        <w:t>just one-eighth by 2012. I</w:t>
      </w:r>
      <w:r>
        <w:rPr>
          <w:rFonts w:eastAsia="Batang"/>
          <w:lang w:eastAsia="ko-KR"/>
        </w:rPr>
        <w:t xml:space="preserve">n the other direction spending on meals went from 10 percent to 24 percent. The crossing point occurred later than in urban China, in part because the results for Vietnam </w:t>
      </w:r>
      <w:r w:rsidR="00C571BA">
        <w:rPr>
          <w:rFonts w:eastAsia="Batang"/>
          <w:lang w:eastAsia="ko-KR"/>
        </w:rPr>
        <w:t>include rural areas</w:t>
      </w:r>
      <w:r>
        <w:rPr>
          <w:rFonts w:eastAsia="Batang"/>
          <w:lang w:eastAsia="ko-KR"/>
        </w:rPr>
        <w:t xml:space="preserve">, but the </w:t>
      </w:r>
      <w:r w:rsidR="004B4282">
        <w:rPr>
          <w:rFonts w:eastAsia="Batang"/>
          <w:lang w:eastAsia="ko-KR"/>
        </w:rPr>
        <w:t xml:space="preserve">pattern </w:t>
      </w:r>
      <w:r>
        <w:rPr>
          <w:rFonts w:eastAsia="Batang"/>
          <w:lang w:eastAsia="ko-KR"/>
        </w:rPr>
        <w:t xml:space="preserve">is the same. </w:t>
      </w:r>
    </w:p>
    <w:p w:rsidR="00B34D5B" w:rsidRDefault="00B34D5B" w:rsidP="00C645CE">
      <w:pPr>
        <w:tabs>
          <w:tab w:val="left" w:pos="426"/>
        </w:tabs>
        <w:spacing w:line="288" w:lineRule="auto"/>
        <w:ind w:firstLine="720"/>
        <w:jc w:val="both"/>
        <w:rPr>
          <w:rFonts w:eastAsia="Batang"/>
          <w:lang w:eastAsia="ko-KR"/>
        </w:rPr>
      </w:pPr>
    </w:p>
    <w:p w:rsidR="00D514C0" w:rsidRDefault="00D514C0" w:rsidP="00D514C0">
      <w:pPr>
        <w:tabs>
          <w:tab w:val="left" w:pos="426"/>
        </w:tabs>
        <w:spacing w:line="288" w:lineRule="auto"/>
        <w:ind w:firstLine="426"/>
        <w:jc w:val="both"/>
        <w:rPr>
          <w:rFonts w:eastAsia="Batang"/>
          <w:lang w:eastAsia="ko-KR"/>
        </w:rPr>
      </w:pPr>
      <w:r>
        <w:rPr>
          <w:rFonts w:eastAsia="Batang"/>
          <w:lang w:eastAsia="ko-KR"/>
        </w:rPr>
        <w:t xml:space="preserve">Yet despite the importance of meals this form of food consumption is largely ignored in existing HCES. </w:t>
      </w:r>
      <w:r w:rsidRPr="00B4137D">
        <w:rPr>
          <w:rFonts w:eastAsia="Batang"/>
          <w:lang w:eastAsia="ko-KR"/>
        </w:rPr>
        <w:t xml:space="preserve">Dupriez </w:t>
      </w:r>
      <w:r w:rsidRPr="00B34D5B">
        <w:rPr>
          <w:rFonts w:eastAsia="Batang"/>
          <w:i/>
          <w:lang w:eastAsia="ko-KR"/>
        </w:rPr>
        <w:t>et al</w:t>
      </w:r>
      <w:r>
        <w:rPr>
          <w:rFonts w:eastAsia="Batang"/>
          <w:i/>
          <w:lang w:eastAsia="ko-KR"/>
        </w:rPr>
        <w:t>.</w:t>
      </w:r>
      <w:r w:rsidRPr="00B4137D">
        <w:rPr>
          <w:rFonts w:eastAsia="Batang"/>
          <w:lang w:eastAsia="ko-KR"/>
        </w:rPr>
        <w:t xml:space="preserve"> (2014) </w:t>
      </w:r>
      <w:r>
        <w:rPr>
          <w:rFonts w:eastAsia="Batang"/>
          <w:lang w:eastAsia="ko-KR"/>
        </w:rPr>
        <w:t xml:space="preserve">provide metadata on </w:t>
      </w:r>
      <w:r w:rsidRPr="00B4137D">
        <w:rPr>
          <w:rFonts w:eastAsia="Batang"/>
          <w:lang w:eastAsia="ko-KR"/>
        </w:rPr>
        <w:t xml:space="preserve">dimensions </w:t>
      </w:r>
      <w:r>
        <w:rPr>
          <w:rFonts w:eastAsia="Batang"/>
          <w:lang w:eastAsia="ko-KR"/>
        </w:rPr>
        <w:t>of HCES design related to food acquisitions and consumption</w:t>
      </w:r>
      <w:r w:rsidRPr="00B4137D">
        <w:rPr>
          <w:rFonts w:eastAsia="Batang"/>
          <w:lang w:eastAsia="ko-KR"/>
        </w:rPr>
        <w:t xml:space="preserve"> from a sample of 100 low- and middle-income countries.</w:t>
      </w:r>
      <w:r>
        <w:rPr>
          <w:rFonts w:eastAsia="Batang"/>
          <w:lang w:eastAsia="ko-KR"/>
        </w:rPr>
        <w:t xml:space="preserve"> Most </w:t>
      </w:r>
      <w:r w:rsidRPr="00B4137D">
        <w:rPr>
          <w:rFonts w:eastAsia="Batang"/>
          <w:lang w:eastAsia="ko-KR"/>
        </w:rPr>
        <w:t>of these surveys use the interview method, where a single respondent reports on the household’s consumption and/or expenditure activities over some prior reference period(s). Amongst the interview surveys, the average number of groups in the food li</w:t>
      </w:r>
      <w:r>
        <w:rPr>
          <w:rFonts w:eastAsia="Batang"/>
          <w:lang w:eastAsia="ko-KR"/>
        </w:rPr>
        <w:t xml:space="preserve">st is 110 but an average of just </w:t>
      </w:r>
      <w:r w:rsidRPr="00B4137D">
        <w:rPr>
          <w:rFonts w:eastAsia="Batang"/>
          <w:lang w:eastAsia="ko-KR"/>
        </w:rPr>
        <w:t xml:space="preserve">three of these are for meals and other forms of food eaten away from home. In contrast, ingredients categories like cereals or vegetables each have an average of 14 groups. </w:t>
      </w:r>
      <w:r>
        <w:rPr>
          <w:rFonts w:eastAsia="Batang"/>
          <w:lang w:eastAsia="ko-KR"/>
        </w:rPr>
        <w:t xml:space="preserve">Moreover, while </w:t>
      </w:r>
      <w:r w:rsidRPr="00B4137D">
        <w:rPr>
          <w:rFonts w:eastAsia="Batang"/>
          <w:lang w:eastAsia="ko-KR"/>
        </w:rPr>
        <w:t xml:space="preserve">most food-at-home groups </w:t>
      </w:r>
      <w:r>
        <w:rPr>
          <w:rFonts w:eastAsia="Batang"/>
          <w:lang w:eastAsia="ko-KR"/>
        </w:rPr>
        <w:t xml:space="preserve">have data on the </w:t>
      </w:r>
      <w:r w:rsidRPr="00B4137D">
        <w:rPr>
          <w:rFonts w:eastAsia="Batang"/>
          <w:lang w:eastAsia="ko-KR"/>
        </w:rPr>
        <w:t xml:space="preserve">quantity </w:t>
      </w:r>
      <w:r>
        <w:rPr>
          <w:rFonts w:eastAsia="Batang"/>
          <w:lang w:eastAsia="ko-KR"/>
        </w:rPr>
        <w:t>bought</w:t>
      </w:r>
      <w:r w:rsidRPr="00B4137D">
        <w:rPr>
          <w:rFonts w:eastAsia="Batang"/>
          <w:lang w:eastAsia="ko-KR"/>
        </w:rPr>
        <w:t xml:space="preserve">, </w:t>
      </w:r>
      <w:r>
        <w:rPr>
          <w:rFonts w:eastAsia="Batang"/>
          <w:lang w:eastAsia="ko-KR"/>
        </w:rPr>
        <w:t xml:space="preserve">and the quantity </w:t>
      </w:r>
      <w:r w:rsidRPr="00B4137D">
        <w:rPr>
          <w:rFonts w:eastAsia="Batang"/>
          <w:lang w:eastAsia="ko-KR"/>
        </w:rPr>
        <w:t>self-produced or consumed</w:t>
      </w:r>
      <w:r>
        <w:rPr>
          <w:rFonts w:eastAsia="Batang"/>
          <w:lang w:eastAsia="ko-KR"/>
        </w:rPr>
        <w:t>, in</w:t>
      </w:r>
      <w:r w:rsidRPr="00B4137D">
        <w:rPr>
          <w:rFonts w:eastAsia="Batang"/>
          <w:lang w:eastAsia="ko-KR"/>
        </w:rPr>
        <w:t xml:space="preserve"> a majority of the surveys </w:t>
      </w:r>
      <w:r>
        <w:rPr>
          <w:rFonts w:eastAsia="Batang"/>
          <w:lang w:eastAsia="ko-KR"/>
        </w:rPr>
        <w:t xml:space="preserve">the </w:t>
      </w:r>
      <w:r w:rsidRPr="00B4137D">
        <w:rPr>
          <w:rFonts w:eastAsia="Batang"/>
          <w:lang w:eastAsia="ko-KR"/>
        </w:rPr>
        <w:t xml:space="preserve">questions about food eaten out of the home </w:t>
      </w:r>
      <w:r>
        <w:rPr>
          <w:rFonts w:eastAsia="Batang"/>
          <w:lang w:eastAsia="ko-KR"/>
        </w:rPr>
        <w:t xml:space="preserve">have no </w:t>
      </w:r>
      <w:r w:rsidRPr="00B4137D">
        <w:rPr>
          <w:rFonts w:eastAsia="Batang"/>
          <w:lang w:eastAsia="ko-KR"/>
        </w:rPr>
        <w:t>quantities reported</w:t>
      </w:r>
      <w:r>
        <w:rPr>
          <w:rFonts w:eastAsia="Batang"/>
          <w:lang w:eastAsia="ko-KR"/>
        </w:rPr>
        <w:t xml:space="preserve">. Thus it is impossible to know how many calories come from eating out of the home. In summary, HCES design is increasingly ill-suited to gathering the data needed for assessing the food consumption of a more affluent and more urban population. </w:t>
      </w:r>
    </w:p>
    <w:tbl>
      <w:tblPr>
        <w:tblStyle w:val="TableGrid"/>
        <w:tblW w:w="9427" w:type="dxa"/>
        <w:tblInd w:w="137" w:type="dxa"/>
        <w:tblLook w:val="04A0" w:firstRow="1" w:lastRow="0" w:firstColumn="1" w:lastColumn="0" w:noHBand="0" w:noVBand="1"/>
      </w:tblPr>
      <w:tblGrid>
        <w:gridCol w:w="9427"/>
      </w:tblGrid>
      <w:tr w:rsidR="009671AD" w:rsidTr="00AF7CBA">
        <w:tc>
          <w:tcPr>
            <w:tcW w:w="9427" w:type="dxa"/>
            <w:tcBorders>
              <w:top w:val="nil"/>
              <w:left w:val="nil"/>
              <w:bottom w:val="nil"/>
              <w:right w:val="nil"/>
            </w:tcBorders>
          </w:tcPr>
          <w:p w:rsidR="009671AD" w:rsidRDefault="009671AD" w:rsidP="00122C9F">
            <w:pPr>
              <w:keepNext/>
              <w:tabs>
                <w:tab w:val="left" w:pos="426"/>
              </w:tabs>
              <w:spacing w:after="120"/>
              <w:ind w:left="-284"/>
              <w:jc w:val="center"/>
              <w:rPr>
                <w:b/>
                <w:sz w:val="22"/>
                <w:szCs w:val="22"/>
                <w:lang w:bidi="he-IL"/>
              </w:rPr>
            </w:pPr>
            <w:r w:rsidRPr="00B34D5B">
              <w:rPr>
                <w:b/>
                <w:sz w:val="22"/>
                <w:szCs w:val="22"/>
                <w:lang w:bidi="he-IL"/>
              </w:rPr>
              <w:lastRenderedPageBreak/>
              <w:t>Figure 3: Changing Importance of Food Ingredients and Eating Out</w:t>
            </w:r>
          </w:p>
          <w:p w:rsidR="00D514C0" w:rsidRPr="00B34D5B" w:rsidRDefault="00D514C0" w:rsidP="00C645CE">
            <w:pPr>
              <w:tabs>
                <w:tab w:val="left" w:pos="426"/>
              </w:tabs>
              <w:spacing w:after="120"/>
              <w:ind w:left="-284"/>
              <w:jc w:val="center"/>
              <w:rPr>
                <w:b/>
                <w:sz w:val="22"/>
                <w:szCs w:val="22"/>
                <w:lang w:bidi="he-IL"/>
              </w:rPr>
            </w:pPr>
          </w:p>
        </w:tc>
      </w:tr>
      <w:tr w:rsidR="009671AD" w:rsidTr="00AF7CBA">
        <w:tc>
          <w:tcPr>
            <w:tcW w:w="9427" w:type="dxa"/>
            <w:tcBorders>
              <w:top w:val="nil"/>
              <w:left w:val="nil"/>
              <w:bottom w:val="nil"/>
              <w:right w:val="nil"/>
            </w:tcBorders>
          </w:tcPr>
          <w:p w:rsidR="009671AD" w:rsidRDefault="009671AD" w:rsidP="00C645CE">
            <w:pPr>
              <w:tabs>
                <w:tab w:val="left" w:pos="426"/>
              </w:tabs>
              <w:ind w:left="-284"/>
              <w:jc w:val="center"/>
              <w:rPr>
                <w:szCs w:val="20"/>
                <w:lang w:bidi="he-IL"/>
              </w:rPr>
            </w:pPr>
            <w:r>
              <w:rPr>
                <w:noProof/>
                <w:lang w:val="en-NZ" w:eastAsia="en-NZ"/>
              </w:rPr>
              <w:drawing>
                <wp:inline distT="0" distB="0" distL="0" distR="0" wp14:anchorId="60CF697C" wp14:editId="100E95FD">
                  <wp:extent cx="5093747" cy="365760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cstate="print"/>
                          <a:srcRect/>
                          <a:stretch>
                            <a:fillRect/>
                          </a:stretch>
                        </pic:blipFill>
                        <pic:spPr bwMode="auto">
                          <a:xfrm>
                            <a:off x="0" y="0"/>
                            <a:ext cx="5156867" cy="3702924"/>
                          </a:xfrm>
                          <a:prstGeom prst="rect">
                            <a:avLst/>
                          </a:prstGeom>
                          <a:noFill/>
                        </pic:spPr>
                      </pic:pic>
                    </a:graphicData>
                  </a:graphic>
                </wp:inline>
              </w:drawing>
            </w:r>
          </w:p>
          <w:p w:rsidR="00D514C0" w:rsidRDefault="00D514C0" w:rsidP="00C645CE">
            <w:pPr>
              <w:tabs>
                <w:tab w:val="left" w:pos="426"/>
              </w:tabs>
              <w:ind w:left="-284"/>
              <w:jc w:val="center"/>
              <w:rPr>
                <w:szCs w:val="20"/>
                <w:lang w:bidi="he-IL"/>
              </w:rPr>
            </w:pPr>
          </w:p>
          <w:p w:rsidR="00D347ED" w:rsidRDefault="00D347ED" w:rsidP="00C645CE">
            <w:pPr>
              <w:tabs>
                <w:tab w:val="left" w:pos="426"/>
              </w:tabs>
              <w:ind w:left="-284"/>
              <w:jc w:val="center"/>
              <w:rPr>
                <w:szCs w:val="20"/>
                <w:lang w:bidi="he-IL"/>
              </w:rPr>
            </w:pPr>
          </w:p>
          <w:p w:rsidR="00D514C0" w:rsidRDefault="00D514C0" w:rsidP="00C645CE">
            <w:pPr>
              <w:tabs>
                <w:tab w:val="left" w:pos="426"/>
              </w:tabs>
              <w:ind w:left="-284"/>
              <w:jc w:val="center"/>
              <w:rPr>
                <w:szCs w:val="20"/>
                <w:lang w:bidi="he-IL"/>
              </w:rPr>
            </w:pPr>
          </w:p>
        </w:tc>
      </w:tr>
      <w:tr w:rsidR="009671AD" w:rsidTr="00AF7CBA">
        <w:tc>
          <w:tcPr>
            <w:tcW w:w="9427" w:type="dxa"/>
            <w:tcBorders>
              <w:top w:val="nil"/>
              <w:left w:val="nil"/>
              <w:bottom w:val="nil"/>
              <w:right w:val="nil"/>
            </w:tcBorders>
          </w:tcPr>
          <w:p w:rsidR="009671AD" w:rsidRDefault="009671AD" w:rsidP="00C645CE">
            <w:pPr>
              <w:tabs>
                <w:tab w:val="left" w:pos="426"/>
              </w:tabs>
              <w:ind w:left="-284"/>
              <w:jc w:val="center"/>
              <w:rPr>
                <w:szCs w:val="20"/>
                <w:lang w:bidi="he-IL"/>
              </w:rPr>
            </w:pPr>
            <w:r>
              <w:rPr>
                <w:noProof/>
                <w:lang w:val="en-NZ" w:eastAsia="en-NZ"/>
              </w:rPr>
              <w:drawing>
                <wp:inline distT="0" distB="0" distL="0" distR="0" wp14:anchorId="6E713CB5" wp14:editId="0932EE5C">
                  <wp:extent cx="5102592" cy="3663950"/>
                  <wp:effectExtent l="0" t="0" r="317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1"/>
                          <pic:cNvPicPr>
                            <a:picLocks noChangeAspect="1" noChangeArrowheads="1"/>
                          </pic:cNvPicPr>
                        </pic:nvPicPr>
                        <pic:blipFill>
                          <a:blip r:embed="rId12" cstate="print"/>
                          <a:srcRect/>
                          <a:stretch>
                            <a:fillRect/>
                          </a:stretch>
                        </pic:blipFill>
                        <pic:spPr bwMode="auto">
                          <a:xfrm>
                            <a:off x="0" y="0"/>
                            <a:ext cx="5116105" cy="3673653"/>
                          </a:xfrm>
                          <a:prstGeom prst="rect">
                            <a:avLst/>
                          </a:prstGeom>
                          <a:noFill/>
                        </pic:spPr>
                      </pic:pic>
                    </a:graphicData>
                  </a:graphic>
                </wp:inline>
              </w:drawing>
            </w:r>
          </w:p>
        </w:tc>
      </w:tr>
    </w:tbl>
    <w:p w:rsidR="00134275" w:rsidRDefault="00134275" w:rsidP="00C645CE">
      <w:pPr>
        <w:tabs>
          <w:tab w:val="left" w:pos="426"/>
        </w:tabs>
        <w:spacing w:line="288" w:lineRule="auto"/>
        <w:ind w:firstLine="426"/>
        <w:jc w:val="both"/>
      </w:pPr>
    </w:p>
    <w:p w:rsidR="00134275" w:rsidRDefault="00134275">
      <w:r>
        <w:br w:type="page"/>
      </w:r>
    </w:p>
    <w:p w:rsidR="000D6415" w:rsidRPr="000D6415" w:rsidRDefault="004B4282" w:rsidP="00C645CE">
      <w:pPr>
        <w:tabs>
          <w:tab w:val="left" w:pos="426"/>
        </w:tabs>
        <w:spacing w:line="288" w:lineRule="auto"/>
        <w:ind w:firstLine="426"/>
        <w:jc w:val="both"/>
      </w:pPr>
      <w:r>
        <w:lastRenderedPageBreak/>
        <w:t xml:space="preserve">Even within ingredients lists there are problems, since </w:t>
      </w:r>
      <w:r w:rsidRPr="004B4282">
        <w:t>rising affluence sees diets diversify away from the limited set of ingredients used when people were poorer.</w:t>
      </w:r>
      <w:r>
        <w:t xml:space="preserve"> </w:t>
      </w:r>
      <w:r w:rsidRPr="004B4282">
        <w:t xml:space="preserve">Thus more expenditure occurs in </w:t>
      </w:r>
      <w:r w:rsidR="005F08EE">
        <w:t>the catchall categories</w:t>
      </w:r>
      <w:r w:rsidR="00C95199">
        <w:t xml:space="preserve"> a</w:t>
      </w:r>
      <w:r w:rsidR="000D6415" w:rsidRPr="000D6415">
        <w:t xml:space="preserve">t the end of the list for </w:t>
      </w:r>
      <w:r w:rsidR="005F08EE">
        <w:t xml:space="preserve">types of </w:t>
      </w:r>
      <w:r w:rsidR="000D6415" w:rsidRPr="000D6415">
        <w:t>ingredients (such as ‘all meats not otherwise specified’</w:t>
      </w:r>
      <w:r w:rsidR="00C95199">
        <w:t>)</w:t>
      </w:r>
      <w:r w:rsidR="000D6415" w:rsidRPr="000D6415">
        <w:t xml:space="preserve">. </w:t>
      </w:r>
      <w:r w:rsidR="00C95199">
        <w:t xml:space="preserve">The </w:t>
      </w:r>
      <w:r w:rsidR="000D6415" w:rsidRPr="000D6415">
        <w:t xml:space="preserve">foods in the catchall are too heterogeneous to allow easy recall of </w:t>
      </w:r>
      <w:r w:rsidR="005F08EE">
        <w:t>mixed quantities</w:t>
      </w:r>
      <w:r w:rsidR="000D6415" w:rsidRPr="000D6415">
        <w:t xml:space="preserve"> so usually just monetary values are reported. </w:t>
      </w:r>
      <w:r w:rsidR="005F08EE">
        <w:t xml:space="preserve">Thus, the </w:t>
      </w:r>
      <w:r w:rsidR="000D6415" w:rsidRPr="000D6415">
        <w:t>contribution to nutrition from these income elastic catchall groups is missed.</w:t>
      </w:r>
      <w:r w:rsidR="005F08EE">
        <w:t xml:space="preserve"> Moreover, w</w:t>
      </w:r>
      <w:r w:rsidR="00CD20F8">
        <w:t>ith no</w:t>
      </w:r>
      <w:r w:rsidR="000D6415" w:rsidRPr="000D6415">
        <w:t xml:space="preserve"> quantities and prices for </w:t>
      </w:r>
      <w:r w:rsidR="00CD20F8">
        <w:t>the catchall groups</w:t>
      </w:r>
      <w:r w:rsidR="000D6415" w:rsidRPr="000D6415">
        <w:t xml:space="preserve">, it becomes harder to take account of spatial and temporal price variation; </w:t>
      </w:r>
      <w:r w:rsidR="005F08EE">
        <w:t xml:space="preserve">apparently </w:t>
      </w:r>
      <w:r w:rsidR="000D6415" w:rsidRPr="000D6415">
        <w:t xml:space="preserve">rising inequality could just be </w:t>
      </w:r>
      <w:r w:rsidR="005F08EE">
        <w:t xml:space="preserve">more spending on </w:t>
      </w:r>
      <w:r w:rsidR="000D6415" w:rsidRPr="000D6415">
        <w:t>residual category foods</w:t>
      </w:r>
      <w:r w:rsidR="005F08EE">
        <w:t xml:space="preserve">, which have </w:t>
      </w:r>
      <w:r w:rsidR="000D6415" w:rsidRPr="000D6415">
        <w:t>rising prices</w:t>
      </w:r>
      <w:r w:rsidR="00CD20F8">
        <w:t xml:space="preserve"> due to the rise in </w:t>
      </w:r>
      <w:r w:rsidR="005F08EE">
        <w:t xml:space="preserve">their </w:t>
      </w:r>
      <w:r w:rsidR="00CD20F8">
        <w:t>demand</w:t>
      </w:r>
      <w:r w:rsidR="005F08EE">
        <w:t>, and constant-price inequality may be unchanged</w:t>
      </w:r>
      <w:r w:rsidR="000D6415" w:rsidRPr="000D6415">
        <w:t>.</w:t>
      </w:r>
    </w:p>
    <w:p w:rsidR="00512FEC" w:rsidRDefault="00512FEC" w:rsidP="00C645CE">
      <w:pPr>
        <w:tabs>
          <w:tab w:val="left" w:pos="426"/>
        </w:tabs>
        <w:spacing w:line="288" w:lineRule="auto"/>
        <w:ind w:firstLine="720"/>
        <w:jc w:val="both"/>
      </w:pPr>
    </w:p>
    <w:p w:rsidR="007E3C10" w:rsidRPr="007E3C10" w:rsidRDefault="007E3C10" w:rsidP="00C645CE">
      <w:pPr>
        <w:tabs>
          <w:tab w:val="left" w:pos="426"/>
        </w:tabs>
        <w:spacing w:line="288" w:lineRule="auto"/>
        <w:ind w:firstLine="720"/>
        <w:jc w:val="both"/>
        <w:rPr>
          <w:sz w:val="12"/>
          <w:szCs w:val="12"/>
        </w:rPr>
      </w:pPr>
    </w:p>
    <w:p w:rsidR="002B7592" w:rsidRDefault="00E07393" w:rsidP="00C645CE">
      <w:pPr>
        <w:tabs>
          <w:tab w:val="left" w:pos="426"/>
        </w:tabs>
        <w:spacing w:line="288" w:lineRule="auto"/>
        <w:jc w:val="both"/>
        <w:rPr>
          <w:b/>
        </w:rPr>
      </w:pPr>
      <w:r>
        <w:rPr>
          <w:b/>
        </w:rPr>
        <w:t xml:space="preserve">4. </w:t>
      </w:r>
      <w:r w:rsidR="00734FBD">
        <w:rPr>
          <w:b/>
        </w:rPr>
        <w:t xml:space="preserve"> </w:t>
      </w:r>
      <w:r w:rsidR="00622FE6">
        <w:rPr>
          <w:b/>
        </w:rPr>
        <w:t>PROBLEMS IN MEASURING HOUSING SERVICES</w:t>
      </w:r>
    </w:p>
    <w:p w:rsidR="00B34D5B" w:rsidRPr="00B34D5B" w:rsidRDefault="00B34D5B" w:rsidP="00C645CE">
      <w:pPr>
        <w:tabs>
          <w:tab w:val="left" w:pos="426"/>
        </w:tabs>
        <w:spacing w:line="288" w:lineRule="auto"/>
        <w:jc w:val="both"/>
        <w:rPr>
          <w:b/>
          <w:sz w:val="12"/>
          <w:szCs w:val="12"/>
        </w:rPr>
      </w:pPr>
    </w:p>
    <w:p w:rsidR="0052634C" w:rsidRDefault="0052634C" w:rsidP="00C645CE">
      <w:pPr>
        <w:tabs>
          <w:tab w:val="left" w:pos="426"/>
        </w:tabs>
        <w:spacing w:line="288" w:lineRule="auto"/>
        <w:jc w:val="both"/>
        <w:rPr>
          <w:rFonts w:eastAsia="Batang"/>
          <w:lang w:eastAsia="ko-KR"/>
        </w:rPr>
      </w:pPr>
      <w:r>
        <w:rPr>
          <w:rFonts w:eastAsia="Batang"/>
          <w:lang w:eastAsia="ko-KR"/>
        </w:rPr>
        <w:t xml:space="preserve">The other form of </w:t>
      </w:r>
      <w:r w:rsidR="005F08EE">
        <w:rPr>
          <w:rFonts w:eastAsia="Batang"/>
          <w:lang w:eastAsia="ko-KR"/>
        </w:rPr>
        <w:t xml:space="preserve">poorly-measured </w:t>
      </w:r>
      <w:r>
        <w:rPr>
          <w:rFonts w:eastAsia="Batang"/>
          <w:lang w:eastAsia="ko-KR"/>
        </w:rPr>
        <w:t>consumption whose high income elasticity</w:t>
      </w:r>
      <w:r w:rsidR="005F08EE">
        <w:rPr>
          <w:rFonts w:eastAsia="Batang"/>
          <w:lang w:eastAsia="ko-KR"/>
        </w:rPr>
        <w:t xml:space="preserve"> makes it of growing importance</w:t>
      </w:r>
      <w:r>
        <w:rPr>
          <w:rFonts w:eastAsia="Batang"/>
          <w:lang w:eastAsia="ko-KR"/>
        </w:rPr>
        <w:t xml:space="preserve"> is housing. With rising affluence</w:t>
      </w:r>
      <w:r w:rsidR="005F08EE">
        <w:rPr>
          <w:rFonts w:eastAsia="Batang"/>
          <w:lang w:eastAsia="ko-KR"/>
        </w:rPr>
        <w:t>,</w:t>
      </w:r>
      <w:r>
        <w:rPr>
          <w:rFonts w:eastAsia="Batang"/>
          <w:lang w:eastAsia="ko-KR"/>
        </w:rPr>
        <w:t xml:space="preserve"> housing eventually becomes the largest household budge</w:t>
      </w:r>
      <w:r w:rsidR="005F08EE">
        <w:rPr>
          <w:rFonts w:eastAsia="Batang"/>
          <w:lang w:eastAsia="ko-KR"/>
        </w:rPr>
        <w:t xml:space="preserve">t item; for example, </w:t>
      </w:r>
      <w:r w:rsidR="005F08EE" w:rsidRPr="005F08EE">
        <w:rPr>
          <w:rFonts w:eastAsia="Batang"/>
          <w:lang w:eastAsia="ko-KR"/>
        </w:rPr>
        <w:t xml:space="preserve">44 percent </w:t>
      </w:r>
      <w:r w:rsidR="005F08EE">
        <w:rPr>
          <w:rFonts w:eastAsia="Batang"/>
          <w:lang w:eastAsia="ko-KR"/>
        </w:rPr>
        <w:t>of a U.S.</w:t>
      </w:r>
      <w:r>
        <w:rPr>
          <w:rFonts w:eastAsia="Batang"/>
          <w:lang w:eastAsia="ko-KR"/>
        </w:rPr>
        <w:t xml:space="preserve"> cost-of-living index </w:t>
      </w:r>
      <w:r w:rsidR="005F08EE">
        <w:rPr>
          <w:rFonts w:eastAsia="Batang"/>
          <w:lang w:eastAsia="ko-KR"/>
        </w:rPr>
        <w:t xml:space="preserve">is housing </w:t>
      </w:r>
      <w:r w:rsidR="004E390C">
        <w:rPr>
          <w:rFonts w:eastAsia="Batang"/>
          <w:lang w:eastAsia="ko-KR"/>
        </w:rPr>
        <w:t>(Jolliffe</w:t>
      </w:r>
      <w:r>
        <w:rPr>
          <w:rFonts w:eastAsia="Batang"/>
          <w:lang w:eastAsia="ko-KR"/>
        </w:rPr>
        <w:t xml:space="preserve"> 2006). Ideally, surveys would </w:t>
      </w:r>
      <w:r w:rsidR="005F08EE">
        <w:rPr>
          <w:rFonts w:eastAsia="Batang"/>
          <w:lang w:eastAsia="ko-KR"/>
        </w:rPr>
        <w:t xml:space="preserve">enable </w:t>
      </w:r>
      <w:r>
        <w:rPr>
          <w:rFonts w:eastAsia="Batang"/>
          <w:lang w:eastAsia="ko-KR"/>
        </w:rPr>
        <w:t>consumption of housing services to be calculated for both renters and owner</w:t>
      </w:r>
      <w:r w:rsidR="003F3DFB">
        <w:rPr>
          <w:rFonts w:eastAsia="Batang"/>
          <w:lang w:eastAsia="ko-KR"/>
        </w:rPr>
        <w:t>-occupier</w:t>
      </w:r>
      <w:r>
        <w:rPr>
          <w:rFonts w:eastAsia="Batang"/>
          <w:lang w:eastAsia="ko-KR"/>
        </w:rPr>
        <w:t>s. Similarly, variation in the price of housing</w:t>
      </w:r>
      <w:r w:rsidR="00CD20F8">
        <w:rPr>
          <w:rFonts w:eastAsia="Batang"/>
          <w:lang w:eastAsia="ko-KR"/>
        </w:rPr>
        <w:t xml:space="preserve"> services over time and space w</w:t>
      </w:r>
      <w:r>
        <w:rPr>
          <w:rFonts w:eastAsia="Batang"/>
          <w:lang w:eastAsia="ko-KR"/>
        </w:rPr>
        <w:t xml:space="preserve">ould be measured </w:t>
      </w:r>
      <w:r w:rsidR="005F08EE">
        <w:rPr>
          <w:rFonts w:eastAsia="Batang"/>
          <w:lang w:eastAsia="ko-KR"/>
        </w:rPr>
        <w:t xml:space="preserve">so as </w:t>
      </w:r>
      <w:r w:rsidR="00CD20F8">
        <w:rPr>
          <w:rFonts w:eastAsia="Batang"/>
          <w:lang w:eastAsia="ko-KR"/>
        </w:rPr>
        <w:t>to</w:t>
      </w:r>
      <w:r w:rsidR="005F08EE">
        <w:rPr>
          <w:rFonts w:eastAsia="Batang"/>
          <w:lang w:eastAsia="ko-KR"/>
        </w:rPr>
        <w:t xml:space="preserve"> put </w:t>
      </w:r>
      <w:r w:rsidR="00AB2DCA">
        <w:rPr>
          <w:rFonts w:eastAsia="Batang"/>
          <w:lang w:eastAsia="ko-KR"/>
        </w:rPr>
        <w:t xml:space="preserve">consumption, </w:t>
      </w:r>
      <w:r w:rsidR="005F08EE">
        <w:rPr>
          <w:rFonts w:eastAsia="Batang"/>
          <w:lang w:eastAsia="ko-KR"/>
        </w:rPr>
        <w:t>poverty</w:t>
      </w:r>
      <w:r w:rsidR="00AB2DCA">
        <w:rPr>
          <w:rFonts w:eastAsia="Batang"/>
          <w:lang w:eastAsia="ko-KR"/>
        </w:rPr>
        <w:t>, a</w:t>
      </w:r>
      <w:r w:rsidR="005F08EE">
        <w:rPr>
          <w:rFonts w:eastAsia="Batang"/>
          <w:lang w:eastAsia="ko-KR"/>
        </w:rPr>
        <w:t>nd inequality estimates</w:t>
      </w:r>
      <w:r w:rsidR="00CD20F8">
        <w:rPr>
          <w:rFonts w:eastAsia="Batang"/>
          <w:lang w:eastAsia="ko-KR"/>
        </w:rPr>
        <w:t xml:space="preserve"> </w:t>
      </w:r>
      <w:r>
        <w:rPr>
          <w:rFonts w:eastAsia="Batang"/>
          <w:lang w:eastAsia="ko-KR"/>
        </w:rPr>
        <w:t xml:space="preserve">in real terms. While most household surveys </w:t>
      </w:r>
      <w:r w:rsidR="00CD20F8">
        <w:rPr>
          <w:rFonts w:eastAsia="Batang"/>
          <w:lang w:eastAsia="ko-KR"/>
        </w:rPr>
        <w:t xml:space="preserve">ask for </w:t>
      </w:r>
      <w:r>
        <w:rPr>
          <w:rFonts w:eastAsia="Batang"/>
          <w:lang w:eastAsia="ko-KR"/>
        </w:rPr>
        <w:t xml:space="preserve">actual rents paid, in many developing countries renters are a small minority </w:t>
      </w:r>
      <w:r w:rsidR="00CD20F8">
        <w:rPr>
          <w:rFonts w:eastAsia="Batang"/>
          <w:lang w:eastAsia="ko-KR"/>
        </w:rPr>
        <w:t xml:space="preserve">so it is hard </w:t>
      </w:r>
      <w:r>
        <w:rPr>
          <w:rFonts w:eastAsia="Batang"/>
          <w:lang w:eastAsia="ko-KR"/>
        </w:rPr>
        <w:t xml:space="preserve">to extrapolate from rents paid by these renters to imputed rents for others. Moreover, most surveys do not collect </w:t>
      </w:r>
      <w:r w:rsidR="003F3DFB">
        <w:rPr>
          <w:rFonts w:eastAsia="Batang"/>
          <w:lang w:eastAsia="ko-KR"/>
        </w:rPr>
        <w:t xml:space="preserve">the data </w:t>
      </w:r>
      <w:r>
        <w:rPr>
          <w:rFonts w:eastAsia="Batang"/>
          <w:lang w:eastAsia="ko-KR"/>
        </w:rPr>
        <w:t xml:space="preserve">needed on either replacement costs for dwellings, or historical costs, life expectancies and depreciation rates that could enable the flow of </w:t>
      </w:r>
      <w:r w:rsidR="005F08EE">
        <w:rPr>
          <w:rFonts w:eastAsia="Batang"/>
          <w:lang w:eastAsia="ko-KR"/>
        </w:rPr>
        <w:t xml:space="preserve">housing </w:t>
      </w:r>
      <w:r>
        <w:rPr>
          <w:rFonts w:eastAsia="Batang"/>
          <w:lang w:eastAsia="ko-KR"/>
        </w:rPr>
        <w:t>services pro</w:t>
      </w:r>
      <w:r w:rsidR="003F3DFB">
        <w:rPr>
          <w:rFonts w:eastAsia="Batang"/>
          <w:lang w:eastAsia="ko-KR"/>
        </w:rPr>
        <w:t>vided by the dwelling to be estimat</w:t>
      </w:r>
      <w:r>
        <w:rPr>
          <w:rFonts w:eastAsia="Batang"/>
          <w:lang w:eastAsia="ko-KR"/>
        </w:rPr>
        <w:t xml:space="preserve">ed. </w:t>
      </w:r>
    </w:p>
    <w:p w:rsidR="00B34D5B" w:rsidRDefault="00B34D5B" w:rsidP="00C645CE">
      <w:pPr>
        <w:tabs>
          <w:tab w:val="left" w:pos="426"/>
        </w:tabs>
        <w:spacing w:line="288" w:lineRule="auto"/>
        <w:jc w:val="both"/>
        <w:rPr>
          <w:rFonts w:eastAsia="Batang"/>
          <w:lang w:eastAsia="ko-KR"/>
        </w:rPr>
      </w:pPr>
    </w:p>
    <w:p w:rsidR="00622FE6" w:rsidRDefault="00CD20F8" w:rsidP="00C645CE">
      <w:pPr>
        <w:tabs>
          <w:tab w:val="left" w:pos="426"/>
        </w:tabs>
        <w:spacing w:line="288" w:lineRule="auto"/>
        <w:ind w:firstLine="426"/>
        <w:jc w:val="both"/>
        <w:rPr>
          <w:lang w:val="en-NZ"/>
        </w:rPr>
      </w:pPr>
      <w:r>
        <w:rPr>
          <w:rFonts w:eastAsia="Batang"/>
          <w:lang w:eastAsia="ko-KR"/>
        </w:rPr>
        <w:t xml:space="preserve">Indeed, some </w:t>
      </w:r>
      <w:r w:rsidR="0052634C">
        <w:rPr>
          <w:rFonts w:eastAsia="Batang"/>
          <w:lang w:eastAsia="ko-KR"/>
        </w:rPr>
        <w:t xml:space="preserve">surveys do such a poor job that consumption of housing </w:t>
      </w:r>
      <w:r w:rsidR="00CE22D3">
        <w:rPr>
          <w:rFonts w:eastAsia="Batang"/>
          <w:lang w:eastAsia="ko-KR"/>
        </w:rPr>
        <w:t xml:space="preserve">services </w:t>
      </w:r>
      <w:r w:rsidR="0052634C">
        <w:rPr>
          <w:rFonts w:eastAsia="Batang"/>
          <w:lang w:eastAsia="ko-KR"/>
        </w:rPr>
        <w:t>is dropped fr</w:t>
      </w:r>
      <w:r w:rsidR="004E390C">
        <w:rPr>
          <w:rFonts w:eastAsia="Batang"/>
          <w:lang w:eastAsia="ko-KR"/>
        </w:rPr>
        <w:t>om analyses (Deaton and Dupriez</w:t>
      </w:r>
      <w:r w:rsidR="0052634C">
        <w:rPr>
          <w:rFonts w:eastAsia="Batang"/>
          <w:lang w:eastAsia="ko-KR"/>
        </w:rPr>
        <w:t xml:space="preserve"> 2011). An equivalent treatment is to assume </w:t>
      </w:r>
      <w:r w:rsidR="00CE22D3">
        <w:rPr>
          <w:rFonts w:eastAsia="Batang"/>
          <w:lang w:eastAsia="ko-KR"/>
        </w:rPr>
        <w:t xml:space="preserve">that </w:t>
      </w:r>
      <w:r w:rsidR="0052634C">
        <w:rPr>
          <w:rFonts w:eastAsia="Batang"/>
          <w:lang w:eastAsia="ko-KR"/>
        </w:rPr>
        <w:t xml:space="preserve">housing has </w:t>
      </w:r>
      <w:r w:rsidR="0052634C" w:rsidRPr="009B0A85">
        <w:rPr>
          <w:rFonts w:eastAsia="Batang"/>
          <w:bCs/>
          <w:lang w:val="en-NZ" w:eastAsia="ko-KR"/>
        </w:rPr>
        <w:t xml:space="preserve">a constant budget share so </w:t>
      </w:r>
      <w:r w:rsidR="0052634C">
        <w:rPr>
          <w:rFonts w:eastAsia="Batang"/>
          <w:bCs/>
          <w:lang w:val="en-NZ" w:eastAsia="ko-KR"/>
        </w:rPr>
        <w:t xml:space="preserve">that this form of consumption can be </w:t>
      </w:r>
      <w:r w:rsidR="0052634C" w:rsidRPr="009B0A85">
        <w:rPr>
          <w:rFonts w:eastAsia="Batang"/>
          <w:bCs/>
          <w:lang w:val="en-NZ" w:eastAsia="ko-KR"/>
        </w:rPr>
        <w:t>impute</w:t>
      </w:r>
      <w:r w:rsidR="0052634C">
        <w:rPr>
          <w:rFonts w:eastAsia="Batang"/>
          <w:bCs/>
          <w:lang w:val="en-NZ" w:eastAsia="ko-KR"/>
        </w:rPr>
        <w:t xml:space="preserve">d as a simple ratio to the value of consumption in the </w:t>
      </w:r>
      <w:r w:rsidR="0052634C" w:rsidRPr="009B0A85">
        <w:rPr>
          <w:rFonts w:eastAsia="Batang"/>
          <w:bCs/>
          <w:lang w:val="en-NZ" w:eastAsia="ko-KR"/>
        </w:rPr>
        <w:t xml:space="preserve">parts of the budget that are better measured by surveys. </w:t>
      </w:r>
      <w:r w:rsidR="00D65EC8">
        <w:rPr>
          <w:lang w:val="en-NZ"/>
        </w:rPr>
        <w:t>For example, poverty measurement</w:t>
      </w:r>
      <w:r w:rsidR="0052634C">
        <w:rPr>
          <w:lang w:val="en-NZ"/>
        </w:rPr>
        <w:t xml:space="preserve"> in Vietnam from the 1990s though 2008 </w:t>
      </w:r>
      <w:r>
        <w:rPr>
          <w:lang w:val="en-NZ"/>
        </w:rPr>
        <w:t xml:space="preserve">treated consumption of housing </w:t>
      </w:r>
      <w:r w:rsidR="0052634C">
        <w:rPr>
          <w:lang w:val="en-NZ"/>
        </w:rPr>
        <w:t xml:space="preserve">as </w:t>
      </w:r>
      <w:r w:rsidR="0052634C" w:rsidRPr="00EE6317">
        <w:rPr>
          <w:lang w:val="en-NZ"/>
        </w:rPr>
        <w:t>a constant proportion of oth</w:t>
      </w:r>
      <w:r w:rsidR="00CE22D3">
        <w:rPr>
          <w:lang w:val="en-NZ"/>
        </w:rPr>
        <w:t>er non</w:t>
      </w:r>
      <w:r w:rsidR="00D65EC8">
        <w:rPr>
          <w:lang w:val="en-NZ"/>
        </w:rPr>
        <w:t>-</w:t>
      </w:r>
      <w:r w:rsidR="00CE22D3">
        <w:rPr>
          <w:lang w:val="en-NZ"/>
        </w:rPr>
        <w:t xml:space="preserve">food consumption so </w:t>
      </w:r>
      <w:r w:rsidR="0052634C">
        <w:rPr>
          <w:lang w:val="en-NZ"/>
        </w:rPr>
        <w:t xml:space="preserve">housing </w:t>
      </w:r>
      <w:r w:rsidR="00EA5653">
        <w:rPr>
          <w:lang w:val="en-NZ"/>
        </w:rPr>
        <w:t xml:space="preserve">was an unchanged </w:t>
      </w:r>
      <w:r>
        <w:rPr>
          <w:lang w:val="en-NZ"/>
        </w:rPr>
        <w:t>six percent</w:t>
      </w:r>
      <w:r w:rsidR="0052634C">
        <w:rPr>
          <w:lang w:val="en-NZ"/>
        </w:rPr>
        <w:t xml:space="preserve"> </w:t>
      </w:r>
      <w:r w:rsidR="004E390C">
        <w:rPr>
          <w:lang w:val="en-NZ"/>
        </w:rPr>
        <w:t>of the total budget (World Bank</w:t>
      </w:r>
      <w:r w:rsidR="0052634C">
        <w:rPr>
          <w:lang w:val="en-NZ"/>
        </w:rPr>
        <w:t xml:space="preserve"> 2012)</w:t>
      </w:r>
      <w:r>
        <w:rPr>
          <w:lang w:val="en-NZ"/>
        </w:rPr>
        <w:t>. When this assumption was dropp</w:t>
      </w:r>
      <w:r w:rsidR="0052634C">
        <w:rPr>
          <w:lang w:val="en-NZ"/>
        </w:rPr>
        <w:t xml:space="preserve">ed, and </w:t>
      </w:r>
      <w:r w:rsidR="006902C5">
        <w:rPr>
          <w:lang w:val="en-NZ"/>
        </w:rPr>
        <w:t xml:space="preserve">the </w:t>
      </w:r>
      <w:r w:rsidR="0052634C">
        <w:rPr>
          <w:lang w:val="en-NZ"/>
        </w:rPr>
        <w:t xml:space="preserve">estimated </w:t>
      </w:r>
      <w:r w:rsidR="006902C5">
        <w:rPr>
          <w:lang w:val="en-NZ"/>
        </w:rPr>
        <w:t xml:space="preserve">value of </w:t>
      </w:r>
      <w:r w:rsidR="0052634C">
        <w:rPr>
          <w:lang w:val="en-NZ"/>
        </w:rPr>
        <w:t xml:space="preserve">housing consumption was </w:t>
      </w:r>
      <w:r w:rsidR="006F1A3D">
        <w:rPr>
          <w:lang w:val="en-NZ"/>
        </w:rPr>
        <w:t>deriv</w:t>
      </w:r>
      <w:r w:rsidR="006902C5">
        <w:rPr>
          <w:lang w:val="en-NZ"/>
        </w:rPr>
        <w:t xml:space="preserve">ed </w:t>
      </w:r>
      <w:r w:rsidR="006F1A3D">
        <w:rPr>
          <w:lang w:val="en-NZ"/>
        </w:rPr>
        <w:t xml:space="preserve">by applying </w:t>
      </w:r>
      <w:r w:rsidR="006F1A3D" w:rsidRPr="006F1A3D">
        <w:rPr>
          <w:lang w:val="en-NZ"/>
        </w:rPr>
        <w:t xml:space="preserve">the rent-to-value ratio of renters </w:t>
      </w:r>
      <w:r w:rsidR="006F1A3D">
        <w:rPr>
          <w:lang w:val="en-NZ"/>
        </w:rPr>
        <w:t xml:space="preserve">to the </w:t>
      </w:r>
      <w:r w:rsidR="0052634C">
        <w:rPr>
          <w:lang w:val="en-NZ"/>
        </w:rPr>
        <w:t>dwelling values</w:t>
      </w:r>
      <w:r w:rsidR="006F1A3D">
        <w:rPr>
          <w:lang w:val="en-NZ"/>
        </w:rPr>
        <w:t xml:space="preserve"> </w:t>
      </w:r>
      <w:r w:rsidR="00742BE2">
        <w:rPr>
          <w:lang w:val="en-NZ"/>
        </w:rPr>
        <w:t>that</w:t>
      </w:r>
      <w:r w:rsidR="006F1A3D">
        <w:rPr>
          <w:lang w:val="en-NZ"/>
        </w:rPr>
        <w:t xml:space="preserve"> owner-occupiers</w:t>
      </w:r>
      <w:r w:rsidR="00742BE2">
        <w:rPr>
          <w:lang w:val="en-NZ"/>
        </w:rPr>
        <w:t xml:space="preserve"> reported</w:t>
      </w:r>
      <w:r w:rsidR="0052634C">
        <w:rPr>
          <w:lang w:val="en-NZ"/>
        </w:rPr>
        <w:t>, the average share of housing in household budgets rose to 15 percent. Moreover, housing was estimated to be 27 percent of the budget for people in the richest quintile and just eight perc</w:t>
      </w:r>
      <w:r w:rsidR="00CE22D3">
        <w:rPr>
          <w:lang w:val="en-NZ"/>
        </w:rPr>
        <w:t>ent f</w:t>
      </w:r>
      <w:r w:rsidR="00D65EC8">
        <w:rPr>
          <w:lang w:val="en-NZ"/>
        </w:rPr>
        <w:t>or the poorest quintile, suggest</w:t>
      </w:r>
      <w:r w:rsidR="00CE22D3">
        <w:rPr>
          <w:lang w:val="en-NZ"/>
        </w:rPr>
        <w:t>ing that</w:t>
      </w:r>
      <w:r w:rsidR="0052634C">
        <w:rPr>
          <w:lang w:val="en-NZ"/>
        </w:rPr>
        <w:t xml:space="preserve"> the assumption about constant housing shares </w:t>
      </w:r>
      <w:r>
        <w:rPr>
          <w:lang w:val="en-NZ"/>
        </w:rPr>
        <w:t xml:space="preserve">had </w:t>
      </w:r>
      <w:r w:rsidR="0052634C">
        <w:rPr>
          <w:lang w:val="en-NZ"/>
        </w:rPr>
        <w:t xml:space="preserve">greatly </w:t>
      </w:r>
      <w:r>
        <w:rPr>
          <w:lang w:val="en-NZ"/>
        </w:rPr>
        <w:t xml:space="preserve">understated </w:t>
      </w:r>
      <w:r w:rsidR="0052634C">
        <w:rPr>
          <w:lang w:val="en-NZ"/>
        </w:rPr>
        <w:t>inequality.</w:t>
      </w:r>
    </w:p>
    <w:p w:rsidR="00B34D5B" w:rsidRPr="0052634C" w:rsidRDefault="00B34D5B" w:rsidP="00C645CE">
      <w:pPr>
        <w:tabs>
          <w:tab w:val="left" w:pos="426"/>
        </w:tabs>
        <w:spacing w:line="288" w:lineRule="auto"/>
        <w:ind w:firstLine="720"/>
        <w:jc w:val="both"/>
        <w:rPr>
          <w:rFonts w:eastAsia="Batang"/>
          <w:lang w:eastAsia="ko-KR"/>
        </w:rPr>
      </w:pPr>
    </w:p>
    <w:p w:rsidR="00134275" w:rsidRDefault="00CE22D3" w:rsidP="00BA794B">
      <w:pPr>
        <w:tabs>
          <w:tab w:val="left" w:pos="426"/>
        </w:tabs>
        <w:spacing w:line="288" w:lineRule="auto"/>
        <w:ind w:firstLine="426"/>
        <w:jc w:val="both"/>
      </w:pPr>
      <w:r>
        <w:rPr>
          <w:rFonts w:eastAsia="Batang"/>
          <w:bCs/>
          <w:lang w:val="en-NZ" w:eastAsia="ko-KR"/>
        </w:rPr>
        <w:t xml:space="preserve">Treating housing </w:t>
      </w:r>
      <w:r w:rsidR="0052634C">
        <w:rPr>
          <w:rFonts w:eastAsia="Batang"/>
          <w:bCs/>
          <w:lang w:val="en-NZ" w:eastAsia="ko-KR"/>
        </w:rPr>
        <w:t>as a fixed ratio to other forms of consumption also ignores the implications of the Balassa-Samuelson effect, that prices of non-traded goods are</w:t>
      </w:r>
      <w:r>
        <w:rPr>
          <w:rFonts w:eastAsia="Batang"/>
          <w:bCs/>
          <w:lang w:val="en-NZ" w:eastAsia="ko-KR"/>
        </w:rPr>
        <w:t xml:space="preserve"> higher in </w:t>
      </w:r>
      <w:r>
        <w:rPr>
          <w:rFonts w:eastAsia="Batang"/>
          <w:bCs/>
          <w:lang w:val="en-NZ" w:eastAsia="ko-KR"/>
        </w:rPr>
        <w:lastRenderedPageBreak/>
        <w:t>richer areas. H</w:t>
      </w:r>
      <w:r w:rsidR="0052634C">
        <w:rPr>
          <w:rFonts w:eastAsia="Batang"/>
          <w:bCs/>
          <w:lang w:val="en-NZ" w:eastAsia="ko-KR"/>
        </w:rPr>
        <w:t>ousing is the</w:t>
      </w:r>
      <w:r>
        <w:rPr>
          <w:rFonts w:eastAsia="Batang"/>
          <w:bCs/>
          <w:lang w:val="en-NZ" w:eastAsia="ko-KR"/>
        </w:rPr>
        <w:t xml:space="preserve"> quintessential non-tra</w:t>
      </w:r>
      <w:r w:rsidR="00BC6B55">
        <w:rPr>
          <w:rFonts w:eastAsia="Batang"/>
          <w:bCs/>
          <w:lang w:val="en-NZ" w:eastAsia="ko-KR"/>
        </w:rPr>
        <w:t xml:space="preserve">ded </w:t>
      </w:r>
      <w:r>
        <w:rPr>
          <w:rFonts w:eastAsia="Batang"/>
          <w:bCs/>
          <w:lang w:val="en-NZ" w:eastAsia="ko-KR"/>
        </w:rPr>
        <w:t>so</w:t>
      </w:r>
      <w:r w:rsidR="0052634C">
        <w:rPr>
          <w:rFonts w:eastAsia="Batang"/>
          <w:bCs/>
          <w:lang w:val="en-NZ" w:eastAsia="ko-KR"/>
        </w:rPr>
        <w:t xml:space="preserve"> it </w:t>
      </w:r>
      <w:r>
        <w:rPr>
          <w:rFonts w:eastAsia="Batang"/>
          <w:bCs/>
          <w:lang w:val="en-NZ" w:eastAsia="ko-KR"/>
        </w:rPr>
        <w:t xml:space="preserve">is </w:t>
      </w:r>
      <w:r w:rsidR="0052634C">
        <w:rPr>
          <w:rFonts w:eastAsia="Batang"/>
          <w:bCs/>
          <w:lang w:val="en-NZ" w:eastAsia="ko-KR"/>
        </w:rPr>
        <w:t>expected that rich</w:t>
      </w:r>
      <w:r>
        <w:rPr>
          <w:rFonts w:eastAsia="Batang"/>
          <w:bCs/>
          <w:lang w:val="en-NZ" w:eastAsia="ko-KR"/>
        </w:rPr>
        <w:t xml:space="preserve">er areas will </w:t>
      </w:r>
      <w:r w:rsidR="0052634C">
        <w:rPr>
          <w:rFonts w:eastAsia="Batang"/>
          <w:bCs/>
          <w:lang w:val="en-NZ" w:eastAsia="ko-KR"/>
        </w:rPr>
        <w:t>have higher housing prices, and that these spatial price differentials will grow over time as an economy urbanizes and becomes</w:t>
      </w:r>
      <w:r w:rsidR="00BC6B55">
        <w:rPr>
          <w:rFonts w:eastAsia="Batang"/>
          <w:bCs/>
          <w:lang w:val="en-NZ" w:eastAsia="ko-KR"/>
        </w:rPr>
        <w:t xml:space="preserve"> richer</w:t>
      </w:r>
      <w:r w:rsidR="0052634C">
        <w:rPr>
          <w:rFonts w:eastAsia="Batang"/>
          <w:bCs/>
          <w:lang w:val="en-NZ" w:eastAsia="ko-KR"/>
        </w:rPr>
        <w:t xml:space="preserve">. </w:t>
      </w:r>
      <w:r>
        <w:rPr>
          <w:rFonts w:eastAsia="Batang"/>
          <w:bCs/>
          <w:lang w:val="en-NZ" w:eastAsia="ko-KR"/>
        </w:rPr>
        <w:t xml:space="preserve">So if housing consumption and prices are poorly measured (or not measured at all) </w:t>
      </w:r>
      <w:r w:rsidR="0052634C">
        <w:rPr>
          <w:rFonts w:eastAsia="Batang"/>
          <w:bCs/>
          <w:lang w:val="en-NZ" w:eastAsia="ko-KR"/>
        </w:rPr>
        <w:t xml:space="preserve">what is interpreted as rising inequality may just be increasing spatial price differences. </w:t>
      </w:r>
      <w:r w:rsidR="0052634C" w:rsidRPr="009B0A85">
        <w:rPr>
          <w:rFonts w:eastAsia="Batang"/>
          <w:bCs/>
          <w:lang w:eastAsia="ko-KR"/>
        </w:rPr>
        <w:t xml:space="preserve">For example, </w:t>
      </w:r>
      <w:r>
        <w:rPr>
          <w:rFonts w:eastAsia="Batang"/>
          <w:bCs/>
          <w:lang w:eastAsia="ko-KR"/>
        </w:rPr>
        <w:t>Li and Gibson</w:t>
      </w:r>
      <w:r w:rsidRPr="00CE22D3">
        <w:rPr>
          <w:rFonts w:eastAsia="Batang"/>
          <w:bCs/>
          <w:lang w:eastAsia="ko-KR"/>
        </w:rPr>
        <w:t xml:space="preserve"> </w:t>
      </w:r>
      <w:r>
        <w:rPr>
          <w:rFonts w:eastAsia="Batang"/>
          <w:bCs/>
          <w:lang w:eastAsia="ko-KR"/>
        </w:rPr>
        <w:t>(</w:t>
      </w:r>
      <w:r w:rsidRPr="00CE22D3">
        <w:rPr>
          <w:rFonts w:eastAsia="Batang"/>
          <w:bCs/>
          <w:lang w:eastAsia="ko-KR"/>
        </w:rPr>
        <w:t>2014)</w:t>
      </w:r>
      <w:r w:rsidR="006B21F1">
        <w:rPr>
          <w:rFonts w:eastAsia="Batang"/>
          <w:bCs/>
          <w:lang w:eastAsia="ko-KR"/>
        </w:rPr>
        <w:t xml:space="preserve"> construct a spatial price index for urban China </w:t>
      </w:r>
      <w:r w:rsidR="00BC6B55">
        <w:rPr>
          <w:rFonts w:eastAsia="Batang"/>
          <w:bCs/>
          <w:lang w:eastAsia="ko-KR"/>
        </w:rPr>
        <w:t xml:space="preserve">and find </w:t>
      </w:r>
      <w:r w:rsidR="00BC6B55" w:rsidRPr="00DE7ECC">
        <w:t xml:space="preserve">nominal incomes outside Beijing </w:t>
      </w:r>
      <w:r w:rsidR="00BC6B55">
        <w:t>need to be inflated 33 percent</w:t>
      </w:r>
      <w:r w:rsidR="00BC6B55" w:rsidRPr="00DE7ECC">
        <w:t xml:space="preserve"> to put them on a comparable cost-of-living basis, even allowing just housing costs to differ between Beijing and other cities</w:t>
      </w:r>
      <w:r w:rsidR="00BC6B55">
        <w:t xml:space="preserve">. </w:t>
      </w:r>
    </w:p>
    <w:p w:rsidR="00134275" w:rsidRDefault="00134275" w:rsidP="00C645CE">
      <w:pPr>
        <w:tabs>
          <w:tab w:val="left" w:pos="426"/>
        </w:tabs>
        <w:spacing w:line="288" w:lineRule="auto"/>
        <w:ind w:firstLine="720"/>
        <w:jc w:val="both"/>
      </w:pPr>
    </w:p>
    <w:p w:rsidR="00BC6B55" w:rsidRDefault="00BC6B55" w:rsidP="00134275">
      <w:pPr>
        <w:tabs>
          <w:tab w:val="left" w:pos="426"/>
        </w:tabs>
        <w:spacing w:line="288" w:lineRule="auto"/>
        <w:ind w:firstLine="426"/>
        <w:jc w:val="both"/>
        <w:rPr>
          <w:bCs/>
        </w:rPr>
      </w:pPr>
      <w:r w:rsidRPr="00BC6B55">
        <w:t xml:space="preserve">Figure 4 shows what happens to measured inequality if no account is taken of this spatial variation in the cost of living. Inequality is overstated by up to 35 percent </w:t>
      </w:r>
      <w:r>
        <w:t xml:space="preserve">if one is </w:t>
      </w:r>
      <w:r w:rsidRPr="00BC6B55">
        <w:t>using the Theil index and considerin</w:t>
      </w:r>
      <w:r>
        <w:t>g inter-provincial differences</w:t>
      </w:r>
      <w:r w:rsidRPr="00BC6B55">
        <w:t xml:space="preserve">. </w:t>
      </w:r>
      <w:r w:rsidR="00A43326">
        <w:t>W</w:t>
      </w:r>
      <w:r>
        <w:t xml:space="preserve">ithin-province </w:t>
      </w:r>
      <w:r w:rsidRPr="00BC6B55">
        <w:t>heterogeneity</w:t>
      </w:r>
      <w:r w:rsidR="00A43326">
        <w:t xml:space="preserve"> means that</w:t>
      </w:r>
      <w:r w:rsidRPr="00BC6B55">
        <w:t xml:space="preserve"> there is more inequality at city level </w:t>
      </w:r>
      <w:r w:rsidR="00A43326">
        <w:t xml:space="preserve">than </w:t>
      </w:r>
      <w:r w:rsidR="00AB2DCA">
        <w:t xml:space="preserve">at </w:t>
      </w:r>
      <w:r w:rsidR="00A43326">
        <w:t xml:space="preserve">province level, so </w:t>
      </w:r>
      <w:r w:rsidRPr="00BC6B55">
        <w:t xml:space="preserve">the </w:t>
      </w:r>
      <w:r w:rsidR="00AB2DCA">
        <w:t xml:space="preserve">relative </w:t>
      </w:r>
      <w:r>
        <w:t xml:space="preserve">exaggeration </w:t>
      </w:r>
      <w:r w:rsidRPr="00BC6B55">
        <w:t xml:space="preserve">from not </w:t>
      </w:r>
      <w:r>
        <w:t xml:space="preserve">accounting for housing cost variation </w:t>
      </w:r>
      <w:r w:rsidR="00A43326">
        <w:t xml:space="preserve">is slightly less – </w:t>
      </w:r>
      <w:r w:rsidRPr="00BC6B55">
        <w:t>30 percent</w:t>
      </w:r>
      <w:r w:rsidR="00A43326">
        <w:t xml:space="preserve"> – at city level</w:t>
      </w:r>
      <w:r w:rsidRPr="00BC6B55">
        <w:t>.</w:t>
      </w:r>
      <w:r w:rsidR="003F3DFB">
        <w:t xml:space="preserve"> </w:t>
      </w:r>
      <w:r w:rsidR="00A43326">
        <w:rPr>
          <w:bCs/>
        </w:rPr>
        <w:t>Also, t</w:t>
      </w:r>
      <w:r w:rsidR="003F3DFB" w:rsidRPr="003F3DFB">
        <w:rPr>
          <w:bCs/>
        </w:rPr>
        <w:t xml:space="preserve">he over-stated inequality is not as great if inequality </w:t>
      </w:r>
      <w:r w:rsidR="006902C5">
        <w:rPr>
          <w:bCs/>
        </w:rPr>
        <w:t>is measured with the Gini index</w:t>
      </w:r>
      <w:r w:rsidR="00A43326">
        <w:rPr>
          <w:bCs/>
        </w:rPr>
        <w:t>, where</w:t>
      </w:r>
      <w:r w:rsidR="003F3DFB" w:rsidRPr="003F3DFB">
        <w:rPr>
          <w:bCs/>
        </w:rPr>
        <w:t xml:space="preserve"> not deflating for spatial c</w:t>
      </w:r>
      <w:r w:rsidR="00A43326">
        <w:rPr>
          <w:bCs/>
        </w:rPr>
        <w:t xml:space="preserve">ost of living differences </w:t>
      </w:r>
      <w:r w:rsidR="003F3DFB" w:rsidRPr="003F3DFB">
        <w:rPr>
          <w:bCs/>
        </w:rPr>
        <w:t>cases an upward bias in the Gini coefficient of 15-16%.</w:t>
      </w:r>
      <w:r w:rsidR="006902C5" w:rsidRPr="006902C5">
        <w:rPr>
          <w:bCs/>
          <w:vertAlign w:val="superscript"/>
        </w:rPr>
        <w:footnoteReference w:id="4"/>
      </w:r>
    </w:p>
    <w:p w:rsidR="00C335F4" w:rsidRPr="00BC6B55" w:rsidRDefault="00C335F4" w:rsidP="00C645CE">
      <w:pPr>
        <w:tabs>
          <w:tab w:val="left" w:pos="426"/>
        </w:tabs>
        <w:spacing w:line="288" w:lineRule="auto"/>
        <w:ind w:firstLine="720"/>
        <w:jc w:val="both"/>
      </w:pPr>
    </w:p>
    <w:p w:rsidR="00B34D5B" w:rsidRDefault="00122C9F" w:rsidP="00C645CE">
      <w:pPr>
        <w:tabs>
          <w:tab w:val="left" w:pos="426"/>
        </w:tabs>
        <w:spacing w:line="288" w:lineRule="auto"/>
        <w:jc w:val="both"/>
        <w:rPr>
          <w:rFonts w:eastAsia="Batang"/>
          <w:bCs/>
          <w:lang w:eastAsia="ko-KR"/>
        </w:rPr>
      </w:pPr>
      <w:r>
        <w:rPr>
          <w:noProof/>
          <w:lang w:val="en-NZ" w:eastAsia="en-NZ"/>
        </w:rPr>
        <mc:AlternateContent>
          <mc:Choice Requires="wps">
            <w:drawing>
              <wp:anchor distT="0" distB="0" distL="114300" distR="114300" simplePos="0" relativeHeight="251669504" behindDoc="0" locked="0" layoutInCell="1" allowOverlap="1" wp14:anchorId="0F4C0EF8" wp14:editId="73E6EF12">
                <wp:simplePos x="0" y="0"/>
                <wp:positionH relativeFrom="column">
                  <wp:posOffset>411480</wp:posOffset>
                </wp:positionH>
                <wp:positionV relativeFrom="paragraph">
                  <wp:posOffset>3256280</wp:posOffset>
                </wp:positionV>
                <wp:extent cx="2065655" cy="234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C9F" w:rsidRPr="00285E17" w:rsidRDefault="00122C9F" w:rsidP="00122C9F">
                            <w:pPr>
                              <w:rPr>
                                <w:sz w:val="20"/>
                                <w:szCs w:val="20"/>
                              </w:rPr>
                            </w:pPr>
                            <w:r>
                              <w:t>Theil</w:t>
                            </w:r>
                            <w:r w:rsidRPr="00285E17">
                              <w:t xml:space="preserve"> Index</w:t>
                            </w:r>
                            <w:r w:rsidRPr="00285E17">
                              <w:rPr>
                                <w:sz w:val="20"/>
                                <w:szCs w:val="20"/>
                              </w:rPr>
                              <w:t xml:space="preserve"> (</w:t>
                            </w:r>
                            <w:r>
                              <w:rPr>
                                <w:sz w:val="20"/>
                                <w:szCs w:val="20"/>
                              </w:rPr>
                              <w:t>Real, Province-level=1)</w:t>
                            </w:r>
                          </w:p>
                        </w:txbxContent>
                      </wps:txbx>
                      <wps:bodyPr rot="0" vert="horz" wrap="square" lIns="18000" tIns="18000" rIns="18000" bIns="18000" anchor="t" anchorCtr="0" upright="1">
                        <a:noAutofit/>
                      </wps:bodyPr>
                    </wps:wsp>
                  </a:graphicData>
                </a:graphic>
              </wp:anchor>
            </w:drawing>
          </mc:Choice>
          <mc:Fallback xmlns:w15="http://schemas.microsoft.com/office/word/2012/wordml">
            <w:pict>
              <v:shapetype w14:anchorId="0F4C0EF8" id="_x0000_t202" coordsize="21600,21600" o:spt="202" path="m,l,21600r21600,l21600,xe">
                <v:stroke joinstyle="miter"/>
                <v:path gradientshapeok="t" o:connecttype="rect"/>
              </v:shapetype>
              <v:shape id="Text Box 4" o:spid="_x0000_s1026" type="#_x0000_t202" style="position:absolute;left:0;text-align:left;margin-left:32.4pt;margin-top:256.4pt;width:162.65pt;height:18.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OrfAIAAA8FAAAOAAAAZHJzL2Uyb0RvYy54bWysVNmO2yAUfa/Uf0C8Z7yMncb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" stroked="f">
                <v:textbox inset=".5mm,.5mm,.5mm,.5mm">
                  <w:txbxContent>
                    <w:p w:rsidR="00122C9F" w:rsidRPr="00285E17" w:rsidRDefault="00122C9F" w:rsidP="00122C9F">
                      <w:pPr>
                        <w:rPr>
                          <w:sz w:val="20"/>
                          <w:szCs w:val="20"/>
                        </w:rPr>
                      </w:pPr>
                      <w:r>
                        <w:t>Theil</w:t>
                      </w:r>
                      <w:r w:rsidRPr="00285E17">
                        <w:t xml:space="preserve"> Index</w:t>
                      </w:r>
                      <w:r w:rsidRPr="00285E17">
                        <w:rPr>
                          <w:sz w:val="20"/>
                          <w:szCs w:val="20"/>
                        </w:rPr>
                        <w:t xml:space="preserve"> (</w:t>
                      </w:r>
                      <w:r>
                        <w:rPr>
                          <w:sz w:val="20"/>
                          <w:szCs w:val="20"/>
                        </w:rPr>
                        <w:t>Real, Province-level=1)</w:t>
                      </w:r>
                    </w:p>
                  </w:txbxContent>
                </v:textbox>
              </v:shape>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0F03D47C" wp14:editId="20FB6567">
                <wp:simplePos x="0" y="0"/>
                <wp:positionH relativeFrom="column">
                  <wp:posOffset>3627120</wp:posOffset>
                </wp:positionH>
                <wp:positionV relativeFrom="paragraph">
                  <wp:posOffset>3248660</wp:posOffset>
                </wp:positionV>
                <wp:extent cx="2065655" cy="2343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C9F" w:rsidRPr="00285E17" w:rsidRDefault="00122C9F" w:rsidP="00122C9F">
                            <w:pPr>
                              <w:rPr>
                                <w:sz w:val="20"/>
                                <w:szCs w:val="20"/>
                              </w:rPr>
                            </w:pPr>
                            <w:r>
                              <w:t>Gini</w:t>
                            </w:r>
                            <w:r w:rsidRPr="00285E17">
                              <w:t xml:space="preserve"> Index</w:t>
                            </w:r>
                            <w:r w:rsidRPr="00285E17">
                              <w:rPr>
                                <w:sz w:val="20"/>
                                <w:szCs w:val="20"/>
                              </w:rPr>
                              <w:t xml:space="preserve"> (</w:t>
                            </w:r>
                            <w:r>
                              <w:rPr>
                                <w:sz w:val="20"/>
                                <w:szCs w:val="20"/>
                              </w:rPr>
                              <w:t>Real, Province-level=1)</w:t>
                            </w:r>
                          </w:p>
                        </w:txbxContent>
                      </wps:txbx>
                      <wps:bodyPr rot="0" vert="horz" wrap="square" lIns="18000" tIns="18000" rIns="18000" bIns="18000" anchor="t" anchorCtr="0" upright="1">
                        <a:noAutofit/>
                      </wps:bodyPr>
                    </wps:wsp>
                  </a:graphicData>
                </a:graphic>
              </wp:anchor>
            </w:drawing>
          </mc:Choice>
          <mc:Fallback xmlns:w15="http://schemas.microsoft.com/office/word/2012/wordml">
            <w:pict>
              <v:shape w14:anchorId="0F03D47C" id="Text Box 16" o:spid="_x0000_s1027" type="#_x0000_t202" style="position:absolute;left:0;text-align:left;margin-left:285.6pt;margin-top:255.8pt;width:162.65pt;height:18.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RfgAIAABgFAAAOAAAAZHJzL2Uyb0RvYy54bWysVNmO2yAUfa/Uf0C8Z7yMncb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" stroked="f">
                <v:textbox inset=".5mm,.5mm,.5mm,.5mm">
                  <w:txbxContent>
                    <w:p w:rsidR="00122C9F" w:rsidRPr="00285E17" w:rsidRDefault="00122C9F" w:rsidP="00122C9F">
                      <w:pPr>
                        <w:rPr>
                          <w:sz w:val="20"/>
                          <w:szCs w:val="20"/>
                        </w:rPr>
                      </w:pPr>
                      <w:r>
                        <w:t>Gini</w:t>
                      </w:r>
                      <w:r w:rsidRPr="00285E17">
                        <w:t xml:space="preserve"> Index</w:t>
                      </w:r>
                      <w:r w:rsidRPr="00285E17">
                        <w:rPr>
                          <w:sz w:val="20"/>
                          <w:szCs w:val="20"/>
                        </w:rPr>
                        <w:t xml:space="preserve"> (</w:t>
                      </w:r>
                      <w:r>
                        <w:rPr>
                          <w:sz w:val="20"/>
                          <w:szCs w:val="20"/>
                        </w:rPr>
                        <w:t>Real, Province-level=1)</w:t>
                      </w:r>
                    </w:p>
                  </w:txbxContent>
                </v:textbox>
              </v:shape>
            </w:pict>
          </mc:Fallback>
        </mc:AlternateContent>
      </w:r>
      <w:r w:rsidR="005E399A">
        <w:rPr>
          <w:noProof/>
          <w:lang w:val="en-NZ" w:eastAsia="en-NZ"/>
        </w:rPr>
        <mc:AlternateContent>
          <mc:Choice Requires="wps">
            <w:drawing>
              <wp:anchor distT="0" distB="0" distL="114300" distR="114300" simplePos="0" relativeHeight="251665408" behindDoc="0" locked="0" layoutInCell="1" allowOverlap="1" wp14:anchorId="676DD76A" wp14:editId="7BEDE3C8">
                <wp:simplePos x="0" y="0"/>
                <wp:positionH relativeFrom="column">
                  <wp:posOffset>4907280</wp:posOffset>
                </wp:positionH>
                <wp:positionV relativeFrom="paragraph">
                  <wp:posOffset>1583055</wp:posOffset>
                </wp:positionV>
                <wp:extent cx="795020" cy="2343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9A" w:rsidRDefault="005E399A" w:rsidP="005E399A">
                            <w:r>
                              <w:t>16% bias</w:t>
                            </w:r>
                          </w:p>
                        </w:txbxContent>
                      </wps:txbx>
                      <wps:bodyPr rot="0" vert="horz" wrap="square" lIns="18000" tIns="18000" rIns="18000" bIns="18000" anchor="t" anchorCtr="0" upright="1">
                        <a:noAutofit/>
                      </wps:bodyPr>
                    </wps:wsp>
                  </a:graphicData>
                </a:graphic>
              </wp:anchor>
            </w:drawing>
          </mc:Choice>
          <mc:Fallback xmlns:w15="http://schemas.microsoft.com/office/word/2012/wordml">
            <w:pict>
              <v:shape w14:anchorId="676DD76A" id="Text Box 3" o:spid="_x0000_s1028" type="#_x0000_t202" style="position:absolute;left:0;text-align:left;margin-left:386.4pt;margin-top:124.65pt;width:62.6pt;height:18.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" stroked="f">
                <v:textbox inset=".5mm,.5mm,.5mm,.5mm">
                  <w:txbxContent>
                    <w:p w:rsidR="005E399A" w:rsidRDefault="005E399A" w:rsidP="005E399A">
                      <w:r>
                        <w:t>1</w:t>
                      </w:r>
                      <w:r>
                        <w:t>6</w:t>
                      </w:r>
                      <w:r>
                        <w:t>% bias</w:t>
                      </w:r>
                    </w:p>
                  </w:txbxContent>
                </v:textbox>
              </v:shape>
            </w:pict>
          </mc:Fallback>
        </mc:AlternateContent>
      </w:r>
      <w:r w:rsidR="005E399A">
        <w:rPr>
          <w:noProof/>
          <w:lang w:val="en-NZ" w:eastAsia="en-NZ"/>
        </w:rPr>
        <mc:AlternateContent>
          <mc:Choice Requires="wps">
            <w:drawing>
              <wp:anchor distT="0" distB="0" distL="114300" distR="114300" simplePos="0" relativeHeight="251660288" behindDoc="0" locked="0" layoutInCell="1" allowOverlap="1" wp14:anchorId="70486D88" wp14:editId="259F009B">
                <wp:simplePos x="0" y="0"/>
                <wp:positionH relativeFrom="column">
                  <wp:posOffset>1752600</wp:posOffset>
                </wp:positionH>
                <wp:positionV relativeFrom="paragraph">
                  <wp:posOffset>424815</wp:posOffset>
                </wp:positionV>
                <wp:extent cx="795020" cy="234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9A" w:rsidRDefault="005E399A" w:rsidP="005E399A">
                            <w:r>
                              <w:t>30% bias</w:t>
                            </w:r>
                          </w:p>
                        </w:txbxContent>
                      </wps:txbx>
                      <wps:bodyPr rot="0" vert="horz" wrap="square" lIns="18000" tIns="18000" rIns="18000" bIns="18000" anchor="t" anchorCtr="0" upright="1">
                        <a:noAutofit/>
                      </wps:bodyPr>
                    </wps:wsp>
                  </a:graphicData>
                </a:graphic>
              </wp:anchor>
            </w:drawing>
          </mc:Choice>
          <mc:Fallback xmlns:w15="http://schemas.microsoft.com/office/word/2012/wordml">
            <w:pict>
              <v:shape w14:anchorId="70486D88" id="Text Box 1" o:spid="_x0000_s1029" type="#_x0000_t202" style="position:absolute;left:0;text-align:left;margin-left:138pt;margin-top:33.45pt;width:62.6pt;height:1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" stroked="f">
                <v:textbox inset=".5mm,.5mm,.5mm,.5mm">
                  <w:txbxContent>
                    <w:p w:rsidR="005E399A" w:rsidRDefault="005E399A" w:rsidP="005E399A">
                      <w:r>
                        <w:t>30</w:t>
                      </w:r>
                      <w:r>
                        <w:t>% bias</w:t>
                      </w:r>
                    </w:p>
                  </w:txbxContent>
                </v:textbox>
              </v:shape>
            </w:pict>
          </mc:Fallback>
        </mc:AlternateContent>
      </w:r>
      <w:r w:rsidR="005E399A">
        <w:rPr>
          <w:noProof/>
          <w:lang w:val="en-NZ" w:eastAsia="en-NZ"/>
        </w:rPr>
        <mc:AlternateContent>
          <mc:Choice Requires="wps">
            <w:drawing>
              <wp:anchor distT="0" distB="0" distL="114300" distR="114300" simplePos="0" relativeHeight="251655168" behindDoc="0" locked="0" layoutInCell="1" allowOverlap="1" wp14:anchorId="5FE6FA12" wp14:editId="3B14747C">
                <wp:simplePos x="0" y="0"/>
                <wp:positionH relativeFrom="column">
                  <wp:posOffset>685800</wp:posOffset>
                </wp:positionH>
                <wp:positionV relativeFrom="paragraph">
                  <wp:posOffset>1430655</wp:posOffset>
                </wp:positionV>
                <wp:extent cx="795020" cy="2343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9A" w:rsidRDefault="005E399A" w:rsidP="005E399A">
                            <w:r>
                              <w:t>35% bias</w:t>
                            </w:r>
                          </w:p>
                        </w:txbxContent>
                      </wps:txbx>
                      <wps:bodyPr rot="0" vert="horz" wrap="square" lIns="18000" tIns="18000" rIns="18000" bIns="18000" anchor="t" anchorCtr="0" upright="1">
                        <a:noAutofit/>
                      </wps:bodyPr>
                    </wps:wsp>
                  </a:graphicData>
                </a:graphic>
              </wp:anchor>
            </w:drawing>
          </mc:Choice>
          <mc:Fallback xmlns:w15="http://schemas.microsoft.com/office/word/2012/wordml">
            <w:pict>
              <v:shape w14:anchorId="5FE6FA12" id="Text Box 14" o:spid="_x0000_s1030" type="#_x0000_t202" style="position:absolute;left:0;text-align:left;margin-left:54pt;margin-top:112.65pt;width:62.6pt;height:18.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" stroked="f">
                <v:textbox inset=".5mm,.5mm,.5mm,.5mm">
                  <w:txbxContent>
                    <w:p w:rsidR="005E399A" w:rsidRDefault="005E399A" w:rsidP="005E399A">
                      <w:r>
                        <w:t>35% bias</w:t>
                      </w:r>
                    </w:p>
                  </w:txbxContent>
                </v:textbox>
              </v:shape>
            </w:pict>
          </mc:Fallback>
        </mc:AlternateContent>
      </w:r>
      <w:r w:rsidR="005E399A">
        <w:rPr>
          <w:noProof/>
          <w:lang w:val="en-NZ" w:eastAsia="en-NZ"/>
        </w:rPr>
        <mc:AlternateContent>
          <mc:Choice Requires="wps">
            <w:drawing>
              <wp:anchor distT="0" distB="0" distL="114300" distR="114300" simplePos="0" relativeHeight="251664384" behindDoc="0" locked="0" layoutInCell="1" allowOverlap="1" wp14:anchorId="1AC57AC3" wp14:editId="250349C8">
                <wp:simplePos x="0" y="0"/>
                <wp:positionH relativeFrom="column">
                  <wp:posOffset>3832860</wp:posOffset>
                </wp:positionH>
                <wp:positionV relativeFrom="paragraph">
                  <wp:posOffset>1964055</wp:posOffset>
                </wp:positionV>
                <wp:extent cx="795020" cy="2343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99A" w:rsidRDefault="005E399A" w:rsidP="005E399A">
                            <w:r>
                              <w:t>15% bias</w:t>
                            </w:r>
                          </w:p>
                        </w:txbxContent>
                      </wps:txbx>
                      <wps:bodyPr rot="0" vert="horz" wrap="square" lIns="18000" tIns="18000" rIns="18000" bIns="18000" anchor="t" anchorCtr="0" upright="1">
                        <a:noAutofit/>
                      </wps:bodyPr>
                    </wps:wsp>
                  </a:graphicData>
                </a:graphic>
              </wp:anchor>
            </w:drawing>
          </mc:Choice>
          <mc:Fallback xmlns:w15="http://schemas.microsoft.com/office/word/2012/wordml">
            <w:pict>
              <v:shape w14:anchorId="1AC57AC3" id="Text Box 2" o:spid="_x0000_s1031" type="#_x0000_t202" style="position:absolute;left:0;text-align:left;margin-left:301.8pt;margin-top:154.65pt;width:62.6pt;height:18.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dfgIAABU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" stroked="f">
                <v:textbox inset=".5mm,.5mm,.5mm,.5mm">
                  <w:txbxContent>
                    <w:p w:rsidR="005E399A" w:rsidRDefault="005E399A" w:rsidP="005E399A">
                      <w:r>
                        <w:t>1</w:t>
                      </w:r>
                      <w:r>
                        <w:t>5% bias</w:t>
                      </w:r>
                    </w:p>
                  </w:txbxContent>
                </v:textbox>
              </v:shape>
            </w:pict>
          </mc:Fallback>
        </mc:AlternateContent>
      </w:r>
      <w:r w:rsidR="009671AD">
        <w:rPr>
          <w:noProof/>
          <w:lang w:val="en-NZ" w:eastAsia="en-NZ"/>
        </w:rPr>
        <w:drawing>
          <wp:inline distT="0" distB="0" distL="0" distR="0" wp14:anchorId="0A324750" wp14:editId="45E690BE">
            <wp:extent cx="5789735" cy="3358661"/>
            <wp:effectExtent l="0" t="0" r="190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34D5B">
        <w:rPr>
          <w:rFonts w:eastAsia="Batang"/>
          <w:bCs/>
          <w:lang w:eastAsia="ko-KR"/>
        </w:rPr>
        <w:tab/>
      </w:r>
    </w:p>
    <w:p w:rsidR="00734FBD" w:rsidRDefault="00734FBD" w:rsidP="009F1D18">
      <w:pPr>
        <w:tabs>
          <w:tab w:val="left" w:pos="426"/>
        </w:tabs>
        <w:spacing w:line="288" w:lineRule="auto"/>
        <w:ind w:firstLine="426"/>
        <w:jc w:val="both"/>
        <w:rPr>
          <w:rFonts w:eastAsia="Batang"/>
          <w:bCs/>
          <w:lang w:eastAsia="ko-KR"/>
        </w:rPr>
      </w:pPr>
    </w:p>
    <w:p w:rsidR="00C17D0E" w:rsidRPr="00EA1845" w:rsidRDefault="00EA1845" w:rsidP="009F1D18">
      <w:pPr>
        <w:tabs>
          <w:tab w:val="left" w:pos="426"/>
        </w:tabs>
        <w:spacing w:line="288" w:lineRule="auto"/>
        <w:ind w:firstLine="426"/>
        <w:jc w:val="both"/>
        <w:rPr>
          <w:rFonts w:eastAsia="Batang"/>
          <w:bCs/>
          <w:lang w:eastAsia="ko-KR"/>
        </w:rPr>
      </w:pPr>
      <w:r w:rsidRPr="00EA1845">
        <w:rPr>
          <w:rFonts w:eastAsia="Batang"/>
          <w:bCs/>
          <w:lang w:eastAsia="ko-KR"/>
        </w:rPr>
        <w:t>Taking an average of the results for the two inequality measures</w:t>
      </w:r>
      <w:r w:rsidR="003F3DFB">
        <w:rPr>
          <w:rFonts w:eastAsia="Batang"/>
          <w:bCs/>
          <w:lang w:eastAsia="ko-KR"/>
        </w:rPr>
        <w:t xml:space="preserve"> in Figure 4</w:t>
      </w:r>
      <w:r w:rsidRPr="00EA1845">
        <w:rPr>
          <w:rFonts w:eastAsia="Batang"/>
          <w:bCs/>
          <w:lang w:eastAsia="ko-KR"/>
        </w:rPr>
        <w:t xml:space="preserve">, in round </w:t>
      </w:r>
      <w:r w:rsidR="003F3DFB">
        <w:rPr>
          <w:rFonts w:eastAsia="Batang"/>
          <w:bCs/>
          <w:lang w:eastAsia="ko-KR"/>
        </w:rPr>
        <w:t xml:space="preserve">terms </w:t>
      </w:r>
      <w:r w:rsidRPr="00EA1845">
        <w:rPr>
          <w:rFonts w:eastAsia="Batang"/>
          <w:bCs/>
          <w:lang w:eastAsia="ko-KR"/>
        </w:rPr>
        <w:t>approximately one-quarter of apparent spatial inequality in China disappears once account is taken of cost of living differences</w:t>
      </w:r>
      <w:r w:rsidR="00EA5653">
        <w:rPr>
          <w:rFonts w:eastAsia="Batang"/>
          <w:bCs/>
          <w:lang w:eastAsia="ko-KR"/>
        </w:rPr>
        <w:t xml:space="preserve"> </w:t>
      </w:r>
      <w:r w:rsidRPr="00EA1845">
        <w:rPr>
          <w:rFonts w:eastAsia="Batang"/>
          <w:bCs/>
          <w:lang w:eastAsia="ko-KR"/>
        </w:rPr>
        <w:t xml:space="preserve">coming </w:t>
      </w:r>
      <w:r w:rsidR="00EA5653">
        <w:rPr>
          <w:rFonts w:eastAsia="Batang"/>
          <w:bCs/>
          <w:lang w:eastAsia="ko-KR"/>
        </w:rPr>
        <w:t xml:space="preserve">just </w:t>
      </w:r>
      <w:r w:rsidRPr="00EA1845">
        <w:rPr>
          <w:rFonts w:eastAsia="Batang"/>
          <w:bCs/>
          <w:lang w:eastAsia="ko-KR"/>
        </w:rPr>
        <w:t xml:space="preserve">from house prices. </w:t>
      </w:r>
      <w:r>
        <w:rPr>
          <w:rFonts w:eastAsia="Batang"/>
          <w:bCs/>
          <w:lang w:eastAsia="ko-KR"/>
        </w:rPr>
        <w:t xml:space="preserve">It will especially </w:t>
      </w:r>
      <w:r>
        <w:rPr>
          <w:rFonts w:eastAsia="Batang"/>
          <w:bCs/>
          <w:lang w:eastAsia="ko-KR"/>
        </w:rPr>
        <w:lastRenderedPageBreak/>
        <w:t xml:space="preserve">be true </w:t>
      </w:r>
      <w:r w:rsidR="0052634C" w:rsidRPr="009B0A85">
        <w:rPr>
          <w:rFonts w:eastAsia="Batang"/>
          <w:bCs/>
          <w:lang w:eastAsia="ko-KR"/>
        </w:rPr>
        <w:t xml:space="preserve">for China, because of the absence of housing markets under central planning, but probably </w:t>
      </w:r>
      <w:r w:rsidR="00EA5653">
        <w:rPr>
          <w:rFonts w:eastAsia="Batang"/>
          <w:bCs/>
          <w:lang w:eastAsia="ko-KR"/>
        </w:rPr>
        <w:t xml:space="preserve">is true </w:t>
      </w:r>
      <w:r w:rsidR="0052634C" w:rsidRPr="009B0A85">
        <w:rPr>
          <w:rFonts w:eastAsia="Batang"/>
          <w:bCs/>
          <w:lang w:eastAsia="ko-KR"/>
        </w:rPr>
        <w:t xml:space="preserve">more generally throughout rapidly urbanizing </w:t>
      </w:r>
      <w:r w:rsidR="00EA5653">
        <w:rPr>
          <w:rFonts w:eastAsia="Batang"/>
          <w:bCs/>
          <w:lang w:eastAsia="ko-KR"/>
        </w:rPr>
        <w:t>Asia</w:t>
      </w:r>
      <w:r w:rsidR="0052634C" w:rsidRPr="009B0A85">
        <w:rPr>
          <w:rFonts w:eastAsia="Batang"/>
          <w:bCs/>
          <w:lang w:eastAsia="ko-KR"/>
        </w:rPr>
        <w:t xml:space="preserve">, </w:t>
      </w:r>
      <w:r w:rsidR="00EA5653">
        <w:rPr>
          <w:rFonts w:eastAsia="Batang"/>
          <w:bCs/>
          <w:lang w:eastAsia="ko-KR"/>
        </w:rPr>
        <w:t>that the</w:t>
      </w:r>
      <w:r w:rsidR="0052634C" w:rsidRPr="009B0A85">
        <w:rPr>
          <w:rFonts w:eastAsia="Batang"/>
          <w:bCs/>
          <w:lang w:eastAsia="ko-KR"/>
        </w:rPr>
        <w:t xml:space="preserve"> spatial cost of living differentials </w:t>
      </w:r>
      <w:r>
        <w:rPr>
          <w:rFonts w:eastAsia="Batang"/>
          <w:bCs/>
          <w:lang w:eastAsia="ko-KR"/>
        </w:rPr>
        <w:t xml:space="preserve">from </w:t>
      </w:r>
      <w:r w:rsidR="0052634C" w:rsidRPr="009B0A85">
        <w:rPr>
          <w:rFonts w:eastAsia="Batang"/>
          <w:bCs/>
          <w:lang w:eastAsia="ko-KR"/>
        </w:rPr>
        <w:t>urban housing markets are likely to have grown from a low base. Thus, some of the apparent rise in inequality found in many countries may just be a growth in spatial price differences.</w:t>
      </w:r>
      <w:r>
        <w:rPr>
          <w:rFonts w:eastAsia="Batang"/>
          <w:bCs/>
          <w:lang w:eastAsia="ko-KR"/>
        </w:rPr>
        <w:t xml:space="preserve"> Once again, the evidence base for important </w:t>
      </w:r>
      <w:r w:rsidR="00742BE2">
        <w:rPr>
          <w:rFonts w:eastAsia="Batang"/>
          <w:bCs/>
          <w:lang w:eastAsia="ko-KR"/>
        </w:rPr>
        <w:t>public policy debates about</w:t>
      </w:r>
      <w:r>
        <w:rPr>
          <w:rFonts w:eastAsia="Batang"/>
          <w:bCs/>
          <w:lang w:eastAsia="ko-KR"/>
        </w:rPr>
        <w:t xml:space="preserve"> inequality</w:t>
      </w:r>
      <w:r w:rsidR="006902C5">
        <w:rPr>
          <w:rFonts w:eastAsia="Batang"/>
          <w:bCs/>
          <w:lang w:eastAsia="ko-KR"/>
        </w:rPr>
        <w:t>, poverty, shared prosperity</w:t>
      </w:r>
      <w:r w:rsidR="00AB2DCA">
        <w:rPr>
          <w:rFonts w:eastAsia="Batang"/>
          <w:bCs/>
          <w:lang w:eastAsia="ko-KR"/>
        </w:rPr>
        <w:t>,</w:t>
      </w:r>
      <w:r>
        <w:rPr>
          <w:rFonts w:eastAsia="Batang"/>
          <w:bCs/>
          <w:lang w:eastAsia="ko-KR"/>
        </w:rPr>
        <w:t xml:space="preserve"> </w:t>
      </w:r>
      <w:r w:rsidR="00742BE2">
        <w:rPr>
          <w:rFonts w:eastAsia="Batang"/>
          <w:bCs/>
          <w:lang w:eastAsia="ko-KR"/>
        </w:rPr>
        <w:t xml:space="preserve">and the inclusiveness of the economic growth process </w:t>
      </w:r>
      <w:r>
        <w:rPr>
          <w:rFonts w:eastAsia="Batang"/>
          <w:bCs/>
          <w:lang w:eastAsia="ko-KR"/>
        </w:rPr>
        <w:t xml:space="preserve">is much weaker than it should be, </w:t>
      </w:r>
      <w:r w:rsidR="00C571BA">
        <w:rPr>
          <w:rFonts w:eastAsia="Batang"/>
          <w:bCs/>
          <w:lang w:eastAsia="ko-KR"/>
        </w:rPr>
        <w:t xml:space="preserve">in this case </w:t>
      </w:r>
      <w:r>
        <w:rPr>
          <w:rFonts w:eastAsia="Batang"/>
          <w:bCs/>
          <w:lang w:eastAsia="ko-KR"/>
        </w:rPr>
        <w:t xml:space="preserve">because of </w:t>
      </w:r>
      <w:r w:rsidR="006902C5">
        <w:rPr>
          <w:rFonts w:eastAsia="Batang"/>
          <w:bCs/>
          <w:lang w:eastAsia="ko-KR"/>
        </w:rPr>
        <w:t xml:space="preserve">problems with the </w:t>
      </w:r>
      <w:r>
        <w:rPr>
          <w:rFonts w:eastAsia="Batang"/>
          <w:bCs/>
          <w:lang w:eastAsia="ko-KR"/>
        </w:rPr>
        <w:t xml:space="preserve">survey data on housing consumption and prices. </w:t>
      </w:r>
    </w:p>
    <w:p w:rsidR="00087C58" w:rsidRDefault="00087C58" w:rsidP="00C645CE">
      <w:pPr>
        <w:tabs>
          <w:tab w:val="left" w:pos="426"/>
        </w:tabs>
        <w:spacing w:line="288" w:lineRule="auto"/>
        <w:ind w:firstLine="720"/>
        <w:jc w:val="both"/>
      </w:pPr>
    </w:p>
    <w:p w:rsidR="00134275" w:rsidRPr="00134275" w:rsidRDefault="00134275" w:rsidP="00C645CE">
      <w:pPr>
        <w:tabs>
          <w:tab w:val="left" w:pos="426"/>
        </w:tabs>
        <w:spacing w:line="288" w:lineRule="auto"/>
        <w:ind w:firstLine="720"/>
        <w:jc w:val="both"/>
        <w:rPr>
          <w:sz w:val="12"/>
          <w:szCs w:val="12"/>
        </w:rPr>
      </w:pPr>
    </w:p>
    <w:p w:rsidR="008F5A94" w:rsidRDefault="009E1B95" w:rsidP="00C645CE">
      <w:pPr>
        <w:tabs>
          <w:tab w:val="left" w:pos="426"/>
        </w:tabs>
        <w:spacing w:line="288" w:lineRule="auto"/>
        <w:jc w:val="both"/>
        <w:rPr>
          <w:b/>
        </w:rPr>
      </w:pPr>
      <w:r w:rsidRPr="009E1B95">
        <w:rPr>
          <w:b/>
        </w:rPr>
        <w:t>5. PRO</w:t>
      </w:r>
      <w:r w:rsidR="00622FE6">
        <w:rPr>
          <w:b/>
        </w:rPr>
        <w:t xml:space="preserve">BLEMS IN MEASURING </w:t>
      </w:r>
      <w:r w:rsidR="0052634C">
        <w:rPr>
          <w:b/>
        </w:rPr>
        <w:t xml:space="preserve">FOOD </w:t>
      </w:r>
      <w:r w:rsidR="00622FE6">
        <w:rPr>
          <w:b/>
        </w:rPr>
        <w:t xml:space="preserve">PRICES </w:t>
      </w:r>
    </w:p>
    <w:p w:rsidR="00B34D5B" w:rsidRPr="00B34D5B" w:rsidRDefault="00B34D5B" w:rsidP="00C645CE">
      <w:pPr>
        <w:tabs>
          <w:tab w:val="left" w:pos="426"/>
        </w:tabs>
        <w:spacing w:line="288" w:lineRule="auto"/>
        <w:jc w:val="both"/>
        <w:rPr>
          <w:b/>
          <w:sz w:val="12"/>
          <w:szCs w:val="12"/>
        </w:rPr>
      </w:pPr>
    </w:p>
    <w:p w:rsidR="00622FE6" w:rsidRDefault="000376AA" w:rsidP="00C645CE">
      <w:pPr>
        <w:tabs>
          <w:tab w:val="left" w:pos="426"/>
        </w:tabs>
        <w:spacing w:line="288" w:lineRule="auto"/>
        <w:jc w:val="both"/>
      </w:pPr>
      <w:r>
        <w:t xml:space="preserve">The </w:t>
      </w:r>
      <w:r w:rsidR="00EA44E3">
        <w:t xml:space="preserve">inability of poverty </w:t>
      </w:r>
      <w:r w:rsidR="00C571BA">
        <w:t>estimate</w:t>
      </w:r>
      <w:r w:rsidR="00EA44E3">
        <w:t xml:space="preserve">s to account for variation in the cost of housing services may be partly excused by </w:t>
      </w:r>
      <w:r w:rsidR="003E38C5">
        <w:t>services being</w:t>
      </w:r>
      <w:r w:rsidR="00EA44E3">
        <w:t xml:space="preserve"> hard to measure. But ther</w:t>
      </w:r>
      <w:r w:rsidR="00336433">
        <w:t>e is less</w:t>
      </w:r>
      <w:r w:rsidR="00EA44E3">
        <w:t xml:space="preserve"> excuse for the f</w:t>
      </w:r>
      <w:r w:rsidR="00336433">
        <w:t>act th</w:t>
      </w:r>
      <w:r w:rsidR="00C571BA">
        <w:t>at many surveys poorly</w:t>
      </w:r>
      <w:r w:rsidR="003225AF">
        <w:t xml:space="preserve">, or do not </w:t>
      </w:r>
      <w:r w:rsidR="00C571BA">
        <w:t>attempt</w:t>
      </w:r>
      <w:r w:rsidR="00EA44E3">
        <w:t xml:space="preserve"> to</w:t>
      </w:r>
      <w:r w:rsidR="00C571BA">
        <w:t>,</w:t>
      </w:r>
      <w:r w:rsidR="00EA44E3">
        <w:t xml:space="preserve"> mea</w:t>
      </w:r>
      <w:r w:rsidR="003225AF">
        <w:t>sure food prices. Even with changing diets as noted in Section 3, and t</w:t>
      </w:r>
      <w:r w:rsidR="00EA44E3">
        <w:t>he decline in the</w:t>
      </w:r>
      <w:r w:rsidR="00B07B52">
        <w:t xml:space="preserve"> overall food share as people</w:t>
      </w:r>
      <w:r w:rsidR="00EA44E3">
        <w:t xml:space="preserve"> get richer (Engel’s Law),</w:t>
      </w:r>
      <w:r w:rsidR="00336433">
        <w:t xml:space="preserve"> food remains</w:t>
      </w:r>
      <w:r w:rsidR="00EA44E3">
        <w:t xml:space="preserve"> one of the most important items in household budgets. Moreover, the cost-of-basic-needs (CBN) method of forming poverty lines is anchored by the </w:t>
      </w:r>
      <w:r w:rsidR="00336433">
        <w:t>local cost of</w:t>
      </w:r>
      <w:r w:rsidR="00EA44E3">
        <w:t xml:space="preserve"> </w:t>
      </w:r>
      <w:r w:rsidR="00B07B52">
        <w:t xml:space="preserve">buying a </w:t>
      </w:r>
      <w:r w:rsidR="00EA44E3">
        <w:t xml:space="preserve">food bundle that </w:t>
      </w:r>
      <w:r w:rsidR="003225AF">
        <w:t>give</w:t>
      </w:r>
      <w:r w:rsidR="00B07B52">
        <w:t>s a certain level of nutrition (</w:t>
      </w:r>
      <w:r w:rsidR="00B34D5B">
        <w:t>for example,</w:t>
      </w:r>
      <w:r w:rsidR="00B07B52">
        <w:t> </w:t>
      </w:r>
      <w:r w:rsidR="00EA44E3">
        <w:t xml:space="preserve">2000 calories per person per day). So food prices are needed </w:t>
      </w:r>
      <w:r w:rsidR="00336433">
        <w:t xml:space="preserve">to measure </w:t>
      </w:r>
      <w:r w:rsidR="00EA44E3">
        <w:t xml:space="preserve">poverty, and </w:t>
      </w:r>
      <w:r w:rsidR="003E38C5">
        <w:t xml:space="preserve">policy makers might expect that </w:t>
      </w:r>
      <w:r w:rsidR="00EA44E3">
        <w:t xml:space="preserve">these </w:t>
      </w:r>
      <w:r w:rsidR="00336433">
        <w:t xml:space="preserve">prices </w:t>
      </w:r>
      <w:r w:rsidR="003E38C5">
        <w:t xml:space="preserve">are </w:t>
      </w:r>
      <w:r w:rsidR="00EA44E3">
        <w:t>straightforward to obtain by survey</w:t>
      </w:r>
      <w:r w:rsidR="003E38C5">
        <w:t xml:space="preserve"> since there is a long history of collecting food prices for the Consumer Price Index</w:t>
      </w:r>
      <w:r w:rsidR="00336433">
        <w:t xml:space="preserve"> (CPI)</w:t>
      </w:r>
      <w:r w:rsidR="00EA44E3">
        <w:t>.</w:t>
      </w:r>
    </w:p>
    <w:p w:rsidR="009F1D18" w:rsidRDefault="009F1D18" w:rsidP="00C645CE">
      <w:pPr>
        <w:tabs>
          <w:tab w:val="left" w:pos="426"/>
        </w:tabs>
        <w:spacing w:line="288" w:lineRule="auto"/>
        <w:jc w:val="both"/>
      </w:pPr>
    </w:p>
    <w:p w:rsidR="00242EBD" w:rsidRDefault="003E38C5" w:rsidP="00F36E52">
      <w:pPr>
        <w:tabs>
          <w:tab w:val="left" w:pos="426"/>
        </w:tabs>
        <w:spacing w:line="288" w:lineRule="auto"/>
        <w:ind w:firstLine="426"/>
        <w:jc w:val="both"/>
      </w:pPr>
      <w:r>
        <w:rPr>
          <w:lang w:val="en-NZ"/>
        </w:rPr>
        <w:t xml:space="preserve">In fact, </w:t>
      </w:r>
      <w:r w:rsidR="00242EBD" w:rsidRPr="00242EBD">
        <w:rPr>
          <w:color w:val="000000"/>
        </w:rPr>
        <w:t xml:space="preserve">few countries in Asia and the Pacific collect spatially detailed food </w:t>
      </w:r>
      <w:r w:rsidR="00242EBD">
        <w:rPr>
          <w:color w:val="000000"/>
        </w:rPr>
        <w:t>prices</w:t>
      </w:r>
      <w:r w:rsidR="00242EBD" w:rsidRPr="00242EBD">
        <w:rPr>
          <w:color w:val="000000"/>
        </w:rPr>
        <w:t>. S</w:t>
      </w:r>
      <w:r w:rsidR="003225AF">
        <w:rPr>
          <w:color w:val="000000"/>
        </w:rPr>
        <w:t>tatistics</w:t>
      </w:r>
      <w:r w:rsidR="00242EBD" w:rsidRPr="00242EBD">
        <w:rPr>
          <w:color w:val="000000"/>
        </w:rPr>
        <w:t xml:space="preserve"> </w:t>
      </w:r>
      <w:r w:rsidR="003225AF">
        <w:rPr>
          <w:color w:val="000000"/>
        </w:rPr>
        <w:t xml:space="preserve">offices </w:t>
      </w:r>
      <w:r w:rsidR="00242EBD" w:rsidRPr="00242EBD">
        <w:rPr>
          <w:color w:val="000000"/>
        </w:rPr>
        <w:t>in China, India and Indonesia do not collect market price data to match to the</w:t>
      </w:r>
      <w:r w:rsidR="00242EBD">
        <w:rPr>
          <w:color w:val="000000"/>
        </w:rPr>
        <w:t>ir rural</w:t>
      </w:r>
      <w:r w:rsidR="00242EBD" w:rsidRPr="00242EBD">
        <w:rPr>
          <w:color w:val="000000"/>
        </w:rPr>
        <w:t xml:space="preserve"> </w:t>
      </w:r>
      <w:r w:rsidR="00B07B52">
        <w:rPr>
          <w:color w:val="000000"/>
        </w:rPr>
        <w:t>H</w:t>
      </w:r>
      <w:r w:rsidR="00336433">
        <w:rPr>
          <w:color w:val="000000"/>
        </w:rPr>
        <w:t>C</w:t>
      </w:r>
      <w:r w:rsidR="00B07B52">
        <w:rPr>
          <w:color w:val="000000"/>
        </w:rPr>
        <w:t>E</w:t>
      </w:r>
      <w:r w:rsidR="00336433">
        <w:rPr>
          <w:color w:val="000000"/>
        </w:rPr>
        <w:t>S and</w:t>
      </w:r>
      <w:r w:rsidR="00242EBD" w:rsidRPr="00242EBD">
        <w:rPr>
          <w:color w:val="000000"/>
        </w:rPr>
        <w:t xml:space="preserve"> </w:t>
      </w:r>
      <w:r w:rsidR="00336433">
        <w:rPr>
          <w:color w:val="000000"/>
        </w:rPr>
        <w:t>u</w:t>
      </w:r>
      <w:r w:rsidR="00242EBD" w:rsidRPr="00242EBD">
        <w:rPr>
          <w:color w:val="000000"/>
        </w:rPr>
        <w:t xml:space="preserve">rban food prices </w:t>
      </w:r>
      <w:r w:rsidR="00336433">
        <w:rPr>
          <w:color w:val="000000"/>
        </w:rPr>
        <w:t xml:space="preserve">from </w:t>
      </w:r>
      <w:r w:rsidR="00016B27">
        <w:rPr>
          <w:color w:val="000000"/>
        </w:rPr>
        <w:t>the CPI are a poor proxy for</w:t>
      </w:r>
      <w:r w:rsidR="00336433">
        <w:rPr>
          <w:color w:val="000000"/>
        </w:rPr>
        <w:t xml:space="preserve"> </w:t>
      </w:r>
      <w:r w:rsidR="00242EBD" w:rsidRPr="00242EBD">
        <w:rPr>
          <w:color w:val="000000"/>
        </w:rPr>
        <w:t>prices prevailing in the countryside</w:t>
      </w:r>
      <w:r w:rsidR="00336433">
        <w:rPr>
          <w:color w:val="000000"/>
        </w:rPr>
        <w:t>. Moreover, CPI</w:t>
      </w:r>
      <w:r w:rsidR="00242EBD" w:rsidRPr="00242EBD">
        <w:rPr>
          <w:color w:val="000000"/>
        </w:rPr>
        <w:t xml:space="preserve"> price</w:t>
      </w:r>
      <w:r w:rsidR="003225AF">
        <w:rPr>
          <w:color w:val="000000"/>
        </w:rPr>
        <w:t>s are</w:t>
      </w:r>
      <w:r w:rsidR="00242EBD" w:rsidRPr="00242EBD">
        <w:rPr>
          <w:color w:val="000000"/>
        </w:rPr>
        <w:t xml:space="preserve"> not designed with spatial </w:t>
      </w:r>
      <w:r w:rsidR="00B07B52">
        <w:rPr>
          <w:color w:val="000000"/>
        </w:rPr>
        <w:t>comparisons</w:t>
      </w:r>
      <w:r w:rsidR="00242EBD" w:rsidRPr="00242EBD">
        <w:rPr>
          <w:color w:val="000000"/>
        </w:rPr>
        <w:t xml:space="preserve"> in mind</w:t>
      </w:r>
      <w:r w:rsidR="00336433">
        <w:rPr>
          <w:color w:val="000000"/>
        </w:rPr>
        <w:t>; f</w:t>
      </w:r>
      <w:r w:rsidR="00242EBD" w:rsidRPr="00242EBD">
        <w:rPr>
          <w:color w:val="000000"/>
        </w:rPr>
        <w:t xml:space="preserve">or example, in </w:t>
      </w:r>
      <w:r w:rsidR="00242EBD" w:rsidRPr="00242EBD">
        <w:t>Vietnam</w:t>
      </w:r>
      <w:r w:rsidR="00242EBD" w:rsidRPr="00242EBD">
        <w:rPr>
          <w:color w:val="000000"/>
        </w:rPr>
        <w:t xml:space="preserve"> the particular brand or finely defined specification </w:t>
      </w:r>
      <w:r w:rsidR="00B07B52">
        <w:rPr>
          <w:color w:val="000000"/>
        </w:rPr>
        <w:t xml:space="preserve">used to track </w:t>
      </w:r>
      <w:r w:rsidR="00242EBD" w:rsidRPr="00242EBD">
        <w:rPr>
          <w:color w:val="000000"/>
        </w:rPr>
        <w:t xml:space="preserve">temporal price movements for a food group </w:t>
      </w:r>
      <w:r w:rsidR="00B96D6D">
        <w:rPr>
          <w:color w:val="000000"/>
        </w:rPr>
        <w:t>can vary by</w:t>
      </w:r>
      <w:r w:rsidR="00242EBD" w:rsidRPr="00242EBD">
        <w:rPr>
          <w:color w:val="000000"/>
        </w:rPr>
        <w:t xml:space="preserve"> provin</w:t>
      </w:r>
      <w:r w:rsidR="00B96D6D">
        <w:rPr>
          <w:color w:val="000000"/>
        </w:rPr>
        <w:t>ce</w:t>
      </w:r>
      <w:r w:rsidR="00242EBD" w:rsidRPr="00242EBD">
        <w:rPr>
          <w:color w:val="000000"/>
        </w:rPr>
        <w:t>, introducing quality differences</w:t>
      </w:r>
      <w:r w:rsidR="00B07B52">
        <w:rPr>
          <w:color w:val="000000"/>
        </w:rPr>
        <w:t xml:space="preserve"> over space</w:t>
      </w:r>
      <w:r w:rsidR="00242EBD" w:rsidRPr="00242EBD">
        <w:rPr>
          <w:color w:val="000000"/>
        </w:rPr>
        <w:t>.</w:t>
      </w:r>
      <w:r w:rsidR="00242EBD">
        <w:rPr>
          <w:color w:val="000000"/>
        </w:rPr>
        <w:t xml:space="preserve"> </w:t>
      </w:r>
      <w:r w:rsidR="00336433">
        <w:rPr>
          <w:color w:val="000000"/>
        </w:rPr>
        <w:t xml:space="preserve">Other </w:t>
      </w:r>
      <w:r w:rsidR="00242EBD" w:rsidRPr="00242EBD">
        <w:t>countrie</w:t>
      </w:r>
      <w:r w:rsidR="00336433">
        <w:t>s eithe</w:t>
      </w:r>
      <w:r w:rsidR="00B96D6D">
        <w:t>r do not, or only poorly, get</w:t>
      </w:r>
      <w:r w:rsidR="00336433">
        <w:t xml:space="preserve"> rural prices</w:t>
      </w:r>
      <w:r w:rsidR="00242EBD" w:rsidRPr="00242EBD">
        <w:t xml:space="preserve"> despite </w:t>
      </w:r>
      <w:r w:rsidR="00336433">
        <w:t xml:space="preserve">the opportunity afforded by </w:t>
      </w:r>
      <w:r w:rsidR="00242EBD" w:rsidRPr="00242EBD">
        <w:t xml:space="preserve">design of </w:t>
      </w:r>
      <w:r w:rsidR="00336433">
        <w:t xml:space="preserve">their </w:t>
      </w:r>
      <w:r w:rsidR="00242EBD" w:rsidRPr="00242EBD">
        <w:t>household surveys. For example, interview teams for the 2010 Household Income and Expenditure Survey in Papua New Guinea lived in villages for up to three weeks to implement a 14-day expe</w:t>
      </w:r>
      <w:r w:rsidR="003225AF">
        <w:t xml:space="preserve">nditure diary. </w:t>
      </w:r>
      <w:r w:rsidR="00A43326">
        <w:t>Interviewers</w:t>
      </w:r>
      <w:r w:rsidR="00B96D6D">
        <w:t xml:space="preserve"> visited markets to buy their own food but</w:t>
      </w:r>
      <w:r w:rsidR="00242EBD" w:rsidRPr="00242EBD">
        <w:t xml:space="preserve"> no price survey was done</w:t>
      </w:r>
      <w:r w:rsidR="00B07B52">
        <w:t xml:space="preserve">. </w:t>
      </w:r>
      <w:r w:rsidR="00242EBD" w:rsidRPr="00242EBD">
        <w:t xml:space="preserve">A slightly less egregious example is the 2008 Cambodia Socio-Economic Survey, where teams spent a month in each village </w:t>
      </w:r>
      <w:r w:rsidR="00336433">
        <w:t xml:space="preserve">for an expenditure diary and village survey; </w:t>
      </w:r>
      <w:r w:rsidR="00242EBD" w:rsidRPr="00242EBD">
        <w:t>14 percent of villages had no pric</w:t>
      </w:r>
      <w:r w:rsidR="00B96D6D">
        <w:t>e data</w:t>
      </w:r>
      <w:r w:rsidR="00336433">
        <w:t xml:space="preserve"> for any</w:t>
      </w:r>
      <w:r w:rsidR="00B53CF4">
        <w:t xml:space="preserve"> food (it is implausible for a</w:t>
      </w:r>
      <w:r w:rsidR="00336433">
        <w:t xml:space="preserve"> month to go by without food markets operating</w:t>
      </w:r>
      <w:r w:rsidR="00B53CF4">
        <w:t xml:space="preserve"> nearby</w:t>
      </w:r>
      <w:r w:rsidR="00336433">
        <w:t>) and across all villages just</w:t>
      </w:r>
      <w:r w:rsidR="00242EBD" w:rsidRPr="00242EBD">
        <w:t xml:space="preserve"> one-third </w:t>
      </w:r>
      <w:r w:rsidR="00B96D6D">
        <w:t>of the expected number of price reports were obtain</w:t>
      </w:r>
      <w:r w:rsidR="00242EBD" w:rsidRPr="00242EBD">
        <w:t xml:space="preserve">ed. </w:t>
      </w:r>
    </w:p>
    <w:p w:rsidR="00B34D5B" w:rsidRPr="00242EBD" w:rsidRDefault="00B34D5B" w:rsidP="00C645CE">
      <w:pPr>
        <w:tabs>
          <w:tab w:val="left" w:pos="426"/>
        </w:tabs>
        <w:spacing w:line="288" w:lineRule="auto"/>
        <w:ind w:firstLine="720"/>
        <w:jc w:val="both"/>
        <w:rPr>
          <w:color w:val="000000"/>
        </w:rPr>
      </w:pPr>
    </w:p>
    <w:p w:rsidR="00A0661B" w:rsidRDefault="000044C9" w:rsidP="00C645CE">
      <w:pPr>
        <w:tabs>
          <w:tab w:val="left" w:pos="426"/>
        </w:tabs>
        <w:spacing w:line="288" w:lineRule="auto"/>
        <w:ind w:firstLine="426"/>
        <w:jc w:val="both"/>
        <w:rPr>
          <w:lang w:val="en-NZ"/>
        </w:rPr>
      </w:pPr>
      <w:r>
        <w:rPr>
          <w:lang w:val="en-NZ"/>
        </w:rPr>
        <w:t xml:space="preserve">Instead of using price surveys, the pricing of food poverty line baskets in many countries in Asia and the Pacific is based on </w:t>
      </w:r>
      <w:r w:rsidRPr="000044C9">
        <w:rPr>
          <w:i/>
          <w:lang w:val="en-NZ"/>
        </w:rPr>
        <w:t>unit values</w:t>
      </w:r>
      <w:r>
        <w:rPr>
          <w:lang w:val="en-NZ"/>
        </w:rPr>
        <w:t xml:space="preserve"> – the </w:t>
      </w:r>
      <w:r w:rsidR="00336433">
        <w:rPr>
          <w:lang w:val="en-NZ"/>
        </w:rPr>
        <w:t xml:space="preserve">ratio of </w:t>
      </w:r>
      <w:r>
        <w:rPr>
          <w:lang w:val="en-NZ"/>
        </w:rPr>
        <w:t xml:space="preserve">expenditures on a food group </w:t>
      </w:r>
      <w:r w:rsidR="00336433">
        <w:rPr>
          <w:lang w:val="en-NZ"/>
        </w:rPr>
        <w:t xml:space="preserve">to the </w:t>
      </w:r>
      <w:r>
        <w:rPr>
          <w:lang w:val="en-NZ"/>
        </w:rPr>
        <w:t xml:space="preserve">quantity </w:t>
      </w:r>
      <w:r w:rsidR="00336433">
        <w:rPr>
          <w:lang w:val="en-NZ"/>
        </w:rPr>
        <w:t>bought</w:t>
      </w:r>
      <w:r>
        <w:rPr>
          <w:lang w:val="en-NZ"/>
        </w:rPr>
        <w:t>. There ar</w:t>
      </w:r>
      <w:r w:rsidR="00584E1B">
        <w:rPr>
          <w:lang w:val="en-NZ"/>
        </w:rPr>
        <w:t>e many problems with this</w:t>
      </w:r>
      <w:r>
        <w:rPr>
          <w:lang w:val="en-NZ"/>
        </w:rPr>
        <w:t>, the first and most obvious from the discussion in Section 3 is that a growing share o</w:t>
      </w:r>
      <w:r w:rsidR="003225AF">
        <w:rPr>
          <w:lang w:val="en-NZ"/>
        </w:rPr>
        <w:t>f food consumed, as</w:t>
      </w:r>
      <w:r>
        <w:rPr>
          <w:lang w:val="en-NZ"/>
        </w:rPr>
        <w:t xml:space="preserve"> meals and </w:t>
      </w:r>
      <w:r w:rsidR="003225AF">
        <w:rPr>
          <w:lang w:val="en-NZ"/>
        </w:rPr>
        <w:t xml:space="preserve">in </w:t>
      </w:r>
      <w:r>
        <w:rPr>
          <w:lang w:val="en-NZ"/>
        </w:rPr>
        <w:t xml:space="preserve">the catchall </w:t>
      </w:r>
      <w:r>
        <w:rPr>
          <w:lang w:val="en-NZ"/>
        </w:rPr>
        <w:lastRenderedPageBreak/>
        <w:t>categories at the end of lists of types of ingredients</w:t>
      </w:r>
      <w:r w:rsidR="00336433">
        <w:rPr>
          <w:lang w:val="en-NZ"/>
        </w:rPr>
        <w:t>, has</w:t>
      </w:r>
      <w:r w:rsidR="00584E1B">
        <w:rPr>
          <w:lang w:val="en-NZ"/>
        </w:rPr>
        <w:t xml:space="preserve"> no quantity data</w:t>
      </w:r>
      <w:r>
        <w:rPr>
          <w:lang w:val="en-NZ"/>
        </w:rPr>
        <w:t xml:space="preserve"> so unit values </w:t>
      </w:r>
      <w:r w:rsidR="00336433">
        <w:rPr>
          <w:lang w:val="en-NZ"/>
        </w:rPr>
        <w:t xml:space="preserve">cannot be calculated. But even </w:t>
      </w:r>
      <w:r w:rsidR="00584E1B">
        <w:rPr>
          <w:lang w:val="en-NZ"/>
        </w:rPr>
        <w:t>for food ingredient</w:t>
      </w:r>
      <w:r>
        <w:rPr>
          <w:lang w:val="en-NZ"/>
        </w:rPr>
        <w:t xml:space="preserve"> groups </w:t>
      </w:r>
      <w:r w:rsidR="00336433">
        <w:rPr>
          <w:lang w:val="en-NZ"/>
        </w:rPr>
        <w:t xml:space="preserve">with </w:t>
      </w:r>
      <w:r w:rsidR="00B07B52">
        <w:rPr>
          <w:lang w:val="en-NZ"/>
        </w:rPr>
        <w:t xml:space="preserve">quantity </w:t>
      </w:r>
      <w:r w:rsidR="00584E1B">
        <w:rPr>
          <w:lang w:val="en-NZ"/>
        </w:rPr>
        <w:t>data,</w:t>
      </w:r>
      <w:r>
        <w:rPr>
          <w:lang w:val="en-NZ"/>
        </w:rPr>
        <w:t xml:space="preserve"> </w:t>
      </w:r>
      <w:r w:rsidR="00336433">
        <w:rPr>
          <w:lang w:val="en-NZ"/>
        </w:rPr>
        <w:t xml:space="preserve">unit values are a </w:t>
      </w:r>
      <w:r w:rsidR="00584E1B">
        <w:rPr>
          <w:lang w:val="en-NZ"/>
        </w:rPr>
        <w:t xml:space="preserve">biased </w:t>
      </w:r>
      <w:r w:rsidR="00336433">
        <w:rPr>
          <w:lang w:val="en-NZ"/>
        </w:rPr>
        <w:t xml:space="preserve">measure of prices, </w:t>
      </w:r>
      <w:r w:rsidR="00584E1B">
        <w:rPr>
          <w:lang w:val="en-NZ"/>
        </w:rPr>
        <w:t xml:space="preserve">and the </w:t>
      </w:r>
      <w:r w:rsidR="00336433">
        <w:rPr>
          <w:lang w:val="en-NZ"/>
        </w:rPr>
        <w:t xml:space="preserve">bias </w:t>
      </w:r>
      <w:r w:rsidR="00B07B52">
        <w:rPr>
          <w:lang w:val="en-NZ"/>
        </w:rPr>
        <w:t xml:space="preserve">will </w:t>
      </w:r>
      <w:r w:rsidR="00336433">
        <w:rPr>
          <w:lang w:val="en-NZ"/>
        </w:rPr>
        <w:t xml:space="preserve">rise </w:t>
      </w:r>
      <w:r w:rsidR="00584E1B">
        <w:rPr>
          <w:lang w:val="en-NZ"/>
        </w:rPr>
        <w:t>with rising affluence</w:t>
      </w:r>
      <w:r w:rsidR="00336433">
        <w:rPr>
          <w:lang w:val="en-NZ"/>
        </w:rPr>
        <w:t>.</w:t>
      </w:r>
      <w:r w:rsidR="00584E1B">
        <w:rPr>
          <w:lang w:val="en-NZ"/>
        </w:rPr>
        <w:t xml:space="preserve"> </w:t>
      </w:r>
      <w:r w:rsidR="006E4408">
        <w:rPr>
          <w:lang w:val="en-NZ"/>
        </w:rPr>
        <w:t>U</w:t>
      </w:r>
      <w:r w:rsidR="00584E1B">
        <w:rPr>
          <w:lang w:val="en-NZ"/>
        </w:rPr>
        <w:t xml:space="preserve">nit values can only proxy for the price level if prices of each variety within a group move in fixed proportions </w:t>
      </w:r>
      <w:r w:rsidR="006E4408">
        <w:rPr>
          <w:lang w:val="en-NZ"/>
        </w:rPr>
        <w:t>over time and space</w:t>
      </w:r>
      <w:r w:rsidR="00B07B52">
        <w:rPr>
          <w:lang w:val="en-NZ"/>
        </w:rPr>
        <w:t>.</w:t>
      </w:r>
      <w:r w:rsidR="006E4408">
        <w:rPr>
          <w:lang w:val="en-NZ"/>
        </w:rPr>
        <w:t xml:space="preserve"> </w:t>
      </w:r>
      <w:r w:rsidR="00B96D6D">
        <w:rPr>
          <w:lang w:val="en-NZ"/>
        </w:rPr>
        <w:t xml:space="preserve">But </w:t>
      </w:r>
      <w:r w:rsidR="00B07B52">
        <w:rPr>
          <w:lang w:val="en-NZ"/>
        </w:rPr>
        <w:t>f</w:t>
      </w:r>
      <w:r w:rsidR="00B96D6D">
        <w:rPr>
          <w:lang w:val="en-NZ"/>
        </w:rPr>
        <w:t>ixed</w:t>
      </w:r>
      <w:r w:rsidR="00B07B52">
        <w:rPr>
          <w:lang w:val="en-NZ"/>
        </w:rPr>
        <w:t xml:space="preserve"> </w:t>
      </w:r>
      <w:r w:rsidR="00584E1B">
        <w:rPr>
          <w:lang w:val="en-NZ"/>
        </w:rPr>
        <w:t xml:space="preserve">relative prices </w:t>
      </w:r>
      <w:r w:rsidR="00B07B52">
        <w:rPr>
          <w:lang w:val="en-NZ"/>
        </w:rPr>
        <w:t>within groups (known as</w:t>
      </w:r>
      <w:r w:rsidR="00584E1B">
        <w:rPr>
          <w:lang w:val="en-NZ"/>
        </w:rPr>
        <w:t xml:space="preserve"> </w:t>
      </w:r>
      <w:r w:rsidR="00584E1B">
        <w:rPr>
          <w:i/>
          <w:lang w:val="en-NZ"/>
        </w:rPr>
        <w:t>Hicksian separability</w:t>
      </w:r>
      <w:r w:rsidR="00584E1B">
        <w:rPr>
          <w:lang w:val="en-NZ"/>
        </w:rPr>
        <w:t xml:space="preserve">) violates the Alchian-Allen effect </w:t>
      </w:r>
      <w:r w:rsidR="00016B27" w:rsidRPr="00016B27">
        <w:rPr>
          <w:lang w:val="en-NZ"/>
        </w:rPr>
        <w:t xml:space="preserve">where the relative price of quality varies over space </w:t>
      </w:r>
      <w:r w:rsidR="00B96D6D">
        <w:rPr>
          <w:lang w:val="en-NZ"/>
        </w:rPr>
        <w:t>(</w:t>
      </w:r>
      <w:r w:rsidR="006E4408">
        <w:rPr>
          <w:lang w:val="en-NZ"/>
        </w:rPr>
        <w:t xml:space="preserve">‘shipping the good apples out’) </w:t>
      </w:r>
      <w:r w:rsidR="00AB2DCA">
        <w:rPr>
          <w:lang w:val="en-NZ"/>
        </w:rPr>
        <w:t>and</w:t>
      </w:r>
      <w:r w:rsidR="006F1A3D">
        <w:rPr>
          <w:lang w:val="en-NZ"/>
        </w:rPr>
        <w:t xml:space="preserve"> time </w:t>
      </w:r>
      <w:r w:rsidR="00016B27">
        <w:rPr>
          <w:lang w:val="en-NZ"/>
        </w:rPr>
        <w:t>due to the effe</w:t>
      </w:r>
      <w:r w:rsidR="006E4408">
        <w:rPr>
          <w:lang w:val="en-NZ"/>
        </w:rPr>
        <w:t>ct of fixed charges for transport, storage or pro</w:t>
      </w:r>
      <w:r w:rsidR="00B34D5B">
        <w:rPr>
          <w:lang w:val="en-NZ"/>
        </w:rPr>
        <w:t>cessing (Gibson and Kim</w:t>
      </w:r>
      <w:r w:rsidR="006E4408">
        <w:rPr>
          <w:lang w:val="en-NZ"/>
        </w:rPr>
        <w:t xml:space="preserve"> 2015).</w:t>
      </w:r>
      <w:r w:rsidR="00584E1B">
        <w:rPr>
          <w:lang w:val="en-NZ"/>
        </w:rPr>
        <w:t xml:space="preserve"> </w:t>
      </w:r>
    </w:p>
    <w:p w:rsidR="00B34D5B" w:rsidRDefault="00B34D5B" w:rsidP="00C645CE">
      <w:pPr>
        <w:tabs>
          <w:tab w:val="left" w:pos="426"/>
        </w:tabs>
        <w:spacing w:line="288" w:lineRule="auto"/>
        <w:ind w:firstLine="720"/>
        <w:jc w:val="both"/>
        <w:rPr>
          <w:lang w:val="en-NZ"/>
        </w:rPr>
      </w:pPr>
    </w:p>
    <w:p w:rsidR="002D46EE" w:rsidRDefault="002D46EE" w:rsidP="00C645CE">
      <w:pPr>
        <w:tabs>
          <w:tab w:val="left" w:pos="426"/>
        </w:tabs>
        <w:spacing w:line="288" w:lineRule="auto"/>
        <w:ind w:firstLine="426"/>
        <w:jc w:val="both"/>
      </w:pPr>
      <w:r>
        <w:rPr>
          <w:lang w:val="en-NZ"/>
        </w:rPr>
        <w:t xml:space="preserve">An example of the Alchian-Allen effect is shown in Figure 5, </w:t>
      </w:r>
      <w:r w:rsidR="003225AF">
        <w:rPr>
          <w:lang w:val="en-NZ"/>
        </w:rPr>
        <w:t xml:space="preserve">where </w:t>
      </w:r>
      <w:r>
        <w:rPr>
          <w:lang w:val="en-NZ"/>
        </w:rPr>
        <w:t xml:space="preserve">the ratio of the price of high quality rice </w:t>
      </w:r>
      <w:r w:rsidR="003225AF">
        <w:rPr>
          <w:lang w:val="en-NZ"/>
        </w:rPr>
        <w:t xml:space="preserve">to low quality rice in Vietnam is mapped </w:t>
      </w:r>
      <w:r>
        <w:rPr>
          <w:lang w:val="en-NZ"/>
        </w:rPr>
        <w:t>using average prices calculated for each pr</w:t>
      </w:r>
      <w:r w:rsidR="003225AF">
        <w:rPr>
          <w:lang w:val="en-NZ"/>
        </w:rPr>
        <w:t>ovince from a 2010 price survey</w:t>
      </w:r>
      <w:r>
        <w:rPr>
          <w:lang w:val="en-NZ"/>
        </w:rPr>
        <w:t xml:space="preserve">. </w:t>
      </w:r>
      <w:r>
        <w:t xml:space="preserve">On average, high quality rice is 40 percent dearer than low quality rice but the ratio varies widely and </w:t>
      </w:r>
      <w:r w:rsidR="00B07B52">
        <w:t xml:space="preserve">has </w:t>
      </w:r>
      <w:r>
        <w:t>a distinct geographic pattern</w:t>
      </w:r>
      <w:r w:rsidR="00B07B52">
        <w:t>. H</w:t>
      </w:r>
      <w:r>
        <w:t xml:space="preserve">igh quality rice </w:t>
      </w:r>
      <w:r w:rsidR="00B07B52">
        <w:t xml:space="preserve">is </w:t>
      </w:r>
      <w:r>
        <w:t>relatively cheaper in the nor</w:t>
      </w:r>
      <w:r w:rsidR="00B07B52">
        <w:t>th, where</w:t>
      </w:r>
      <w:r>
        <w:t xml:space="preserve"> the premium averages 33 percent </w:t>
      </w:r>
      <w:r w:rsidR="00B07B52" w:rsidRPr="00B07B52">
        <w:rPr>
          <w:i/>
        </w:rPr>
        <w:t>versus</w:t>
      </w:r>
      <w:r w:rsidR="00B07B52">
        <w:t xml:space="preserve"> </w:t>
      </w:r>
      <w:r>
        <w:t>47 percent in the south. The reason for this geographic pattern is that the market surplus of rice flows from the south to the north in Vietnam (and from the south to the world market). It costs the sa</w:t>
      </w:r>
      <w:r w:rsidR="00B07B52">
        <w:t>me to ship high quality rice as</w:t>
      </w:r>
      <w:r>
        <w:t xml:space="preserve"> low quality rice, so </w:t>
      </w:r>
      <w:r w:rsidR="00D65EC8">
        <w:t>adding a per unit transport</w:t>
      </w:r>
      <w:r>
        <w:t xml:space="preserve"> cost </w:t>
      </w:r>
      <w:r w:rsidR="00474C33">
        <w:t xml:space="preserve">lowers the relative price of high quality rice </w:t>
      </w:r>
      <w:r>
        <w:t xml:space="preserve">in the north, </w:t>
      </w:r>
      <w:r w:rsidR="00B07B52">
        <w:t xml:space="preserve">as </w:t>
      </w:r>
      <w:r>
        <w:t>shown in Figure 5</w:t>
      </w:r>
      <w:r w:rsidR="00B07B52">
        <w:t>.</w:t>
      </w:r>
    </w:p>
    <w:p w:rsidR="00D514C0" w:rsidRDefault="00D514C0" w:rsidP="00C645CE">
      <w:pPr>
        <w:tabs>
          <w:tab w:val="left" w:pos="426"/>
        </w:tabs>
        <w:spacing w:line="288" w:lineRule="auto"/>
        <w:ind w:firstLine="426"/>
        <w:jc w:val="both"/>
      </w:pPr>
    </w:p>
    <w:p w:rsidR="00D514C0" w:rsidRDefault="00D514C0" w:rsidP="00D514C0">
      <w:pPr>
        <w:tabs>
          <w:tab w:val="left" w:pos="426"/>
        </w:tabs>
        <w:spacing w:line="288" w:lineRule="auto"/>
        <w:jc w:val="both"/>
        <w:rPr>
          <w:lang w:val="en-NZ"/>
        </w:rPr>
      </w:pPr>
      <w:r>
        <w:rPr>
          <w:lang w:val="en-NZ"/>
        </w:rPr>
        <w:tab/>
        <w:t>The Alchian-Allen effect should get stronger over time because rising affluence sees more food transformed through time (storage), space (transport) and form (processing). The year-round availability of particular foods becomes important to consumers as they get richer, leading to more storage, while regional specialization and supply chain evolution lead to longer distance transport. For example, none of India’s potato crop was cold stored in the 1980s but more than 50 percent is now, and growers in the specialized production hub around Agra cold store more than 80 percent of their crop (Reardon et al, 2012). It costs the same to store high quality and low quality potatoes, so the relative price of high quality potatoes should fall as time since harvest increases, and will also fall the further away are consumers from a production hub like Agra.</w:t>
      </w:r>
    </w:p>
    <w:p w:rsidR="00D514C0" w:rsidRDefault="00D514C0" w:rsidP="00D514C0">
      <w:pPr>
        <w:tabs>
          <w:tab w:val="left" w:pos="426"/>
        </w:tabs>
        <w:spacing w:line="288" w:lineRule="auto"/>
        <w:ind w:firstLine="426"/>
        <w:jc w:val="both"/>
      </w:pPr>
    </w:p>
    <w:p w:rsidR="00D514C0" w:rsidRDefault="00D514C0" w:rsidP="00D514C0">
      <w:pPr>
        <w:tabs>
          <w:tab w:val="left" w:pos="426"/>
        </w:tabs>
        <w:spacing w:line="288" w:lineRule="auto"/>
        <w:ind w:firstLine="426"/>
        <w:jc w:val="both"/>
        <w:rPr>
          <w:lang w:val="en-NZ"/>
        </w:rPr>
      </w:pPr>
      <w:r>
        <w:rPr>
          <w:lang w:val="en-NZ"/>
        </w:rPr>
        <w:t xml:space="preserve">Since within-group relative prices vary, consumers can switch to relatively cheaper items within a group. So the unit value will not have the same quality mix across locations, and conflates inter-area (or inter-period) price differences with differences in quality mix in each area (or time period). These mix differences are in response to the relative price of quality varying. An example of this mix effect is from a 2012 HCES for Vietnam, which had high quality and low quality rice as separate food groups (in prior years the survey just asked about 'rice' as a food group, with all qualities lumped together). </w:t>
      </w:r>
    </w:p>
    <w:p w:rsidR="009671AD" w:rsidRDefault="009671AD" w:rsidP="00C645CE">
      <w:pPr>
        <w:tabs>
          <w:tab w:val="left" w:pos="426"/>
        </w:tabs>
        <w:spacing w:line="288" w:lineRule="auto"/>
        <w:ind w:firstLine="720"/>
        <w:jc w:val="both"/>
      </w:pPr>
    </w:p>
    <w:p w:rsidR="00C645CE" w:rsidRDefault="009671AD" w:rsidP="00C645CE">
      <w:pPr>
        <w:tabs>
          <w:tab w:val="left" w:pos="426"/>
        </w:tabs>
        <w:ind w:left="720" w:hanging="720"/>
        <w:jc w:val="center"/>
        <w:rPr>
          <w:b/>
          <w:sz w:val="22"/>
          <w:szCs w:val="22"/>
          <w:lang w:bidi="he-IL"/>
        </w:rPr>
      </w:pPr>
      <w:r w:rsidRPr="009671AD">
        <w:rPr>
          <w:b/>
          <w:sz w:val="22"/>
          <w:szCs w:val="22"/>
          <w:lang w:bidi="he-IL"/>
        </w:rPr>
        <w:lastRenderedPageBreak/>
        <w:t>Figure 5: Relative Price Variation Over Space: High Quality and Low Quality Rice</w:t>
      </w:r>
      <w:r>
        <w:rPr>
          <w:noProof/>
          <w:lang w:val="en-NZ" w:eastAsia="en-NZ"/>
        </w:rPr>
        <w:drawing>
          <wp:inline distT="0" distB="0" distL="0" distR="0" wp14:anchorId="5779E9AE" wp14:editId="7B06A96D">
            <wp:extent cx="5196127" cy="7342909"/>
            <wp:effectExtent l="0" t="0" r="5080" b="0"/>
            <wp:docPr id="24" name="Picture 11" descr="VNRiceMap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iceMapArticle.jpg"/>
                    <pic:cNvPicPr/>
                  </pic:nvPicPr>
                  <pic:blipFill>
                    <a:blip r:embed="rId14" cstate="print"/>
                    <a:stretch>
                      <a:fillRect/>
                    </a:stretch>
                  </pic:blipFill>
                  <pic:spPr>
                    <a:xfrm>
                      <a:off x="0" y="0"/>
                      <a:ext cx="5195394" cy="7341874"/>
                    </a:xfrm>
                    <a:prstGeom prst="rect">
                      <a:avLst/>
                    </a:prstGeom>
                  </pic:spPr>
                </pic:pic>
              </a:graphicData>
            </a:graphic>
          </wp:inline>
        </w:drawing>
      </w:r>
    </w:p>
    <w:p w:rsidR="00134275" w:rsidRDefault="00134275" w:rsidP="00D514C0">
      <w:pPr>
        <w:tabs>
          <w:tab w:val="left" w:pos="426"/>
        </w:tabs>
        <w:spacing w:line="288" w:lineRule="auto"/>
        <w:jc w:val="both"/>
        <w:rPr>
          <w:lang w:val="en-NZ"/>
        </w:rPr>
      </w:pPr>
      <w:r>
        <w:rPr>
          <w:lang w:val="en-NZ"/>
        </w:rPr>
        <w:tab/>
        <w:t xml:space="preserve"> </w:t>
      </w:r>
    </w:p>
    <w:p w:rsidR="00C645CE" w:rsidRDefault="00C645CE" w:rsidP="00C645CE">
      <w:pPr>
        <w:tabs>
          <w:tab w:val="left" w:pos="426"/>
        </w:tabs>
        <w:ind w:left="720" w:hanging="720"/>
        <w:jc w:val="center"/>
        <w:rPr>
          <w:b/>
          <w:sz w:val="22"/>
          <w:szCs w:val="22"/>
          <w:lang w:bidi="he-IL"/>
        </w:rPr>
      </w:pPr>
    </w:p>
    <w:p w:rsidR="00FF6628" w:rsidRDefault="00C645CE" w:rsidP="00134275">
      <w:pPr>
        <w:tabs>
          <w:tab w:val="left" w:pos="426"/>
        </w:tabs>
        <w:spacing w:line="288" w:lineRule="auto"/>
        <w:jc w:val="both"/>
        <w:rPr>
          <w:lang w:val="en-NZ"/>
        </w:rPr>
      </w:pPr>
      <w:r>
        <w:rPr>
          <w:lang w:val="en-NZ"/>
        </w:rPr>
        <w:tab/>
      </w:r>
      <w:r w:rsidR="00442534">
        <w:rPr>
          <w:lang w:val="en-NZ"/>
        </w:rPr>
        <w:t>The Alchian-Allen e</w:t>
      </w:r>
      <w:r w:rsidR="00B53CF4">
        <w:rPr>
          <w:lang w:val="en-NZ"/>
        </w:rPr>
        <w:t xml:space="preserve">ffect means that </w:t>
      </w:r>
      <w:r w:rsidR="008749C4">
        <w:rPr>
          <w:lang w:val="en-NZ"/>
        </w:rPr>
        <w:t xml:space="preserve">the </w:t>
      </w:r>
      <w:r w:rsidR="00B53CF4">
        <w:rPr>
          <w:lang w:val="en-NZ"/>
        </w:rPr>
        <w:t>relative price</w:t>
      </w:r>
      <w:r w:rsidR="00442534">
        <w:rPr>
          <w:lang w:val="en-NZ"/>
        </w:rPr>
        <w:t xml:space="preserve"> of high quality rice should be lower, the further one is from </w:t>
      </w:r>
      <w:r w:rsidR="00CF7B5B">
        <w:rPr>
          <w:lang w:val="en-NZ"/>
        </w:rPr>
        <w:t xml:space="preserve">the </w:t>
      </w:r>
      <w:r w:rsidR="00442534">
        <w:rPr>
          <w:lang w:val="en-NZ"/>
        </w:rPr>
        <w:t xml:space="preserve">point of </w:t>
      </w:r>
      <w:r w:rsidR="00CF7B5B">
        <w:rPr>
          <w:lang w:val="en-NZ"/>
        </w:rPr>
        <w:t>exces</w:t>
      </w:r>
      <w:r w:rsidR="00B97311">
        <w:rPr>
          <w:lang w:val="en-NZ"/>
        </w:rPr>
        <w:t>s supply</w:t>
      </w:r>
      <w:r w:rsidR="00442534">
        <w:rPr>
          <w:lang w:val="en-NZ"/>
        </w:rPr>
        <w:t xml:space="preserve">; the major city in the Mekong delta, Can Tho, </w:t>
      </w:r>
      <w:r w:rsidR="00B53CF4">
        <w:rPr>
          <w:lang w:val="en-NZ"/>
        </w:rPr>
        <w:t xml:space="preserve">is </w:t>
      </w:r>
      <w:r w:rsidR="00B96D6D">
        <w:rPr>
          <w:lang w:val="en-NZ"/>
        </w:rPr>
        <w:t xml:space="preserve">considered </w:t>
      </w:r>
      <w:r w:rsidR="00035FF8">
        <w:rPr>
          <w:lang w:val="en-NZ"/>
        </w:rPr>
        <w:t>a</w:t>
      </w:r>
      <w:r w:rsidR="00CF7B5B">
        <w:rPr>
          <w:lang w:val="en-NZ"/>
        </w:rPr>
        <w:t>s the exces</w:t>
      </w:r>
      <w:r w:rsidR="00B97311">
        <w:rPr>
          <w:lang w:val="en-NZ"/>
        </w:rPr>
        <w:t>s supply</w:t>
      </w:r>
      <w:r w:rsidR="00442534">
        <w:rPr>
          <w:lang w:val="en-NZ"/>
        </w:rPr>
        <w:t xml:space="preserve"> point. </w:t>
      </w:r>
      <w:r w:rsidR="00CF7B5B">
        <w:rPr>
          <w:lang w:val="en-NZ"/>
        </w:rPr>
        <w:t>This effect is seen</w:t>
      </w:r>
      <w:r w:rsidR="00442534">
        <w:rPr>
          <w:lang w:val="en-NZ"/>
        </w:rPr>
        <w:t xml:space="preserve"> in column (1) of </w:t>
      </w:r>
      <w:r w:rsidR="00F36E52">
        <w:rPr>
          <w:lang w:val="en-NZ"/>
        </w:rPr>
        <w:br/>
      </w:r>
      <w:r w:rsidR="00442534">
        <w:rPr>
          <w:lang w:val="en-NZ"/>
        </w:rPr>
        <w:t xml:space="preserve">Table 1, </w:t>
      </w:r>
      <w:r w:rsidR="00CF7B5B">
        <w:rPr>
          <w:lang w:val="en-NZ"/>
        </w:rPr>
        <w:t>which is f</w:t>
      </w:r>
      <w:r w:rsidR="00442534">
        <w:rPr>
          <w:lang w:val="en-NZ"/>
        </w:rPr>
        <w:t>r</w:t>
      </w:r>
      <w:r w:rsidR="00CF7B5B">
        <w:rPr>
          <w:lang w:val="en-NZ"/>
        </w:rPr>
        <w:t>om</w:t>
      </w:r>
      <w:r w:rsidR="00442534">
        <w:rPr>
          <w:lang w:val="en-NZ"/>
        </w:rPr>
        <w:t xml:space="preserve"> a regression where the </w:t>
      </w:r>
      <w:r w:rsidR="00CF7B5B">
        <w:rPr>
          <w:lang w:val="en-NZ"/>
        </w:rPr>
        <w:t xml:space="preserve">independent variable is the distance from Can </w:t>
      </w:r>
      <w:r w:rsidR="00CF7B5B">
        <w:rPr>
          <w:lang w:val="en-NZ"/>
        </w:rPr>
        <w:lastRenderedPageBreak/>
        <w:t xml:space="preserve">Tho to each of Vietnam’s provinces; </w:t>
      </w:r>
      <w:r w:rsidR="00FC0484">
        <w:rPr>
          <w:lang w:val="en-NZ"/>
        </w:rPr>
        <w:t xml:space="preserve">the </w:t>
      </w:r>
      <w:r w:rsidR="000A0A85">
        <w:rPr>
          <w:lang w:val="en-NZ"/>
        </w:rPr>
        <w:t>price ratio of high quality to low quality rice falls by one percentage point for every 100 kilometres</w:t>
      </w:r>
      <w:r w:rsidR="00CF7B5B">
        <w:rPr>
          <w:lang w:val="en-NZ"/>
        </w:rPr>
        <w:t xml:space="preserve">. In column (2) the dependent variable is the ratio of high quality rice to low quality rice (measured in kilograms) bought in each province. On average, there is a 1:6 ratio of high quality rice to low quality rice bought, but this varies from 1:4 </w:t>
      </w:r>
      <w:r w:rsidR="00B97311">
        <w:rPr>
          <w:lang w:val="en-NZ"/>
        </w:rPr>
        <w:t xml:space="preserve">in </w:t>
      </w:r>
      <w:r w:rsidR="00CF7B5B">
        <w:rPr>
          <w:lang w:val="en-NZ"/>
        </w:rPr>
        <w:t xml:space="preserve">Northern provinces to 1:15 in the south; the regression shows this effect with the </w:t>
      </w:r>
      <w:r w:rsidR="000A0A85">
        <w:rPr>
          <w:lang w:val="en-NZ"/>
        </w:rPr>
        <w:t xml:space="preserve">high-to-low quality ratio rising by </w:t>
      </w:r>
      <w:r w:rsidR="00CF7B5B">
        <w:rPr>
          <w:lang w:val="en-NZ"/>
        </w:rPr>
        <w:t xml:space="preserve">two percentage points for every 100 kilometres further from Can Tho. In contrast, rice </w:t>
      </w:r>
      <w:r w:rsidR="00B96D6D">
        <w:rPr>
          <w:lang w:val="en-NZ"/>
        </w:rPr>
        <w:t>from non-</w:t>
      </w:r>
      <w:r w:rsidR="00CF7B5B">
        <w:rPr>
          <w:lang w:val="en-NZ"/>
        </w:rPr>
        <w:t>market</w:t>
      </w:r>
      <w:r w:rsidR="00B97311">
        <w:rPr>
          <w:lang w:val="en-NZ"/>
        </w:rPr>
        <w:t xml:space="preserve"> </w:t>
      </w:r>
      <w:r w:rsidR="00B96D6D">
        <w:rPr>
          <w:lang w:val="en-NZ"/>
        </w:rPr>
        <w:t xml:space="preserve">sources </w:t>
      </w:r>
      <w:r w:rsidR="00B97311">
        <w:rPr>
          <w:lang w:val="en-NZ"/>
        </w:rPr>
        <w:t>(</w:t>
      </w:r>
      <w:r w:rsidR="00826F6F">
        <w:rPr>
          <w:lang w:val="en-NZ"/>
        </w:rPr>
        <w:t>which is mostly from own-</w:t>
      </w:r>
      <w:r w:rsidR="00B97311">
        <w:rPr>
          <w:lang w:val="en-NZ"/>
        </w:rPr>
        <w:t>production)</w:t>
      </w:r>
      <w:r w:rsidR="00826F6F">
        <w:rPr>
          <w:lang w:val="en-NZ"/>
        </w:rPr>
        <w:t xml:space="preserve"> </w:t>
      </w:r>
      <w:r w:rsidR="00035FF8">
        <w:rPr>
          <w:lang w:val="en-NZ"/>
        </w:rPr>
        <w:t>has</w:t>
      </w:r>
      <w:r w:rsidR="00826F6F">
        <w:rPr>
          <w:lang w:val="en-NZ"/>
        </w:rPr>
        <w:t xml:space="preserve"> no Alchian-Allen effect, with </w:t>
      </w:r>
      <w:r w:rsidR="00B97311">
        <w:rPr>
          <w:lang w:val="en-NZ"/>
        </w:rPr>
        <w:t xml:space="preserve">the </w:t>
      </w:r>
      <w:r w:rsidR="00826F6F">
        <w:rPr>
          <w:lang w:val="en-NZ"/>
        </w:rPr>
        <w:t xml:space="preserve">distance from Can Tho </w:t>
      </w:r>
      <w:r w:rsidR="00035FF8">
        <w:rPr>
          <w:lang w:val="en-NZ"/>
        </w:rPr>
        <w:t>statistically insignificant (column (3)).</w:t>
      </w:r>
      <w:r w:rsidR="00826F6F">
        <w:rPr>
          <w:lang w:val="en-NZ"/>
        </w:rPr>
        <w:t xml:space="preserve"> </w:t>
      </w:r>
    </w:p>
    <w:p w:rsidR="00134275" w:rsidRDefault="00134275" w:rsidP="00134275">
      <w:pPr>
        <w:tabs>
          <w:tab w:val="left" w:pos="426"/>
        </w:tabs>
        <w:spacing w:line="288" w:lineRule="auto"/>
        <w:jc w:val="both"/>
        <w:rPr>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34"/>
        <w:gridCol w:w="2286"/>
        <w:gridCol w:w="2289"/>
        <w:gridCol w:w="2274"/>
      </w:tblGrid>
      <w:tr w:rsidR="003A559C" w:rsidRPr="00B53CF4" w:rsidTr="00122C9F">
        <w:tc>
          <w:tcPr>
            <w:tcW w:w="9243" w:type="dxa"/>
            <w:gridSpan w:val="4"/>
            <w:tcBorders>
              <w:bottom w:val="single" w:sz="4" w:space="0" w:color="auto"/>
            </w:tcBorders>
          </w:tcPr>
          <w:p w:rsidR="009B5865" w:rsidRDefault="00F36E52" w:rsidP="00C645CE">
            <w:pPr>
              <w:tabs>
                <w:tab w:val="left" w:pos="426"/>
              </w:tabs>
              <w:jc w:val="center"/>
              <w:rPr>
                <w:b/>
                <w:sz w:val="22"/>
                <w:szCs w:val="22"/>
                <w:lang w:val="en-NZ"/>
              </w:rPr>
            </w:pPr>
            <w:r>
              <w:rPr>
                <w:b/>
                <w:sz w:val="22"/>
                <w:szCs w:val="22"/>
                <w:lang w:val="en-NZ"/>
              </w:rPr>
              <w:t>Table 1: Effects of d</w:t>
            </w:r>
            <w:r w:rsidR="003A559C" w:rsidRPr="009B5865">
              <w:rPr>
                <w:b/>
                <w:sz w:val="22"/>
                <w:szCs w:val="22"/>
                <w:lang w:val="en-NZ"/>
              </w:rPr>
              <w:t xml:space="preserve">istance from Can Tho (as a proxy for shipping costs) </w:t>
            </w:r>
          </w:p>
          <w:p w:rsidR="003A559C" w:rsidRDefault="009B5865" w:rsidP="00C645CE">
            <w:pPr>
              <w:tabs>
                <w:tab w:val="left" w:pos="426"/>
              </w:tabs>
              <w:jc w:val="center"/>
              <w:rPr>
                <w:b/>
                <w:sz w:val="22"/>
                <w:szCs w:val="22"/>
                <w:lang w:val="en-NZ"/>
              </w:rPr>
            </w:pPr>
            <w:r>
              <w:rPr>
                <w:b/>
                <w:sz w:val="22"/>
                <w:szCs w:val="22"/>
                <w:lang w:val="en-NZ"/>
              </w:rPr>
              <w:t>on Price and Quantity Ratios for High Quality R</w:t>
            </w:r>
            <w:r w:rsidR="003A559C" w:rsidRPr="009B5865">
              <w:rPr>
                <w:b/>
                <w:sz w:val="22"/>
                <w:szCs w:val="22"/>
                <w:lang w:val="en-NZ"/>
              </w:rPr>
              <w:t xml:space="preserve">ice and </w:t>
            </w:r>
            <w:r>
              <w:rPr>
                <w:b/>
                <w:sz w:val="22"/>
                <w:szCs w:val="22"/>
                <w:lang w:val="en-NZ"/>
              </w:rPr>
              <w:t>for Low Quality R</w:t>
            </w:r>
            <w:r w:rsidR="003A559C" w:rsidRPr="009B5865">
              <w:rPr>
                <w:b/>
                <w:sz w:val="22"/>
                <w:szCs w:val="22"/>
                <w:lang w:val="en-NZ"/>
              </w:rPr>
              <w:t>ice</w:t>
            </w:r>
          </w:p>
          <w:p w:rsidR="00F84F88" w:rsidRPr="00F84F88" w:rsidRDefault="00F84F88" w:rsidP="00C645CE">
            <w:pPr>
              <w:tabs>
                <w:tab w:val="left" w:pos="426"/>
              </w:tabs>
              <w:jc w:val="center"/>
              <w:rPr>
                <w:b/>
                <w:sz w:val="8"/>
                <w:szCs w:val="8"/>
                <w:lang w:val="en-NZ"/>
              </w:rPr>
            </w:pPr>
          </w:p>
        </w:tc>
      </w:tr>
      <w:tr w:rsidR="001B69AD" w:rsidRPr="003A559C" w:rsidTr="00122C9F">
        <w:tc>
          <w:tcPr>
            <w:tcW w:w="2295" w:type="dxa"/>
            <w:tcBorders>
              <w:top w:val="single" w:sz="4" w:space="0" w:color="auto"/>
            </w:tcBorders>
          </w:tcPr>
          <w:p w:rsidR="001B69AD" w:rsidRPr="009B5865" w:rsidRDefault="001B69AD" w:rsidP="00C645CE">
            <w:pPr>
              <w:tabs>
                <w:tab w:val="left" w:pos="426"/>
              </w:tabs>
              <w:jc w:val="both"/>
              <w:rPr>
                <w:sz w:val="22"/>
                <w:szCs w:val="22"/>
                <w:lang w:val="en-NZ"/>
              </w:rPr>
            </w:pPr>
          </w:p>
        </w:tc>
        <w:tc>
          <w:tcPr>
            <w:tcW w:w="2318" w:type="dxa"/>
            <w:vMerge w:val="restart"/>
            <w:tcBorders>
              <w:top w:val="single" w:sz="4" w:space="0" w:color="auto"/>
            </w:tcBorders>
          </w:tcPr>
          <w:p w:rsidR="001B69AD" w:rsidRPr="009B5865" w:rsidRDefault="00734FBD" w:rsidP="00C645CE">
            <w:pPr>
              <w:tabs>
                <w:tab w:val="left" w:pos="426"/>
              </w:tabs>
              <w:jc w:val="center"/>
              <w:rPr>
                <w:sz w:val="22"/>
                <w:szCs w:val="22"/>
                <w:lang w:val="en-NZ"/>
              </w:rPr>
            </w:pPr>
            <w:r>
              <w:rPr>
                <w:sz w:val="22"/>
                <w:szCs w:val="22"/>
                <w:lang w:val="en-NZ"/>
              </w:rPr>
              <w:t>Relative Price of High Quality R</w:t>
            </w:r>
            <w:r w:rsidR="001B69AD" w:rsidRPr="009B5865">
              <w:rPr>
                <w:sz w:val="22"/>
                <w:szCs w:val="22"/>
                <w:lang w:val="en-NZ"/>
              </w:rPr>
              <w:t>ice</w:t>
            </w:r>
          </w:p>
          <w:p w:rsidR="00B53CF4" w:rsidRPr="009B5865" w:rsidRDefault="00B53CF4" w:rsidP="00C645CE">
            <w:pPr>
              <w:tabs>
                <w:tab w:val="left" w:pos="426"/>
              </w:tabs>
              <w:jc w:val="center"/>
              <w:rPr>
                <w:sz w:val="22"/>
                <w:szCs w:val="22"/>
                <w:lang w:val="en-NZ"/>
              </w:rPr>
            </w:pPr>
            <w:r w:rsidRPr="009B5865">
              <w:rPr>
                <w:sz w:val="22"/>
                <w:szCs w:val="22"/>
                <w:lang w:val="en-NZ"/>
              </w:rPr>
              <w:t>(1)</w:t>
            </w:r>
          </w:p>
        </w:tc>
        <w:tc>
          <w:tcPr>
            <w:tcW w:w="4630" w:type="dxa"/>
            <w:gridSpan w:val="2"/>
            <w:tcBorders>
              <w:top w:val="single" w:sz="4" w:space="0" w:color="auto"/>
            </w:tcBorders>
          </w:tcPr>
          <w:p w:rsidR="009B5865" w:rsidRDefault="00734FBD" w:rsidP="00734FBD">
            <w:pPr>
              <w:tabs>
                <w:tab w:val="left" w:pos="426"/>
              </w:tabs>
              <w:jc w:val="center"/>
              <w:rPr>
                <w:sz w:val="22"/>
                <w:szCs w:val="22"/>
                <w:lang w:val="en-NZ"/>
              </w:rPr>
            </w:pPr>
            <w:r>
              <w:rPr>
                <w:sz w:val="22"/>
                <w:szCs w:val="22"/>
                <w:lang w:val="en-NZ"/>
              </w:rPr>
              <w:t>Quantity of High Quality R</w:t>
            </w:r>
            <w:r w:rsidR="001B69AD" w:rsidRPr="009B5865">
              <w:rPr>
                <w:sz w:val="22"/>
                <w:szCs w:val="22"/>
                <w:lang w:val="en-NZ"/>
              </w:rPr>
              <w:t>ice</w:t>
            </w:r>
          </w:p>
          <w:p w:rsidR="001B69AD" w:rsidRPr="009B5865" w:rsidRDefault="00734FBD" w:rsidP="00734FBD">
            <w:pPr>
              <w:tabs>
                <w:tab w:val="left" w:pos="426"/>
              </w:tabs>
              <w:jc w:val="center"/>
              <w:rPr>
                <w:sz w:val="22"/>
                <w:szCs w:val="22"/>
                <w:lang w:val="en-NZ"/>
              </w:rPr>
            </w:pPr>
            <w:r>
              <w:rPr>
                <w:sz w:val="22"/>
                <w:szCs w:val="22"/>
                <w:lang w:val="en-NZ"/>
              </w:rPr>
              <w:t>Relative to Low Q</w:t>
            </w:r>
            <w:r w:rsidR="001B69AD" w:rsidRPr="009B5865">
              <w:rPr>
                <w:sz w:val="22"/>
                <w:szCs w:val="22"/>
                <w:lang w:val="en-NZ"/>
              </w:rPr>
              <w:t>uality</w:t>
            </w:r>
          </w:p>
        </w:tc>
      </w:tr>
      <w:tr w:rsidR="001B69AD" w:rsidRPr="003A559C" w:rsidTr="00122C9F">
        <w:tc>
          <w:tcPr>
            <w:tcW w:w="2295" w:type="dxa"/>
            <w:tcBorders>
              <w:bottom w:val="single" w:sz="4" w:space="0" w:color="auto"/>
            </w:tcBorders>
          </w:tcPr>
          <w:p w:rsidR="001B69AD" w:rsidRPr="009B5865" w:rsidRDefault="001B69AD" w:rsidP="00C645CE">
            <w:pPr>
              <w:tabs>
                <w:tab w:val="left" w:pos="426"/>
              </w:tabs>
              <w:jc w:val="both"/>
              <w:rPr>
                <w:sz w:val="22"/>
                <w:szCs w:val="22"/>
                <w:lang w:val="en-NZ"/>
              </w:rPr>
            </w:pPr>
          </w:p>
        </w:tc>
        <w:tc>
          <w:tcPr>
            <w:tcW w:w="2318" w:type="dxa"/>
            <w:vMerge/>
            <w:tcBorders>
              <w:bottom w:val="single" w:sz="4" w:space="0" w:color="auto"/>
            </w:tcBorders>
          </w:tcPr>
          <w:p w:rsidR="001B69AD" w:rsidRPr="009B5865" w:rsidRDefault="001B69AD" w:rsidP="00C645CE">
            <w:pPr>
              <w:tabs>
                <w:tab w:val="left" w:pos="426"/>
              </w:tabs>
              <w:jc w:val="both"/>
              <w:rPr>
                <w:sz w:val="22"/>
                <w:szCs w:val="22"/>
                <w:lang w:val="en-NZ"/>
              </w:rPr>
            </w:pPr>
          </w:p>
        </w:tc>
        <w:tc>
          <w:tcPr>
            <w:tcW w:w="2317" w:type="dxa"/>
            <w:tcBorders>
              <w:bottom w:val="single" w:sz="4" w:space="0" w:color="auto"/>
            </w:tcBorders>
          </w:tcPr>
          <w:p w:rsidR="001B69AD" w:rsidRPr="009B5865" w:rsidRDefault="001B69AD" w:rsidP="00C645CE">
            <w:pPr>
              <w:tabs>
                <w:tab w:val="left" w:pos="426"/>
              </w:tabs>
              <w:jc w:val="center"/>
              <w:rPr>
                <w:sz w:val="22"/>
                <w:szCs w:val="22"/>
                <w:lang w:val="en-NZ"/>
              </w:rPr>
            </w:pPr>
            <w:r w:rsidRPr="009B5865">
              <w:rPr>
                <w:sz w:val="22"/>
                <w:szCs w:val="22"/>
                <w:lang w:val="en-NZ"/>
              </w:rPr>
              <w:t>Purchases</w:t>
            </w:r>
          </w:p>
          <w:p w:rsidR="00B53CF4" w:rsidRPr="009B5865" w:rsidRDefault="00B53CF4" w:rsidP="00C645CE">
            <w:pPr>
              <w:tabs>
                <w:tab w:val="left" w:pos="426"/>
              </w:tabs>
              <w:jc w:val="center"/>
              <w:rPr>
                <w:sz w:val="22"/>
                <w:szCs w:val="22"/>
                <w:lang w:val="en-NZ"/>
              </w:rPr>
            </w:pPr>
            <w:r w:rsidRPr="009B5865">
              <w:rPr>
                <w:sz w:val="22"/>
                <w:szCs w:val="22"/>
                <w:lang w:val="en-NZ"/>
              </w:rPr>
              <w:t>(2)</w:t>
            </w:r>
          </w:p>
        </w:tc>
        <w:tc>
          <w:tcPr>
            <w:tcW w:w="2313" w:type="dxa"/>
            <w:tcBorders>
              <w:bottom w:val="single" w:sz="4" w:space="0" w:color="auto"/>
            </w:tcBorders>
          </w:tcPr>
          <w:p w:rsidR="001B69AD" w:rsidRPr="009B5865" w:rsidRDefault="001B69AD" w:rsidP="00C645CE">
            <w:pPr>
              <w:tabs>
                <w:tab w:val="left" w:pos="426"/>
              </w:tabs>
              <w:jc w:val="center"/>
              <w:rPr>
                <w:sz w:val="22"/>
                <w:szCs w:val="22"/>
                <w:lang w:val="en-NZ"/>
              </w:rPr>
            </w:pPr>
            <w:r w:rsidRPr="009B5865">
              <w:rPr>
                <w:sz w:val="22"/>
                <w:szCs w:val="22"/>
                <w:lang w:val="en-NZ"/>
              </w:rPr>
              <w:t>Non-market supply</w:t>
            </w:r>
          </w:p>
          <w:p w:rsidR="00B53CF4" w:rsidRPr="009B5865" w:rsidRDefault="00B53CF4" w:rsidP="00C645CE">
            <w:pPr>
              <w:tabs>
                <w:tab w:val="left" w:pos="426"/>
              </w:tabs>
              <w:jc w:val="center"/>
              <w:rPr>
                <w:sz w:val="22"/>
                <w:szCs w:val="22"/>
                <w:lang w:val="en-NZ"/>
              </w:rPr>
            </w:pPr>
            <w:r w:rsidRPr="009B5865">
              <w:rPr>
                <w:sz w:val="22"/>
                <w:szCs w:val="22"/>
                <w:lang w:val="en-NZ"/>
              </w:rPr>
              <w:t>(3)</w:t>
            </w:r>
          </w:p>
        </w:tc>
      </w:tr>
      <w:tr w:rsidR="001B69AD" w:rsidRPr="003A559C" w:rsidTr="00122C9F">
        <w:tc>
          <w:tcPr>
            <w:tcW w:w="2295" w:type="dxa"/>
            <w:tcBorders>
              <w:top w:val="single" w:sz="4" w:space="0" w:color="auto"/>
            </w:tcBorders>
          </w:tcPr>
          <w:p w:rsidR="001B69AD" w:rsidRPr="009B5865" w:rsidRDefault="001B69AD" w:rsidP="00D347ED">
            <w:pPr>
              <w:tabs>
                <w:tab w:val="left" w:pos="426"/>
              </w:tabs>
              <w:spacing w:before="60"/>
              <w:jc w:val="both"/>
              <w:rPr>
                <w:sz w:val="22"/>
                <w:szCs w:val="22"/>
                <w:lang w:val="en-NZ"/>
              </w:rPr>
            </w:pPr>
            <w:r w:rsidRPr="009B5865">
              <w:rPr>
                <w:sz w:val="22"/>
                <w:szCs w:val="22"/>
                <w:lang w:val="en-NZ"/>
              </w:rPr>
              <w:t>Distance from Can Tho</w:t>
            </w:r>
          </w:p>
        </w:tc>
        <w:tc>
          <w:tcPr>
            <w:tcW w:w="2318" w:type="dxa"/>
            <w:tcBorders>
              <w:top w:val="single" w:sz="4" w:space="0" w:color="auto"/>
            </w:tcBorders>
          </w:tcPr>
          <w:p w:rsidR="001B69AD" w:rsidRPr="009B5865" w:rsidRDefault="001B69AD" w:rsidP="00D347ED">
            <w:pPr>
              <w:pStyle w:val="PlainText"/>
              <w:tabs>
                <w:tab w:val="decimal" w:pos="924"/>
              </w:tabs>
              <w:spacing w:before="60"/>
              <w:rPr>
                <w:rFonts w:ascii="Times New Roman" w:hAnsi="Times New Roman"/>
                <w:sz w:val="22"/>
                <w:szCs w:val="22"/>
              </w:rPr>
            </w:pPr>
            <w:r w:rsidRPr="009B5865">
              <w:rPr>
                <w:rFonts w:ascii="Times New Roman" w:hAnsi="Times New Roman"/>
                <w:sz w:val="22"/>
                <w:szCs w:val="22"/>
              </w:rPr>
              <w:t>-0.011</w:t>
            </w:r>
          </w:p>
        </w:tc>
        <w:tc>
          <w:tcPr>
            <w:tcW w:w="2317" w:type="dxa"/>
            <w:tcBorders>
              <w:top w:val="single" w:sz="4" w:space="0" w:color="auto"/>
            </w:tcBorders>
          </w:tcPr>
          <w:p w:rsidR="001B69AD" w:rsidRPr="009B5865" w:rsidRDefault="001B69AD" w:rsidP="00D347ED">
            <w:pPr>
              <w:pStyle w:val="PlainText"/>
              <w:tabs>
                <w:tab w:val="decimal" w:pos="1005"/>
              </w:tabs>
              <w:spacing w:before="60"/>
              <w:rPr>
                <w:rFonts w:ascii="Times New Roman" w:hAnsi="Times New Roman"/>
                <w:sz w:val="22"/>
                <w:szCs w:val="22"/>
              </w:rPr>
            </w:pPr>
            <w:r w:rsidRPr="009B5865">
              <w:rPr>
                <w:rFonts w:ascii="Times New Roman" w:hAnsi="Times New Roman"/>
                <w:sz w:val="22"/>
                <w:szCs w:val="22"/>
              </w:rPr>
              <w:t>1.886</w:t>
            </w:r>
          </w:p>
        </w:tc>
        <w:tc>
          <w:tcPr>
            <w:tcW w:w="2313" w:type="dxa"/>
            <w:tcBorders>
              <w:top w:val="single" w:sz="4" w:space="0" w:color="auto"/>
            </w:tcBorders>
          </w:tcPr>
          <w:p w:rsidR="001B69AD" w:rsidRPr="009B5865" w:rsidRDefault="001B69AD" w:rsidP="00D347ED">
            <w:pPr>
              <w:pStyle w:val="PlainText"/>
              <w:tabs>
                <w:tab w:val="decimal" w:pos="926"/>
              </w:tabs>
              <w:spacing w:before="60"/>
              <w:rPr>
                <w:rFonts w:ascii="Times New Roman" w:hAnsi="Times New Roman"/>
                <w:sz w:val="22"/>
                <w:szCs w:val="22"/>
              </w:rPr>
            </w:pPr>
            <w:r w:rsidRPr="009B5865">
              <w:rPr>
                <w:rFonts w:ascii="Times New Roman" w:hAnsi="Times New Roman"/>
                <w:sz w:val="22"/>
                <w:szCs w:val="22"/>
              </w:rPr>
              <w:t>-1.697</w:t>
            </w:r>
          </w:p>
        </w:tc>
      </w:tr>
      <w:tr w:rsidR="001B69AD" w:rsidRPr="003A559C" w:rsidTr="00122C9F">
        <w:tc>
          <w:tcPr>
            <w:tcW w:w="2295" w:type="dxa"/>
          </w:tcPr>
          <w:p w:rsidR="001B69AD" w:rsidRPr="009B5865" w:rsidRDefault="001B69AD" w:rsidP="00C645CE">
            <w:pPr>
              <w:tabs>
                <w:tab w:val="left" w:pos="426"/>
              </w:tabs>
              <w:jc w:val="both"/>
              <w:rPr>
                <w:sz w:val="22"/>
                <w:szCs w:val="22"/>
                <w:lang w:val="en-NZ"/>
              </w:rPr>
            </w:pPr>
          </w:p>
        </w:tc>
        <w:tc>
          <w:tcPr>
            <w:tcW w:w="2318" w:type="dxa"/>
          </w:tcPr>
          <w:p w:rsidR="001B69AD" w:rsidRPr="009B5865" w:rsidRDefault="001B69AD" w:rsidP="003F41AF">
            <w:pPr>
              <w:pStyle w:val="PlainText"/>
              <w:tabs>
                <w:tab w:val="decimal" w:pos="924"/>
              </w:tabs>
              <w:rPr>
                <w:rFonts w:ascii="Times New Roman" w:hAnsi="Times New Roman"/>
                <w:sz w:val="22"/>
                <w:szCs w:val="22"/>
              </w:rPr>
            </w:pPr>
            <w:r w:rsidRPr="009B5865">
              <w:rPr>
                <w:rFonts w:ascii="Times New Roman" w:hAnsi="Times New Roman"/>
                <w:sz w:val="22"/>
                <w:szCs w:val="22"/>
              </w:rPr>
              <w:t>(4.06)**</w:t>
            </w:r>
          </w:p>
        </w:tc>
        <w:tc>
          <w:tcPr>
            <w:tcW w:w="2317" w:type="dxa"/>
          </w:tcPr>
          <w:p w:rsidR="001B69AD" w:rsidRPr="009B5865" w:rsidRDefault="001B69AD" w:rsidP="00734FBD">
            <w:pPr>
              <w:pStyle w:val="PlainText"/>
              <w:tabs>
                <w:tab w:val="decimal" w:pos="1005"/>
              </w:tabs>
              <w:rPr>
                <w:rFonts w:ascii="Times New Roman" w:hAnsi="Times New Roman"/>
                <w:sz w:val="22"/>
                <w:szCs w:val="22"/>
              </w:rPr>
            </w:pPr>
            <w:r w:rsidRPr="009B5865">
              <w:rPr>
                <w:rFonts w:ascii="Times New Roman" w:hAnsi="Times New Roman"/>
                <w:sz w:val="22"/>
                <w:szCs w:val="22"/>
              </w:rPr>
              <w:t>(3.22)**</w:t>
            </w:r>
          </w:p>
        </w:tc>
        <w:tc>
          <w:tcPr>
            <w:tcW w:w="2313" w:type="dxa"/>
          </w:tcPr>
          <w:p w:rsidR="001B69AD" w:rsidRPr="009B5865" w:rsidRDefault="001B69AD" w:rsidP="003F41AF">
            <w:pPr>
              <w:pStyle w:val="PlainText"/>
              <w:tabs>
                <w:tab w:val="decimal" w:pos="926"/>
              </w:tabs>
              <w:rPr>
                <w:rFonts w:ascii="Times New Roman" w:hAnsi="Times New Roman"/>
                <w:sz w:val="22"/>
                <w:szCs w:val="22"/>
              </w:rPr>
            </w:pPr>
            <w:r w:rsidRPr="009B5865">
              <w:rPr>
                <w:rFonts w:ascii="Times New Roman" w:hAnsi="Times New Roman"/>
                <w:sz w:val="22"/>
                <w:szCs w:val="22"/>
              </w:rPr>
              <w:t>(0.78)</w:t>
            </w:r>
          </w:p>
        </w:tc>
      </w:tr>
      <w:tr w:rsidR="001B69AD" w:rsidRPr="003A559C" w:rsidTr="00122C9F">
        <w:tc>
          <w:tcPr>
            <w:tcW w:w="2295" w:type="dxa"/>
          </w:tcPr>
          <w:p w:rsidR="001B69AD" w:rsidRPr="009B5865" w:rsidRDefault="001B69AD" w:rsidP="00122C9F">
            <w:pPr>
              <w:tabs>
                <w:tab w:val="left" w:pos="426"/>
              </w:tabs>
              <w:spacing w:before="40"/>
              <w:jc w:val="both"/>
              <w:rPr>
                <w:sz w:val="22"/>
                <w:szCs w:val="22"/>
                <w:lang w:val="en-NZ"/>
              </w:rPr>
            </w:pPr>
            <w:r w:rsidRPr="009B5865">
              <w:rPr>
                <w:sz w:val="22"/>
                <w:szCs w:val="22"/>
                <w:lang w:val="en-NZ"/>
              </w:rPr>
              <w:t>Intercept</w:t>
            </w:r>
          </w:p>
        </w:tc>
        <w:tc>
          <w:tcPr>
            <w:tcW w:w="2318" w:type="dxa"/>
          </w:tcPr>
          <w:p w:rsidR="001B69AD" w:rsidRPr="009B5865" w:rsidRDefault="001B69AD" w:rsidP="00122C9F">
            <w:pPr>
              <w:pStyle w:val="PlainText"/>
              <w:tabs>
                <w:tab w:val="decimal" w:pos="924"/>
              </w:tabs>
              <w:spacing w:before="40"/>
              <w:rPr>
                <w:rFonts w:ascii="Times New Roman" w:hAnsi="Times New Roman"/>
                <w:sz w:val="22"/>
                <w:szCs w:val="22"/>
              </w:rPr>
            </w:pPr>
            <w:r w:rsidRPr="009B5865">
              <w:rPr>
                <w:rFonts w:ascii="Times New Roman" w:hAnsi="Times New Roman"/>
                <w:sz w:val="22"/>
                <w:szCs w:val="22"/>
              </w:rPr>
              <w:t>1.482</w:t>
            </w:r>
          </w:p>
        </w:tc>
        <w:tc>
          <w:tcPr>
            <w:tcW w:w="2317" w:type="dxa"/>
          </w:tcPr>
          <w:p w:rsidR="001B69AD" w:rsidRPr="009B5865" w:rsidRDefault="001B69AD" w:rsidP="00734FBD">
            <w:pPr>
              <w:pStyle w:val="PlainText"/>
              <w:tabs>
                <w:tab w:val="decimal" w:pos="1005"/>
              </w:tabs>
              <w:spacing w:before="40"/>
              <w:rPr>
                <w:rFonts w:ascii="Times New Roman" w:hAnsi="Times New Roman"/>
                <w:sz w:val="22"/>
                <w:szCs w:val="22"/>
              </w:rPr>
            </w:pPr>
            <w:r w:rsidRPr="009B5865">
              <w:rPr>
                <w:rFonts w:ascii="Times New Roman" w:hAnsi="Times New Roman"/>
                <w:sz w:val="22"/>
                <w:szCs w:val="22"/>
              </w:rPr>
              <w:t>2.879</w:t>
            </w:r>
          </w:p>
        </w:tc>
        <w:tc>
          <w:tcPr>
            <w:tcW w:w="2313" w:type="dxa"/>
          </w:tcPr>
          <w:p w:rsidR="001B69AD" w:rsidRPr="009B5865" w:rsidRDefault="001B69AD" w:rsidP="00122C9F">
            <w:pPr>
              <w:pStyle w:val="PlainText"/>
              <w:tabs>
                <w:tab w:val="decimal" w:pos="926"/>
              </w:tabs>
              <w:spacing w:before="40"/>
              <w:rPr>
                <w:rFonts w:ascii="Times New Roman" w:hAnsi="Times New Roman"/>
                <w:sz w:val="22"/>
                <w:szCs w:val="22"/>
              </w:rPr>
            </w:pPr>
            <w:r w:rsidRPr="009B5865">
              <w:rPr>
                <w:rFonts w:ascii="Times New Roman" w:hAnsi="Times New Roman"/>
                <w:sz w:val="22"/>
                <w:szCs w:val="22"/>
              </w:rPr>
              <w:t>26.781</w:t>
            </w:r>
          </w:p>
        </w:tc>
      </w:tr>
      <w:tr w:rsidR="001B69AD" w:rsidRPr="003A559C" w:rsidTr="00122C9F">
        <w:tc>
          <w:tcPr>
            <w:tcW w:w="2295" w:type="dxa"/>
          </w:tcPr>
          <w:p w:rsidR="001B69AD" w:rsidRPr="009B5865" w:rsidRDefault="001B69AD" w:rsidP="00C645CE">
            <w:pPr>
              <w:tabs>
                <w:tab w:val="left" w:pos="426"/>
              </w:tabs>
              <w:jc w:val="both"/>
              <w:rPr>
                <w:sz w:val="22"/>
                <w:szCs w:val="22"/>
                <w:lang w:val="en-NZ"/>
              </w:rPr>
            </w:pPr>
          </w:p>
        </w:tc>
        <w:tc>
          <w:tcPr>
            <w:tcW w:w="2318" w:type="dxa"/>
          </w:tcPr>
          <w:p w:rsidR="001B69AD" w:rsidRPr="009B5865" w:rsidRDefault="001B69AD" w:rsidP="003F41AF">
            <w:pPr>
              <w:pStyle w:val="PlainText"/>
              <w:tabs>
                <w:tab w:val="decimal" w:pos="924"/>
              </w:tabs>
              <w:rPr>
                <w:rFonts w:ascii="Times New Roman" w:hAnsi="Times New Roman"/>
                <w:sz w:val="22"/>
                <w:szCs w:val="22"/>
              </w:rPr>
            </w:pPr>
            <w:r w:rsidRPr="009B5865">
              <w:rPr>
                <w:rFonts w:ascii="Times New Roman" w:hAnsi="Times New Roman"/>
                <w:sz w:val="22"/>
                <w:szCs w:val="22"/>
              </w:rPr>
              <w:t>(49.74)**</w:t>
            </w:r>
          </w:p>
        </w:tc>
        <w:tc>
          <w:tcPr>
            <w:tcW w:w="2317" w:type="dxa"/>
          </w:tcPr>
          <w:p w:rsidR="001B69AD" w:rsidRPr="009B5865" w:rsidRDefault="001B69AD" w:rsidP="00734FBD">
            <w:pPr>
              <w:pStyle w:val="PlainText"/>
              <w:tabs>
                <w:tab w:val="decimal" w:pos="1005"/>
              </w:tabs>
              <w:rPr>
                <w:rFonts w:ascii="Times New Roman" w:hAnsi="Times New Roman"/>
                <w:sz w:val="22"/>
                <w:szCs w:val="22"/>
              </w:rPr>
            </w:pPr>
            <w:r w:rsidRPr="009B5865">
              <w:rPr>
                <w:rFonts w:ascii="Times New Roman" w:hAnsi="Times New Roman"/>
                <w:sz w:val="22"/>
                <w:szCs w:val="22"/>
              </w:rPr>
              <w:t>(1.58)</w:t>
            </w:r>
          </w:p>
        </w:tc>
        <w:tc>
          <w:tcPr>
            <w:tcW w:w="2313" w:type="dxa"/>
          </w:tcPr>
          <w:p w:rsidR="001B69AD" w:rsidRPr="009B5865" w:rsidRDefault="001B69AD" w:rsidP="003F41AF">
            <w:pPr>
              <w:pStyle w:val="PlainText"/>
              <w:tabs>
                <w:tab w:val="decimal" w:pos="926"/>
              </w:tabs>
              <w:rPr>
                <w:rFonts w:ascii="Times New Roman" w:hAnsi="Times New Roman"/>
                <w:sz w:val="22"/>
                <w:szCs w:val="22"/>
              </w:rPr>
            </w:pPr>
            <w:r w:rsidRPr="009B5865">
              <w:rPr>
                <w:rFonts w:ascii="Times New Roman" w:hAnsi="Times New Roman"/>
                <w:sz w:val="22"/>
                <w:szCs w:val="22"/>
              </w:rPr>
              <w:t>(1.07)</w:t>
            </w:r>
          </w:p>
        </w:tc>
      </w:tr>
      <w:tr w:rsidR="001B69AD" w:rsidRPr="003A559C" w:rsidTr="00122C9F">
        <w:tc>
          <w:tcPr>
            <w:tcW w:w="2295" w:type="dxa"/>
            <w:tcBorders>
              <w:bottom w:val="single" w:sz="4" w:space="0" w:color="auto"/>
            </w:tcBorders>
          </w:tcPr>
          <w:p w:rsidR="001B69AD" w:rsidRPr="009B5865" w:rsidRDefault="001B69AD" w:rsidP="00122C9F">
            <w:pPr>
              <w:tabs>
                <w:tab w:val="left" w:pos="426"/>
              </w:tabs>
              <w:spacing w:before="40"/>
              <w:jc w:val="both"/>
              <w:rPr>
                <w:sz w:val="22"/>
                <w:szCs w:val="22"/>
                <w:lang w:val="en-NZ"/>
              </w:rPr>
            </w:pPr>
            <w:r w:rsidRPr="009B5865">
              <w:rPr>
                <w:sz w:val="22"/>
                <w:szCs w:val="22"/>
                <w:lang w:val="en-NZ"/>
              </w:rPr>
              <w:t>R-squared</w:t>
            </w:r>
          </w:p>
        </w:tc>
        <w:tc>
          <w:tcPr>
            <w:tcW w:w="2318" w:type="dxa"/>
            <w:tcBorders>
              <w:bottom w:val="single" w:sz="4" w:space="0" w:color="auto"/>
            </w:tcBorders>
          </w:tcPr>
          <w:p w:rsidR="001B69AD" w:rsidRPr="009B5865" w:rsidRDefault="001B69AD" w:rsidP="00122C9F">
            <w:pPr>
              <w:pStyle w:val="PlainText"/>
              <w:tabs>
                <w:tab w:val="decimal" w:pos="924"/>
              </w:tabs>
              <w:spacing w:before="40"/>
              <w:rPr>
                <w:rFonts w:ascii="Times New Roman" w:hAnsi="Times New Roman"/>
                <w:sz w:val="22"/>
                <w:szCs w:val="22"/>
              </w:rPr>
            </w:pPr>
            <w:r w:rsidRPr="009B5865">
              <w:rPr>
                <w:rFonts w:ascii="Times New Roman" w:hAnsi="Times New Roman"/>
                <w:sz w:val="22"/>
                <w:szCs w:val="22"/>
              </w:rPr>
              <w:t>0.17</w:t>
            </w:r>
          </w:p>
        </w:tc>
        <w:tc>
          <w:tcPr>
            <w:tcW w:w="2317" w:type="dxa"/>
            <w:tcBorders>
              <w:bottom w:val="single" w:sz="4" w:space="0" w:color="auto"/>
            </w:tcBorders>
          </w:tcPr>
          <w:p w:rsidR="001B69AD" w:rsidRPr="009B5865" w:rsidRDefault="001B69AD" w:rsidP="00734FBD">
            <w:pPr>
              <w:pStyle w:val="PlainText"/>
              <w:tabs>
                <w:tab w:val="decimal" w:pos="1005"/>
              </w:tabs>
              <w:spacing w:before="40"/>
              <w:rPr>
                <w:rFonts w:ascii="Times New Roman" w:hAnsi="Times New Roman"/>
                <w:sz w:val="22"/>
                <w:szCs w:val="22"/>
              </w:rPr>
            </w:pPr>
            <w:r w:rsidRPr="009B5865">
              <w:rPr>
                <w:rFonts w:ascii="Times New Roman" w:hAnsi="Times New Roman"/>
                <w:sz w:val="22"/>
                <w:szCs w:val="22"/>
              </w:rPr>
              <w:t>0.12</w:t>
            </w:r>
          </w:p>
        </w:tc>
        <w:tc>
          <w:tcPr>
            <w:tcW w:w="2313" w:type="dxa"/>
            <w:tcBorders>
              <w:bottom w:val="single" w:sz="4" w:space="0" w:color="auto"/>
            </w:tcBorders>
          </w:tcPr>
          <w:p w:rsidR="001B69AD" w:rsidRPr="009B5865" w:rsidRDefault="001B69AD" w:rsidP="00122C9F">
            <w:pPr>
              <w:pStyle w:val="PlainText"/>
              <w:tabs>
                <w:tab w:val="decimal" w:pos="926"/>
              </w:tabs>
              <w:spacing w:before="40"/>
              <w:rPr>
                <w:rFonts w:ascii="Times New Roman" w:hAnsi="Times New Roman"/>
                <w:sz w:val="22"/>
                <w:szCs w:val="22"/>
              </w:rPr>
            </w:pPr>
            <w:r w:rsidRPr="009B5865">
              <w:rPr>
                <w:rFonts w:ascii="Times New Roman" w:hAnsi="Times New Roman"/>
                <w:sz w:val="22"/>
                <w:szCs w:val="22"/>
              </w:rPr>
              <w:t>0.01</w:t>
            </w:r>
          </w:p>
        </w:tc>
      </w:tr>
      <w:tr w:rsidR="001B69AD" w:rsidRPr="003A559C" w:rsidTr="00122C9F">
        <w:tc>
          <w:tcPr>
            <w:tcW w:w="9243" w:type="dxa"/>
            <w:gridSpan w:val="4"/>
            <w:tcBorders>
              <w:top w:val="single" w:sz="4" w:space="0" w:color="auto"/>
            </w:tcBorders>
          </w:tcPr>
          <w:p w:rsidR="001B69AD" w:rsidRPr="001B69AD" w:rsidRDefault="001B69AD" w:rsidP="00D347ED">
            <w:pPr>
              <w:tabs>
                <w:tab w:val="left" w:pos="426"/>
              </w:tabs>
              <w:spacing w:before="60"/>
              <w:jc w:val="both"/>
              <w:rPr>
                <w:sz w:val="20"/>
                <w:lang w:val="en-NZ"/>
              </w:rPr>
            </w:pPr>
            <w:r>
              <w:rPr>
                <w:i/>
                <w:sz w:val="20"/>
                <w:lang w:val="en-NZ"/>
              </w:rPr>
              <w:t>Note</w:t>
            </w:r>
            <w:r w:rsidR="00994341">
              <w:rPr>
                <w:i/>
                <w:sz w:val="20"/>
                <w:lang w:val="en-NZ"/>
              </w:rPr>
              <w:t>s</w:t>
            </w:r>
            <w:bookmarkStart w:id="0" w:name="_GoBack"/>
            <w:bookmarkEnd w:id="0"/>
            <w:r>
              <w:rPr>
                <w:i/>
                <w:sz w:val="20"/>
                <w:lang w:val="en-NZ"/>
              </w:rPr>
              <w:t xml:space="preserve">: </w:t>
            </w:r>
            <w:r w:rsidRPr="00D347ED">
              <w:rPr>
                <w:i/>
                <w:sz w:val="20"/>
                <w:lang w:val="en-NZ"/>
              </w:rPr>
              <w:t>t-</w:t>
            </w:r>
            <w:r>
              <w:rPr>
                <w:sz w:val="20"/>
                <w:lang w:val="en-NZ"/>
              </w:rPr>
              <w:t xml:space="preserve">statistics in ( ) are from heteroscedasticity-robust standard errors, ** statistically significant at 1%. </w:t>
            </w:r>
            <w:r>
              <w:rPr>
                <w:i/>
                <w:sz w:val="20"/>
                <w:lang w:val="en-NZ"/>
              </w:rPr>
              <w:t>N</w:t>
            </w:r>
            <w:r>
              <w:rPr>
                <w:sz w:val="20"/>
                <w:lang w:val="en-NZ"/>
              </w:rPr>
              <w:t>=63.</w:t>
            </w:r>
          </w:p>
        </w:tc>
      </w:tr>
    </w:tbl>
    <w:p w:rsidR="00BA794B" w:rsidRDefault="00BA794B" w:rsidP="00BA794B">
      <w:pPr>
        <w:tabs>
          <w:tab w:val="left" w:pos="426"/>
        </w:tabs>
        <w:spacing w:line="288" w:lineRule="auto"/>
        <w:jc w:val="both"/>
        <w:rPr>
          <w:lang w:val="en-NZ"/>
        </w:rPr>
      </w:pPr>
    </w:p>
    <w:p w:rsidR="00BA794B" w:rsidRDefault="00BA794B" w:rsidP="00BA794B">
      <w:pPr>
        <w:tabs>
          <w:tab w:val="left" w:pos="426"/>
        </w:tabs>
        <w:spacing w:line="288" w:lineRule="auto"/>
        <w:ind w:firstLine="426"/>
        <w:jc w:val="both"/>
        <w:rPr>
          <w:lang w:val="en-NZ"/>
        </w:rPr>
      </w:pPr>
      <w:r>
        <w:rPr>
          <w:lang w:val="en-NZ"/>
        </w:rPr>
        <w:t xml:space="preserve">How </w:t>
      </w:r>
      <w:r w:rsidRPr="00FC0484">
        <w:rPr>
          <w:lang w:val="en-NZ"/>
        </w:rPr>
        <w:t>bias</w:t>
      </w:r>
      <w:r>
        <w:rPr>
          <w:lang w:val="en-NZ"/>
        </w:rPr>
        <w:t>ed</w:t>
      </w:r>
      <w:r w:rsidRPr="00FC0484">
        <w:rPr>
          <w:lang w:val="en-NZ"/>
        </w:rPr>
        <w:t xml:space="preserve"> </w:t>
      </w:r>
      <w:r>
        <w:rPr>
          <w:lang w:val="en-NZ"/>
        </w:rPr>
        <w:t xml:space="preserve">are </w:t>
      </w:r>
      <w:r w:rsidRPr="00FC0484">
        <w:rPr>
          <w:lang w:val="en-NZ"/>
        </w:rPr>
        <w:t>unit values as a proxy for price</w:t>
      </w:r>
      <w:r>
        <w:rPr>
          <w:lang w:val="en-NZ"/>
        </w:rPr>
        <w:t xml:space="preserve">s, due to the </w:t>
      </w:r>
      <w:r w:rsidRPr="00FC0484">
        <w:rPr>
          <w:lang w:val="en-NZ"/>
        </w:rPr>
        <w:t xml:space="preserve">variation in the </w:t>
      </w:r>
      <w:r>
        <w:rPr>
          <w:lang w:val="en-NZ"/>
        </w:rPr>
        <w:t>quality mix</w:t>
      </w:r>
      <w:r w:rsidRPr="00FC0484">
        <w:rPr>
          <w:lang w:val="en-NZ"/>
        </w:rPr>
        <w:t>?</w:t>
      </w:r>
      <w:r>
        <w:rPr>
          <w:lang w:val="en-NZ"/>
        </w:rPr>
        <w:t xml:space="preserve"> If a unit value is calculated for 'rice' (as it was for surveys in Vietnam prior to 2012, with high and low quality lumped together), more high quality rice in the purchased basket of households in the north makes the unit value there six percent higher than in the south, irrespective of any actual spatial price differences. Rice was 36 percent of the value of the food basket used for the CBN poverty line prior to 2010 so this quality mix effect spuriously lifts the food poverty line by two percent in the north. In effect, a higher standard of living (eating higher quality rice) is being confused with a higher cost of living. The upward bias in the poverty line in the north due just to the rice quality mix raises the head count poverty rate there by almost five percent in 2010.</w:t>
      </w:r>
    </w:p>
    <w:p w:rsidR="00BA794B" w:rsidRDefault="00BA794B" w:rsidP="00BA794B">
      <w:pPr>
        <w:tabs>
          <w:tab w:val="left" w:pos="426"/>
        </w:tabs>
        <w:spacing w:line="288" w:lineRule="auto"/>
        <w:ind w:firstLine="426"/>
        <w:jc w:val="both"/>
        <w:rPr>
          <w:lang w:val="en-NZ"/>
        </w:rPr>
      </w:pPr>
    </w:p>
    <w:p w:rsidR="003225AF" w:rsidRDefault="00BE48E6" w:rsidP="00F24ECE">
      <w:pPr>
        <w:tabs>
          <w:tab w:val="left" w:pos="426"/>
        </w:tabs>
        <w:spacing w:line="288" w:lineRule="auto"/>
        <w:ind w:firstLine="426"/>
        <w:jc w:val="both"/>
        <w:rPr>
          <w:lang w:val="en-NZ"/>
        </w:rPr>
      </w:pPr>
      <w:r>
        <w:rPr>
          <w:lang w:val="en-NZ"/>
        </w:rPr>
        <w:t>T</w:t>
      </w:r>
      <w:r w:rsidR="00D027BA">
        <w:rPr>
          <w:lang w:val="en-NZ"/>
        </w:rPr>
        <w:t xml:space="preserve">his bias is expected to </w:t>
      </w:r>
      <w:r w:rsidR="008749C4">
        <w:rPr>
          <w:lang w:val="en-NZ"/>
        </w:rPr>
        <w:t xml:space="preserve">rise </w:t>
      </w:r>
      <w:r w:rsidR="00D027BA">
        <w:rPr>
          <w:lang w:val="en-NZ"/>
        </w:rPr>
        <w:t xml:space="preserve">over time as households switch </w:t>
      </w:r>
      <w:r w:rsidR="008749C4">
        <w:rPr>
          <w:lang w:val="en-NZ"/>
        </w:rPr>
        <w:t xml:space="preserve">away </w:t>
      </w:r>
      <w:r w:rsidR="00D027BA">
        <w:rPr>
          <w:lang w:val="en-NZ"/>
        </w:rPr>
        <w:t xml:space="preserve">from </w:t>
      </w:r>
      <w:r>
        <w:rPr>
          <w:lang w:val="en-NZ"/>
        </w:rPr>
        <w:t xml:space="preserve">eating </w:t>
      </w:r>
      <w:r w:rsidR="00D027BA">
        <w:rPr>
          <w:lang w:val="en-NZ"/>
        </w:rPr>
        <w:t xml:space="preserve">their own rice, </w:t>
      </w:r>
      <w:r w:rsidR="00B97311">
        <w:rPr>
          <w:lang w:val="en-NZ"/>
        </w:rPr>
        <w:t xml:space="preserve">given that </w:t>
      </w:r>
      <w:r w:rsidR="008749C4">
        <w:rPr>
          <w:lang w:val="en-NZ"/>
        </w:rPr>
        <w:t xml:space="preserve">non-market acquisitions have </w:t>
      </w:r>
      <w:r w:rsidR="00D027BA">
        <w:rPr>
          <w:lang w:val="en-NZ"/>
        </w:rPr>
        <w:t xml:space="preserve">no Alchian-Allen effect </w:t>
      </w:r>
      <w:r w:rsidR="008749C4">
        <w:rPr>
          <w:lang w:val="en-NZ"/>
        </w:rPr>
        <w:t>(</w:t>
      </w:r>
      <w:r w:rsidR="00D027BA">
        <w:rPr>
          <w:lang w:val="en-NZ"/>
        </w:rPr>
        <w:t>as seen from column (3) of Table 1</w:t>
      </w:r>
      <w:r w:rsidR="008749C4">
        <w:rPr>
          <w:lang w:val="en-NZ"/>
        </w:rPr>
        <w:t>)</w:t>
      </w:r>
      <w:r>
        <w:rPr>
          <w:lang w:val="en-NZ"/>
        </w:rPr>
        <w:t>. When people eat</w:t>
      </w:r>
      <w:r w:rsidR="0005303B">
        <w:rPr>
          <w:lang w:val="en-NZ"/>
        </w:rPr>
        <w:t xml:space="preserve"> own-grown food, the relative price of quality and the composition of demand </w:t>
      </w:r>
      <w:r w:rsidR="008749C4">
        <w:rPr>
          <w:lang w:val="en-NZ"/>
        </w:rPr>
        <w:t>are less affected by transport or storage costs. As people get richer they rely more on the market to obtain their food, so t</w:t>
      </w:r>
      <w:r w:rsidR="00B97311">
        <w:rPr>
          <w:lang w:val="en-NZ"/>
        </w:rPr>
        <w:t xml:space="preserve">he </w:t>
      </w:r>
      <w:r w:rsidRPr="00BE48E6">
        <w:rPr>
          <w:lang w:val="en-NZ"/>
        </w:rPr>
        <w:t>column (1)</w:t>
      </w:r>
      <w:r>
        <w:rPr>
          <w:lang w:val="en-NZ"/>
        </w:rPr>
        <w:t xml:space="preserve"> </w:t>
      </w:r>
      <w:r w:rsidR="00B97311">
        <w:rPr>
          <w:lang w:val="en-NZ"/>
        </w:rPr>
        <w:t xml:space="preserve">pricing patterns </w:t>
      </w:r>
      <w:r>
        <w:rPr>
          <w:lang w:val="en-NZ"/>
        </w:rPr>
        <w:t xml:space="preserve">and </w:t>
      </w:r>
      <w:r w:rsidR="00A43326">
        <w:rPr>
          <w:lang w:val="en-NZ"/>
        </w:rPr>
        <w:t xml:space="preserve">the </w:t>
      </w:r>
      <w:r w:rsidR="008749C4">
        <w:rPr>
          <w:lang w:val="en-NZ"/>
        </w:rPr>
        <w:t>within-group demand patterns in column (2) become</w:t>
      </w:r>
      <w:r>
        <w:rPr>
          <w:lang w:val="en-NZ"/>
        </w:rPr>
        <w:t xml:space="preserve"> more important</w:t>
      </w:r>
      <w:r w:rsidR="008749C4">
        <w:rPr>
          <w:lang w:val="en-NZ"/>
        </w:rPr>
        <w:t xml:space="preserve">. </w:t>
      </w:r>
      <w:r w:rsidR="0005303B">
        <w:rPr>
          <w:lang w:val="en-NZ"/>
        </w:rPr>
        <w:t xml:space="preserve">Thus, unit values </w:t>
      </w:r>
      <w:r>
        <w:rPr>
          <w:lang w:val="en-NZ"/>
        </w:rPr>
        <w:t xml:space="preserve">will be </w:t>
      </w:r>
      <w:r w:rsidR="0005303B">
        <w:rPr>
          <w:lang w:val="en-NZ"/>
        </w:rPr>
        <w:t xml:space="preserve">an ever-worse proxy for prices </w:t>
      </w:r>
      <w:r w:rsidR="00742BE2">
        <w:rPr>
          <w:lang w:val="en-NZ"/>
        </w:rPr>
        <w:t>since</w:t>
      </w:r>
      <w:r>
        <w:rPr>
          <w:lang w:val="en-NZ"/>
        </w:rPr>
        <w:t xml:space="preserve"> </w:t>
      </w:r>
      <w:r w:rsidR="0005303B">
        <w:rPr>
          <w:lang w:val="en-NZ"/>
        </w:rPr>
        <w:t>the Alchi</w:t>
      </w:r>
      <w:r w:rsidR="00742BE2">
        <w:rPr>
          <w:lang w:val="en-NZ"/>
        </w:rPr>
        <w:t>an-Allen effect should get stronger as</w:t>
      </w:r>
      <w:r w:rsidR="0005303B">
        <w:rPr>
          <w:lang w:val="en-NZ"/>
        </w:rPr>
        <w:t xml:space="preserve"> countries</w:t>
      </w:r>
      <w:r w:rsidR="00742BE2">
        <w:rPr>
          <w:lang w:val="en-NZ"/>
        </w:rPr>
        <w:t xml:space="preserve"> become</w:t>
      </w:r>
      <w:r w:rsidR="0005303B">
        <w:rPr>
          <w:lang w:val="en-NZ"/>
        </w:rPr>
        <w:t xml:space="preserve"> richer. </w:t>
      </w:r>
      <w:r w:rsidR="008749C4">
        <w:rPr>
          <w:lang w:val="en-NZ"/>
        </w:rPr>
        <w:t xml:space="preserve">Once again, rising affluence undermines statistical approaches </w:t>
      </w:r>
      <w:r>
        <w:rPr>
          <w:lang w:val="en-NZ"/>
        </w:rPr>
        <w:t xml:space="preserve">that </w:t>
      </w:r>
      <w:r>
        <w:rPr>
          <w:lang w:val="en-NZ"/>
        </w:rPr>
        <w:lastRenderedPageBreak/>
        <w:t xml:space="preserve">may have worked adequately </w:t>
      </w:r>
      <w:r w:rsidR="008749C4">
        <w:rPr>
          <w:lang w:val="en-NZ"/>
        </w:rPr>
        <w:t>in the past, even for the simple task of measuring differences in food prices over time and space.</w:t>
      </w:r>
    </w:p>
    <w:p w:rsidR="009B5865" w:rsidRDefault="009B5865" w:rsidP="00C645CE">
      <w:pPr>
        <w:tabs>
          <w:tab w:val="left" w:pos="426"/>
        </w:tabs>
        <w:spacing w:line="288" w:lineRule="auto"/>
        <w:ind w:firstLine="720"/>
        <w:jc w:val="both"/>
        <w:rPr>
          <w:lang w:val="en-NZ"/>
        </w:rPr>
      </w:pPr>
    </w:p>
    <w:p w:rsidR="00F84F88" w:rsidRPr="00F84F88" w:rsidRDefault="00F84F88" w:rsidP="00C645CE">
      <w:pPr>
        <w:tabs>
          <w:tab w:val="left" w:pos="426"/>
        </w:tabs>
        <w:spacing w:line="288" w:lineRule="auto"/>
        <w:ind w:firstLine="720"/>
        <w:jc w:val="both"/>
        <w:rPr>
          <w:sz w:val="12"/>
          <w:szCs w:val="12"/>
          <w:lang w:val="en-NZ"/>
        </w:rPr>
      </w:pPr>
    </w:p>
    <w:p w:rsidR="004C7731" w:rsidRDefault="004C7731" w:rsidP="00C645CE">
      <w:pPr>
        <w:tabs>
          <w:tab w:val="left" w:pos="426"/>
        </w:tabs>
        <w:spacing w:line="288" w:lineRule="auto"/>
        <w:jc w:val="both"/>
        <w:rPr>
          <w:b/>
          <w:bCs/>
          <w:lang w:val="en-NZ"/>
        </w:rPr>
      </w:pPr>
      <w:r w:rsidRPr="004C7731">
        <w:rPr>
          <w:b/>
          <w:bCs/>
          <w:lang w:val="en-NZ"/>
        </w:rPr>
        <w:t xml:space="preserve">6. </w:t>
      </w:r>
      <w:r w:rsidR="00734FBD">
        <w:rPr>
          <w:b/>
          <w:bCs/>
          <w:lang w:val="en-NZ"/>
        </w:rPr>
        <w:t xml:space="preserve"> </w:t>
      </w:r>
      <w:r w:rsidR="00E15C29">
        <w:rPr>
          <w:b/>
          <w:bCs/>
          <w:lang w:val="en-NZ"/>
        </w:rPr>
        <w:t xml:space="preserve">PROBLEMS IN </w:t>
      </w:r>
      <w:r w:rsidR="001656AE">
        <w:rPr>
          <w:b/>
          <w:bCs/>
          <w:lang w:val="en-NZ"/>
        </w:rPr>
        <w:t xml:space="preserve">MEASURING AND </w:t>
      </w:r>
      <w:r w:rsidR="00FD7749">
        <w:rPr>
          <w:b/>
          <w:bCs/>
          <w:lang w:val="en-NZ"/>
        </w:rPr>
        <w:t xml:space="preserve">COMPARING SUBJECTIVE WELFARE </w:t>
      </w:r>
    </w:p>
    <w:p w:rsidR="009B5865" w:rsidRPr="009B5865" w:rsidRDefault="009B5865" w:rsidP="00C645CE">
      <w:pPr>
        <w:tabs>
          <w:tab w:val="left" w:pos="426"/>
        </w:tabs>
        <w:spacing w:line="288" w:lineRule="auto"/>
        <w:jc w:val="center"/>
        <w:rPr>
          <w:b/>
          <w:bCs/>
          <w:sz w:val="12"/>
          <w:szCs w:val="12"/>
          <w:lang w:val="en-NZ"/>
        </w:rPr>
      </w:pPr>
    </w:p>
    <w:p w:rsidR="00B46598" w:rsidRDefault="00EC2FB3" w:rsidP="00C645CE">
      <w:pPr>
        <w:tabs>
          <w:tab w:val="left" w:pos="426"/>
          <w:tab w:val="left" w:pos="720"/>
        </w:tabs>
        <w:autoSpaceDE w:val="0"/>
        <w:autoSpaceDN w:val="0"/>
        <w:adjustRightInd w:val="0"/>
        <w:spacing w:line="288" w:lineRule="auto"/>
        <w:jc w:val="both"/>
        <w:rPr>
          <w:lang w:val="en-NZ"/>
        </w:rPr>
      </w:pPr>
      <w:r>
        <w:rPr>
          <w:lang w:val="en-NZ"/>
        </w:rPr>
        <w:t>Since rising affluence creates challenges for</w:t>
      </w:r>
      <w:r w:rsidR="00B46598">
        <w:rPr>
          <w:lang w:val="en-NZ"/>
        </w:rPr>
        <w:t xml:space="preserve"> </w:t>
      </w:r>
      <w:r>
        <w:rPr>
          <w:lang w:val="en-NZ"/>
        </w:rPr>
        <w:t xml:space="preserve">the </w:t>
      </w:r>
      <w:r w:rsidR="00B46598">
        <w:rPr>
          <w:lang w:val="en-NZ"/>
        </w:rPr>
        <w:t>measurement of monetary welfare</w:t>
      </w:r>
      <w:r>
        <w:rPr>
          <w:lang w:val="en-NZ"/>
        </w:rPr>
        <w:t xml:space="preserve"> through survey</w:t>
      </w:r>
      <w:r w:rsidR="00B46598">
        <w:rPr>
          <w:lang w:val="en-NZ"/>
        </w:rPr>
        <w:t xml:space="preserve">, one </w:t>
      </w:r>
      <w:r>
        <w:rPr>
          <w:lang w:val="en-NZ"/>
        </w:rPr>
        <w:t xml:space="preserve">response is to focus on </w:t>
      </w:r>
      <w:r w:rsidR="00B46598">
        <w:rPr>
          <w:lang w:val="en-NZ"/>
        </w:rPr>
        <w:t>alternative</w:t>
      </w:r>
      <w:r>
        <w:rPr>
          <w:lang w:val="en-NZ"/>
        </w:rPr>
        <w:t>,</w:t>
      </w:r>
      <w:r w:rsidR="00B46598">
        <w:rPr>
          <w:lang w:val="en-NZ"/>
        </w:rPr>
        <w:t xml:space="preserve"> non-monetary</w:t>
      </w:r>
      <w:r>
        <w:rPr>
          <w:lang w:val="en-NZ"/>
        </w:rPr>
        <w:t>, measures of wellbeing such as happiness or life satisfaction</w:t>
      </w:r>
      <w:r w:rsidR="00B46598">
        <w:rPr>
          <w:lang w:val="en-NZ"/>
        </w:rPr>
        <w:t xml:space="preserve">. These type of measures are increasingly </w:t>
      </w:r>
      <w:r>
        <w:rPr>
          <w:lang w:val="en-NZ"/>
        </w:rPr>
        <w:t xml:space="preserve">making their way into policy discussions </w:t>
      </w:r>
      <w:r w:rsidR="00B46598">
        <w:rPr>
          <w:lang w:val="en-NZ"/>
        </w:rPr>
        <w:t xml:space="preserve">and use of these measures is </w:t>
      </w:r>
      <w:r>
        <w:rPr>
          <w:lang w:val="en-NZ"/>
        </w:rPr>
        <w:t xml:space="preserve">even </w:t>
      </w:r>
      <w:r w:rsidR="00B46598">
        <w:rPr>
          <w:lang w:val="en-NZ"/>
        </w:rPr>
        <w:t xml:space="preserve">promoted by </w:t>
      </w:r>
      <w:r>
        <w:rPr>
          <w:lang w:val="en-NZ"/>
        </w:rPr>
        <w:t xml:space="preserve">some </w:t>
      </w:r>
      <w:r w:rsidR="00B46598">
        <w:rPr>
          <w:lang w:val="en-NZ"/>
        </w:rPr>
        <w:t>economists</w:t>
      </w:r>
      <w:r>
        <w:rPr>
          <w:lang w:val="en-NZ"/>
        </w:rPr>
        <w:t>,</w:t>
      </w:r>
      <w:r w:rsidR="00B46598">
        <w:rPr>
          <w:lang w:val="en-NZ"/>
        </w:rPr>
        <w:t xml:space="preserve"> such as Richard Layard (2005). There is </w:t>
      </w:r>
      <w:r w:rsidR="007E2548">
        <w:rPr>
          <w:lang w:val="en-NZ"/>
        </w:rPr>
        <w:t>a</w:t>
      </w:r>
      <w:r w:rsidR="00AB2DCA">
        <w:rPr>
          <w:lang w:val="en-NZ"/>
        </w:rPr>
        <w:t>lso a specialized literature devoted to</w:t>
      </w:r>
      <w:r w:rsidR="00B46598">
        <w:rPr>
          <w:lang w:val="en-NZ"/>
        </w:rPr>
        <w:t xml:space="preserve"> the </w:t>
      </w:r>
      <w:r>
        <w:rPr>
          <w:lang w:val="en-NZ"/>
        </w:rPr>
        <w:t xml:space="preserve">empirical </w:t>
      </w:r>
      <w:r w:rsidR="00B46598">
        <w:rPr>
          <w:lang w:val="en-NZ"/>
        </w:rPr>
        <w:t xml:space="preserve">analysis of poverty and welfare </w:t>
      </w:r>
      <w:r w:rsidR="007E2548">
        <w:rPr>
          <w:lang w:val="en-NZ"/>
        </w:rPr>
        <w:t xml:space="preserve">when one uses </w:t>
      </w:r>
      <w:r>
        <w:rPr>
          <w:lang w:val="en-NZ"/>
        </w:rPr>
        <w:t xml:space="preserve">such </w:t>
      </w:r>
      <w:r w:rsidR="00B46598">
        <w:rPr>
          <w:lang w:val="en-NZ"/>
        </w:rPr>
        <w:t>subjective data</w:t>
      </w:r>
      <w:r w:rsidR="00AB2DCA">
        <w:rPr>
          <w:lang w:val="en-NZ"/>
        </w:rPr>
        <w:t xml:space="preserve"> that includes</w:t>
      </w:r>
      <w:r w:rsidR="007E2548">
        <w:rPr>
          <w:lang w:val="en-NZ"/>
        </w:rPr>
        <w:t xml:space="preserve"> contributions </w:t>
      </w:r>
      <w:r>
        <w:rPr>
          <w:lang w:val="en-NZ"/>
        </w:rPr>
        <w:t xml:space="preserve">by economists who mainly work with survey measures of monetary welfare </w:t>
      </w:r>
      <w:r w:rsidR="00B46598">
        <w:rPr>
          <w:lang w:val="en-NZ"/>
        </w:rPr>
        <w:t>(for</w:t>
      </w:r>
      <w:r w:rsidR="009B5865">
        <w:rPr>
          <w:lang w:val="en-NZ"/>
        </w:rPr>
        <w:t xml:space="preserve"> example, Ravallion and Lokshin</w:t>
      </w:r>
      <w:r w:rsidR="00B46598">
        <w:rPr>
          <w:lang w:val="en-NZ"/>
        </w:rPr>
        <w:t xml:space="preserve"> 2001).</w:t>
      </w:r>
    </w:p>
    <w:p w:rsidR="009B5865" w:rsidRDefault="009B5865" w:rsidP="00C645CE">
      <w:pPr>
        <w:tabs>
          <w:tab w:val="left" w:pos="426"/>
          <w:tab w:val="left" w:pos="720"/>
        </w:tabs>
        <w:autoSpaceDE w:val="0"/>
        <w:autoSpaceDN w:val="0"/>
        <w:adjustRightInd w:val="0"/>
        <w:spacing w:line="288" w:lineRule="auto"/>
        <w:jc w:val="both"/>
        <w:rPr>
          <w:lang w:val="en-NZ"/>
        </w:rPr>
      </w:pPr>
    </w:p>
    <w:p w:rsidR="00B46598" w:rsidRDefault="00B46598" w:rsidP="00C645CE">
      <w:pPr>
        <w:tabs>
          <w:tab w:val="left" w:pos="426"/>
          <w:tab w:val="left" w:pos="720"/>
        </w:tabs>
        <w:autoSpaceDE w:val="0"/>
        <w:autoSpaceDN w:val="0"/>
        <w:adjustRightInd w:val="0"/>
        <w:spacing w:line="288" w:lineRule="auto"/>
        <w:jc w:val="both"/>
        <w:rPr>
          <w:lang w:val="en-NZ"/>
        </w:rPr>
      </w:pPr>
      <w:r>
        <w:rPr>
          <w:lang w:val="en-NZ"/>
        </w:rPr>
        <w:tab/>
      </w:r>
      <w:r w:rsidR="00EC2FB3">
        <w:rPr>
          <w:lang w:val="en-NZ"/>
        </w:rPr>
        <w:t>Despite the attractiveness of slogans such as ‘maximizing gross national happiness’ p</w:t>
      </w:r>
      <w:r>
        <w:rPr>
          <w:lang w:val="en-NZ"/>
        </w:rPr>
        <w:t xml:space="preserve">olicy makers should note that welfare economics does not </w:t>
      </w:r>
      <w:r w:rsidR="00EC2FB3">
        <w:rPr>
          <w:lang w:val="en-NZ"/>
        </w:rPr>
        <w:t>provide a justification for</w:t>
      </w:r>
      <w:r>
        <w:rPr>
          <w:lang w:val="en-NZ"/>
        </w:rPr>
        <w:t xml:space="preserve"> maximising either happiness or life satisfaction, since neither correspond to utility. For example, Glaeser, Gottlieb and Ziv (2014) show that many internal migrants in the United States move to less happy cities and have the lower life satisfaction of their destination. No one forces these people to move so revealed preference implies that the move makes them better off. How can this be? The answer is that unhappy cities tend to be declining cities that offer higher real incomes because of the low cost of housing. These higher real incomes partly compensate for lower reported life satisfaction, which is a trade-off that people are willing to make because they are maximising utility – of which life satisfaction may be one argument but it is not the maximand, utility is.</w:t>
      </w:r>
    </w:p>
    <w:p w:rsidR="009B5865" w:rsidRDefault="009B5865" w:rsidP="00C645CE">
      <w:pPr>
        <w:tabs>
          <w:tab w:val="left" w:pos="426"/>
          <w:tab w:val="left" w:pos="720"/>
        </w:tabs>
        <w:autoSpaceDE w:val="0"/>
        <w:autoSpaceDN w:val="0"/>
        <w:adjustRightInd w:val="0"/>
        <w:spacing w:line="288" w:lineRule="auto"/>
        <w:jc w:val="both"/>
        <w:rPr>
          <w:lang w:val="en-NZ"/>
        </w:rPr>
      </w:pPr>
    </w:p>
    <w:p w:rsidR="00B46598" w:rsidRDefault="00B46598" w:rsidP="00C645CE">
      <w:pPr>
        <w:tabs>
          <w:tab w:val="left" w:pos="426"/>
          <w:tab w:val="left" w:pos="720"/>
        </w:tabs>
        <w:autoSpaceDE w:val="0"/>
        <w:autoSpaceDN w:val="0"/>
        <w:adjustRightInd w:val="0"/>
        <w:spacing w:line="288" w:lineRule="auto"/>
        <w:jc w:val="both"/>
        <w:rPr>
          <w:lang w:val="en-NZ"/>
        </w:rPr>
      </w:pPr>
      <w:r w:rsidRPr="00041F76">
        <w:rPr>
          <w:lang w:val="en-NZ"/>
        </w:rPr>
        <w:tab/>
      </w:r>
      <w:r w:rsidR="007E2548">
        <w:rPr>
          <w:lang w:val="en-NZ"/>
        </w:rPr>
        <w:t xml:space="preserve">Another critique comes from </w:t>
      </w:r>
      <w:r w:rsidRPr="00041F76">
        <w:rPr>
          <w:lang w:val="en-NZ"/>
        </w:rPr>
        <w:t>McCloskey (2012)</w:t>
      </w:r>
      <w:r w:rsidR="007E2548">
        <w:rPr>
          <w:lang w:val="en-NZ"/>
        </w:rPr>
        <w:t>, who</w:t>
      </w:r>
      <w:r w:rsidRPr="00041F76">
        <w:rPr>
          <w:lang w:val="en-NZ"/>
        </w:rPr>
        <w:t xml:space="preserve"> </w:t>
      </w:r>
      <w:r>
        <w:rPr>
          <w:lang w:val="en-NZ"/>
        </w:rPr>
        <w:t>discusses</w:t>
      </w:r>
      <w:r w:rsidRPr="00041F76">
        <w:rPr>
          <w:lang w:val="en-NZ"/>
        </w:rPr>
        <w:t xml:space="preserve"> </w:t>
      </w:r>
      <w:r w:rsidR="007E2548">
        <w:rPr>
          <w:lang w:val="en-NZ"/>
        </w:rPr>
        <w:t>problem</w:t>
      </w:r>
      <w:r w:rsidR="00EC2FB3">
        <w:rPr>
          <w:lang w:val="en-NZ"/>
        </w:rPr>
        <w:t xml:space="preserve">s with </w:t>
      </w:r>
      <w:r>
        <w:rPr>
          <w:lang w:val="en-NZ"/>
        </w:rPr>
        <w:t>measuring happiness from</w:t>
      </w:r>
      <w:r w:rsidRPr="00041F76">
        <w:rPr>
          <w:lang w:val="en-NZ"/>
        </w:rPr>
        <w:t xml:space="preserve"> self-reported declarations</w:t>
      </w:r>
      <w:r>
        <w:rPr>
          <w:lang w:val="en-NZ"/>
        </w:rPr>
        <w:t xml:space="preserve"> that are </w:t>
      </w:r>
      <w:r w:rsidRPr="00041F76">
        <w:rPr>
          <w:lang w:val="en-NZ"/>
        </w:rPr>
        <w:t>then added up and ave</w:t>
      </w:r>
      <w:r>
        <w:rPr>
          <w:lang w:val="en-NZ"/>
        </w:rPr>
        <w:t>raged across people and eras. She describes th</w:t>
      </w:r>
      <w:r w:rsidRPr="00041F76">
        <w:rPr>
          <w:lang w:val="en-NZ"/>
        </w:rPr>
        <w:t xml:space="preserve">ese efforts </w:t>
      </w:r>
      <w:r>
        <w:rPr>
          <w:lang w:val="en-NZ"/>
        </w:rPr>
        <w:t>as</w:t>
      </w:r>
      <w:r w:rsidRPr="00041F76">
        <w:rPr>
          <w:lang w:val="en-NZ"/>
        </w:rPr>
        <w:t xml:space="preserve"> asking survey respondents where they fall on a three-point scale, 1-2-3: </w:t>
      </w:r>
      <w:r w:rsidR="004E390C">
        <w:rPr>
          <w:lang w:val="en-NZ"/>
        </w:rPr>
        <w:t>'</w:t>
      </w:r>
      <w:r w:rsidRPr="00041F76">
        <w:rPr>
          <w:lang w:val="en-NZ"/>
        </w:rPr>
        <w:t>not too happy,</w:t>
      </w:r>
      <w:r w:rsidR="004E390C">
        <w:rPr>
          <w:lang w:val="en-NZ"/>
        </w:rPr>
        <w:t>'</w:t>
      </w:r>
      <w:r w:rsidRPr="00041F76">
        <w:rPr>
          <w:lang w:val="en-NZ"/>
        </w:rPr>
        <w:t xml:space="preserve"> </w:t>
      </w:r>
      <w:r w:rsidR="004E390C">
        <w:rPr>
          <w:lang w:val="en-NZ"/>
        </w:rPr>
        <w:t>'</w:t>
      </w:r>
      <w:r w:rsidRPr="00041F76">
        <w:rPr>
          <w:lang w:val="en-NZ"/>
        </w:rPr>
        <w:t>pretty happy,</w:t>
      </w:r>
      <w:r w:rsidR="004E390C">
        <w:rPr>
          <w:lang w:val="en-NZ"/>
        </w:rPr>
        <w:t>'</w:t>
      </w:r>
      <w:r w:rsidRPr="00041F76">
        <w:rPr>
          <w:lang w:val="en-NZ"/>
        </w:rPr>
        <w:t xml:space="preserve"> </w:t>
      </w:r>
      <w:r w:rsidR="004E390C">
        <w:rPr>
          <w:lang w:val="en-NZ"/>
        </w:rPr>
        <w:t>'</w:t>
      </w:r>
      <w:r w:rsidRPr="00041F76">
        <w:rPr>
          <w:lang w:val="en-NZ"/>
        </w:rPr>
        <w:t>very happy</w:t>
      </w:r>
      <w:r w:rsidR="004E390C">
        <w:rPr>
          <w:lang w:val="en-NZ"/>
        </w:rPr>
        <w:t>'</w:t>
      </w:r>
      <w:r w:rsidRPr="00041F76">
        <w:rPr>
          <w:lang w:val="en-NZ"/>
        </w:rPr>
        <w:t xml:space="preserve"> which is an accurate description of the General Social Survey, although some other surveys </w:t>
      </w:r>
      <w:r>
        <w:rPr>
          <w:lang w:val="en-NZ"/>
        </w:rPr>
        <w:t xml:space="preserve">use </w:t>
      </w:r>
      <w:r w:rsidR="007E2548">
        <w:rPr>
          <w:lang w:val="en-NZ"/>
        </w:rPr>
        <w:t xml:space="preserve">finer-grained </w:t>
      </w:r>
      <w:r>
        <w:rPr>
          <w:lang w:val="en-NZ"/>
        </w:rPr>
        <w:t>4- or</w:t>
      </w:r>
      <w:r w:rsidRPr="00041F76">
        <w:rPr>
          <w:lang w:val="en-NZ"/>
        </w:rPr>
        <w:t xml:space="preserve"> 5-point scale</w:t>
      </w:r>
      <w:r>
        <w:rPr>
          <w:lang w:val="en-NZ"/>
        </w:rPr>
        <w:t>s</w:t>
      </w:r>
      <w:r w:rsidRPr="00041F76">
        <w:rPr>
          <w:lang w:val="en-NZ"/>
        </w:rPr>
        <w:t>. The problem with this effort is that when the</w:t>
      </w:r>
      <w:r>
        <w:rPr>
          <w:lang w:val="en-NZ"/>
        </w:rPr>
        <w:t>se</w:t>
      </w:r>
      <w:r w:rsidRPr="00041F76">
        <w:rPr>
          <w:lang w:val="en-NZ"/>
        </w:rPr>
        <w:t xml:space="preserve"> numbers are treated as data to be us</w:t>
      </w:r>
      <w:r>
        <w:rPr>
          <w:lang w:val="en-NZ"/>
        </w:rPr>
        <w:t>ed in the same way that incomes and</w:t>
      </w:r>
      <w:r w:rsidRPr="00041F76">
        <w:rPr>
          <w:lang w:val="en-NZ"/>
        </w:rPr>
        <w:t xml:space="preserve"> expenditures </w:t>
      </w:r>
      <w:r>
        <w:rPr>
          <w:lang w:val="en-NZ"/>
        </w:rPr>
        <w:t xml:space="preserve">are used, </w:t>
      </w:r>
      <w:r w:rsidRPr="00041F76">
        <w:rPr>
          <w:lang w:val="en-NZ"/>
        </w:rPr>
        <w:t xml:space="preserve">researchers are </w:t>
      </w:r>
      <w:r>
        <w:rPr>
          <w:lang w:val="en-NZ"/>
        </w:rPr>
        <w:t xml:space="preserve">guilty of </w:t>
      </w:r>
      <w:r w:rsidRPr="00041F76">
        <w:rPr>
          <w:lang w:val="en-NZ"/>
        </w:rPr>
        <w:t xml:space="preserve">mixing up a </w:t>
      </w:r>
      <w:r w:rsidR="004E390C">
        <w:rPr>
          <w:lang w:val="en-NZ"/>
        </w:rPr>
        <w:t>'</w:t>
      </w:r>
      <w:r w:rsidRPr="00041F76">
        <w:rPr>
          <w:lang w:val="en-NZ"/>
        </w:rPr>
        <w:t>non-interval scale</w:t>
      </w:r>
      <w:r w:rsidR="004E390C">
        <w:rPr>
          <w:lang w:val="en-NZ"/>
        </w:rPr>
        <w:t>'</w:t>
      </w:r>
      <w:r w:rsidRPr="00041F76">
        <w:rPr>
          <w:lang w:val="en-NZ"/>
        </w:rPr>
        <w:t xml:space="preserve"> with an interval scale.</w:t>
      </w:r>
      <w:r>
        <w:rPr>
          <w:lang w:val="en-NZ"/>
        </w:rPr>
        <w:t xml:space="preserve"> For example</w:t>
      </w:r>
      <w:r w:rsidRPr="00041F76">
        <w:rPr>
          <w:lang w:val="en-NZ"/>
        </w:rPr>
        <w:t xml:space="preserve">, the gap between, say, a </w:t>
      </w:r>
      <w:r w:rsidR="004E390C">
        <w:rPr>
          <w:lang w:val="en-NZ"/>
        </w:rPr>
        <w:t>'</w:t>
      </w:r>
      <w:r w:rsidRPr="00041F76">
        <w:rPr>
          <w:lang w:val="en-NZ"/>
        </w:rPr>
        <w:t>1</w:t>
      </w:r>
      <w:r w:rsidR="004E390C">
        <w:rPr>
          <w:lang w:val="en-NZ"/>
        </w:rPr>
        <w:t>'</w:t>
      </w:r>
      <w:r w:rsidRPr="00041F76">
        <w:rPr>
          <w:lang w:val="en-NZ"/>
        </w:rPr>
        <w:t xml:space="preserve"> and a </w:t>
      </w:r>
      <w:r w:rsidR="004E390C">
        <w:rPr>
          <w:lang w:val="en-NZ"/>
        </w:rPr>
        <w:t>'</w:t>
      </w:r>
      <w:r w:rsidRPr="00041F76">
        <w:rPr>
          <w:lang w:val="en-NZ"/>
        </w:rPr>
        <w:t>2</w:t>
      </w:r>
      <w:r w:rsidR="004E390C">
        <w:rPr>
          <w:lang w:val="en-NZ"/>
        </w:rPr>
        <w:t>'</w:t>
      </w:r>
      <w:r w:rsidRPr="00041F76">
        <w:rPr>
          <w:lang w:val="en-NZ"/>
        </w:rPr>
        <w:t xml:space="preserve"> is not the same across </w:t>
      </w:r>
      <w:r>
        <w:rPr>
          <w:lang w:val="en-NZ"/>
        </w:rPr>
        <w:t xml:space="preserve">different </w:t>
      </w:r>
      <w:r w:rsidRPr="00041F76">
        <w:rPr>
          <w:lang w:val="en-NZ"/>
        </w:rPr>
        <w:t xml:space="preserve">people, and may not be the same </w:t>
      </w:r>
      <w:r>
        <w:rPr>
          <w:lang w:val="en-NZ"/>
        </w:rPr>
        <w:t xml:space="preserve">in different </w:t>
      </w:r>
      <w:r w:rsidRPr="00041F76">
        <w:rPr>
          <w:lang w:val="en-NZ"/>
        </w:rPr>
        <w:t>time</w:t>
      </w:r>
      <w:r>
        <w:rPr>
          <w:lang w:val="en-NZ"/>
        </w:rPr>
        <w:t>s</w:t>
      </w:r>
      <w:r w:rsidRPr="00041F76">
        <w:rPr>
          <w:lang w:val="en-NZ"/>
        </w:rPr>
        <w:t xml:space="preserve"> for the same people. As McCloskey notes (2012, p.4):</w:t>
      </w:r>
    </w:p>
    <w:p w:rsidR="00F84F88" w:rsidRDefault="00F84F88" w:rsidP="009F1D18">
      <w:pPr>
        <w:widowControl w:val="0"/>
        <w:tabs>
          <w:tab w:val="left" w:pos="426"/>
          <w:tab w:val="left" w:pos="720"/>
        </w:tabs>
        <w:autoSpaceDE w:val="0"/>
        <w:autoSpaceDN w:val="0"/>
        <w:adjustRightInd w:val="0"/>
        <w:ind w:left="737" w:right="737"/>
        <w:jc w:val="both"/>
        <w:rPr>
          <w:sz w:val="22"/>
          <w:szCs w:val="22"/>
          <w:lang w:val="en-NZ"/>
        </w:rPr>
      </w:pPr>
    </w:p>
    <w:p w:rsidR="00B46598" w:rsidRPr="00F24ECE" w:rsidRDefault="00B46598" w:rsidP="009F1D18">
      <w:pPr>
        <w:widowControl w:val="0"/>
        <w:tabs>
          <w:tab w:val="left" w:pos="426"/>
          <w:tab w:val="left" w:pos="720"/>
        </w:tabs>
        <w:autoSpaceDE w:val="0"/>
        <w:autoSpaceDN w:val="0"/>
        <w:adjustRightInd w:val="0"/>
        <w:ind w:left="737" w:right="737"/>
        <w:jc w:val="both"/>
        <w:rPr>
          <w:sz w:val="22"/>
          <w:szCs w:val="22"/>
          <w:lang w:val="en-NZ"/>
        </w:rPr>
      </w:pPr>
      <w:r w:rsidRPr="00F24ECE">
        <w:rPr>
          <w:sz w:val="22"/>
          <w:szCs w:val="22"/>
          <w:lang w:val="en-NZ"/>
        </w:rPr>
        <w:t xml:space="preserve">If a man tormented by starvation and civil war in South Sudan declares that he is </w:t>
      </w:r>
      <w:r w:rsidR="004E390C" w:rsidRPr="00F24ECE">
        <w:rPr>
          <w:sz w:val="22"/>
          <w:szCs w:val="22"/>
          <w:lang w:val="en-NZ"/>
        </w:rPr>
        <w:t>'</w:t>
      </w:r>
      <w:r w:rsidRPr="00F24ECE">
        <w:rPr>
          <w:sz w:val="22"/>
          <w:szCs w:val="22"/>
          <w:lang w:val="en-NZ"/>
        </w:rPr>
        <w:t>happy, no, very happy, a regular three, mind you,</w:t>
      </w:r>
      <w:r w:rsidR="004E390C" w:rsidRPr="00F24ECE">
        <w:rPr>
          <w:sz w:val="22"/>
          <w:szCs w:val="22"/>
          <w:lang w:val="en-NZ"/>
        </w:rPr>
        <w:t>'</w:t>
      </w:r>
      <w:r w:rsidRPr="00F24ECE">
        <w:rPr>
          <w:sz w:val="22"/>
          <w:szCs w:val="22"/>
          <w:lang w:val="en-NZ"/>
        </w:rPr>
        <w:t xml:space="preserve"> we have learned something about the human spirit and its sometimes stirring, sometimes discouraging, oddity. But we inch toward madness if we go beyond people’s lips and claim to read objectively, or subjectively, their hearts in a 1-2-3 way that is comparable with their neighbors or comparable with the very same South Sudanese man when he wins an immigration lottery and gets to Albany.</w:t>
      </w:r>
    </w:p>
    <w:p w:rsidR="00B46598" w:rsidRDefault="00B46598" w:rsidP="00C645CE">
      <w:pPr>
        <w:tabs>
          <w:tab w:val="left" w:pos="426"/>
        </w:tabs>
        <w:spacing w:line="288" w:lineRule="auto"/>
        <w:jc w:val="both"/>
        <w:rPr>
          <w:rFonts w:eastAsia="Batang"/>
          <w:lang w:eastAsia="ko-KR"/>
        </w:rPr>
      </w:pPr>
      <w:r>
        <w:rPr>
          <w:rFonts w:eastAsia="Batang"/>
          <w:lang w:eastAsia="ko-KR"/>
        </w:rPr>
        <w:lastRenderedPageBreak/>
        <w:t>Th</w:t>
      </w:r>
      <w:r w:rsidR="000B449E">
        <w:rPr>
          <w:rFonts w:eastAsia="Batang"/>
          <w:lang w:eastAsia="ko-KR"/>
        </w:rPr>
        <w:t xml:space="preserve">e temptation to interpret </w:t>
      </w:r>
      <w:r>
        <w:rPr>
          <w:rFonts w:eastAsia="Batang"/>
          <w:lang w:eastAsia="ko-KR"/>
        </w:rPr>
        <w:t xml:space="preserve">happiness and subjective wellbeing values as cardinal measures </w:t>
      </w:r>
      <w:r w:rsidR="000B449E">
        <w:rPr>
          <w:rFonts w:eastAsia="Batang"/>
          <w:lang w:eastAsia="ko-KR"/>
        </w:rPr>
        <w:t xml:space="preserve">may </w:t>
      </w:r>
      <w:r>
        <w:rPr>
          <w:rFonts w:eastAsia="Batang"/>
          <w:lang w:eastAsia="ko-KR"/>
        </w:rPr>
        <w:t>lead to misleading conclusions.</w:t>
      </w:r>
    </w:p>
    <w:p w:rsidR="009B5865" w:rsidRDefault="009B5865" w:rsidP="00C645CE">
      <w:pPr>
        <w:tabs>
          <w:tab w:val="left" w:pos="426"/>
        </w:tabs>
        <w:spacing w:line="288" w:lineRule="auto"/>
        <w:jc w:val="both"/>
        <w:rPr>
          <w:rFonts w:eastAsia="Batang"/>
          <w:lang w:eastAsia="ko-KR"/>
        </w:rPr>
      </w:pPr>
    </w:p>
    <w:p w:rsidR="00F84F88" w:rsidRDefault="00B46598" w:rsidP="00C645CE">
      <w:pPr>
        <w:tabs>
          <w:tab w:val="left" w:pos="426"/>
        </w:tabs>
        <w:spacing w:line="288" w:lineRule="auto"/>
        <w:jc w:val="both"/>
        <w:rPr>
          <w:rFonts w:eastAsia="Batang"/>
          <w:lang w:eastAsia="ko-KR"/>
        </w:rPr>
      </w:pPr>
      <w:r>
        <w:rPr>
          <w:rFonts w:eastAsia="Batang"/>
          <w:lang w:eastAsia="ko-KR"/>
        </w:rPr>
        <w:tab/>
        <w:t xml:space="preserve">Bond and Lang (2014) expand upon this theme by showing that standard happiness measures cannot rank the average happiness of two groups (or the same group in two time periods), unless researchers are willing to make strong </w:t>
      </w:r>
      <w:r w:rsidR="00EC2FB3">
        <w:rPr>
          <w:rFonts w:eastAsia="Batang"/>
          <w:lang w:eastAsia="ko-KR"/>
        </w:rPr>
        <w:t xml:space="preserve">and unverifiable </w:t>
      </w:r>
      <w:r>
        <w:rPr>
          <w:rFonts w:eastAsia="Batang"/>
          <w:lang w:eastAsia="ko-KR"/>
        </w:rPr>
        <w:t>assumptions about the underlying (and unknown) distribution of happiness. The problem occurs because a continuous variable (life satisfaction or happiness) is being pl</w:t>
      </w:r>
      <w:r w:rsidR="007E2548">
        <w:rPr>
          <w:rFonts w:eastAsia="Batang"/>
          <w:lang w:eastAsia="ko-KR"/>
        </w:rPr>
        <w:t xml:space="preserve">aced into discrete categories and this makes it </w:t>
      </w:r>
      <w:r>
        <w:rPr>
          <w:rFonts w:eastAsia="Batang"/>
          <w:lang w:eastAsia="ko-KR"/>
        </w:rPr>
        <w:t xml:space="preserve">possible to reverse the average happiness ranking between two groups (or countries or time periods) by using different monotonic transformations. </w:t>
      </w:r>
    </w:p>
    <w:p w:rsidR="00F84F88" w:rsidRDefault="00F84F88" w:rsidP="00C645CE">
      <w:pPr>
        <w:tabs>
          <w:tab w:val="left" w:pos="426"/>
        </w:tabs>
        <w:spacing w:line="288" w:lineRule="auto"/>
        <w:jc w:val="both"/>
        <w:rPr>
          <w:rFonts w:eastAsia="Batang"/>
          <w:lang w:eastAsia="ko-KR"/>
        </w:rPr>
      </w:pPr>
    </w:p>
    <w:p w:rsidR="00BA7A94" w:rsidRDefault="00F84F88" w:rsidP="00C645CE">
      <w:pPr>
        <w:tabs>
          <w:tab w:val="left" w:pos="426"/>
        </w:tabs>
        <w:spacing w:line="288" w:lineRule="auto"/>
        <w:jc w:val="both"/>
        <w:rPr>
          <w:rFonts w:eastAsia="Batang"/>
          <w:iCs/>
          <w:lang w:val="en-NZ" w:eastAsia="ko-KR"/>
        </w:rPr>
      </w:pPr>
      <w:r>
        <w:rPr>
          <w:rFonts w:eastAsia="Batang"/>
          <w:lang w:eastAsia="ko-KR"/>
        </w:rPr>
        <w:tab/>
      </w:r>
      <w:r w:rsidR="00B46598">
        <w:rPr>
          <w:rFonts w:eastAsia="Batang"/>
          <w:lang w:eastAsia="ko-KR"/>
        </w:rPr>
        <w:t>In a time series example, Bond and Lang (2014) relate mean self-reported happiness in the United States to real per capita GDP over 1972-2006, with a negative (but statistically insignificant) time trend found. However if a monotonic transformation of the distribution of happiness is sufficiently left-skewed, under what they call the ‘Tolstoy Assumption’ (</w:t>
      </w:r>
      <w:r w:rsidR="00B46598" w:rsidRPr="00194151">
        <w:rPr>
          <w:rFonts w:eastAsia="Batang"/>
          <w:i/>
          <w:iCs/>
          <w:lang w:val="en-NZ" w:eastAsia="ko-KR"/>
        </w:rPr>
        <w:t>All</w:t>
      </w:r>
      <w:r w:rsidR="00B46598">
        <w:rPr>
          <w:rFonts w:eastAsia="Batang"/>
          <w:i/>
          <w:iCs/>
          <w:lang w:val="en-NZ" w:eastAsia="ko-KR"/>
        </w:rPr>
        <w:t xml:space="preserve"> happy families are alike but</w:t>
      </w:r>
      <w:r w:rsidR="00B46598" w:rsidRPr="00194151">
        <w:rPr>
          <w:rFonts w:eastAsia="Batang"/>
          <w:i/>
          <w:iCs/>
          <w:lang w:val="en-NZ" w:eastAsia="ko-KR"/>
        </w:rPr>
        <w:t xml:space="preserve"> each unhappy family is unhappy in its own way</w:t>
      </w:r>
      <w:r w:rsidR="00B46598">
        <w:rPr>
          <w:rFonts w:eastAsia="Batang"/>
          <w:iCs/>
          <w:lang w:val="en-NZ" w:eastAsia="ko-KR"/>
        </w:rPr>
        <w:t xml:space="preserve">) then a positive and statistically significant relationship between GDP and happiness is found. Similarly, cross-country rankings from the World Values Survey are sensitive to the use of left-skew or right-skew transformations. </w:t>
      </w:r>
    </w:p>
    <w:p w:rsidR="00BA7A94" w:rsidRDefault="00BA7A94" w:rsidP="00C645CE">
      <w:pPr>
        <w:tabs>
          <w:tab w:val="left" w:pos="426"/>
        </w:tabs>
        <w:spacing w:line="288" w:lineRule="auto"/>
        <w:jc w:val="both"/>
        <w:rPr>
          <w:rFonts w:eastAsia="Batang"/>
          <w:iCs/>
          <w:lang w:val="en-NZ" w:eastAsia="ko-KR"/>
        </w:rPr>
      </w:pPr>
    </w:p>
    <w:p w:rsidR="00B46598" w:rsidRDefault="00BA7A94" w:rsidP="00C645CE">
      <w:pPr>
        <w:tabs>
          <w:tab w:val="left" w:pos="426"/>
        </w:tabs>
        <w:spacing w:line="288" w:lineRule="auto"/>
        <w:jc w:val="both"/>
        <w:rPr>
          <w:rFonts w:eastAsia="Batang"/>
          <w:iCs/>
          <w:lang w:val="en-NZ" w:eastAsia="ko-KR"/>
        </w:rPr>
      </w:pPr>
      <w:r>
        <w:rPr>
          <w:rFonts w:eastAsia="Batang"/>
          <w:iCs/>
          <w:lang w:val="en-NZ" w:eastAsia="ko-KR"/>
        </w:rPr>
        <w:tab/>
      </w:r>
      <w:r w:rsidR="00B46598">
        <w:rPr>
          <w:rFonts w:eastAsia="Batang"/>
          <w:iCs/>
          <w:lang w:val="en-NZ" w:eastAsia="ko-KR"/>
        </w:rPr>
        <w:t>A left-skew suggests that the highest average happiness levels are in small, rich OECD countries like New Zealand, Sweden, Canada and Norway, while the least happy countries are in Africa (Ghana, Zambia and Ethiopia). If happiness is assumed to be normally distributed, Mexico is the happiest country and the top countries under the left-skew ranking fall to 10</w:t>
      </w:r>
      <w:r w:rsidR="00B46598" w:rsidRPr="00194151">
        <w:rPr>
          <w:rFonts w:eastAsia="Batang"/>
          <w:iCs/>
          <w:vertAlign w:val="superscript"/>
          <w:lang w:val="en-NZ" w:eastAsia="ko-KR"/>
        </w:rPr>
        <w:t>th</w:t>
      </w:r>
      <w:r w:rsidR="00B46598">
        <w:rPr>
          <w:rFonts w:eastAsia="Batang"/>
          <w:iCs/>
          <w:lang w:val="en-NZ" w:eastAsia="ko-KR"/>
        </w:rPr>
        <w:t xml:space="preserve"> place on average. If happiness is assumed to be right-skewed, Ghana becomes the happiest country and the small OECD countries that were at the top under the assumption of a left-skew distribution drop to 22</w:t>
      </w:r>
      <w:r w:rsidR="00B46598" w:rsidRPr="00355473">
        <w:rPr>
          <w:rFonts w:eastAsia="Batang"/>
          <w:iCs/>
          <w:vertAlign w:val="superscript"/>
          <w:lang w:val="en-NZ" w:eastAsia="ko-KR"/>
        </w:rPr>
        <w:t>nd</w:t>
      </w:r>
      <w:r w:rsidR="00B46598">
        <w:rPr>
          <w:rFonts w:eastAsia="Batang"/>
          <w:iCs/>
          <w:lang w:val="en-NZ" w:eastAsia="ko-KR"/>
        </w:rPr>
        <w:t xml:space="preserve"> place on average.</w:t>
      </w:r>
    </w:p>
    <w:p w:rsidR="009B5865" w:rsidRDefault="009B5865" w:rsidP="00C645CE">
      <w:pPr>
        <w:tabs>
          <w:tab w:val="left" w:pos="426"/>
        </w:tabs>
        <w:spacing w:line="288" w:lineRule="auto"/>
        <w:jc w:val="both"/>
        <w:rPr>
          <w:rFonts w:eastAsia="Batang"/>
          <w:iCs/>
          <w:lang w:val="en-NZ" w:eastAsia="ko-KR"/>
        </w:rPr>
      </w:pPr>
    </w:p>
    <w:p w:rsidR="00B46598" w:rsidRDefault="00B46598" w:rsidP="00C645CE">
      <w:pPr>
        <w:tabs>
          <w:tab w:val="left" w:pos="426"/>
        </w:tabs>
        <w:spacing w:line="288" w:lineRule="auto"/>
        <w:jc w:val="both"/>
        <w:rPr>
          <w:rFonts w:eastAsia="Batang"/>
          <w:iCs/>
          <w:lang w:val="en-NZ" w:eastAsia="ko-KR"/>
        </w:rPr>
      </w:pPr>
      <w:r>
        <w:rPr>
          <w:rFonts w:eastAsia="Batang"/>
          <w:iCs/>
          <w:lang w:val="en-NZ" w:eastAsia="ko-KR"/>
        </w:rPr>
        <w:tab/>
        <w:t xml:space="preserve">Of course researchers might assert that happiness is distributed in a particular way; for example, they could claim that it is normally distributed. Bond and Lang (2014) note that making such as assertion amounts to assuming the conclusion that is reached. The distribution of income is skewed to the right (that is, the mean is well above the median). Thus, if happiness is assumed to be normally distributed then, by construction, the marginal effect of income </w:t>
      </w:r>
      <w:r w:rsidR="00AB27C6">
        <w:rPr>
          <w:rFonts w:eastAsia="Batang"/>
          <w:iCs/>
          <w:lang w:val="en-NZ" w:eastAsia="ko-KR"/>
        </w:rPr>
        <w:t>(</w:t>
      </w:r>
      <w:r>
        <w:rPr>
          <w:rFonts w:eastAsia="Batang"/>
          <w:iCs/>
          <w:lang w:val="en-NZ" w:eastAsia="ko-KR"/>
        </w:rPr>
        <w:t>or wealth</w:t>
      </w:r>
      <w:r w:rsidR="00AB27C6">
        <w:rPr>
          <w:rFonts w:eastAsia="Batang"/>
          <w:iCs/>
          <w:lang w:val="en-NZ" w:eastAsia="ko-KR"/>
        </w:rPr>
        <w:t>)</w:t>
      </w:r>
      <w:r>
        <w:rPr>
          <w:rFonts w:eastAsia="Batang"/>
          <w:iCs/>
          <w:lang w:val="en-NZ" w:eastAsia="ko-KR"/>
        </w:rPr>
        <w:t xml:space="preserve"> on happiness will </w:t>
      </w:r>
      <w:r w:rsidR="00AB27C6">
        <w:rPr>
          <w:rFonts w:eastAsia="Batang"/>
          <w:iCs/>
          <w:lang w:val="en-NZ" w:eastAsia="ko-KR"/>
        </w:rPr>
        <w:t xml:space="preserve">tend to be strongly decreasing </w:t>
      </w:r>
      <w:r>
        <w:rPr>
          <w:rFonts w:eastAsia="Batang"/>
          <w:iCs/>
          <w:lang w:val="en-NZ" w:eastAsia="ko-KR"/>
        </w:rPr>
        <w:t>given the right skew i</w:t>
      </w:r>
      <w:r w:rsidR="001656AE">
        <w:rPr>
          <w:rFonts w:eastAsia="Batang"/>
          <w:iCs/>
          <w:lang w:val="en-NZ" w:eastAsia="ko-KR"/>
        </w:rPr>
        <w:t xml:space="preserve">n income and </w:t>
      </w:r>
      <w:r w:rsidR="007E2548">
        <w:rPr>
          <w:rFonts w:eastAsia="Batang"/>
          <w:iCs/>
          <w:lang w:val="en-NZ" w:eastAsia="ko-KR"/>
        </w:rPr>
        <w:t>wealth</w:t>
      </w:r>
      <w:r w:rsidR="001656AE">
        <w:rPr>
          <w:rFonts w:eastAsia="Batang"/>
          <w:iCs/>
          <w:lang w:val="en-NZ" w:eastAsia="ko-KR"/>
        </w:rPr>
        <w:t xml:space="preserve">. A large literature </w:t>
      </w:r>
      <w:r>
        <w:rPr>
          <w:rFonts w:eastAsia="Batang"/>
          <w:iCs/>
          <w:lang w:val="en-NZ" w:eastAsia="ko-KR"/>
        </w:rPr>
        <w:t xml:space="preserve">suggests </w:t>
      </w:r>
      <w:r w:rsidR="001656AE">
        <w:rPr>
          <w:rFonts w:eastAsia="Batang"/>
          <w:iCs/>
          <w:lang w:val="en-NZ" w:eastAsia="ko-KR"/>
        </w:rPr>
        <w:t xml:space="preserve">that there are </w:t>
      </w:r>
      <w:r w:rsidR="007E2548">
        <w:rPr>
          <w:rFonts w:eastAsia="Batang"/>
          <w:iCs/>
          <w:lang w:val="en-NZ" w:eastAsia="ko-KR"/>
        </w:rPr>
        <w:t>diminishing returns in</w:t>
      </w:r>
      <w:r w:rsidR="00AB27C6">
        <w:rPr>
          <w:rFonts w:eastAsia="Batang"/>
          <w:iCs/>
          <w:lang w:val="en-NZ" w:eastAsia="ko-KR"/>
        </w:rPr>
        <w:t xml:space="preserve"> the effect of</w:t>
      </w:r>
      <w:r>
        <w:rPr>
          <w:rFonts w:eastAsia="Batang"/>
          <w:iCs/>
          <w:lang w:val="en-NZ" w:eastAsia="ko-KR"/>
        </w:rPr>
        <w:t xml:space="preserve"> income</w:t>
      </w:r>
      <w:r w:rsidR="00AB27C6">
        <w:rPr>
          <w:rFonts w:eastAsia="Batang"/>
          <w:iCs/>
          <w:lang w:val="en-NZ" w:eastAsia="ko-KR"/>
        </w:rPr>
        <w:t xml:space="preserve"> on</w:t>
      </w:r>
      <w:r w:rsidR="001656AE">
        <w:rPr>
          <w:rFonts w:eastAsia="Batang"/>
          <w:iCs/>
          <w:lang w:val="en-NZ" w:eastAsia="ko-KR"/>
        </w:rPr>
        <w:t xml:space="preserve"> </w:t>
      </w:r>
      <w:r>
        <w:rPr>
          <w:rFonts w:eastAsia="Batang"/>
          <w:iCs/>
          <w:lang w:val="en-NZ" w:eastAsia="ko-KR"/>
        </w:rPr>
        <w:t xml:space="preserve">happiness </w:t>
      </w:r>
      <w:r w:rsidR="00F24ECE">
        <w:rPr>
          <w:rFonts w:eastAsia="Batang"/>
          <w:iCs/>
          <w:lang w:val="en-NZ" w:eastAsia="ko-KR"/>
        </w:rPr>
        <w:t>or life satisfaction (Layard</w:t>
      </w:r>
      <w:r w:rsidR="001656AE">
        <w:rPr>
          <w:rFonts w:eastAsia="Batang"/>
          <w:iCs/>
          <w:lang w:val="en-NZ" w:eastAsia="ko-KR"/>
        </w:rPr>
        <w:t xml:space="preserve"> 2005) but this literature rest</w:t>
      </w:r>
      <w:r w:rsidR="00AB27C6">
        <w:rPr>
          <w:rFonts w:eastAsia="Batang"/>
          <w:iCs/>
          <w:lang w:val="en-NZ" w:eastAsia="ko-KR"/>
        </w:rPr>
        <w:t>s</w:t>
      </w:r>
      <w:r>
        <w:rPr>
          <w:rFonts w:eastAsia="Batang"/>
          <w:iCs/>
          <w:lang w:val="en-NZ" w:eastAsia="ko-KR"/>
        </w:rPr>
        <w:t xml:space="preserve"> on shaky foundations, since it depends on an assumption about the unknown functional form of the distribution of happiness. Thus, notwithstanding the problems with survey reports of monetary measures, such as consumption, there are </w:t>
      </w:r>
      <w:r w:rsidR="00AB27C6">
        <w:rPr>
          <w:rFonts w:eastAsia="Batang"/>
          <w:iCs/>
          <w:lang w:val="en-NZ" w:eastAsia="ko-KR"/>
        </w:rPr>
        <w:t xml:space="preserve">likely to be </w:t>
      </w:r>
      <w:r>
        <w:rPr>
          <w:rFonts w:eastAsia="Batang"/>
          <w:iCs/>
          <w:lang w:val="en-NZ" w:eastAsia="ko-KR"/>
        </w:rPr>
        <w:t xml:space="preserve">even greater problems with </w:t>
      </w:r>
      <w:r w:rsidR="00AB27C6">
        <w:rPr>
          <w:rFonts w:eastAsia="Batang"/>
          <w:iCs/>
          <w:lang w:val="en-NZ" w:eastAsia="ko-KR"/>
        </w:rPr>
        <w:t xml:space="preserve">measures of </w:t>
      </w:r>
      <w:r>
        <w:rPr>
          <w:rFonts w:eastAsia="Batang"/>
          <w:iCs/>
          <w:lang w:val="en-NZ" w:eastAsia="ko-KR"/>
        </w:rPr>
        <w:t>happiness and life satisfaction.</w:t>
      </w:r>
    </w:p>
    <w:p w:rsidR="00080322" w:rsidRDefault="00080322" w:rsidP="00C645CE">
      <w:pPr>
        <w:tabs>
          <w:tab w:val="left" w:pos="426"/>
        </w:tabs>
        <w:spacing w:line="288" w:lineRule="auto"/>
        <w:rPr>
          <w:b/>
        </w:rPr>
      </w:pPr>
    </w:p>
    <w:p w:rsidR="00F84F88" w:rsidRPr="00F84F88" w:rsidRDefault="00F84F88" w:rsidP="00C645CE">
      <w:pPr>
        <w:tabs>
          <w:tab w:val="left" w:pos="426"/>
        </w:tabs>
        <w:spacing w:line="288" w:lineRule="auto"/>
        <w:rPr>
          <w:b/>
          <w:sz w:val="12"/>
          <w:szCs w:val="12"/>
        </w:rPr>
      </w:pPr>
    </w:p>
    <w:p w:rsidR="00894312" w:rsidRDefault="0037465B" w:rsidP="00C645CE">
      <w:pPr>
        <w:tabs>
          <w:tab w:val="left" w:pos="426"/>
        </w:tabs>
        <w:spacing w:line="288" w:lineRule="auto"/>
        <w:jc w:val="both"/>
        <w:rPr>
          <w:b/>
        </w:rPr>
      </w:pPr>
      <w:r>
        <w:rPr>
          <w:b/>
        </w:rPr>
        <w:lastRenderedPageBreak/>
        <w:t>7</w:t>
      </w:r>
      <w:r w:rsidR="00894312" w:rsidRPr="00256CC9">
        <w:rPr>
          <w:b/>
        </w:rPr>
        <w:t xml:space="preserve">. </w:t>
      </w:r>
      <w:r w:rsidR="00734FBD">
        <w:rPr>
          <w:b/>
        </w:rPr>
        <w:t xml:space="preserve"> </w:t>
      </w:r>
      <w:r w:rsidR="00894312" w:rsidRPr="00256CC9">
        <w:rPr>
          <w:b/>
        </w:rPr>
        <w:t>CONCLUSIONS</w:t>
      </w:r>
    </w:p>
    <w:p w:rsidR="009B5865" w:rsidRPr="009B5865" w:rsidRDefault="009B5865" w:rsidP="00C645CE">
      <w:pPr>
        <w:tabs>
          <w:tab w:val="left" w:pos="426"/>
        </w:tabs>
        <w:spacing w:line="288" w:lineRule="auto"/>
        <w:jc w:val="both"/>
        <w:rPr>
          <w:b/>
          <w:sz w:val="12"/>
          <w:szCs w:val="12"/>
        </w:rPr>
      </w:pPr>
    </w:p>
    <w:p w:rsidR="00FF7407" w:rsidRDefault="001656AE" w:rsidP="00C645CE">
      <w:pPr>
        <w:widowControl w:val="0"/>
        <w:tabs>
          <w:tab w:val="left" w:pos="426"/>
        </w:tabs>
        <w:spacing w:line="288" w:lineRule="auto"/>
        <w:jc w:val="both"/>
        <w:rPr>
          <w:bCs/>
          <w:lang w:val="en-NZ"/>
        </w:rPr>
      </w:pPr>
      <w:r>
        <w:t>R</w:t>
      </w:r>
      <w:r w:rsidR="00EF20C0">
        <w:t>ising affluence is good but it caus</w:t>
      </w:r>
      <w:r w:rsidR="00A544C0">
        <w:t>es</w:t>
      </w:r>
      <w:r w:rsidR="006E7FCA">
        <w:t xml:space="preserve"> </w:t>
      </w:r>
      <w:r>
        <w:t>difficulties for survey measurement of living standards.</w:t>
      </w:r>
      <w:r w:rsidR="006E7FCA">
        <w:t xml:space="preserve"> </w:t>
      </w:r>
      <w:r w:rsidR="006E7FCA">
        <w:rPr>
          <w:bCs/>
          <w:lang w:val="en-NZ"/>
        </w:rPr>
        <w:t xml:space="preserve">The </w:t>
      </w:r>
      <w:r w:rsidR="006E7FCA" w:rsidRPr="006E7FCA">
        <w:rPr>
          <w:bCs/>
          <w:lang w:val="en-NZ"/>
        </w:rPr>
        <w:t xml:space="preserve">problems </w:t>
      </w:r>
      <w:r w:rsidR="006E7FCA">
        <w:rPr>
          <w:bCs/>
          <w:lang w:val="en-NZ"/>
        </w:rPr>
        <w:t>discussed in this paper –</w:t>
      </w:r>
      <w:r w:rsidR="00324C3B">
        <w:rPr>
          <w:bCs/>
          <w:lang w:val="en-NZ"/>
        </w:rPr>
        <w:t xml:space="preserve"> of food purchases </w:t>
      </w:r>
      <w:r w:rsidR="00FF7407" w:rsidRPr="00FF7407">
        <w:rPr>
          <w:bCs/>
          <w:lang w:val="en-NZ"/>
        </w:rPr>
        <w:t xml:space="preserve">changing </w:t>
      </w:r>
      <w:r w:rsidR="006E7FCA">
        <w:rPr>
          <w:bCs/>
          <w:lang w:val="en-NZ"/>
        </w:rPr>
        <w:t>from ingredients towards meals</w:t>
      </w:r>
      <w:r w:rsidR="006E7FCA" w:rsidRPr="006E7FCA">
        <w:rPr>
          <w:bCs/>
          <w:lang w:val="en-NZ"/>
        </w:rPr>
        <w:t xml:space="preserve">, </w:t>
      </w:r>
      <w:r w:rsidR="00324C3B">
        <w:rPr>
          <w:bCs/>
          <w:lang w:val="en-NZ"/>
        </w:rPr>
        <w:t xml:space="preserve">of </w:t>
      </w:r>
      <w:r w:rsidR="00FF7407">
        <w:rPr>
          <w:bCs/>
          <w:lang w:val="en-NZ"/>
        </w:rPr>
        <w:t>mismeasurement of</w:t>
      </w:r>
      <w:r w:rsidR="006E7FCA">
        <w:rPr>
          <w:bCs/>
          <w:lang w:val="en-NZ"/>
        </w:rPr>
        <w:t xml:space="preserve"> the real value of the flow of services </w:t>
      </w:r>
      <w:r w:rsidR="00FF7407">
        <w:rPr>
          <w:bCs/>
          <w:lang w:val="en-NZ"/>
        </w:rPr>
        <w:t xml:space="preserve">from </w:t>
      </w:r>
      <w:r w:rsidR="006E7FCA" w:rsidRPr="006E7FCA">
        <w:rPr>
          <w:bCs/>
          <w:lang w:val="en-NZ"/>
        </w:rPr>
        <w:t xml:space="preserve">housing, and </w:t>
      </w:r>
      <w:r w:rsidR="00324C3B">
        <w:rPr>
          <w:bCs/>
          <w:lang w:val="en-NZ"/>
        </w:rPr>
        <w:t xml:space="preserve">of </w:t>
      </w:r>
      <w:r w:rsidR="00FF7407">
        <w:rPr>
          <w:bCs/>
          <w:lang w:val="en-NZ"/>
        </w:rPr>
        <w:t xml:space="preserve">either ignoring </w:t>
      </w:r>
      <w:r w:rsidR="006E7FCA">
        <w:rPr>
          <w:bCs/>
          <w:lang w:val="en-NZ"/>
        </w:rPr>
        <w:t xml:space="preserve">spatial </w:t>
      </w:r>
      <w:r w:rsidR="006E7FCA" w:rsidRPr="006E7FCA">
        <w:rPr>
          <w:bCs/>
          <w:lang w:val="en-NZ"/>
        </w:rPr>
        <w:t>cost of living</w:t>
      </w:r>
      <w:r w:rsidR="006E7FCA">
        <w:rPr>
          <w:bCs/>
          <w:lang w:val="en-NZ"/>
        </w:rPr>
        <w:t xml:space="preserve"> </w:t>
      </w:r>
      <w:r w:rsidR="00FF7407">
        <w:rPr>
          <w:bCs/>
          <w:lang w:val="en-NZ"/>
        </w:rPr>
        <w:t>differences or measuring them with unit value</w:t>
      </w:r>
      <w:r w:rsidR="00324C3B">
        <w:rPr>
          <w:bCs/>
          <w:lang w:val="en-NZ"/>
        </w:rPr>
        <w:t>s</w:t>
      </w:r>
      <w:r w:rsidR="00FF7407">
        <w:rPr>
          <w:bCs/>
          <w:lang w:val="en-NZ"/>
        </w:rPr>
        <w:t xml:space="preserve"> that confuse a higher standard of living with a higher cost of living </w:t>
      </w:r>
      <w:r w:rsidR="006E7FCA">
        <w:rPr>
          <w:bCs/>
          <w:lang w:val="en-NZ"/>
        </w:rPr>
        <w:t>– are related by a common th</w:t>
      </w:r>
      <w:r w:rsidR="00080322">
        <w:rPr>
          <w:bCs/>
          <w:lang w:val="en-NZ"/>
        </w:rPr>
        <w:t>eme. This</w:t>
      </w:r>
      <w:r w:rsidR="006E7FCA">
        <w:rPr>
          <w:bCs/>
          <w:lang w:val="en-NZ"/>
        </w:rPr>
        <w:t xml:space="preserve"> theme is the failure </w:t>
      </w:r>
      <w:r w:rsidR="00A544C0">
        <w:rPr>
          <w:bCs/>
          <w:lang w:val="en-NZ"/>
        </w:rPr>
        <w:t>by</w:t>
      </w:r>
      <w:r w:rsidR="006E7FCA">
        <w:rPr>
          <w:bCs/>
          <w:lang w:val="en-NZ"/>
        </w:rPr>
        <w:t xml:space="preserve"> the design</w:t>
      </w:r>
      <w:r w:rsidR="00A544C0">
        <w:rPr>
          <w:bCs/>
          <w:lang w:val="en-NZ"/>
        </w:rPr>
        <w:t>ers</w:t>
      </w:r>
      <w:r w:rsidR="006E7FCA">
        <w:rPr>
          <w:bCs/>
          <w:lang w:val="en-NZ"/>
        </w:rPr>
        <w:t xml:space="preserve"> of most household surveys used in developing countries to </w:t>
      </w:r>
      <w:r w:rsidR="00AB2DCA">
        <w:rPr>
          <w:bCs/>
          <w:lang w:val="en-NZ"/>
        </w:rPr>
        <w:t>adequate</w:t>
      </w:r>
      <w:r w:rsidR="00A544C0">
        <w:rPr>
          <w:bCs/>
          <w:lang w:val="en-NZ"/>
        </w:rPr>
        <w:t xml:space="preserve">ly </w:t>
      </w:r>
      <w:r w:rsidR="006E7FCA">
        <w:rPr>
          <w:bCs/>
          <w:lang w:val="en-NZ"/>
        </w:rPr>
        <w:t xml:space="preserve">adapt to the </w:t>
      </w:r>
      <w:r w:rsidR="007E2548">
        <w:rPr>
          <w:bCs/>
          <w:lang w:val="en-NZ"/>
        </w:rPr>
        <w:t xml:space="preserve">generally </w:t>
      </w:r>
      <w:r w:rsidR="00EF20C0">
        <w:rPr>
          <w:bCs/>
          <w:lang w:val="en-NZ"/>
        </w:rPr>
        <w:t xml:space="preserve">more prosperous </w:t>
      </w:r>
      <w:r w:rsidR="007E2548">
        <w:rPr>
          <w:bCs/>
          <w:lang w:val="en-NZ"/>
        </w:rPr>
        <w:t xml:space="preserve">and more urbanized </w:t>
      </w:r>
      <w:r w:rsidR="006E7FCA">
        <w:rPr>
          <w:bCs/>
          <w:lang w:val="en-NZ"/>
        </w:rPr>
        <w:t>circumstances of the people whose lives they attempt to measure.</w:t>
      </w:r>
    </w:p>
    <w:p w:rsidR="009B5865" w:rsidRDefault="009B5865" w:rsidP="00C645CE">
      <w:pPr>
        <w:widowControl w:val="0"/>
        <w:tabs>
          <w:tab w:val="left" w:pos="426"/>
        </w:tabs>
        <w:spacing w:line="288" w:lineRule="auto"/>
        <w:jc w:val="both"/>
        <w:rPr>
          <w:bCs/>
          <w:lang w:val="en-NZ"/>
        </w:rPr>
      </w:pPr>
    </w:p>
    <w:p w:rsidR="000C15B0" w:rsidRDefault="002874DD" w:rsidP="009F1D18">
      <w:pPr>
        <w:widowControl w:val="0"/>
        <w:tabs>
          <w:tab w:val="left" w:pos="426"/>
        </w:tabs>
        <w:spacing w:line="288" w:lineRule="auto"/>
        <w:ind w:firstLine="426"/>
        <w:jc w:val="both"/>
        <w:rPr>
          <w:bCs/>
          <w:lang w:val="en-NZ"/>
        </w:rPr>
      </w:pPr>
      <w:r>
        <w:rPr>
          <w:bCs/>
          <w:lang w:val="en-NZ"/>
        </w:rPr>
        <w:t>If a curious policy maker examined the</w:t>
      </w:r>
      <w:r w:rsidR="00080322">
        <w:rPr>
          <w:bCs/>
          <w:lang w:val="en-NZ"/>
        </w:rPr>
        <w:t xml:space="preserve"> household survey questionnaires</w:t>
      </w:r>
      <w:r>
        <w:rPr>
          <w:bCs/>
          <w:lang w:val="en-NZ"/>
        </w:rPr>
        <w:t xml:space="preserve"> used to provide the data on inequality and poverty that </w:t>
      </w:r>
      <w:r w:rsidR="00080322">
        <w:rPr>
          <w:bCs/>
          <w:lang w:val="en-NZ"/>
        </w:rPr>
        <w:t>underpin</w:t>
      </w:r>
      <w:r>
        <w:rPr>
          <w:bCs/>
          <w:lang w:val="en-NZ"/>
        </w:rPr>
        <w:t xml:space="preserve"> </w:t>
      </w:r>
      <w:r w:rsidRPr="002874DD">
        <w:rPr>
          <w:bCs/>
          <w:lang w:val="en-NZ"/>
        </w:rPr>
        <w:t>assess</w:t>
      </w:r>
      <w:r>
        <w:rPr>
          <w:bCs/>
          <w:lang w:val="en-NZ"/>
        </w:rPr>
        <w:t>ment of</w:t>
      </w:r>
      <w:r w:rsidRPr="002874DD">
        <w:rPr>
          <w:bCs/>
          <w:lang w:val="en-NZ"/>
        </w:rPr>
        <w:t xml:space="preserve"> progress toward national and global goals for inclusive growth and poverty reduction</w:t>
      </w:r>
      <w:r w:rsidR="00EF20C0">
        <w:rPr>
          <w:bCs/>
          <w:lang w:val="en-NZ"/>
        </w:rPr>
        <w:t xml:space="preserve"> they may</w:t>
      </w:r>
      <w:r>
        <w:rPr>
          <w:bCs/>
          <w:lang w:val="en-NZ"/>
        </w:rPr>
        <w:t xml:space="preserve"> be surprised at how similar the</w:t>
      </w:r>
      <w:r w:rsidR="00080322">
        <w:rPr>
          <w:bCs/>
          <w:lang w:val="en-NZ"/>
        </w:rPr>
        <w:t>y</w:t>
      </w:r>
      <w:r>
        <w:rPr>
          <w:bCs/>
          <w:lang w:val="en-NZ"/>
        </w:rPr>
        <w:t xml:space="preserve"> are to </w:t>
      </w:r>
      <w:r w:rsidR="00080322">
        <w:rPr>
          <w:bCs/>
          <w:lang w:val="en-NZ"/>
        </w:rPr>
        <w:t xml:space="preserve">what was </w:t>
      </w:r>
      <w:r>
        <w:rPr>
          <w:bCs/>
          <w:lang w:val="en-NZ"/>
        </w:rPr>
        <w:t xml:space="preserve">used 30 to 40 years ago. </w:t>
      </w:r>
      <w:r w:rsidR="00080322">
        <w:rPr>
          <w:bCs/>
          <w:lang w:val="en-NZ"/>
        </w:rPr>
        <w:t xml:space="preserve">The focus </w:t>
      </w:r>
      <w:r w:rsidR="00475D5A">
        <w:rPr>
          <w:bCs/>
          <w:lang w:val="en-NZ"/>
        </w:rPr>
        <w:t xml:space="preserve">on food ingredients rather than prepared meals and on having a single person proxy report for the whole household ignores the enormous change in diets and eating habits bought about by rising affluence and the urban transition. The neglect of </w:t>
      </w:r>
      <w:r w:rsidR="00EF20C0">
        <w:rPr>
          <w:bCs/>
          <w:lang w:val="en-NZ"/>
        </w:rPr>
        <w:t>needed details for estimating the value</w:t>
      </w:r>
      <w:r w:rsidR="00475D5A">
        <w:rPr>
          <w:bCs/>
          <w:lang w:val="en-NZ"/>
        </w:rPr>
        <w:t xml:space="preserve"> of hous</w:t>
      </w:r>
      <w:r w:rsidR="00EF20C0">
        <w:rPr>
          <w:bCs/>
          <w:lang w:val="en-NZ"/>
        </w:rPr>
        <w:t>ing services and the variation</w:t>
      </w:r>
      <w:r w:rsidR="00475D5A">
        <w:rPr>
          <w:bCs/>
          <w:lang w:val="en-NZ"/>
        </w:rPr>
        <w:t xml:space="preserve"> over space in housing costs ignores the high income elasticity of housing and the emergence of spatially differentiated housing markets as countries get richer and more urban.</w:t>
      </w:r>
      <w:r w:rsidR="00324C3B">
        <w:rPr>
          <w:bCs/>
          <w:lang w:val="en-NZ"/>
        </w:rPr>
        <w:t xml:space="preserve"> The use of unit values as a proxy for food pr</w:t>
      </w:r>
      <w:r w:rsidR="00760513">
        <w:rPr>
          <w:bCs/>
          <w:lang w:val="en-NZ"/>
        </w:rPr>
        <w:t>ices neglects the tr</w:t>
      </w:r>
      <w:r w:rsidR="00EF20C0">
        <w:rPr>
          <w:bCs/>
          <w:lang w:val="en-NZ"/>
        </w:rPr>
        <w:t>ansfor</w:t>
      </w:r>
      <w:r w:rsidR="00A544C0">
        <w:rPr>
          <w:bCs/>
          <w:lang w:val="en-NZ"/>
        </w:rPr>
        <w:t>med supply chains with</w:t>
      </w:r>
      <w:r w:rsidR="00324C3B">
        <w:rPr>
          <w:bCs/>
          <w:lang w:val="en-NZ"/>
        </w:rPr>
        <w:t xml:space="preserve"> food </w:t>
      </w:r>
      <w:r w:rsidR="00A544C0">
        <w:rPr>
          <w:bCs/>
          <w:lang w:val="en-NZ"/>
        </w:rPr>
        <w:t>increasingly</w:t>
      </w:r>
      <w:r w:rsidR="00EF20C0">
        <w:rPr>
          <w:bCs/>
          <w:lang w:val="en-NZ"/>
        </w:rPr>
        <w:t xml:space="preserve"> </w:t>
      </w:r>
      <w:r w:rsidR="00324C3B">
        <w:rPr>
          <w:bCs/>
          <w:lang w:val="en-NZ"/>
        </w:rPr>
        <w:t>shipped, stored and processed</w:t>
      </w:r>
      <w:r w:rsidR="008C482D">
        <w:rPr>
          <w:bCs/>
          <w:lang w:val="en-NZ"/>
        </w:rPr>
        <w:t xml:space="preserve"> </w:t>
      </w:r>
      <w:r w:rsidR="00EF20C0">
        <w:rPr>
          <w:bCs/>
          <w:lang w:val="en-NZ"/>
        </w:rPr>
        <w:t>so that the relative price of quality</w:t>
      </w:r>
      <w:r w:rsidR="00A544C0">
        <w:rPr>
          <w:bCs/>
          <w:lang w:val="en-NZ"/>
        </w:rPr>
        <w:t xml:space="preserve"> varies over time and space and</w:t>
      </w:r>
      <w:r w:rsidR="00EF20C0">
        <w:rPr>
          <w:bCs/>
          <w:lang w:val="en-NZ"/>
        </w:rPr>
        <w:t>, thus</w:t>
      </w:r>
      <w:r w:rsidR="00A544C0">
        <w:rPr>
          <w:bCs/>
          <w:lang w:val="en-NZ"/>
        </w:rPr>
        <w:t>, renders invalid</w:t>
      </w:r>
      <w:r w:rsidR="00760513">
        <w:rPr>
          <w:bCs/>
          <w:lang w:val="en-NZ"/>
        </w:rPr>
        <w:t xml:space="preserve"> </w:t>
      </w:r>
      <w:r w:rsidR="00324C3B">
        <w:rPr>
          <w:bCs/>
          <w:lang w:val="en-NZ"/>
        </w:rPr>
        <w:t xml:space="preserve">the </w:t>
      </w:r>
      <w:r w:rsidR="00760513">
        <w:rPr>
          <w:bCs/>
          <w:lang w:val="en-NZ"/>
        </w:rPr>
        <w:t xml:space="preserve">constant </w:t>
      </w:r>
      <w:r w:rsidR="007E2548">
        <w:rPr>
          <w:bCs/>
          <w:lang w:val="en-NZ"/>
        </w:rPr>
        <w:t>quality mix assumption needed if</w:t>
      </w:r>
      <w:r w:rsidR="00760513">
        <w:rPr>
          <w:bCs/>
          <w:lang w:val="en-NZ"/>
        </w:rPr>
        <w:t xml:space="preserve"> </w:t>
      </w:r>
      <w:r w:rsidR="007E2548">
        <w:rPr>
          <w:bCs/>
          <w:lang w:val="en-NZ"/>
        </w:rPr>
        <w:t>unit values are to</w:t>
      </w:r>
      <w:r w:rsidR="00324C3B">
        <w:rPr>
          <w:bCs/>
          <w:lang w:val="en-NZ"/>
        </w:rPr>
        <w:t xml:space="preserve"> proxy for the price level.</w:t>
      </w:r>
      <w:r w:rsidR="00475D5A">
        <w:rPr>
          <w:bCs/>
          <w:lang w:val="en-NZ"/>
        </w:rPr>
        <w:t xml:space="preserve"> </w:t>
      </w:r>
    </w:p>
    <w:p w:rsidR="00F24ECE" w:rsidRDefault="00F24ECE" w:rsidP="00C645CE">
      <w:pPr>
        <w:widowControl w:val="0"/>
        <w:tabs>
          <w:tab w:val="left" w:pos="426"/>
        </w:tabs>
        <w:spacing w:line="288" w:lineRule="auto"/>
        <w:ind w:firstLine="720"/>
        <w:jc w:val="both"/>
        <w:rPr>
          <w:bCs/>
          <w:lang w:val="en-NZ"/>
        </w:rPr>
      </w:pPr>
    </w:p>
    <w:p w:rsidR="00894312" w:rsidRDefault="00161EEE" w:rsidP="00F24ECE">
      <w:pPr>
        <w:widowControl w:val="0"/>
        <w:tabs>
          <w:tab w:val="left" w:pos="426"/>
        </w:tabs>
        <w:spacing w:line="288" w:lineRule="auto"/>
        <w:ind w:firstLine="426"/>
        <w:jc w:val="both"/>
        <w:rPr>
          <w:bCs/>
          <w:lang w:val="en-NZ"/>
        </w:rPr>
      </w:pPr>
      <w:r>
        <w:rPr>
          <w:bCs/>
          <w:lang w:val="en-NZ"/>
        </w:rPr>
        <w:t>In fact, many</w:t>
      </w:r>
      <w:r w:rsidR="00EF20C0">
        <w:rPr>
          <w:bCs/>
          <w:lang w:val="en-NZ"/>
        </w:rPr>
        <w:t xml:space="preserve"> </w:t>
      </w:r>
      <w:r>
        <w:rPr>
          <w:bCs/>
          <w:lang w:val="en-NZ"/>
        </w:rPr>
        <w:t xml:space="preserve">policy makers </w:t>
      </w:r>
      <w:r w:rsidR="00693E26">
        <w:rPr>
          <w:bCs/>
          <w:lang w:val="en-NZ"/>
        </w:rPr>
        <w:t>seem</w:t>
      </w:r>
      <w:r w:rsidR="00EF20C0">
        <w:rPr>
          <w:bCs/>
          <w:lang w:val="en-NZ"/>
        </w:rPr>
        <w:t xml:space="preserve"> </w:t>
      </w:r>
      <w:r>
        <w:rPr>
          <w:bCs/>
          <w:lang w:val="en-NZ"/>
        </w:rPr>
        <w:t>in</w:t>
      </w:r>
      <w:r w:rsidR="00EF20C0">
        <w:rPr>
          <w:bCs/>
          <w:lang w:val="en-NZ"/>
        </w:rPr>
        <w:t>curious about data and so dead-end public debates, such as the Indian calorie debate (Smith, 2015), consume policy at</w:t>
      </w:r>
      <w:r w:rsidR="00A544C0">
        <w:rPr>
          <w:bCs/>
          <w:lang w:val="en-NZ"/>
        </w:rPr>
        <w:t>tention even if</w:t>
      </w:r>
      <w:r w:rsidR="008C482D">
        <w:rPr>
          <w:bCs/>
          <w:lang w:val="en-NZ"/>
        </w:rPr>
        <w:t xml:space="preserve"> they are based</w:t>
      </w:r>
      <w:r w:rsidR="00EF20C0">
        <w:rPr>
          <w:bCs/>
          <w:lang w:val="en-NZ"/>
        </w:rPr>
        <w:t xml:space="preserve"> on </w:t>
      </w:r>
      <w:r>
        <w:rPr>
          <w:bCs/>
          <w:lang w:val="en-NZ"/>
        </w:rPr>
        <w:t xml:space="preserve">bad </w:t>
      </w:r>
      <w:r w:rsidR="00EF20C0">
        <w:rPr>
          <w:bCs/>
          <w:lang w:val="en-NZ"/>
        </w:rPr>
        <w:t xml:space="preserve">data. </w:t>
      </w:r>
      <w:r w:rsidR="00A544C0">
        <w:rPr>
          <w:bCs/>
          <w:lang w:val="en-NZ"/>
        </w:rPr>
        <w:t>Yet without attention from policy makers it is unclear where impetus will come from for questioning if living standards are being meas</w:t>
      </w:r>
      <w:r w:rsidR="00AB2DCA">
        <w:rPr>
          <w:bCs/>
          <w:lang w:val="en-NZ"/>
        </w:rPr>
        <w:t>ured in the most appropriate manner</w:t>
      </w:r>
      <w:r w:rsidR="00A544C0">
        <w:rPr>
          <w:bCs/>
          <w:lang w:val="en-NZ"/>
        </w:rPr>
        <w:t xml:space="preserve"> for the era </w:t>
      </w:r>
      <w:r w:rsidR="00AB2DCA">
        <w:rPr>
          <w:bCs/>
          <w:lang w:val="en-NZ"/>
        </w:rPr>
        <w:t xml:space="preserve">that will be </w:t>
      </w:r>
      <w:r w:rsidR="00A544C0">
        <w:rPr>
          <w:bCs/>
          <w:lang w:val="en-NZ"/>
        </w:rPr>
        <w:t>covered by the Sustainable Development Goals. The people</w:t>
      </w:r>
      <w:r w:rsidR="00EF20C0">
        <w:rPr>
          <w:bCs/>
          <w:lang w:val="en-NZ"/>
        </w:rPr>
        <w:t xml:space="preserve"> of Asia and the Pacific deserve better from the statisticians and economists who </w:t>
      </w:r>
      <w:r w:rsidR="008C482D">
        <w:rPr>
          <w:bCs/>
          <w:lang w:val="en-NZ"/>
        </w:rPr>
        <w:t xml:space="preserve">supply the numbers used </w:t>
      </w:r>
      <w:r w:rsidR="008C482D" w:rsidRPr="008C482D">
        <w:rPr>
          <w:bCs/>
          <w:lang w:val="en-NZ"/>
        </w:rPr>
        <w:t xml:space="preserve">to </w:t>
      </w:r>
      <w:r w:rsidR="00AB2DCA">
        <w:rPr>
          <w:bCs/>
          <w:lang w:val="en-NZ"/>
        </w:rPr>
        <w:t xml:space="preserve">gauge </w:t>
      </w:r>
      <w:r w:rsidR="008C482D" w:rsidRPr="008C482D">
        <w:rPr>
          <w:bCs/>
          <w:lang w:val="en-NZ"/>
        </w:rPr>
        <w:t>progress toward goals for poverty reduction</w:t>
      </w:r>
      <w:r w:rsidR="008C482D">
        <w:rPr>
          <w:bCs/>
          <w:lang w:val="en-NZ"/>
        </w:rPr>
        <w:t xml:space="preserve"> and shared prosperity.</w:t>
      </w:r>
    </w:p>
    <w:p w:rsidR="00134275" w:rsidRDefault="00134275" w:rsidP="00F24ECE">
      <w:pPr>
        <w:widowControl w:val="0"/>
        <w:tabs>
          <w:tab w:val="left" w:pos="426"/>
        </w:tabs>
        <w:spacing w:line="288" w:lineRule="auto"/>
        <w:ind w:firstLine="426"/>
        <w:jc w:val="both"/>
      </w:pPr>
    </w:p>
    <w:p w:rsidR="00F76545" w:rsidRPr="009671AD" w:rsidRDefault="00F76545" w:rsidP="00C645CE">
      <w:pPr>
        <w:tabs>
          <w:tab w:val="left" w:pos="426"/>
        </w:tabs>
        <w:spacing w:after="120"/>
        <w:ind w:left="426" w:hanging="426"/>
        <w:rPr>
          <w:b/>
          <w:sz w:val="22"/>
          <w:szCs w:val="22"/>
        </w:rPr>
      </w:pPr>
      <w:r w:rsidRPr="009671AD">
        <w:rPr>
          <w:b/>
          <w:sz w:val="22"/>
          <w:szCs w:val="22"/>
        </w:rPr>
        <w:t>REFERENCES</w:t>
      </w:r>
    </w:p>
    <w:p w:rsidR="00B50F90" w:rsidRPr="009671AD" w:rsidRDefault="00B50F90" w:rsidP="00F24ECE">
      <w:pPr>
        <w:tabs>
          <w:tab w:val="left" w:pos="426"/>
        </w:tabs>
        <w:ind w:left="426" w:hanging="426"/>
        <w:jc w:val="both"/>
        <w:rPr>
          <w:bCs/>
          <w:color w:val="000000"/>
          <w:sz w:val="22"/>
          <w:szCs w:val="22"/>
        </w:rPr>
      </w:pPr>
      <w:r w:rsidRPr="009671AD">
        <w:rPr>
          <w:rFonts w:cs="Arial"/>
          <w:sz w:val="22"/>
          <w:szCs w:val="22"/>
          <w:lang w:bidi="he-IL"/>
        </w:rPr>
        <w:t xml:space="preserve">Beegle, K., de Weerdt, J., Friedman, J., &amp; Gibson, J. (2012). </w:t>
      </w:r>
      <w:r w:rsidRPr="009671AD">
        <w:rPr>
          <w:bCs/>
          <w:color w:val="000000"/>
          <w:sz w:val="22"/>
          <w:szCs w:val="22"/>
        </w:rPr>
        <w:t>Methods of household consumption measurement through surveys: Experimental results from Tanzania</w:t>
      </w:r>
      <w:r w:rsidR="004E390C">
        <w:rPr>
          <w:bCs/>
          <w:color w:val="000000"/>
          <w:sz w:val="22"/>
          <w:szCs w:val="22"/>
        </w:rPr>
        <w:t>'</w:t>
      </w:r>
      <w:r w:rsidRPr="009671AD">
        <w:rPr>
          <w:bCs/>
          <w:color w:val="000000"/>
          <w:sz w:val="22"/>
          <w:szCs w:val="22"/>
        </w:rPr>
        <w:t xml:space="preserve"> </w:t>
      </w:r>
      <w:r w:rsidRPr="009671AD">
        <w:rPr>
          <w:bCs/>
          <w:i/>
          <w:color w:val="000000"/>
          <w:sz w:val="22"/>
          <w:szCs w:val="22"/>
        </w:rPr>
        <w:t>Journal of Development Economics</w:t>
      </w:r>
      <w:r w:rsidRPr="009671AD">
        <w:rPr>
          <w:bCs/>
          <w:color w:val="000000"/>
          <w:sz w:val="22"/>
          <w:szCs w:val="22"/>
        </w:rPr>
        <w:t>, 98</w:t>
      </w:r>
      <w:r w:rsidRPr="009671AD">
        <w:rPr>
          <w:bCs/>
          <w:i/>
          <w:color w:val="000000"/>
          <w:sz w:val="22"/>
          <w:szCs w:val="22"/>
        </w:rPr>
        <w:t>(1)</w:t>
      </w:r>
      <w:r w:rsidRPr="009671AD">
        <w:rPr>
          <w:bCs/>
          <w:color w:val="000000"/>
          <w:sz w:val="22"/>
          <w:szCs w:val="22"/>
        </w:rPr>
        <w:t>, 3-18.</w:t>
      </w:r>
    </w:p>
    <w:p w:rsidR="00B50F90" w:rsidRPr="00090C96" w:rsidRDefault="00B50F90" w:rsidP="00F24ECE">
      <w:pPr>
        <w:tabs>
          <w:tab w:val="left" w:pos="426"/>
        </w:tabs>
        <w:ind w:left="426" w:hanging="426"/>
        <w:jc w:val="both"/>
        <w:rPr>
          <w:rFonts w:cs="Arial"/>
          <w:sz w:val="10"/>
          <w:szCs w:val="10"/>
          <w:lang w:bidi="he-IL"/>
        </w:rPr>
      </w:pPr>
    </w:p>
    <w:p w:rsidR="00CF1494" w:rsidRPr="009671AD" w:rsidRDefault="00CF1494" w:rsidP="00F24ECE">
      <w:pPr>
        <w:tabs>
          <w:tab w:val="left" w:pos="426"/>
        </w:tabs>
        <w:ind w:left="426" w:hanging="426"/>
        <w:jc w:val="both"/>
        <w:rPr>
          <w:rFonts w:cs="Arial"/>
          <w:sz w:val="22"/>
          <w:szCs w:val="22"/>
          <w:lang w:val="en-NZ" w:bidi="he-IL"/>
        </w:rPr>
      </w:pPr>
      <w:r w:rsidRPr="009671AD">
        <w:rPr>
          <w:rFonts w:cs="Arial"/>
          <w:sz w:val="22"/>
          <w:szCs w:val="22"/>
          <w:lang w:bidi="he-IL"/>
        </w:rPr>
        <w:t>Bond, T. &amp; Lang, K. (2014). </w:t>
      </w:r>
      <w:r w:rsidRPr="009671AD">
        <w:rPr>
          <w:rFonts w:cs="Arial"/>
          <w:iCs/>
          <w:sz w:val="22"/>
          <w:szCs w:val="22"/>
          <w:lang w:bidi="he-IL"/>
        </w:rPr>
        <w:t>The sad truth about happiness scales</w:t>
      </w:r>
      <w:r w:rsidRPr="009671AD">
        <w:rPr>
          <w:rFonts w:cs="Arial"/>
          <w:sz w:val="22"/>
          <w:szCs w:val="22"/>
          <w:lang w:bidi="he-IL"/>
        </w:rPr>
        <w:t xml:space="preserve">. </w:t>
      </w:r>
      <w:r w:rsidRPr="009671AD">
        <w:rPr>
          <w:rFonts w:cs="Arial"/>
          <w:i/>
          <w:sz w:val="22"/>
          <w:szCs w:val="22"/>
          <w:lang w:val="en-NZ" w:bidi="he-IL"/>
        </w:rPr>
        <w:t xml:space="preserve">Working Paper </w:t>
      </w:r>
      <w:r w:rsidRPr="009671AD">
        <w:rPr>
          <w:rFonts w:cs="Arial"/>
          <w:sz w:val="22"/>
          <w:szCs w:val="22"/>
          <w:lang w:val="en-NZ" w:bidi="he-IL"/>
        </w:rPr>
        <w:t>No. w19950, National Bureau of Economic Research.</w:t>
      </w:r>
    </w:p>
    <w:p w:rsidR="00CF1494" w:rsidRPr="00090C96" w:rsidRDefault="00CF1494" w:rsidP="00F24ECE">
      <w:pPr>
        <w:tabs>
          <w:tab w:val="left" w:pos="426"/>
        </w:tabs>
        <w:ind w:left="426" w:hanging="426"/>
        <w:jc w:val="both"/>
        <w:rPr>
          <w:rFonts w:eastAsia="Batang" w:cstheme="minorHAnsi"/>
          <w:sz w:val="10"/>
          <w:szCs w:val="10"/>
          <w:lang w:val="en-NZ" w:eastAsia="ko-KR"/>
        </w:rPr>
      </w:pPr>
    </w:p>
    <w:p w:rsidR="00CF1494" w:rsidRPr="009671AD" w:rsidRDefault="00CF1494" w:rsidP="00F24ECE">
      <w:pPr>
        <w:tabs>
          <w:tab w:val="left" w:pos="426"/>
        </w:tabs>
        <w:ind w:left="426" w:hanging="426"/>
        <w:jc w:val="both"/>
        <w:rPr>
          <w:rFonts w:eastAsia="Batang" w:cstheme="minorHAnsi"/>
          <w:sz w:val="22"/>
          <w:szCs w:val="22"/>
          <w:lang w:val="en-NZ" w:eastAsia="ko-KR"/>
        </w:rPr>
      </w:pPr>
      <w:r w:rsidRPr="009671AD">
        <w:rPr>
          <w:rFonts w:eastAsia="Batang" w:cstheme="minorHAnsi"/>
          <w:sz w:val="22"/>
          <w:szCs w:val="22"/>
          <w:lang w:val="en-NZ" w:eastAsia="ko-KR"/>
        </w:rPr>
        <w:t>Chen, S., &amp; Ravallion, M. (2013). More relatively</w:t>
      </w:r>
      <w:r w:rsidRPr="009671AD">
        <w:rPr>
          <w:rFonts w:ascii="Cambria Math" w:eastAsia="Batang" w:hAnsi="Cambria Math" w:cs="Cambria Math"/>
          <w:sz w:val="22"/>
          <w:szCs w:val="22"/>
          <w:lang w:val="en-NZ" w:eastAsia="ko-KR"/>
        </w:rPr>
        <w:t>‐</w:t>
      </w:r>
      <w:r w:rsidRPr="009671AD">
        <w:rPr>
          <w:rFonts w:eastAsia="Batang"/>
          <w:sz w:val="22"/>
          <w:szCs w:val="22"/>
          <w:lang w:val="en-NZ" w:eastAsia="ko-KR"/>
        </w:rPr>
        <w:t>poor people in a less absolutely</w:t>
      </w:r>
      <w:r w:rsidRPr="009671AD">
        <w:rPr>
          <w:rFonts w:ascii="Cambria Math" w:eastAsia="Batang" w:hAnsi="Cambria Math" w:cs="Cambria Math"/>
          <w:sz w:val="22"/>
          <w:szCs w:val="22"/>
          <w:lang w:val="en-NZ" w:eastAsia="ko-KR"/>
        </w:rPr>
        <w:t>‐</w:t>
      </w:r>
      <w:r w:rsidRPr="009671AD">
        <w:rPr>
          <w:rFonts w:eastAsia="Batang"/>
          <w:sz w:val="22"/>
          <w:szCs w:val="22"/>
          <w:lang w:val="en-NZ" w:eastAsia="ko-KR"/>
        </w:rPr>
        <w:t>poor</w:t>
      </w:r>
      <w:r w:rsidRPr="009671AD">
        <w:rPr>
          <w:rFonts w:eastAsia="Batang" w:cstheme="minorHAnsi"/>
          <w:sz w:val="22"/>
          <w:szCs w:val="22"/>
          <w:lang w:val="en-NZ" w:eastAsia="ko-KR"/>
        </w:rPr>
        <w:t xml:space="preserve"> world. </w:t>
      </w:r>
      <w:r w:rsidRPr="009671AD">
        <w:rPr>
          <w:rFonts w:eastAsia="Batang" w:cstheme="minorHAnsi"/>
          <w:i/>
          <w:iCs/>
          <w:sz w:val="22"/>
          <w:szCs w:val="22"/>
          <w:lang w:val="en-NZ" w:eastAsia="ko-KR"/>
        </w:rPr>
        <w:t>Review of Income and Wealth</w:t>
      </w:r>
      <w:r w:rsidRPr="009671AD">
        <w:rPr>
          <w:rFonts w:eastAsia="Batang" w:cstheme="minorHAnsi"/>
          <w:sz w:val="22"/>
          <w:szCs w:val="22"/>
          <w:lang w:val="en-NZ" w:eastAsia="ko-KR"/>
        </w:rPr>
        <w:t xml:space="preserve">, </w:t>
      </w:r>
      <w:r w:rsidRPr="009671AD">
        <w:rPr>
          <w:rFonts w:eastAsia="Batang" w:cstheme="minorHAnsi"/>
          <w:i/>
          <w:iCs/>
          <w:sz w:val="22"/>
          <w:szCs w:val="22"/>
          <w:lang w:val="en-NZ" w:eastAsia="ko-KR"/>
        </w:rPr>
        <w:t>59</w:t>
      </w:r>
      <w:r w:rsidRPr="009671AD">
        <w:rPr>
          <w:rFonts w:eastAsia="Batang" w:cstheme="minorHAnsi"/>
          <w:sz w:val="22"/>
          <w:szCs w:val="22"/>
          <w:lang w:val="en-NZ" w:eastAsia="ko-KR"/>
        </w:rPr>
        <w:t>(1), 1-28.</w:t>
      </w:r>
    </w:p>
    <w:p w:rsidR="00CF1494" w:rsidRPr="00090C96" w:rsidRDefault="00CF1494" w:rsidP="00F24ECE">
      <w:pPr>
        <w:tabs>
          <w:tab w:val="left" w:pos="426"/>
        </w:tabs>
        <w:ind w:left="426" w:hanging="426"/>
        <w:jc w:val="both"/>
        <w:rPr>
          <w:rFonts w:eastAsia="Batang" w:cstheme="minorHAnsi"/>
          <w:sz w:val="10"/>
          <w:szCs w:val="10"/>
          <w:lang w:eastAsia="ko-KR"/>
        </w:rPr>
      </w:pPr>
    </w:p>
    <w:p w:rsidR="00437D65" w:rsidRPr="009671AD" w:rsidRDefault="00437D65" w:rsidP="00F24ECE">
      <w:pPr>
        <w:tabs>
          <w:tab w:val="left" w:pos="426"/>
        </w:tabs>
        <w:ind w:left="426" w:hanging="426"/>
        <w:jc w:val="both"/>
        <w:rPr>
          <w:rFonts w:eastAsia="Batang" w:cstheme="minorHAnsi"/>
          <w:sz w:val="22"/>
          <w:szCs w:val="22"/>
          <w:lang w:val="en-NZ" w:eastAsia="ko-KR"/>
        </w:rPr>
      </w:pPr>
      <w:r w:rsidRPr="009671AD">
        <w:rPr>
          <w:rFonts w:eastAsia="Batang" w:cstheme="minorHAnsi"/>
          <w:sz w:val="22"/>
          <w:szCs w:val="22"/>
          <w:lang w:val="en-NZ" w:eastAsia="ko-KR"/>
        </w:rPr>
        <w:t xml:space="preserve">Deaton, A. (2010). Price indices, inequality and the measurement of world poverty. </w:t>
      </w:r>
      <w:r w:rsidRPr="009671AD">
        <w:rPr>
          <w:rFonts w:eastAsia="Batang" w:cstheme="minorHAnsi"/>
          <w:i/>
          <w:sz w:val="22"/>
          <w:szCs w:val="22"/>
          <w:lang w:val="en-NZ" w:eastAsia="ko-KR"/>
        </w:rPr>
        <w:t>American Economic Review</w:t>
      </w:r>
      <w:r w:rsidRPr="009671AD">
        <w:rPr>
          <w:rFonts w:eastAsia="Batang" w:cstheme="minorHAnsi"/>
          <w:sz w:val="22"/>
          <w:szCs w:val="22"/>
          <w:lang w:val="en-NZ" w:eastAsia="ko-KR"/>
        </w:rPr>
        <w:t xml:space="preserve">, </w:t>
      </w:r>
      <w:r w:rsidRPr="009671AD">
        <w:rPr>
          <w:rFonts w:eastAsia="Batang" w:cstheme="minorHAnsi"/>
          <w:i/>
          <w:sz w:val="22"/>
          <w:szCs w:val="22"/>
          <w:lang w:val="en-NZ" w:eastAsia="ko-KR"/>
        </w:rPr>
        <w:t>100</w:t>
      </w:r>
      <w:r w:rsidRPr="009671AD">
        <w:rPr>
          <w:rFonts w:eastAsia="Batang" w:cstheme="minorHAnsi"/>
          <w:sz w:val="22"/>
          <w:szCs w:val="22"/>
          <w:lang w:val="en-NZ" w:eastAsia="ko-KR"/>
        </w:rPr>
        <w:t>(1), 5-34.</w:t>
      </w:r>
    </w:p>
    <w:p w:rsidR="00CF1494" w:rsidRPr="009671AD" w:rsidRDefault="00CF1494" w:rsidP="00F24ECE">
      <w:pPr>
        <w:tabs>
          <w:tab w:val="left" w:pos="426"/>
        </w:tabs>
        <w:ind w:left="426" w:hanging="426"/>
        <w:jc w:val="both"/>
        <w:rPr>
          <w:rFonts w:eastAsia="Batang" w:cstheme="minorHAnsi"/>
          <w:sz w:val="22"/>
          <w:szCs w:val="22"/>
          <w:lang w:val="en-NZ" w:eastAsia="ko-KR"/>
        </w:rPr>
      </w:pPr>
      <w:r w:rsidRPr="009671AD">
        <w:rPr>
          <w:rFonts w:eastAsia="Batang" w:cstheme="minorHAnsi"/>
          <w:sz w:val="22"/>
          <w:szCs w:val="22"/>
          <w:lang w:val="en-NZ" w:eastAsia="ko-KR"/>
        </w:rPr>
        <w:lastRenderedPageBreak/>
        <w:t xml:space="preserve">Deaton, A., &amp; Dupriez, O. (2011). Purchasing power parity exchange rates for the global poor. </w:t>
      </w:r>
      <w:r w:rsidRPr="009671AD">
        <w:rPr>
          <w:rFonts w:eastAsia="Batang" w:cstheme="minorHAnsi"/>
          <w:i/>
          <w:iCs/>
          <w:sz w:val="22"/>
          <w:szCs w:val="22"/>
          <w:lang w:val="en-NZ" w:eastAsia="ko-KR"/>
        </w:rPr>
        <w:t>American Economic Journal: Applied Economics</w:t>
      </w:r>
      <w:r w:rsidRPr="009671AD">
        <w:rPr>
          <w:rFonts w:eastAsia="Batang" w:cstheme="minorHAnsi"/>
          <w:sz w:val="22"/>
          <w:szCs w:val="22"/>
          <w:lang w:val="en-NZ" w:eastAsia="ko-KR"/>
        </w:rPr>
        <w:t xml:space="preserve">, </w:t>
      </w:r>
      <w:r w:rsidRPr="009671AD">
        <w:rPr>
          <w:rFonts w:eastAsia="Batang" w:cstheme="minorHAnsi"/>
          <w:i/>
          <w:iCs/>
          <w:sz w:val="22"/>
          <w:szCs w:val="22"/>
          <w:lang w:val="en-NZ" w:eastAsia="ko-KR"/>
        </w:rPr>
        <w:t>3</w:t>
      </w:r>
      <w:r w:rsidRPr="009671AD">
        <w:rPr>
          <w:rFonts w:eastAsia="Batang" w:cstheme="minorHAnsi"/>
          <w:sz w:val="22"/>
          <w:szCs w:val="22"/>
          <w:lang w:val="en-NZ" w:eastAsia="ko-KR"/>
        </w:rPr>
        <w:t>(2), 137-166.</w:t>
      </w:r>
    </w:p>
    <w:p w:rsidR="00CF1494" w:rsidRPr="00090C96" w:rsidRDefault="00CF1494" w:rsidP="00F24ECE">
      <w:pPr>
        <w:tabs>
          <w:tab w:val="left" w:pos="426"/>
        </w:tabs>
        <w:ind w:left="426" w:hanging="426"/>
        <w:jc w:val="both"/>
        <w:rPr>
          <w:rFonts w:eastAsia="Batang" w:cstheme="minorHAnsi"/>
          <w:sz w:val="10"/>
          <w:szCs w:val="10"/>
          <w:lang w:val="en-NZ" w:eastAsia="ko-KR"/>
        </w:rPr>
      </w:pPr>
    </w:p>
    <w:p w:rsidR="00CF1494" w:rsidRPr="009671AD" w:rsidRDefault="00AB2DCA" w:rsidP="00F24ECE">
      <w:pPr>
        <w:tabs>
          <w:tab w:val="left" w:pos="426"/>
        </w:tabs>
        <w:ind w:left="426" w:hanging="426"/>
        <w:jc w:val="both"/>
        <w:rPr>
          <w:rFonts w:eastAsia="Batang" w:cstheme="minorHAnsi"/>
          <w:sz w:val="22"/>
          <w:szCs w:val="22"/>
          <w:lang w:eastAsia="ko-KR"/>
        </w:rPr>
      </w:pPr>
      <w:r w:rsidRPr="009671AD">
        <w:rPr>
          <w:rFonts w:eastAsia="Batang" w:cstheme="minorHAnsi"/>
          <w:sz w:val="22"/>
          <w:szCs w:val="22"/>
          <w:lang w:eastAsia="ko-KR"/>
        </w:rPr>
        <w:t>Dupriez, O., Smith, L., &amp;</w:t>
      </w:r>
      <w:r w:rsidR="00CF1494" w:rsidRPr="009671AD">
        <w:rPr>
          <w:rFonts w:eastAsia="Batang" w:cstheme="minorHAnsi"/>
          <w:sz w:val="22"/>
          <w:szCs w:val="22"/>
          <w:lang w:eastAsia="ko-KR"/>
        </w:rPr>
        <w:t xml:space="preserve"> Troubat, N. (2014). </w:t>
      </w:r>
      <w:r w:rsidR="00CF1494" w:rsidRPr="009671AD">
        <w:rPr>
          <w:rFonts w:eastAsia="Batang" w:cstheme="minorHAnsi"/>
          <w:i/>
          <w:sz w:val="22"/>
          <w:szCs w:val="22"/>
          <w:lang w:eastAsia="ko-KR"/>
        </w:rPr>
        <w:t>Assessment of the Reliability and Relevance of the Food Data Collected in National Household Consumption and Expenditure Surveys</w:t>
      </w:r>
      <w:r w:rsidR="00CF1494" w:rsidRPr="009671AD">
        <w:rPr>
          <w:rFonts w:eastAsia="Batang" w:cstheme="minorHAnsi"/>
          <w:sz w:val="22"/>
          <w:szCs w:val="22"/>
          <w:lang w:eastAsia="ko-KR"/>
        </w:rPr>
        <w:t xml:space="preserve">. FAO, IHSN and World Bank accessed 6 April 2014: </w:t>
      </w:r>
      <w:hyperlink r:id="rId15" w:history="1">
        <w:r w:rsidR="00CF1494" w:rsidRPr="009671AD">
          <w:rPr>
            <w:rFonts w:eastAsia="Batang" w:cstheme="minorHAnsi"/>
            <w:color w:val="0000FF"/>
            <w:sz w:val="22"/>
            <w:szCs w:val="22"/>
            <w:u w:val="single"/>
            <w:lang w:eastAsia="ko-KR"/>
          </w:rPr>
          <w:t>http://www.ihsn.org/home/node/34</w:t>
        </w:r>
      </w:hyperlink>
    </w:p>
    <w:p w:rsidR="00CF1494" w:rsidRPr="00090C96" w:rsidRDefault="00CF1494" w:rsidP="00F24ECE">
      <w:pPr>
        <w:tabs>
          <w:tab w:val="left" w:pos="426"/>
        </w:tabs>
        <w:ind w:left="426" w:hanging="426"/>
        <w:jc w:val="both"/>
        <w:rPr>
          <w:sz w:val="10"/>
          <w:szCs w:val="10"/>
          <w:lang w:val="en-NZ" w:bidi="he-IL"/>
        </w:rPr>
      </w:pPr>
    </w:p>
    <w:p w:rsidR="00FD7749" w:rsidRPr="009671AD" w:rsidRDefault="00AB2DCA" w:rsidP="00F24ECE">
      <w:pPr>
        <w:tabs>
          <w:tab w:val="left" w:pos="426"/>
        </w:tabs>
        <w:ind w:left="426" w:hanging="426"/>
        <w:jc w:val="both"/>
        <w:rPr>
          <w:sz w:val="22"/>
          <w:szCs w:val="22"/>
          <w:lang w:val="en-NZ" w:bidi="he-IL"/>
        </w:rPr>
      </w:pPr>
      <w:r w:rsidRPr="009671AD">
        <w:rPr>
          <w:sz w:val="22"/>
          <w:szCs w:val="22"/>
          <w:lang w:val="en-NZ" w:bidi="he-IL"/>
        </w:rPr>
        <w:t>Gibson, J., &amp;</w:t>
      </w:r>
      <w:r w:rsidR="00FD7749" w:rsidRPr="009671AD">
        <w:rPr>
          <w:sz w:val="22"/>
          <w:szCs w:val="22"/>
          <w:lang w:val="en-NZ" w:bidi="he-IL"/>
        </w:rPr>
        <w:t xml:space="preserve"> Kim, B. (2015). Hicksian separability does not hold over space: Implications for the design of household surveys and price questionnaires. </w:t>
      </w:r>
      <w:r w:rsidR="00FD7749" w:rsidRPr="009671AD">
        <w:rPr>
          <w:i/>
          <w:sz w:val="22"/>
          <w:szCs w:val="22"/>
          <w:lang w:val="en-NZ" w:bidi="he-IL"/>
        </w:rPr>
        <w:t>Journal of Development Economics</w:t>
      </w:r>
      <w:r w:rsidR="00FD7749" w:rsidRPr="009671AD">
        <w:rPr>
          <w:sz w:val="22"/>
          <w:szCs w:val="22"/>
          <w:lang w:val="en-NZ" w:bidi="he-IL"/>
        </w:rPr>
        <w:t xml:space="preserve">, </w:t>
      </w:r>
      <w:r w:rsidR="00FD7749" w:rsidRPr="009671AD">
        <w:rPr>
          <w:i/>
          <w:sz w:val="22"/>
          <w:szCs w:val="22"/>
          <w:lang w:val="en-NZ" w:bidi="he-IL"/>
        </w:rPr>
        <w:t>114</w:t>
      </w:r>
      <w:r w:rsidR="00FD7749" w:rsidRPr="009671AD">
        <w:rPr>
          <w:sz w:val="22"/>
          <w:szCs w:val="22"/>
          <w:lang w:val="en-NZ" w:bidi="he-IL"/>
        </w:rPr>
        <w:t>(1), 34-40.</w:t>
      </w:r>
    </w:p>
    <w:p w:rsidR="00FD7749" w:rsidRPr="00090C96" w:rsidRDefault="00FD7749" w:rsidP="00F24ECE">
      <w:pPr>
        <w:tabs>
          <w:tab w:val="left" w:pos="426"/>
        </w:tabs>
        <w:ind w:left="426" w:hanging="426"/>
        <w:jc w:val="both"/>
        <w:rPr>
          <w:sz w:val="10"/>
          <w:szCs w:val="10"/>
          <w:lang w:val="en-NZ" w:bidi="he-IL"/>
        </w:rPr>
      </w:pPr>
    </w:p>
    <w:p w:rsidR="008D593B" w:rsidRPr="009671AD" w:rsidRDefault="008D593B" w:rsidP="00F24ECE">
      <w:pPr>
        <w:tabs>
          <w:tab w:val="left" w:pos="426"/>
        </w:tabs>
        <w:ind w:left="426" w:hanging="426"/>
        <w:jc w:val="both"/>
        <w:rPr>
          <w:sz w:val="22"/>
          <w:szCs w:val="22"/>
          <w:lang w:val="en-NZ" w:bidi="he-IL"/>
        </w:rPr>
      </w:pPr>
      <w:r w:rsidRPr="009671AD">
        <w:rPr>
          <w:sz w:val="22"/>
          <w:szCs w:val="22"/>
          <w:lang w:bidi="he-IL"/>
        </w:rPr>
        <w:t xml:space="preserve">Glaeser, E., Gottlieb, J., &amp; Ziv, O. (2014). Unhappy cities. </w:t>
      </w:r>
      <w:r w:rsidRPr="009671AD">
        <w:rPr>
          <w:i/>
          <w:sz w:val="22"/>
          <w:szCs w:val="22"/>
          <w:lang w:val="en-NZ" w:bidi="he-IL"/>
        </w:rPr>
        <w:t xml:space="preserve">Working Paper </w:t>
      </w:r>
      <w:r w:rsidRPr="009671AD">
        <w:rPr>
          <w:sz w:val="22"/>
          <w:szCs w:val="22"/>
          <w:lang w:val="en-NZ" w:bidi="he-IL"/>
        </w:rPr>
        <w:t>No. w20291, National Bureau of Economic Research.</w:t>
      </w:r>
    </w:p>
    <w:p w:rsidR="008D593B" w:rsidRPr="00090C96" w:rsidRDefault="008D593B" w:rsidP="00F24ECE">
      <w:pPr>
        <w:tabs>
          <w:tab w:val="left" w:pos="426"/>
        </w:tabs>
        <w:ind w:left="426" w:hanging="426"/>
        <w:jc w:val="both"/>
        <w:rPr>
          <w:sz w:val="10"/>
          <w:szCs w:val="10"/>
          <w:lang w:val="en-NZ" w:bidi="he-IL"/>
        </w:rPr>
      </w:pPr>
    </w:p>
    <w:p w:rsidR="008D593B" w:rsidRPr="009671AD" w:rsidRDefault="008D593B" w:rsidP="00F24ECE">
      <w:pPr>
        <w:tabs>
          <w:tab w:val="left" w:pos="426"/>
        </w:tabs>
        <w:ind w:left="426" w:hanging="426"/>
        <w:jc w:val="both"/>
        <w:rPr>
          <w:rFonts w:eastAsia="Batang"/>
          <w:sz w:val="22"/>
          <w:szCs w:val="22"/>
          <w:lang w:val="en-NZ" w:eastAsia="en-NZ"/>
        </w:rPr>
      </w:pPr>
      <w:r w:rsidRPr="009671AD">
        <w:rPr>
          <w:rFonts w:eastAsia="Batang"/>
          <w:sz w:val="22"/>
          <w:szCs w:val="22"/>
          <w:lang w:val="en-NZ" w:eastAsia="en-NZ"/>
        </w:rPr>
        <w:t xml:space="preserve">Jolliffe, D. (2006). Poverty, prices, and place: How sensitive is the spatial distribution of poverty to cost-of-living adjustments? </w:t>
      </w:r>
      <w:r w:rsidRPr="009671AD">
        <w:rPr>
          <w:rFonts w:eastAsia="Batang"/>
          <w:i/>
          <w:iCs/>
          <w:sz w:val="22"/>
          <w:szCs w:val="22"/>
          <w:lang w:val="en-NZ" w:eastAsia="en-NZ"/>
        </w:rPr>
        <w:t>Economic Inquiry</w:t>
      </w:r>
      <w:r w:rsidRPr="009671AD">
        <w:rPr>
          <w:rFonts w:eastAsia="Batang"/>
          <w:iCs/>
          <w:sz w:val="22"/>
          <w:szCs w:val="22"/>
          <w:lang w:val="en-NZ" w:eastAsia="en-NZ"/>
        </w:rPr>
        <w:t>,</w:t>
      </w:r>
      <w:r w:rsidRPr="009671AD">
        <w:rPr>
          <w:rFonts w:eastAsia="Batang"/>
          <w:i/>
          <w:iCs/>
          <w:sz w:val="22"/>
          <w:szCs w:val="22"/>
          <w:lang w:val="en-NZ" w:eastAsia="en-NZ"/>
        </w:rPr>
        <w:t xml:space="preserve"> 44</w:t>
      </w:r>
      <w:r w:rsidRPr="009671AD">
        <w:rPr>
          <w:rFonts w:eastAsia="Batang"/>
          <w:sz w:val="22"/>
          <w:szCs w:val="22"/>
          <w:lang w:val="en-NZ" w:eastAsia="en-NZ"/>
        </w:rPr>
        <w:t>(2), 296-310.</w:t>
      </w:r>
    </w:p>
    <w:p w:rsidR="005F3428" w:rsidRPr="00090C96" w:rsidRDefault="005F3428" w:rsidP="00F24ECE">
      <w:pPr>
        <w:tabs>
          <w:tab w:val="left" w:pos="426"/>
        </w:tabs>
        <w:ind w:left="426" w:hanging="426"/>
        <w:jc w:val="both"/>
        <w:rPr>
          <w:rFonts w:eastAsia="Batang"/>
          <w:sz w:val="10"/>
          <w:szCs w:val="10"/>
          <w:lang w:val="en-NZ" w:eastAsia="en-NZ"/>
        </w:rPr>
      </w:pPr>
    </w:p>
    <w:p w:rsidR="005F3428" w:rsidRPr="009671AD" w:rsidRDefault="005F3428" w:rsidP="00F24ECE">
      <w:pPr>
        <w:tabs>
          <w:tab w:val="left" w:pos="426"/>
        </w:tabs>
        <w:ind w:left="426" w:hanging="426"/>
        <w:jc w:val="both"/>
        <w:rPr>
          <w:sz w:val="22"/>
          <w:szCs w:val="22"/>
          <w:lang w:val="en-NZ" w:bidi="he-IL"/>
        </w:rPr>
      </w:pPr>
      <w:r w:rsidRPr="009671AD">
        <w:rPr>
          <w:sz w:val="22"/>
          <w:szCs w:val="22"/>
          <w:lang w:val="en-NZ" w:bidi="he-IL"/>
        </w:rPr>
        <w:t xml:space="preserve">Jolliffe, D., Lanjouw, P., Chen, S., Kraay, A., Meyer, C., Negre, M., Prydz, E., Vakis, R., </w:t>
      </w:r>
      <w:r w:rsidR="00AB2DCA" w:rsidRPr="009671AD">
        <w:rPr>
          <w:sz w:val="22"/>
          <w:szCs w:val="22"/>
          <w:lang w:val="en-NZ" w:bidi="he-IL"/>
        </w:rPr>
        <w:t xml:space="preserve">&amp; </w:t>
      </w:r>
      <w:r w:rsidRPr="009671AD">
        <w:rPr>
          <w:sz w:val="22"/>
          <w:szCs w:val="22"/>
          <w:lang w:val="en-NZ" w:bidi="he-IL"/>
        </w:rPr>
        <w:t xml:space="preserve">Wethli, K. (2014). </w:t>
      </w:r>
      <w:r w:rsidRPr="009671AD">
        <w:rPr>
          <w:i/>
          <w:sz w:val="22"/>
          <w:szCs w:val="22"/>
          <w:lang w:val="en-NZ" w:bidi="he-IL"/>
        </w:rPr>
        <w:t>A Measured Approach to Ending Poverty and Boosting Shared Prosperity: Concepts, Data and the Twin Goals</w:t>
      </w:r>
      <w:r w:rsidRPr="009671AD">
        <w:rPr>
          <w:sz w:val="22"/>
          <w:szCs w:val="22"/>
          <w:lang w:val="en-NZ" w:bidi="he-IL"/>
        </w:rPr>
        <w:t xml:space="preserve"> (Washington D.C.: World Bank)</w:t>
      </w:r>
    </w:p>
    <w:p w:rsidR="008D593B" w:rsidRPr="00090C96" w:rsidRDefault="008D593B" w:rsidP="00F24ECE">
      <w:pPr>
        <w:tabs>
          <w:tab w:val="left" w:pos="426"/>
        </w:tabs>
        <w:ind w:left="426" w:hanging="426"/>
        <w:jc w:val="both"/>
        <w:rPr>
          <w:rFonts w:eastAsia="Batang"/>
          <w:bCs/>
          <w:sz w:val="10"/>
          <w:szCs w:val="10"/>
          <w:lang w:val="en-NZ" w:eastAsia="ko-KR"/>
        </w:rPr>
      </w:pPr>
    </w:p>
    <w:p w:rsidR="00A43326" w:rsidRPr="009671AD" w:rsidRDefault="00A43326" w:rsidP="00F24ECE">
      <w:pPr>
        <w:tabs>
          <w:tab w:val="left" w:pos="426"/>
        </w:tabs>
        <w:ind w:left="426" w:hanging="426"/>
        <w:jc w:val="both"/>
        <w:rPr>
          <w:rFonts w:eastAsia="Batang"/>
          <w:bCs/>
          <w:sz w:val="22"/>
          <w:szCs w:val="22"/>
          <w:lang w:val="en-NZ" w:eastAsia="ko-KR"/>
        </w:rPr>
      </w:pPr>
      <w:r w:rsidRPr="009671AD">
        <w:rPr>
          <w:rFonts w:eastAsia="Batang"/>
          <w:bCs/>
          <w:sz w:val="22"/>
          <w:szCs w:val="22"/>
          <w:lang w:val="en-NZ" w:eastAsia="ko-KR"/>
        </w:rPr>
        <w:t xml:space="preserve">Layard, R. (2005). </w:t>
      </w:r>
      <w:r w:rsidR="00E36954" w:rsidRPr="009671AD">
        <w:rPr>
          <w:rFonts w:eastAsia="Batang"/>
          <w:bCs/>
          <w:i/>
          <w:sz w:val="22"/>
          <w:szCs w:val="22"/>
          <w:lang w:val="en-NZ" w:eastAsia="ko-KR"/>
        </w:rPr>
        <w:t>Happiness: Lessons f</w:t>
      </w:r>
      <w:r w:rsidRPr="009671AD">
        <w:rPr>
          <w:rFonts w:eastAsia="Batang"/>
          <w:bCs/>
          <w:i/>
          <w:sz w:val="22"/>
          <w:szCs w:val="22"/>
          <w:lang w:val="en-NZ" w:eastAsia="ko-KR"/>
        </w:rPr>
        <w:t>rom a New Science</w:t>
      </w:r>
      <w:r w:rsidR="00E36954" w:rsidRPr="009671AD">
        <w:rPr>
          <w:rFonts w:eastAsia="Batang"/>
          <w:bCs/>
          <w:sz w:val="22"/>
          <w:szCs w:val="22"/>
          <w:lang w:val="en-NZ" w:eastAsia="ko-KR"/>
        </w:rPr>
        <w:t xml:space="preserve"> (London: Penguin</w:t>
      </w:r>
      <w:r w:rsidRPr="009671AD">
        <w:rPr>
          <w:rFonts w:eastAsia="Batang"/>
          <w:bCs/>
          <w:sz w:val="22"/>
          <w:szCs w:val="22"/>
          <w:lang w:val="en-NZ" w:eastAsia="ko-KR"/>
        </w:rPr>
        <w:t>).</w:t>
      </w:r>
    </w:p>
    <w:p w:rsidR="00A43326" w:rsidRPr="00090C96" w:rsidRDefault="00A43326" w:rsidP="00F24ECE">
      <w:pPr>
        <w:tabs>
          <w:tab w:val="left" w:pos="426"/>
        </w:tabs>
        <w:ind w:left="426" w:hanging="426"/>
        <w:jc w:val="both"/>
        <w:rPr>
          <w:rFonts w:eastAsia="Batang"/>
          <w:bCs/>
          <w:sz w:val="10"/>
          <w:szCs w:val="10"/>
          <w:lang w:val="en-NZ" w:eastAsia="ko-KR"/>
        </w:rPr>
      </w:pPr>
    </w:p>
    <w:p w:rsidR="008D593B" w:rsidRPr="009671AD" w:rsidRDefault="008D593B" w:rsidP="00F24ECE">
      <w:pPr>
        <w:tabs>
          <w:tab w:val="left" w:pos="426"/>
        </w:tabs>
        <w:ind w:left="426" w:hanging="426"/>
        <w:jc w:val="both"/>
        <w:rPr>
          <w:rFonts w:eastAsia="Batang"/>
          <w:bCs/>
          <w:sz w:val="22"/>
          <w:szCs w:val="22"/>
          <w:lang w:eastAsia="ko-KR"/>
        </w:rPr>
      </w:pPr>
      <w:r w:rsidRPr="009671AD">
        <w:rPr>
          <w:rFonts w:eastAsia="Batang"/>
          <w:bCs/>
          <w:sz w:val="22"/>
          <w:szCs w:val="22"/>
          <w:lang w:val="en-NZ" w:eastAsia="ko-KR"/>
        </w:rPr>
        <w:t>Li, C., &amp; Gibson, J. (2014)</w:t>
      </w:r>
      <w:r w:rsidRPr="009671AD">
        <w:rPr>
          <w:rFonts w:eastAsia="Batang"/>
          <w:bCs/>
          <w:sz w:val="22"/>
          <w:szCs w:val="22"/>
          <w:lang w:eastAsia="ko-KR"/>
        </w:rPr>
        <w:t xml:space="preserve">. Spatial price differences and inequality in the People’s Republic of China: housing market evidence. </w:t>
      </w:r>
      <w:r w:rsidRPr="009671AD">
        <w:rPr>
          <w:rFonts w:eastAsia="Batang"/>
          <w:bCs/>
          <w:i/>
          <w:sz w:val="22"/>
          <w:szCs w:val="22"/>
          <w:lang w:eastAsia="ko-KR"/>
        </w:rPr>
        <w:t>Asian Development Review</w:t>
      </w:r>
      <w:r w:rsidRPr="009671AD">
        <w:rPr>
          <w:rFonts w:eastAsia="Batang"/>
          <w:bCs/>
          <w:sz w:val="22"/>
          <w:szCs w:val="22"/>
          <w:lang w:eastAsia="ko-KR"/>
        </w:rPr>
        <w:t xml:space="preserve">, </w:t>
      </w:r>
      <w:r w:rsidRPr="009671AD">
        <w:rPr>
          <w:rFonts w:eastAsia="Batang"/>
          <w:bCs/>
          <w:i/>
          <w:sz w:val="22"/>
          <w:szCs w:val="22"/>
          <w:lang w:eastAsia="ko-KR"/>
        </w:rPr>
        <w:t>31</w:t>
      </w:r>
      <w:r w:rsidRPr="009671AD">
        <w:rPr>
          <w:rFonts w:eastAsia="Batang"/>
          <w:bCs/>
          <w:sz w:val="22"/>
          <w:szCs w:val="22"/>
          <w:lang w:eastAsia="ko-KR"/>
        </w:rPr>
        <w:t>(1), 92-120.</w:t>
      </w:r>
    </w:p>
    <w:p w:rsidR="008D593B" w:rsidRPr="00090C96" w:rsidRDefault="008D593B" w:rsidP="00F24ECE">
      <w:pPr>
        <w:tabs>
          <w:tab w:val="left" w:pos="426"/>
        </w:tabs>
        <w:ind w:left="426" w:hanging="426"/>
        <w:jc w:val="both"/>
        <w:rPr>
          <w:sz w:val="10"/>
          <w:szCs w:val="10"/>
          <w:lang w:bidi="he-IL"/>
        </w:rPr>
      </w:pPr>
    </w:p>
    <w:p w:rsidR="008D593B" w:rsidRPr="009671AD" w:rsidRDefault="008D593B" w:rsidP="00F24ECE">
      <w:pPr>
        <w:tabs>
          <w:tab w:val="left" w:pos="426"/>
        </w:tabs>
        <w:ind w:left="426" w:hanging="426"/>
        <w:jc w:val="both"/>
        <w:rPr>
          <w:sz w:val="22"/>
          <w:szCs w:val="22"/>
          <w:lang w:bidi="he-IL"/>
        </w:rPr>
      </w:pPr>
      <w:r w:rsidRPr="009671AD">
        <w:rPr>
          <w:sz w:val="22"/>
          <w:szCs w:val="22"/>
          <w:lang w:bidi="he-IL"/>
        </w:rPr>
        <w:t>Ma, H., Huang, J., Fuller, F., &amp; Rozelle, S. (2006). Getting rich and eating out: consumption of food away from home in urban China. </w:t>
      </w:r>
      <w:r w:rsidRPr="009671AD">
        <w:rPr>
          <w:i/>
          <w:iCs/>
          <w:sz w:val="22"/>
          <w:szCs w:val="22"/>
          <w:lang w:bidi="he-IL"/>
        </w:rPr>
        <w:t>Canadian Journal of Agricultural Economics, 54</w:t>
      </w:r>
      <w:r w:rsidRPr="009671AD">
        <w:rPr>
          <w:sz w:val="22"/>
          <w:szCs w:val="22"/>
          <w:lang w:bidi="he-IL"/>
        </w:rPr>
        <w:t>(1), 101-119.</w:t>
      </w:r>
    </w:p>
    <w:p w:rsidR="008D593B" w:rsidRPr="00090C96" w:rsidRDefault="008D593B" w:rsidP="00F24ECE">
      <w:pPr>
        <w:tabs>
          <w:tab w:val="left" w:pos="426"/>
        </w:tabs>
        <w:ind w:left="426" w:hanging="426"/>
        <w:jc w:val="both"/>
        <w:rPr>
          <w:sz w:val="10"/>
          <w:szCs w:val="10"/>
          <w:lang w:bidi="he-IL"/>
        </w:rPr>
      </w:pPr>
    </w:p>
    <w:p w:rsidR="008D593B" w:rsidRPr="009671AD" w:rsidRDefault="008D593B" w:rsidP="00F24ECE">
      <w:pPr>
        <w:tabs>
          <w:tab w:val="left" w:pos="426"/>
        </w:tabs>
        <w:ind w:left="426" w:hanging="426"/>
        <w:jc w:val="both"/>
        <w:rPr>
          <w:sz w:val="22"/>
          <w:szCs w:val="22"/>
          <w:lang w:bidi="he-IL"/>
        </w:rPr>
      </w:pPr>
      <w:r w:rsidRPr="009671AD">
        <w:rPr>
          <w:sz w:val="22"/>
          <w:szCs w:val="22"/>
          <w:lang w:bidi="he-IL"/>
        </w:rPr>
        <w:t>McCloskey, D. (2012). Happyism: The creepy new economics of pleasure. </w:t>
      </w:r>
      <w:r w:rsidRPr="009671AD">
        <w:rPr>
          <w:i/>
          <w:iCs/>
          <w:sz w:val="22"/>
          <w:szCs w:val="22"/>
          <w:lang w:bidi="he-IL"/>
        </w:rPr>
        <w:t>The New Republic</w:t>
      </w:r>
      <w:r w:rsidRPr="009671AD">
        <w:rPr>
          <w:sz w:val="22"/>
          <w:szCs w:val="22"/>
          <w:lang w:bidi="he-IL"/>
        </w:rPr>
        <w:t>, </w:t>
      </w:r>
      <w:r w:rsidRPr="009671AD">
        <w:rPr>
          <w:i/>
          <w:iCs/>
          <w:sz w:val="22"/>
          <w:szCs w:val="22"/>
          <w:lang w:bidi="he-IL"/>
        </w:rPr>
        <w:t>8</w:t>
      </w:r>
      <w:r w:rsidRPr="009671AD">
        <w:rPr>
          <w:sz w:val="22"/>
          <w:szCs w:val="22"/>
          <w:lang w:bidi="he-IL"/>
        </w:rPr>
        <w:t>.</w:t>
      </w:r>
    </w:p>
    <w:p w:rsidR="008D593B" w:rsidRPr="00090C96" w:rsidRDefault="008D593B" w:rsidP="00F24ECE">
      <w:pPr>
        <w:tabs>
          <w:tab w:val="left" w:pos="426"/>
        </w:tabs>
        <w:ind w:left="426" w:hanging="426"/>
        <w:jc w:val="both"/>
        <w:rPr>
          <w:sz w:val="10"/>
          <w:szCs w:val="10"/>
          <w:lang w:bidi="he-IL"/>
        </w:rPr>
      </w:pPr>
    </w:p>
    <w:p w:rsidR="00F3392E" w:rsidRPr="009671AD" w:rsidRDefault="00F3392E" w:rsidP="00F24ECE">
      <w:pPr>
        <w:tabs>
          <w:tab w:val="left" w:pos="426"/>
        </w:tabs>
        <w:ind w:left="426" w:hanging="426"/>
        <w:jc w:val="both"/>
        <w:rPr>
          <w:sz w:val="22"/>
          <w:szCs w:val="22"/>
          <w:lang w:val="en-NZ" w:bidi="he-IL"/>
        </w:rPr>
      </w:pPr>
      <w:r w:rsidRPr="009671AD">
        <w:rPr>
          <w:sz w:val="22"/>
          <w:szCs w:val="22"/>
          <w:lang w:val="en-NZ" w:bidi="he-IL"/>
        </w:rPr>
        <w:t xml:space="preserve">Pinkovskiy, M., &amp; Sala-i-Martin, X. (2014). </w:t>
      </w:r>
      <w:r w:rsidRPr="009671AD">
        <w:rPr>
          <w:iCs/>
          <w:sz w:val="22"/>
          <w:szCs w:val="22"/>
          <w:lang w:val="en-NZ" w:bidi="he-IL"/>
        </w:rPr>
        <w:t>Lights, Camera,... Income!: Estimating Poverty Using National Accounts, Survey Means, and Lights</w:t>
      </w:r>
      <w:r w:rsidRPr="009671AD">
        <w:rPr>
          <w:sz w:val="22"/>
          <w:szCs w:val="22"/>
          <w:lang w:val="en-NZ" w:bidi="he-IL"/>
        </w:rPr>
        <w:t xml:space="preserve"> </w:t>
      </w:r>
      <w:r w:rsidRPr="009671AD">
        <w:rPr>
          <w:i/>
          <w:sz w:val="22"/>
          <w:szCs w:val="22"/>
          <w:lang w:val="en-NZ" w:bidi="he-IL"/>
        </w:rPr>
        <w:t xml:space="preserve">Working Paper </w:t>
      </w:r>
      <w:r w:rsidRPr="009671AD">
        <w:rPr>
          <w:sz w:val="22"/>
          <w:szCs w:val="22"/>
          <w:lang w:val="en-NZ" w:bidi="he-IL"/>
        </w:rPr>
        <w:t>No. w19831, National Bureau of Economic Research.</w:t>
      </w:r>
    </w:p>
    <w:p w:rsidR="00F3392E" w:rsidRPr="00090C96" w:rsidRDefault="00F3392E" w:rsidP="00F24ECE">
      <w:pPr>
        <w:tabs>
          <w:tab w:val="left" w:pos="426"/>
        </w:tabs>
        <w:ind w:left="426" w:hanging="426"/>
        <w:jc w:val="both"/>
        <w:rPr>
          <w:sz w:val="10"/>
          <w:szCs w:val="10"/>
          <w:lang w:bidi="he-IL"/>
        </w:rPr>
      </w:pPr>
    </w:p>
    <w:p w:rsidR="0037465B" w:rsidRPr="009671AD" w:rsidRDefault="0037465B" w:rsidP="00F24ECE">
      <w:pPr>
        <w:tabs>
          <w:tab w:val="left" w:pos="426"/>
        </w:tabs>
        <w:ind w:left="426" w:hanging="426"/>
        <w:jc w:val="both"/>
        <w:rPr>
          <w:sz w:val="22"/>
          <w:szCs w:val="22"/>
          <w:lang w:val="en-NZ" w:bidi="he-IL"/>
        </w:rPr>
      </w:pPr>
      <w:r w:rsidRPr="009671AD">
        <w:rPr>
          <w:sz w:val="22"/>
          <w:szCs w:val="22"/>
          <w:lang w:val="en-NZ" w:bidi="he-IL"/>
        </w:rPr>
        <w:t xml:space="preserve">Ravallion, M., Chen, S., &amp; Sangraula, P. (2007). New evidence on the urbanization of global poverty. </w:t>
      </w:r>
      <w:r w:rsidRPr="009671AD">
        <w:rPr>
          <w:i/>
          <w:iCs/>
          <w:sz w:val="22"/>
          <w:szCs w:val="22"/>
          <w:lang w:val="en-NZ" w:bidi="he-IL"/>
        </w:rPr>
        <w:t>Population and Development Review</w:t>
      </w:r>
      <w:r w:rsidRPr="009671AD">
        <w:rPr>
          <w:sz w:val="22"/>
          <w:szCs w:val="22"/>
          <w:lang w:val="en-NZ" w:bidi="he-IL"/>
        </w:rPr>
        <w:t xml:space="preserve">, </w:t>
      </w:r>
      <w:r w:rsidRPr="009671AD">
        <w:rPr>
          <w:i/>
          <w:iCs/>
          <w:sz w:val="22"/>
          <w:szCs w:val="22"/>
          <w:lang w:val="en-NZ" w:bidi="he-IL"/>
        </w:rPr>
        <w:t>33</w:t>
      </w:r>
      <w:r w:rsidRPr="009671AD">
        <w:rPr>
          <w:sz w:val="22"/>
          <w:szCs w:val="22"/>
          <w:lang w:val="en-NZ" w:bidi="he-IL"/>
        </w:rPr>
        <w:t>(4), 667-701.</w:t>
      </w:r>
    </w:p>
    <w:p w:rsidR="0037465B" w:rsidRPr="00090C96" w:rsidRDefault="0037465B" w:rsidP="00F24ECE">
      <w:pPr>
        <w:tabs>
          <w:tab w:val="left" w:pos="426"/>
        </w:tabs>
        <w:ind w:left="426" w:hanging="426"/>
        <w:jc w:val="both"/>
        <w:rPr>
          <w:sz w:val="10"/>
          <w:szCs w:val="10"/>
          <w:lang w:val="en-NZ" w:bidi="he-IL"/>
        </w:rPr>
      </w:pPr>
    </w:p>
    <w:p w:rsidR="00833122" w:rsidRPr="009671AD" w:rsidRDefault="0037465B" w:rsidP="00F24ECE">
      <w:pPr>
        <w:tabs>
          <w:tab w:val="left" w:pos="426"/>
        </w:tabs>
        <w:ind w:left="426" w:hanging="426"/>
        <w:jc w:val="both"/>
        <w:rPr>
          <w:sz w:val="22"/>
          <w:szCs w:val="22"/>
          <w:lang w:val="en-NZ" w:bidi="he-IL"/>
        </w:rPr>
      </w:pPr>
      <w:r w:rsidRPr="009671AD">
        <w:rPr>
          <w:sz w:val="22"/>
          <w:szCs w:val="22"/>
          <w:lang w:val="en-NZ" w:bidi="he-IL"/>
        </w:rPr>
        <w:t xml:space="preserve">Ravallion, M., Datt, G., &amp; van de Walle, D. (1991). Quantifying absolute poverty in the developing world. </w:t>
      </w:r>
      <w:r w:rsidRPr="009671AD">
        <w:rPr>
          <w:i/>
          <w:iCs/>
          <w:sz w:val="22"/>
          <w:szCs w:val="22"/>
          <w:lang w:val="en-NZ" w:bidi="he-IL"/>
        </w:rPr>
        <w:t>Review of Income and Wealth</w:t>
      </w:r>
      <w:r w:rsidRPr="009671AD">
        <w:rPr>
          <w:sz w:val="22"/>
          <w:szCs w:val="22"/>
          <w:lang w:val="en-NZ" w:bidi="he-IL"/>
        </w:rPr>
        <w:t xml:space="preserve">, </w:t>
      </w:r>
      <w:r w:rsidRPr="009671AD">
        <w:rPr>
          <w:i/>
          <w:iCs/>
          <w:sz w:val="22"/>
          <w:szCs w:val="22"/>
          <w:lang w:val="en-NZ" w:bidi="he-IL"/>
        </w:rPr>
        <w:t>37</w:t>
      </w:r>
      <w:r w:rsidRPr="009671AD">
        <w:rPr>
          <w:sz w:val="22"/>
          <w:szCs w:val="22"/>
          <w:lang w:val="en-NZ" w:bidi="he-IL"/>
        </w:rPr>
        <w:t>(4), 345-361.</w:t>
      </w:r>
    </w:p>
    <w:p w:rsidR="00833122" w:rsidRPr="00090C96" w:rsidRDefault="00833122" w:rsidP="00F24ECE">
      <w:pPr>
        <w:tabs>
          <w:tab w:val="left" w:pos="426"/>
        </w:tabs>
        <w:ind w:left="426" w:hanging="426"/>
        <w:jc w:val="both"/>
        <w:rPr>
          <w:sz w:val="10"/>
          <w:szCs w:val="10"/>
          <w:lang w:val="en-NZ" w:bidi="he-IL"/>
        </w:rPr>
      </w:pPr>
    </w:p>
    <w:p w:rsidR="005648D9" w:rsidRPr="009671AD" w:rsidRDefault="005648D9" w:rsidP="00F24ECE">
      <w:pPr>
        <w:tabs>
          <w:tab w:val="left" w:pos="426"/>
        </w:tabs>
        <w:ind w:left="426" w:hanging="426"/>
        <w:jc w:val="both"/>
        <w:rPr>
          <w:sz w:val="22"/>
          <w:szCs w:val="22"/>
          <w:lang w:val="en-NZ" w:bidi="he-IL"/>
        </w:rPr>
      </w:pPr>
      <w:r w:rsidRPr="009671AD">
        <w:rPr>
          <w:sz w:val="22"/>
          <w:szCs w:val="22"/>
          <w:lang w:bidi="he-IL"/>
        </w:rPr>
        <w:t xml:space="preserve">Ravallion, M., &amp; Lokshin, M. (2001). Identifying </w:t>
      </w:r>
      <w:r w:rsidR="00833122" w:rsidRPr="009671AD">
        <w:rPr>
          <w:sz w:val="22"/>
          <w:szCs w:val="22"/>
          <w:lang w:bidi="he-IL"/>
        </w:rPr>
        <w:t xml:space="preserve">welfare effects from subjective questions. </w:t>
      </w:r>
      <w:r w:rsidRPr="009671AD">
        <w:rPr>
          <w:i/>
          <w:iCs/>
          <w:sz w:val="22"/>
          <w:szCs w:val="22"/>
          <w:lang w:bidi="he-IL"/>
        </w:rPr>
        <w:t>Economica</w:t>
      </w:r>
      <w:r w:rsidRPr="009671AD">
        <w:rPr>
          <w:iCs/>
          <w:sz w:val="22"/>
          <w:szCs w:val="22"/>
          <w:lang w:bidi="he-IL"/>
        </w:rPr>
        <w:t xml:space="preserve">, </w:t>
      </w:r>
      <w:r w:rsidRPr="009671AD">
        <w:rPr>
          <w:i/>
          <w:iCs/>
          <w:sz w:val="22"/>
          <w:szCs w:val="22"/>
          <w:lang w:bidi="he-IL"/>
        </w:rPr>
        <w:t>68</w:t>
      </w:r>
      <w:r w:rsidRPr="009671AD">
        <w:rPr>
          <w:iCs/>
          <w:sz w:val="22"/>
          <w:szCs w:val="22"/>
          <w:lang w:bidi="he-IL"/>
        </w:rPr>
        <w:t>(271), 335-357</w:t>
      </w:r>
    </w:p>
    <w:p w:rsidR="0037465B" w:rsidRPr="00090C96" w:rsidRDefault="0037465B" w:rsidP="00F24ECE">
      <w:pPr>
        <w:tabs>
          <w:tab w:val="left" w:pos="426"/>
        </w:tabs>
        <w:ind w:left="426" w:hanging="426"/>
        <w:jc w:val="both"/>
        <w:rPr>
          <w:sz w:val="10"/>
          <w:szCs w:val="10"/>
          <w:lang w:bidi="he-IL"/>
        </w:rPr>
      </w:pPr>
    </w:p>
    <w:p w:rsidR="00DD061E" w:rsidRPr="009671AD" w:rsidRDefault="00727895" w:rsidP="00F24ECE">
      <w:pPr>
        <w:tabs>
          <w:tab w:val="left" w:pos="426"/>
        </w:tabs>
        <w:ind w:left="426" w:hanging="426"/>
        <w:jc w:val="both"/>
        <w:rPr>
          <w:sz w:val="22"/>
          <w:szCs w:val="22"/>
          <w:lang w:bidi="he-IL"/>
        </w:rPr>
      </w:pPr>
      <w:r w:rsidRPr="009671AD">
        <w:rPr>
          <w:sz w:val="22"/>
          <w:szCs w:val="22"/>
          <w:lang w:bidi="he-IL"/>
        </w:rPr>
        <w:t xml:space="preserve">Ravallion, M. (2015). Toward better global poverty measures. </w:t>
      </w:r>
      <w:r w:rsidRPr="009671AD">
        <w:rPr>
          <w:i/>
          <w:sz w:val="22"/>
          <w:szCs w:val="22"/>
          <w:lang w:bidi="he-IL"/>
        </w:rPr>
        <w:t>Journal of Economic Inequality</w:t>
      </w:r>
      <w:r w:rsidRPr="009671AD">
        <w:rPr>
          <w:sz w:val="22"/>
          <w:szCs w:val="22"/>
          <w:lang w:bidi="he-IL"/>
        </w:rPr>
        <w:t xml:space="preserve"> (forthcoming).</w:t>
      </w:r>
    </w:p>
    <w:p w:rsidR="008D593B" w:rsidRPr="00090C96" w:rsidRDefault="008D593B" w:rsidP="00F24ECE">
      <w:pPr>
        <w:tabs>
          <w:tab w:val="left" w:pos="426"/>
        </w:tabs>
        <w:ind w:left="426" w:hanging="426"/>
        <w:jc w:val="both"/>
        <w:rPr>
          <w:sz w:val="10"/>
          <w:szCs w:val="10"/>
          <w:lang w:bidi="he-IL"/>
        </w:rPr>
      </w:pPr>
    </w:p>
    <w:p w:rsidR="00600E71" w:rsidRPr="009671AD" w:rsidRDefault="00600E71" w:rsidP="00F24ECE">
      <w:pPr>
        <w:tabs>
          <w:tab w:val="left" w:pos="426"/>
        </w:tabs>
        <w:ind w:left="426" w:hanging="426"/>
        <w:jc w:val="both"/>
        <w:rPr>
          <w:rFonts w:cs="Arial"/>
          <w:sz w:val="22"/>
          <w:szCs w:val="22"/>
          <w:lang w:bidi="he-IL"/>
        </w:rPr>
      </w:pPr>
      <w:r w:rsidRPr="009671AD">
        <w:rPr>
          <w:rFonts w:cs="Arial"/>
          <w:sz w:val="22"/>
          <w:szCs w:val="22"/>
          <w:lang w:bidi="he-IL"/>
        </w:rPr>
        <w:t xml:space="preserve">Reardon, T., Chen, K., Minten, B., &amp; Adriano, L. (2012). </w:t>
      </w:r>
      <w:r w:rsidRPr="009671AD">
        <w:rPr>
          <w:rFonts w:cs="Arial"/>
          <w:i/>
          <w:iCs/>
          <w:sz w:val="22"/>
          <w:szCs w:val="22"/>
          <w:lang w:bidi="he-IL"/>
        </w:rPr>
        <w:t>The Quiet Revolution in Staple Food Value Chains</w:t>
      </w:r>
      <w:r w:rsidRPr="009671AD">
        <w:rPr>
          <w:rFonts w:cs="Arial"/>
          <w:sz w:val="22"/>
          <w:szCs w:val="22"/>
          <w:lang w:bidi="he-IL"/>
        </w:rPr>
        <w:t>. Asian Development Bank</w:t>
      </w:r>
      <w:r w:rsidRPr="009671AD">
        <w:rPr>
          <w:rFonts w:cs="Arial"/>
          <w:i/>
          <w:iCs/>
          <w:sz w:val="22"/>
          <w:szCs w:val="22"/>
          <w:lang w:bidi="he-IL"/>
        </w:rPr>
        <w:t xml:space="preserve"> </w:t>
      </w:r>
      <w:r w:rsidRPr="009671AD">
        <w:rPr>
          <w:rFonts w:cs="Arial"/>
          <w:sz w:val="22"/>
          <w:szCs w:val="22"/>
          <w:lang w:bidi="he-IL"/>
        </w:rPr>
        <w:t>and International Food Policy Research Institute</w:t>
      </w:r>
      <w:r w:rsidRPr="009671AD">
        <w:rPr>
          <w:rFonts w:cs="Arial"/>
          <w:i/>
          <w:iCs/>
          <w:sz w:val="22"/>
          <w:szCs w:val="22"/>
          <w:lang w:bidi="he-IL"/>
        </w:rPr>
        <w:t xml:space="preserve">, </w:t>
      </w:r>
      <w:r w:rsidRPr="009671AD">
        <w:rPr>
          <w:rFonts w:cs="Arial"/>
          <w:sz w:val="22"/>
          <w:szCs w:val="22"/>
          <w:lang w:bidi="he-IL"/>
        </w:rPr>
        <w:t>Manila and Washington DC.</w:t>
      </w:r>
    </w:p>
    <w:p w:rsidR="00600E71" w:rsidRPr="00090C96" w:rsidRDefault="00600E71" w:rsidP="00F24ECE">
      <w:pPr>
        <w:tabs>
          <w:tab w:val="left" w:pos="426"/>
        </w:tabs>
        <w:ind w:left="426" w:hanging="426"/>
        <w:jc w:val="both"/>
        <w:rPr>
          <w:sz w:val="10"/>
          <w:szCs w:val="10"/>
          <w:lang w:bidi="he-IL"/>
        </w:rPr>
      </w:pPr>
    </w:p>
    <w:p w:rsidR="008D593B" w:rsidRPr="009671AD" w:rsidRDefault="008D593B" w:rsidP="00F24ECE">
      <w:pPr>
        <w:tabs>
          <w:tab w:val="left" w:pos="426"/>
        </w:tabs>
        <w:ind w:left="426" w:hanging="426"/>
        <w:jc w:val="both"/>
        <w:rPr>
          <w:sz w:val="22"/>
          <w:szCs w:val="22"/>
          <w:lang w:bidi="he-IL"/>
        </w:rPr>
      </w:pPr>
      <w:r w:rsidRPr="009671AD">
        <w:rPr>
          <w:sz w:val="22"/>
          <w:szCs w:val="22"/>
          <w:lang w:bidi="he-IL"/>
        </w:rPr>
        <w:t>Smith, L. (2015). The great Indian calorie debate: Explaining rising undernourishment during India’s rapid economic growth. </w:t>
      </w:r>
      <w:r w:rsidRPr="009671AD">
        <w:rPr>
          <w:i/>
          <w:iCs/>
          <w:sz w:val="22"/>
          <w:szCs w:val="22"/>
          <w:lang w:bidi="he-IL"/>
        </w:rPr>
        <w:t>Food Policy</w:t>
      </w:r>
      <w:r w:rsidRPr="009671AD">
        <w:rPr>
          <w:sz w:val="22"/>
          <w:szCs w:val="22"/>
          <w:lang w:bidi="he-IL"/>
        </w:rPr>
        <w:t>, </w:t>
      </w:r>
      <w:r w:rsidRPr="009671AD">
        <w:rPr>
          <w:i/>
          <w:iCs/>
          <w:sz w:val="22"/>
          <w:szCs w:val="22"/>
          <w:lang w:bidi="he-IL"/>
        </w:rPr>
        <w:t>50</w:t>
      </w:r>
      <w:r w:rsidRPr="009671AD">
        <w:rPr>
          <w:sz w:val="22"/>
          <w:szCs w:val="22"/>
          <w:lang w:bidi="he-IL"/>
        </w:rPr>
        <w:t>(1), 53-67.</w:t>
      </w:r>
    </w:p>
    <w:p w:rsidR="008D593B" w:rsidRPr="00090C96" w:rsidRDefault="008D593B" w:rsidP="00F24ECE">
      <w:pPr>
        <w:tabs>
          <w:tab w:val="left" w:pos="426"/>
        </w:tabs>
        <w:ind w:left="426" w:hanging="426"/>
        <w:jc w:val="both"/>
        <w:rPr>
          <w:sz w:val="10"/>
          <w:szCs w:val="10"/>
          <w:lang w:bidi="he-IL"/>
        </w:rPr>
      </w:pPr>
    </w:p>
    <w:p w:rsidR="008D593B" w:rsidRPr="009671AD" w:rsidRDefault="008D593B" w:rsidP="00F24ECE">
      <w:pPr>
        <w:tabs>
          <w:tab w:val="left" w:pos="426"/>
        </w:tabs>
        <w:ind w:left="426" w:hanging="426"/>
        <w:jc w:val="both"/>
        <w:rPr>
          <w:iCs/>
          <w:sz w:val="22"/>
          <w:szCs w:val="22"/>
          <w:lang w:bidi="he-IL"/>
        </w:rPr>
      </w:pPr>
      <w:r w:rsidRPr="009671AD">
        <w:rPr>
          <w:sz w:val="22"/>
          <w:szCs w:val="22"/>
          <w:lang w:bidi="he-IL"/>
        </w:rPr>
        <w:t>Stiglitz, J., Sen, A., &amp; Fitoussi, J. (2010). Report by the commission on the measurement of economic performance and social progress. </w:t>
      </w:r>
      <w:r w:rsidRPr="009671AD">
        <w:rPr>
          <w:i/>
          <w:iCs/>
          <w:sz w:val="22"/>
          <w:szCs w:val="22"/>
          <w:lang w:bidi="he-IL"/>
        </w:rPr>
        <w:t>Paris: Commission on the Measurement of Economic Performance and Social Progress</w:t>
      </w:r>
      <w:r w:rsidRPr="009671AD">
        <w:rPr>
          <w:iCs/>
          <w:sz w:val="22"/>
          <w:szCs w:val="22"/>
          <w:lang w:bidi="he-IL"/>
        </w:rPr>
        <w:t>.</w:t>
      </w:r>
    </w:p>
    <w:p w:rsidR="008D593B" w:rsidRPr="00090C96" w:rsidRDefault="008D593B" w:rsidP="00F24ECE">
      <w:pPr>
        <w:tabs>
          <w:tab w:val="left" w:pos="426"/>
        </w:tabs>
        <w:ind w:left="426" w:hanging="426"/>
        <w:jc w:val="both"/>
        <w:rPr>
          <w:sz w:val="10"/>
          <w:szCs w:val="10"/>
          <w:lang w:bidi="he-IL"/>
        </w:rPr>
      </w:pPr>
    </w:p>
    <w:p w:rsidR="00B81D46" w:rsidRDefault="008D593B" w:rsidP="00F24ECE">
      <w:pPr>
        <w:tabs>
          <w:tab w:val="left" w:pos="426"/>
        </w:tabs>
        <w:ind w:left="426" w:hanging="426"/>
        <w:jc w:val="both"/>
        <w:rPr>
          <w:szCs w:val="20"/>
          <w:lang w:bidi="he-IL"/>
        </w:rPr>
      </w:pPr>
      <w:r w:rsidRPr="009671AD">
        <w:rPr>
          <w:bCs/>
          <w:sz w:val="22"/>
          <w:szCs w:val="22"/>
          <w:lang w:bidi="he-IL"/>
        </w:rPr>
        <w:t xml:space="preserve">World Bank (2012). </w:t>
      </w:r>
      <w:r w:rsidRPr="009671AD">
        <w:rPr>
          <w:bCs/>
          <w:i/>
          <w:sz w:val="22"/>
          <w:szCs w:val="22"/>
          <w:lang w:bidi="he-IL"/>
        </w:rPr>
        <w:t>Well Begun, Not Yet Done: Vietnam’s Remarkable Progress on Poverty Reduction and the Emerging Challenges</w:t>
      </w:r>
      <w:r w:rsidRPr="009671AD">
        <w:rPr>
          <w:bCs/>
          <w:sz w:val="22"/>
          <w:szCs w:val="22"/>
          <w:lang w:bidi="he-IL"/>
        </w:rPr>
        <w:t xml:space="preserve">, World Bank: </w:t>
      </w:r>
      <w:r w:rsidRPr="009671AD">
        <w:rPr>
          <w:bCs/>
          <w:iCs/>
          <w:sz w:val="22"/>
          <w:szCs w:val="22"/>
          <w:lang w:bidi="he-IL"/>
        </w:rPr>
        <w:t>Hanoi</w:t>
      </w:r>
      <w:r w:rsidRPr="009671AD">
        <w:rPr>
          <w:bCs/>
          <w:i/>
          <w:iCs/>
          <w:sz w:val="22"/>
          <w:szCs w:val="22"/>
          <w:lang w:bidi="he-IL"/>
        </w:rPr>
        <w:t>.</w:t>
      </w:r>
    </w:p>
    <w:sectPr w:rsidR="00B81D46" w:rsidSect="00BA794B">
      <w:footerReference w:type="default" r:id="rId16"/>
      <w:endnotePr>
        <w:numFmt w:val="decimal"/>
      </w:endnotePr>
      <w:pgSz w:w="11907" w:h="16840"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FE" w:rsidRDefault="00956FFE">
      <w:r>
        <w:separator/>
      </w:r>
    </w:p>
  </w:endnote>
  <w:endnote w:type="continuationSeparator" w:id="0">
    <w:p w:rsidR="00956FFE" w:rsidRDefault="0095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857256"/>
      <w:docPartObj>
        <w:docPartGallery w:val="Page Numbers (Bottom of Page)"/>
        <w:docPartUnique/>
      </w:docPartObj>
    </w:sdtPr>
    <w:sdtEndPr/>
    <w:sdtContent>
      <w:p w:rsidR="00161EEE" w:rsidRDefault="00161EEE">
        <w:pPr>
          <w:pStyle w:val="Footer"/>
          <w:jc w:val="center"/>
        </w:pPr>
        <w:r>
          <w:fldChar w:fldCharType="begin"/>
        </w:r>
        <w:r>
          <w:instrText xml:space="preserve"> PAGE   \* MERGEFORMAT </w:instrText>
        </w:r>
        <w:r>
          <w:fldChar w:fldCharType="separate"/>
        </w:r>
        <w:r w:rsidR="00994341">
          <w:rPr>
            <w:noProof/>
          </w:rPr>
          <w:t>15</w:t>
        </w:r>
        <w:r>
          <w:rPr>
            <w:noProof/>
          </w:rPr>
          <w:fldChar w:fldCharType="end"/>
        </w:r>
      </w:p>
    </w:sdtContent>
  </w:sdt>
  <w:p w:rsidR="00161EEE" w:rsidRDefault="00161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FE" w:rsidRDefault="00956FFE">
      <w:r>
        <w:separator/>
      </w:r>
    </w:p>
  </w:footnote>
  <w:footnote w:type="continuationSeparator" w:id="0">
    <w:p w:rsidR="00956FFE" w:rsidRDefault="00956FFE">
      <w:r>
        <w:continuationSeparator/>
      </w:r>
    </w:p>
  </w:footnote>
  <w:footnote w:id="1">
    <w:p w:rsidR="00161EEE" w:rsidRPr="004E390C" w:rsidRDefault="00161EEE" w:rsidP="004E390C">
      <w:pPr>
        <w:pStyle w:val="FootnoteText"/>
        <w:ind w:left="142" w:hanging="142"/>
        <w:rPr>
          <w:sz w:val="22"/>
          <w:szCs w:val="22"/>
          <w:lang w:val="en-NZ"/>
        </w:rPr>
      </w:pPr>
      <w:r w:rsidRPr="004E390C">
        <w:rPr>
          <w:rStyle w:val="FootnoteReference"/>
          <w:sz w:val="22"/>
          <w:szCs w:val="22"/>
        </w:rPr>
        <w:footnoteRef/>
      </w:r>
      <w:r w:rsidRPr="004E390C">
        <w:rPr>
          <w:sz w:val="22"/>
          <w:szCs w:val="22"/>
        </w:rPr>
        <w:t xml:space="preserve"> </w:t>
      </w:r>
      <w:r w:rsidRPr="004E390C">
        <w:rPr>
          <w:sz w:val="22"/>
          <w:szCs w:val="22"/>
          <w:lang w:val="en-NZ"/>
        </w:rPr>
        <w:t xml:space="preserve">The uncertainty for 2010 is because the survey living standards indicator was revised then, to reflect Vietnam’s rising affluence. </w:t>
      </w:r>
    </w:p>
  </w:footnote>
  <w:footnote w:id="2">
    <w:p w:rsidR="00161EEE" w:rsidRPr="00B34D5B" w:rsidRDefault="00161EEE" w:rsidP="00BA794B">
      <w:pPr>
        <w:pStyle w:val="FootnoteText"/>
        <w:ind w:left="284" w:hanging="284"/>
        <w:jc w:val="both"/>
        <w:rPr>
          <w:sz w:val="22"/>
          <w:szCs w:val="22"/>
          <w:lang w:val="en-NZ"/>
        </w:rPr>
      </w:pPr>
      <w:r w:rsidRPr="00B34D5B">
        <w:rPr>
          <w:rStyle w:val="FootnoteReference"/>
          <w:sz w:val="22"/>
          <w:szCs w:val="22"/>
        </w:rPr>
        <w:footnoteRef/>
      </w:r>
      <w:r w:rsidRPr="00B34D5B">
        <w:rPr>
          <w:sz w:val="22"/>
          <w:szCs w:val="22"/>
        </w:rPr>
        <w:t xml:space="preserve"> </w:t>
      </w:r>
      <w:r w:rsidR="00BA794B">
        <w:rPr>
          <w:sz w:val="22"/>
          <w:szCs w:val="22"/>
        </w:rPr>
        <w:tab/>
      </w:r>
      <w:r w:rsidRPr="00B34D5B">
        <w:rPr>
          <w:sz w:val="22"/>
          <w:szCs w:val="22"/>
        </w:rPr>
        <w:t>The generic term HCES refers to a range of survey efforts to record total household consumption expenditures, which includes budget surveys, income and expenditure surveys, living standards surveys, and others.</w:t>
      </w:r>
    </w:p>
  </w:footnote>
  <w:footnote w:id="3">
    <w:p w:rsidR="00161EEE" w:rsidRPr="00B34D5B" w:rsidRDefault="00161EEE" w:rsidP="00F84F88">
      <w:pPr>
        <w:pStyle w:val="FootnoteText"/>
        <w:ind w:left="284" w:hanging="284"/>
        <w:jc w:val="both"/>
        <w:rPr>
          <w:sz w:val="22"/>
          <w:szCs w:val="22"/>
          <w:lang w:val="en-NZ"/>
        </w:rPr>
      </w:pPr>
      <w:r w:rsidRPr="00B34D5B">
        <w:rPr>
          <w:rStyle w:val="FootnoteReference"/>
          <w:sz w:val="22"/>
          <w:szCs w:val="22"/>
        </w:rPr>
        <w:footnoteRef/>
      </w:r>
      <w:r w:rsidRPr="00B34D5B">
        <w:rPr>
          <w:sz w:val="22"/>
          <w:szCs w:val="22"/>
        </w:rPr>
        <w:t xml:space="preserve"> </w:t>
      </w:r>
      <w:r w:rsidR="00F84F88">
        <w:rPr>
          <w:sz w:val="22"/>
          <w:szCs w:val="22"/>
        </w:rPr>
        <w:tab/>
      </w:r>
      <w:r w:rsidRPr="00B34D5B">
        <w:rPr>
          <w:sz w:val="22"/>
          <w:szCs w:val="22"/>
          <w:lang w:val="en-NZ"/>
        </w:rPr>
        <w:t xml:space="preserve">See Beegle </w:t>
      </w:r>
      <w:r w:rsidRPr="00B34D5B">
        <w:rPr>
          <w:i/>
          <w:sz w:val="22"/>
          <w:szCs w:val="22"/>
          <w:lang w:val="en-NZ"/>
        </w:rPr>
        <w:t>et al</w:t>
      </w:r>
      <w:r w:rsidRPr="00B34D5B">
        <w:rPr>
          <w:sz w:val="22"/>
          <w:szCs w:val="22"/>
          <w:lang w:val="en-NZ"/>
        </w:rPr>
        <w:t>. (2012) for a discussion of these design variants and for evidence on the sensitivity of poverty and inequality estimates to variation in these design dimensions.</w:t>
      </w:r>
    </w:p>
  </w:footnote>
  <w:footnote w:id="4">
    <w:p w:rsidR="00161EEE" w:rsidRPr="00B34D5B" w:rsidRDefault="00161EEE" w:rsidP="00F84F88">
      <w:pPr>
        <w:pStyle w:val="FootnoteText"/>
        <w:ind w:left="284" w:hanging="284"/>
        <w:jc w:val="both"/>
        <w:rPr>
          <w:sz w:val="22"/>
          <w:szCs w:val="22"/>
          <w:lang w:val="en-NZ"/>
        </w:rPr>
      </w:pPr>
      <w:r w:rsidRPr="00B34D5B">
        <w:rPr>
          <w:rStyle w:val="FootnoteReference"/>
          <w:sz w:val="22"/>
          <w:szCs w:val="22"/>
        </w:rPr>
        <w:footnoteRef/>
      </w:r>
      <w:r w:rsidRPr="00B34D5B">
        <w:rPr>
          <w:sz w:val="22"/>
          <w:szCs w:val="22"/>
        </w:rPr>
        <w:t xml:space="preserve"> </w:t>
      </w:r>
      <w:r w:rsidR="00F84F88">
        <w:rPr>
          <w:sz w:val="22"/>
          <w:szCs w:val="22"/>
        </w:rPr>
        <w:tab/>
      </w:r>
      <w:r w:rsidRPr="00B34D5B">
        <w:rPr>
          <w:rFonts w:eastAsia="Batang"/>
          <w:bCs/>
          <w:sz w:val="22"/>
          <w:szCs w:val="22"/>
          <w:lang w:eastAsia="ko-KR"/>
        </w:rPr>
        <w:t>In Figure 4, both the Theil and the Gini have been scaled to equal 1 for real inequality at provincial level.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2DC"/>
    <w:multiLevelType w:val="hybridMultilevel"/>
    <w:tmpl w:val="F242764C"/>
    <w:lvl w:ilvl="0" w:tplc="B3DA61C4">
      <w:start w:val="1"/>
      <w:numFmt w:val="bullet"/>
      <w:lvlText w:val=""/>
      <w:lvlJc w:val="left"/>
      <w:pPr>
        <w:tabs>
          <w:tab w:val="num" w:pos="720"/>
        </w:tabs>
        <w:ind w:left="720" w:hanging="360"/>
      </w:pPr>
      <w:rPr>
        <w:rFonts w:ascii="Wingdings" w:hAnsi="Wingdings" w:hint="default"/>
      </w:rPr>
    </w:lvl>
    <w:lvl w:ilvl="1" w:tplc="059472F2">
      <w:start w:val="165"/>
      <w:numFmt w:val="bullet"/>
      <w:lvlText w:val=""/>
      <w:lvlJc w:val="left"/>
      <w:pPr>
        <w:tabs>
          <w:tab w:val="num" w:pos="1440"/>
        </w:tabs>
        <w:ind w:left="1440" w:hanging="360"/>
      </w:pPr>
      <w:rPr>
        <w:rFonts w:ascii="Wingdings" w:hAnsi="Wingdings" w:hint="default"/>
      </w:rPr>
    </w:lvl>
    <w:lvl w:ilvl="2" w:tplc="1E40D37E" w:tentative="1">
      <w:start w:val="1"/>
      <w:numFmt w:val="bullet"/>
      <w:lvlText w:val=""/>
      <w:lvlJc w:val="left"/>
      <w:pPr>
        <w:tabs>
          <w:tab w:val="num" w:pos="2160"/>
        </w:tabs>
        <w:ind w:left="2160" w:hanging="360"/>
      </w:pPr>
      <w:rPr>
        <w:rFonts w:ascii="Wingdings" w:hAnsi="Wingdings" w:hint="default"/>
      </w:rPr>
    </w:lvl>
    <w:lvl w:ilvl="3" w:tplc="2B16558E" w:tentative="1">
      <w:start w:val="1"/>
      <w:numFmt w:val="bullet"/>
      <w:lvlText w:val=""/>
      <w:lvlJc w:val="left"/>
      <w:pPr>
        <w:tabs>
          <w:tab w:val="num" w:pos="2880"/>
        </w:tabs>
        <w:ind w:left="2880" w:hanging="360"/>
      </w:pPr>
      <w:rPr>
        <w:rFonts w:ascii="Wingdings" w:hAnsi="Wingdings" w:hint="default"/>
      </w:rPr>
    </w:lvl>
    <w:lvl w:ilvl="4" w:tplc="889E7A60" w:tentative="1">
      <w:start w:val="1"/>
      <w:numFmt w:val="bullet"/>
      <w:lvlText w:val=""/>
      <w:lvlJc w:val="left"/>
      <w:pPr>
        <w:tabs>
          <w:tab w:val="num" w:pos="3600"/>
        </w:tabs>
        <w:ind w:left="3600" w:hanging="360"/>
      </w:pPr>
      <w:rPr>
        <w:rFonts w:ascii="Wingdings" w:hAnsi="Wingdings" w:hint="default"/>
      </w:rPr>
    </w:lvl>
    <w:lvl w:ilvl="5" w:tplc="25C6A4FA" w:tentative="1">
      <w:start w:val="1"/>
      <w:numFmt w:val="bullet"/>
      <w:lvlText w:val=""/>
      <w:lvlJc w:val="left"/>
      <w:pPr>
        <w:tabs>
          <w:tab w:val="num" w:pos="4320"/>
        </w:tabs>
        <w:ind w:left="4320" w:hanging="360"/>
      </w:pPr>
      <w:rPr>
        <w:rFonts w:ascii="Wingdings" w:hAnsi="Wingdings" w:hint="default"/>
      </w:rPr>
    </w:lvl>
    <w:lvl w:ilvl="6" w:tplc="A4EEB976" w:tentative="1">
      <w:start w:val="1"/>
      <w:numFmt w:val="bullet"/>
      <w:lvlText w:val=""/>
      <w:lvlJc w:val="left"/>
      <w:pPr>
        <w:tabs>
          <w:tab w:val="num" w:pos="5040"/>
        </w:tabs>
        <w:ind w:left="5040" w:hanging="360"/>
      </w:pPr>
      <w:rPr>
        <w:rFonts w:ascii="Wingdings" w:hAnsi="Wingdings" w:hint="default"/>
      </w:rPr>
    </w:lvl>
    <w:lvl w:ilvl="7" w:tplc="9E0E1BE4" w:tentative="1">
      <w:start w:val="1"/>
      <w:numFmt w:val="bullet"/>
      <w:lvlText w:val=""/>
      <w:lvlJc w:val="left"/>
      <w:pPr>
        <w:tabs>
          <w:tab w:val="num" w:pos="5760"/>
        </w:tabs>
        <w:ind w:left="5760" w:hanging="360"/>
      </w:pPr>
      <w:rPr>
        <w:rFonts w:ascii="Wingdings" w:hAnsi="Wingdings" w:hint="default"/>
      </w:rPr>
    </w:lvl>
    <w:lvl w:ilvl="8" w:tplc="6B5AF8B8" w:tentative="1">
      <w:start w:val="1"/>
      <w:numFmt w:val="bullet"/>
      <w:lvlText w:val=""/>
      <w:lvlJc w:val="left"/>
      <w:pPr>
        <w:tabs>
          <w:tab w:val="num" w:pos="6480"/>
        </w:tabs>
        <w:ind w:left="6480" w:hanging="360"/>
      </w:pPr>
      <w:rPr>
        <w:rFonts w:ascii="Wingdings" w:hAnsi="Wingdings" w:hint="default"/>
      </w:rPr>
    </w:lvl>
  </w:abstractNum>
  <w:abstractNum w:abstractNumId="1">
    <w:nsid w:val="0E003981"/>
    <w:multiLevelType w:val="hybridMultilevel"/>
    <w:tmpl w:val="85020BA8"/>
    <w:lvl w:ilvl="0" w:tplc="674E8D92">
      <w:start w:val="1"/>
      <w:numFmt w:val="bullet"/>
      <w:lvlText w:val=""/>
      <w:lvlJc w:val="left"/>
      <w:pPr>
        <w:tabs>
          <w:tab w:val="num" w:pos="720"/>
        </w:tabs>
        <w:ind w:left="720" w:hanging="360"/>
      </w:pPr>
      <w:rPr>
        <w:rFonts w:ascii="Wingdings" w:hAnsi="Wingdings" w:hint="default"/>
      </w:rPr>
    </w:lvl>
    <w:lvl w:ilvl="1" w:tplc="C53877A2">
      <w:start w:val="172"/>
      <w:numFmt w:val="bullet"/>
      <w:lvlText w:val=""/>
      <w:lvlJc w:val="left"/>
      <w:pPr>
        <w:tabs>
          <w:tab w:val="num" w:pos="1440"/>
        </w:tabs>
        <w:ind w:left="1440" w:hanging="360"/>
      </w:pPr>
      <w:rPr>
        <w:rFonts w:ascii="Wingdings" w:hAnsi="Wingdings" w:hint="default"/>
      </w:rPr>
    </w:lvl>
    <w:lvl w:ilvl="2" w:tplc="F21CAA5C">
      <w:start w:val="1"/>
      <w:numFmt w:val="bullet"/>
      <w:lvlText w:val=""/>
      <w:lvlJc w:val="left"/>
      <w:pPr>
        <w:tabs>
          <w:tab w:val="num" w:pos="2160"/>
        </w:tabs>
        <w:ind w:left="2160" w:hanging="360"/>
      </w:pPr>
      <w:rPr>
        <w:rFonts w:ascii="Wingdings" w:hAnsi="Wingdings" w:hint="default"/>
      </w:rPr>
    </w:lvl>
    <w:lvl w:ilvl="3" w:tplc="F70055D2" w:tentative="1">
      <w:start w:val="1"/>
      <w:numFmt w:val="bullet"/>
      <w:lvlText w:val=""/>
      <w:lvlJc w:val="left"/>
      <w:pPr>
        <w:tabs>
          <w:tab w:val="num" w:pos="2880"/>
        </w:tabs>
        <w:ind w:left="2880" w:hanging="360"/>
      </w:pPr>
      <w:rPr>
        <w:rFonts w:ascii="Wingdings" w:hAnsi="Wingdings" w:hint="default"/>
      </w:rPr>
    </w:lvl>
    <w:lvl w:ilvl="4" w:tplc="D52206C0" w:tentative="1">
      <w:start w:val="1"/>
      <w:numFmt w:val="bullet"/>
      <w:lvlText w:val=""/>
      <w:lvlJc w:val="left"/>
      <w:pPr>
        <w:tabs>
          <w:tab w:val="num" w:pos="3600"/>
        </w:tabs>
        <w:ind w:left="3600" w:hanging="360"/>
      </w:pPr>
      <w:rPr>
        <w:rFonts w:ascii="Wingdings" w:hAnsi="Wingdings" w:hint="default"/>
      </w:rPr>
    </w:lvl>
    <w:lvl w:ilvl="5" w:tplc="3856C8D2" w:tentative="1">
      <w:start w:val="1"/>
      <w:numFmt w:val="bullet"/>
      <w:lvlText w:val=""/>
      <w:lvlJc w:val="left"/>
      <w:pPr>
        <w:tabs>
          <w:tab w:val="num" w:pos="4320"/>
        </w:tabs>
        <w:ind w:left="4320" w:hanging="360"/>
      </w:pPr>
      <w:rPr>
        <w:rFonts w:ascii="Wingdings" w:hAnsi="Wingdings" w:hint="default"/>
      </w:rPr>
    </w:lvl>
    <w:lvl w:ilvl="6" w:tplc="9B6864F8" w:tentative="1">
      <w:start w:val="1"/>
      <w:numFmt w:val="bullet"/>
      <w:lvlText w:val=""/>
      <w:lvlJc w:val="left"/>
      <w:pPr>
        <w:tabs>
          <w:tab w:val="num" w:pos="5040"/>
        </w:tabs>
        <w:ind w:left="5040" w:hanging="360"/>
      </w:pPr>
      <w:rPr>
        <w:rFonts w:ascii="Wingdings" w:hAnsi="Wingdings" w:hint="default"/>
      </w:rPr>
    </w:lvl>
    <w:lvl w:ilvl="7" w:tplc="DAD2670C" w:tentative="1">
      <w:start w:val="1"/>
      <w:numFmt w:val="bullet"/>
      <w:lvlText w:val=""/>
      <w:lvlJc w:val="left"/>
      <w:pPr>
        <w:tabs>
          <w:tab w:val="num" w:pos="5760"/>
        </w:tabs>
        <w:ind w:left="5760" w:hanging="360"/>
      </w:pPr>
      <w:rPr>
        <w:rFonts w:ascii="Wingdings" w:hAnsi="Wingdings" w:hint="default"/>
      </w:rPr>
    </w:lvl>
    <w:lvl w:ilvl="8" w:tplc="BB286F2C" w:tentative="1">
      <w:start w:val="1"/>
      <w:numFmt w:val="bullet"/>
      <w:lvlText w:val=""/>
      <w:lvlJc w:val="left"/>
      <w:pPr>
        <w:tabs>
          <w:tab w:val="num" w:pos="6480"/>
        </w:tabs>
        <w:ind w:left="6480" w:hanging="360"/>
      </w:pPr>
      <w:rPr>
        <w:rFonts w:ascii="Wingdings" w:hAnsi="Wingdings" w:hint="default"/>
      </w:rPr>
    </w:lvl>
  </w:abstractNum>
  <w:abstractNum w:abstractNumId="2">
    <w:nsid w:val="19DC3CBB"/>
    <w:multiLevelType w:val="hybridMultilevel"/>
    <w:tmpl w:val="D8AE28FE"/>
    <w:lvl w:ilvl="0" w:tplc="282EF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9F62D6"/>
    <w:multiLevelType w:val="hybridMultilevel"/>
    <w:tmpl w:val="5F4E9D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F69A8"/>
    <w:multiLevelType w:val="hybridMultilevel"/>
    <w:tmpl w:val="2FFEAEF8"/>
    <w:lvl w:ilvl="0" w:tplc="46B4BB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B063D6"/>
    <w:multiLevelType w:val="hybridMultilevel"/>
    <w:tmpl w:val="6846BC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A03A1B"/>
    <w:multiLevelType w:val="hybridMultilevel"/>
    <w:tmpl w:val="B2785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40A7963"/>
    <w:multiLevelType w:val="hybridMultilevel"/>
    <w:tmpl w:val="0C6CE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EB40963"/>
    <w:multiLevelType w:val="hybridMultilevel"/>
    <w:tmpl w:val="987C353C"/>
    <w:lvl w:ilvl="0" w:tplc="C73027F8">
      <w:start w:val="1"/>
      <w:numFmt w:val="bullet"/>
      <w:lvlText w:val=""/>
      <w:lvlJc w:val="left"/>
      <w:pPr>
        <w:tabs>
          <w:tab w:val="num" w:pos="720"/>
        </w:tabs>
        <w:ind w:left="720" w:hanging="360"/>
      </w:pPr>
      <w:rPr>
        <w:rFonts w:ascii="Wingdings" w:hAnsi="Wingdings" w:hint="default"/>
      </w:rPr>
    </w:lvl>
    <w:lvl w:ilvl="1" w:tplc="A32A2C6E">
      <w:start w:val="172"/>
      <w:numFmt w:val="bullet"/>
      <w:lvlText w:val=""/>
      <w:lvlJc w:val="left"/>
      <w:pPr>
        <w:tabs>
          <w:tab w:val="num" w:pos="1440"/>
        </w:tabs>
        <w:ind w:left="1440" w:hanging="360"/>
      </w:pPr>
      <w:rPr>
        <w:rFonts w:ascii="Wingdings" w:hAnsi="Wingdings" w:hint="default"/>
      </w:rPr>
    </w:lvl>
    <w:lvl w:ilvl="2" w:tplc="DFC87F00">
      <w:start w:val="172"/>
      <w:numFmt w:val="bullet"/>
      <w:lvlText w:val=""/>
      <w:lvlJc w:val="left"/>
      <w:pPr>
        <w:tabs>
          <w:tab w:val="num" w:pos="2160"/>
        </w:tabs>
        <w:ind w:left="2160" w:hanging="360"/>
      </w:pPr>
      <w:rPr>
        <w:rFonts w:ascii="Wingdings" w:hAnsi="Wingdings" w:hint="default"/>
      </w:rPr>
    </w:lvl>
    <w:lvl w:ilvl="3" w:tplc="C3CE6C30" w:tentative="1">
      <w:start w:val="1"/>
      <w:numFmt w:val="bullet"/>
      <w:lvlText w:val=""/>
      <w:lvlJc w:val="left"/>
      <w:pPr>
        <w:tabs>
          <w:tab w:val="num" w:pos="2880"/>
        </w:tabs>
        <w:ind w:left="2880" w:hanging="360"/>
      </w:pPr>
      <w:rPr>
        <w:rFonts w:ascii="Wingdings" w:hAnsi="Wingdings" w:hint="default"/>
      </w:rPr>
    </w:lvl>
    <w:lvl w:ilvl="4" w:tplc="D0504C98" w:tentative="1">
      <w:start w:val="1"/>
      <w:numFmt w:val="bullet"/>
      <w:lvlText w:val=""/>
      <w:lvlJc w:val="left"/>
      <w:pPr>
        <w:tabs>
          <w:tab w:val="num" w:pos="3600"/>
        </w:tabs>
        <w:ind w:left="3600" w:hanging="360"/>
      </w:pPr>
      <w:rPr>
        <w:rFonts w:ascii="Wingdings" w:hAnsi="Wingdings" w:hint="default"/>
      </w:rPr>
    </w:lvl>
    <w:lvl w:ilvl="5" w:tplc="ED186412" w:tentative="1">
      <w:start w:val="1"/>
      <w:numFmt w:val="bullet"/>
      <w:lvlText w:val=""/>
      <w:lvlJc w:val="left"/>
      <w:pPr>
        <w:tabs>
          <w:tab w:val="num" w:pos="4320"/>
        </w:tabs>
        <w:ind w:left="4320" w:hanging="360"/>
      </w:pPr>
      <w:rPr>
        <w:rFonts w:ascii="Wingdings" w:hAnsi="Wingdings" w:hint="default"/>
      </w:rPr>
    </w:lvl>
    <w:lvl w:ilvl="6" w:tplc="870C73E0" w:tentative="1">
      <w:start w:val="1"/>
      <w:numFmt w:val="bullet"/>
      <w:lvlText w:val=""/>
      <w:lvlJc w:val="left"/>
      <w:pPr>
        <w:tabs>
          <w:tab w:val="num" w:pos="5040"/>
        </w:tabs>
        <w:ind w:left="5040" w:hanging="360"/>
      </w:pPr>
      <w:rPr>
        <w:rFonts w:ascii="Wingdings" w:hAnsi="Wingdings" w:hint="default"/>
      </w:rPr>
    </w:lvl>
    <w:lvl w:ilvl="7" w:tplc="FC24831A" w:tentative="1">
      <w:start w:val="1"/>
      <w:numFmt w:val="bullet"/>
      <w:lvlText w:val=""/>
      <w:lvlJc w:val="left"/>
      <w:pPr>
        <w:tabs>
          <w:tab w:val="num" w:pos="5760"/>
        </w:tabs>
        <w:ind w:left="5760" w:hanging="360"/>
      </w:pPr>
      <w:rPr>
        <w:rFonts w:ascii="Wingdings" w:hAnsi="Wingdings" w:hint="default"/>
      </w:rPr>
    </w:lvl>
    <w:lvl w:ilvl="8" w:tplc="FF285A52" w:tentative="1">
      <w:start w:val="1"/>
      <w:numFmt w:val="bullet"/>
      <w:lvlText w:val=""/>
      <w:lvlJc w:val="left"/>
      <w:pPr>
        <w:tabs>
          <w:tab w:val="num" w:pos="6480"/>
        </w:tabs>
        <w:ind w:left="6480" w:hanging="360"/>
      </w:pPr>
      <w:rPr>
        <w:rFonts w:ascii="Wingdings" w:hAnsi="Wingdings" w:hint="default"/>
      </w:rPr>
    </w:lvl>
  </w:abstractNum>
  <w:abstractNum w:abstractNumId="9">
    <w:nsid w:val="57A52B59"/>
    <w:multiLevelType w:val="hybridMultilevel"/>
    <w:tmpl w:val="205A6F0C"/>
    <w:lvl w:ilvl="0" w:tplc="5F105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5D2F01"/>
    <w:multiLevelType w:val="hybridMultilevel"/>
    <w:tmpl w:val="EBEED1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47D58BB"/>
    <w:multiLevelType w:val="hybridMultilevel"/>
    <w:tmpl w:val="9244D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EA91E43"/>
    <w:multiLevelType w:val="hybridMultilevel"/>
    <w:tmpl w:val="302C7E28"/>
    <w:lvl w:ilvl="0" w:tplc="68DAD8EA">
      <w:start w:val="1"/>
      <w:numFmt w:val="bullet"/>
      <w:lvlText w:val=""/>
      <w:lvlJc w:val="left"/>
      <w:pPr>
        <w:tabs>
          <w:tab w:val="num" w:pos="720"/>
        </w:tabs>
        <w:ind w:left="720" w:hanging="360"/>
      </w:pPr>
      <w:rPr>
        <w:rFonts w:ascii="Wingdings" w:hAnsi="Wingdings" w:hint="default"/>
      </w:rPr>
    </w:lvl>
    <w:lvl w:ilvl="1" w:tplc="418043D2">
      <w:start w:val="172"/>
      <w:numFmt w:val="bullet"/>
      <w:lvlText w:val=""/>
      <w:lvlJc w:val="left"/>
      <w:pPr>
        <w:tabs>
          <w:tab w:val="num" w:pos="1440"/>
        </w:tabs>
        <w:ind w:left="1440" w:hanging="360"/>
      </w:pPr>
      <w:rPr>
        <w:rFonts w:ascii="Wingdings" w:hAnsi="Wingdings" w:hint="default"/>
      </w:rPr>
    </w:lvl>
    <w:lvl w:ilvl="2" w:tplc="2CA40E10" w:tentative="1">
      <w:start w:val="1"/>
      <w:numFmt w:val="bullet"/>
      <w:lvlText w:val=""/>
      <w:lvlJc w:val="left"/>
      <w:pPr>
        <w:tabs>
          <w:tab w:val="num" w:pos="2160"/>
        </w:tabs>
        <w:ind w:left="2160" w:hanging="360"/>
      </w:pPr>
      <w:rPr>
        <w:rFonts w:ascii="Wingdings" w:hAnsi="Wingdings" w:hint="default"/>
      </w:rPr>
    </w:lvl>
    <w:lvl w:ilvl="3" w:tplc="FB7C4F64" w:tentative="1">
      <w:start w:val="1"/>
      <w:numFmt w:val="bullet"/>
      <w:lvlText w:val=""/>
      <w:lvlJc w:val="left"/>
      <w:pPr>
        <w:tabs>
          <w:tab w:val="num" w:pos="2880"/>
        </w:tabs>
        <w:ind w:left="2880" w:hanging="360"/>
      </w:pPr>
      <w:rPr>
        <w:rFonts w:ascii="Wingdings" w:hAnsi="Wingdings" w:hint="default"/>
      </w:rPr>
    </w:lvl>
    <w:lvl w:ilvl="4" w:tplc="3B8833DE" w:tentative="1">
      <w:start w:val="1"/>
      <w:numFmt w:val="bullet"/>
      <w:lvlText w:val=""/>
      <w:lvlJc w:val="left"/>
      <w:pPr>
        <w:tabs>
          <w:tab w:val="num" w:pos="3600"/>
        </w:tabs>
        <w:ind w:left="3600" w:hanging="360"/>
      </w:pPr>
      <w:rPr>
        <w:rFonts w:ascii="Wingdings" w:hAnsi="Wingdings" w:hint="default"/>
      </w:rPr>
    </w:lvl>
    <w:lvl w:ilvl="5" w:tplc="59D246BC" w:tentative="1">
      <w:start w:val="1"/>
      <w:numFmt w:val="bullet"/>
      <w:lvlText w:val=""/>
      <w:lvlJc w:val="left"/>
      <w:pPr>
        <w:tabs>
          <w:tab w:val="num" w:pos="4320"/>
        </w:tabs>
        <w:ind w:left="4320" w:hanging="360"/>
      </w:pPr>
      <w:rPr>
        <w:rFonts w:ascii="Wingdings" w:hAnsi="Wingdings" w:hint="default"/>
      </w:rPr>
    </w:lvl>
    <w:lvl w:ilvl="6" w:tplc="F31E8C00" w:tentative="1">
      <w:start w:val="1"/>
      <w:numFmt w:val="bullet"/>
      <w:lvlText w:val=""/>
      <w:lvlJc w:val="left"/>
      <w:pPr>
        <w:tabs>
          <w:tab w:val="num" w:pos="5040"/>
        </w:tabs>
        <w:ind w:left="5040" w:hanging="360"/>
      </w:pPr>
      <w:rPr>
        <w:rFonts w:ascii="Wingdings" w:hAnsi="Wingdings" w:hint="default"/>
      </w:rPr>
    </w:lvl>
    <w:lvl w:ilvl="7" w:tplc="75DA97DC" w:tentative="1">
      <w:start w:val="1"/>
      <w:numFmt w:val="bullet"/>
      <w:lvlText w:val=""/>
      <w:lvlJc w:val="left"/>
      <w:pPr>
        <w:tabs>
          <w:tab w:val="num" w:pos="5760"/>
        </w:tabs>
        <w:ind w:left="5760" w:hanging="360"/>
      </w:pPr>
      <w:rPr>
        <w:rFonts w:ascii="Wingdings" w:hAnsi="Wingdings" w:hint="default"/>
      </w:rPr>
    </w:lvl>
    <w:lvl w:ilvl="8" w:tplc="4E0A6C8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2"/>
  </w:num>
  <w:num w:numId="6">
    <w:abstractNumId w:val="0"/>
  </w:num>
  <w:num w:numId="7">
    <w:abstractNumId w:val="7"/>
  </w:num>
  <w:num w:numId="8">
    <w:abstractNumId w:val="1"/>
  </w:num>
  <w:num w:numId="9">
    <w:abstractNumId w:val="12"/>
  </w:num>
  <w:num w:numId="10">
    <w:abstractNumId w:val="8"/>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4B"/>
    <w:rsid w:val="000013FE"/>
    <w:rsid w:val="0000152D"/>
    <w:rsid w:val="00003180"/>
    <w:rsid w:val="00004080"/>
    <w:rsid w:val="000044C9"/>
    <w:rsid w:val="00004650"/>
    <w:rsid w:val="00005916"/>
    <w:rsid w:val="00006B53"/>
    <w:rsid w:val="000108E2"/>
    <w:rsid w:val="00011C69"/>
    <w:rsid w:val="00012EA1"/>
    <w:rsid w:val="00012EFD"/>
    <w:rsid w:val="00013363"/>
    <w:rsid w:val="00015365"/>
    <w:rsid w:val="00016B27"/>
    <w:rsid w:val="000170AF"/>
    <w:rsid w:val="00017408"/>
    <w:rsid w:val="00017C4D"/>
    <w:rsid w:val="00020084"/>
    <w:rsid w:val="00020EA5"/>
    <w:rsid w:val="0002152B"/>
    <w:rsid w:val="00022DAF"/>
    <w:rsid w:val="00023E11"/>
    <w:rsid w:val="000243C6"/>
    <w:rsid w:val="000258D8"/>
    <w:rsid w:val="00031231"/>
    <w:rsid w:val="00032990"/>
    <w:rsid w:val="00032D19"/>
    <w:rsid w:val="00033696"/>
    <w:rsid w:val="0003523A"/>
    <w:rsid w:val="00035FF8"/>
    <w:rsid w:val="000360F3"/>
    <w:rsid w:val="000376AA"/>
    <w:rsid w:val="00040E86"/>
    <w:rsid w:val="000411D4"/>
    <w:rsid w:val="00043D61"/>
    <w:rsid w:val="00043DE9"/>
    <w:rsid w:val="00044406"/>
    <w:rsid w:val="00044E67"/>
    <w:rsid w:val="00045968"/>
    <w:rsid w:val="000459BE"/>
    <w:rsid w:val="00046FF1"/>
    <w:rsid w:val="0005303B"/>
    <w:rsid w:val="00053739"/>
    <w:rsid w:val="0005390A"/>
    <w:rsid w:val="00055CBB"/>
    <w:rsid w:val="00055D0A"/>
    <w:rsid w:val="000567BC"/>
    <w:rsid w:val="00057C18"/>
    <w:rsid w:val="00060384"/>
    <w:rsid w:val="00061489"/>
    <w:rsid w:val="00062A98"/>
    <w:rsid w:val="000631EF"/>
    <w:rsid w:val="00063689"/>
    <w:rsid w:val="000636DE"/>
    <w:rsid w:val="00063FA7"/>
    <w:rsid w:val="00064272"/>
    <w:rsid w:val="000678B5"/>
    <w:rsid w:val="0007173A"/>
    <w:rsid w:val="00077D19"/>
    <w:rsid w:val="00077D2E"/>
    <w:rsid w:val="00080322"/>
    <w:rsid w:val="00080817"/>
    <w:rsid w:val="000809C1"/>
    <w:rsid w:val="00082D9A"/>
    <w:rsid w:val="000831C0"/>
    <w:rsid w:val="00084D41"/>
    <w:rsid w:val="00085105"/>
    <w:rsid w:val="00087C58"/>
    <w:rsid w:val="00090C96"/>
    <w:rsid w:val="00091421"/>
    <w:rsid w:val="000928EF"/>
    <w:rsid w:val="00092AEC"/>
    <w:rsid w:val="000A0331"/>
    <w:rsid w:val="000A05BC"/>
    <w:rsid w:val="000A0A85"/>
    <w:rsid w:val="000A2019"/>
    <w:rsid w:val="000A368F"/>
    <w:rsid w:val="000A3ADE"/>
    <w:rsid w:val="000A3BF2"/>
    <w:rsid w:val="000A587F"/>
    <w:rsid w:val="000B22CC"/>
    <w:rsid w:val="000B3BE7"/>
    <w:rsid w:val="000B449E"/>
    <w:rsid w:val="000B66BB"/>
    <w:rsid w:val="000C0D4D"/>
    <w:rsid w:val="000C15B0"/>
    <w:rsid w:val="000C176B"/>
    <w:rsid w:val="000C34E0"/>
    <w:rsid w:val="000C3A1E"/>
    <w:rsid w:val="000C4022"/>
    <w:rsid w:val="000C4859"/>
    <w:rsid w:val="000C4E57"/>
    <w:rsid w:val="000C5B68"/>
    <w:rsid w:val="000C5E54"/>
    <w:rsid w:val="000C6531"/>
    <w:rsid w:val="000C6616"/>
    <w:rsid w:val="000C6878"/>
    <w:rsid w:val="000C777D"/>
    <w:rsid w:val="000D0791"/>
    <w:rsid w:val="000D1EC6"/>
    <w:rsid w:val="000D359E"/>
    <w:rsid w:val="000D35A7"/>
    <w:rsid w:val="000D4397"/>
    <w:rsid w:val="000D44A5"/>
    <w:rsid w:val="000D49E7"/>
    <w:rsid w:val="000D6415"/>
    <w:rsid w:val="000D7A5B"/>
    <w:rsid w:val="000E4992"/>
    <w:rsid w:val="000E4F36"/>
    <w:rsid w:val="000E64DF"/>
    <w:rsid w:val="000F0C67"/>
    <w:rsid w:val="000F2FA4"/>
    <w:rsid w:val="000F4D57"/>
    <w:rsid w:val="000F4F4A"/>
    <w:rsid w:val="000F62E8"/>
    <w:rsid w:val="00100A42"/>
    <w:rsid w:val="00102CEF"/>
    <w:rsid w:val="001060A4"/>
    <w:rsid w:val="001060C0"/>
    <w:rsid w:val="00106713"/>
    <w:rsid w:val="00106C63"/>
    <w:rsid w:val="00110BC9"/>
    <w:rsid w:val="00110DE3"/>
    <w:rsid w:val="00115DC5"/>
    <w:rsid w:val="001164B1"/>
    <w:rsid w:val="0011706A"/>
    <w:rsid w:val="001219EF"/>
    <w:rsid w:val="00121F51"/>
    <w:rsid w:val="00122C9F"/>
    <w:rsid w:val="00125C53"/>
    <w:rsid w:val="001315C2"/>
    <w:rsid w:val="00134275"/>
    <w:rsid w:val="00134853"/>
    <w:rsid w:val="00134AD4"/>
    <w:rsid w:val="00136F30"/>
    <w:rsid w:val="00137DCD"/>
    <w:rsid w:val="00140640"/>
    <w:rsid w:val="00142513"/>
    <w:rsid w:val="00143423"/>
    <w:rsid w:val="001440BC"/>
    <w:rsid w:val="0014463E"/>
    <w:rsid w:val="00147E27"/>
    <w:rsid w:val="001503E3"/>
    <w:rsid w:val="001508D1"/>
    <w:rsid w:val="00151DF6"/>
    <w:rsid w:val="001528EE"/>
    <w:rsid w:val="0015314A"/>
    <w:rsid w:val="001548BE"/>
    <w:rsid w:val="001549C0"/>
    <w:rsid w:val="00155DB3"/>
    <w:rsid w:val="0015690E"/>
    <w:rsid w:val="00161BB5"/>
    <w:rsid w:val="00161EEE"/>
    <w:rsid w:val="00162F08"/>
    <w:rsid w:val="001656AE"/>
    <w:rsid w:val="0016772A"/>
    <w:rsid w:val="00170EB9"/>
    <w:rsid w:val="0017148B"/>
    <w:rsid w:val="001715A1"/>
    <w:rsid w:val="001729B5"/>
    <w:rsid w:val="001733D8"/>
    <w:rsid w:val="00173D01"/>
    <w:rsid w:val="00173E8C"/>
    <w:rsid w:val="00174236"/>
    <w:rsid w:val="00174E91"/>
    <w:rsid w:val="00177A3F"/>
    <w:rsid w:val="00180F13"/>
    <w:rsid w:val="00181736"/>
    <w:rsid w:val="001818C8"/>
    <w:rsid w:val="00181958"/>
    <w:rsid w:val="00181B88"/>
    <w:rsid w:val="00182ADD"/>
    <w:rsid w:val="00184A08"/>
    <w:rsid w:val="0018667E"/>
    <w:rsid w:val="00187E42"/>
    <w:rsid w:val="00190D38"/>
    <w:rsid w:val="0019252E"/>
    <w:rsid w:val="00192536"/>
    <w:rsid w:val="00193FB8"/>
    <w:rsid w:val="001A021B"/>
    <w:rsid w:val="001A1577"/>
    <w:rsid w:val="001A2040"/>
    <w:rsid w:val="001A2C6D"/>
    <w:rsid w:val="001A4AC4"/>
    <w:rsid w:val="001A576B"/>
    <w:rsid w:val="001A5FE5"/>
    <w:rsid w:val="001B15C3"/>
    <w:rsid w:val="001B1B6D"/>
    <w:rsid w:val="001B2927"/>
    <w:rsid w:val="001B353F"/>
    <w:rsid w:val="001B4077"/>
    <w:rsid w:val="001B4BB4"/>
    <w:rsid w:val="001B4F42"/>
    <w:rsid w:val="001B69AD"/>
    <w:rsid w:val="001B738E"/>
    <w:rsid w:val="001B7C16"/>
    <w:rsid w:val="001C2F3E"/>
    <w:rsid w:val="001C68CF"/>
    <w:rsid w:val="001D0233"/>
    <w:rsid w:val="001D02E1"/>
    <w:rsid w:val="001D1F21"/>
    <w:rsid w:val="001E0049"/>
    <w:rsid w:val="001E30D6"/>
    <w:rsid w:val="001E3CA6"/>
    <w:rsid w:val="001E6152"/>
    <w:rsid w:val="001E6874"/>
    <w:rsid w:val="001E68D9"/>
    <w:rsid w:val="001E6BF1"/>
    <w:rsid w:val="001E76A1"/>
    <w:rsid w:val="001F038F"/>
    <w:rsid w:val="001F227D"/>
    <w:rsid w:val="001F2799"/>
    <w:rsid w:val="001F2EE7"/>
    <w:rsid w:val="001F3E1F"/>
    <w:rsid w:val="001F56E9"/>
    <w:rsid w:val="001F5CBB"/>
    <w:rsid w:val="001F63CC"/>
    <w:rsid w:val="001F6A0A"/>
    <w:rsid w:val="001F7776"/>
    <w:rsid w:val="00206523"/>
    <w:rsid w:val="00210825"/>
    <w:rsid w:val="00210C8E"/>
    <w:rsid w:val="00213171"/>
    <w:rsid w:val="00213B34"/>
    <w:rsid w:val="00216218"/>
    <w:rsid w:val="002165D9"/>
    <w:rsid w:val="002167B3"/>
    <w:rsid w:val="0021710B"/>
    <w:rsid w:val="00217BC5"/>
    <w:rsid w:val="00222ACB"/>
    <w:rsid w:val="002231A3"/>
    <w:rsid w:val="00224CA3"/>
    <w:rsid w:val="00226505"/>
    <w:rsid w:val="00226D8D"/>
    <w:rsid w:val="00227791"/>
    <w:rsid w:val="00227B36"/>
    <w:rsid w:val="00230DB9"/>
    <w:rsid w:val="00234917"/>
    <w:rsid w:val="00235E79"/>
    <w:rsid w:val="0023644A"/>
    <w:rsid w:val="002365C2"/>
    <w:rsid w:val="002369D8"/>
    <w:rsid w:val="00236B19"/>
    <w:rsid w:val="002374B0"/>
    <w:rsid w:val="00242C76"/>
    <w:rsid w:val="00242EBD"/>
    <w:rsid w:val="002435EA"/>
    <w:rsid w:val="00245A73"/>
    <w:rsid w:val="00246DDF"/>
    <w:rsid w:val="002506D7"/>
    <w:rsid w:val="00252C10"/>
    <w:rsid w:val="00254714"/>
    <w:rsid w:val="00254CEE"/>
    <w:rsid w:val="00255149"/>
    <w:rsid w:val="0025578D"/>
    <w:rsid w:val="0025654A"/>
    <w:rsid w:val="00256A92"/>
    <w:rsid w:val="00256CC9"/>
    <w:rsid w:val="002603C8"/>
    <w:rsid w:val="00261A8C"/>
    <w:rsid w:val="0026327F"/>
    <w:rsid w:val="00264FD7"/>
    <w:rsid w:val="00265F5B"/>
    <w:rsid w:val="002670B7"/>
    <w:rsid w:val="002672CF"/>
    <w:rsid w:val="00272E06"/>
    <w:rsid w:val="002745FB"/>
    <w:rsid w:val="00275158"/>
    <w:rsid w:val="00276146"/>
    <w:rsid w:val="00276B28"/>
    <w:rsid w:val="002813E6"/>
    <w:rsid w:val="002814F8"/>
    <w:rsid w:val="00281A29"/>
    <w:rsid w:val="00281B1D"/>
    <w:rsid w:val="0028285D"/>
    <w:rsid w:val="002834F5"/>
    <w:rsid w:val="002856AC"/>
    <w:rsid w:val="00286A06"/>
    <w:rsid w:val="00286EFD"/>
    <w:rsid w:val="002874DD"/>
    <w:rsid w:val="00287BBF"/>
    <w:rsid w:val="0029033E"/>
    <w:rsid w:val="0029155C"/>
    <w:rsid w:val="00292093"/>
    <w:rsid w:val="00294203"/>
    <w:rsid w:val="002950D5"/>
    <w:rsid w:val="00295C38"/>
    <w:rsid w:val="002969AE"/>
    <w:rsid w:val="002A1666"/>
    <w:rsid w:val="002A1751"/>
    <w:rsid w:val="002A419A"/>
    <w:rsid w:val="002A49C4"/>
    <w:rsid w:val="002A5A02"/>
    <w:rsid w:val="002A65EB"/>
    <w:rsid w:val="002A6BC1"/>
    <w:rsid w:val="002A70D9"/>
    <w:rsid w:val="002A7C68"/>
    <w:rsid w:val="002B25E3"/>
    <w:rsid w:val="002B2D4E"/>
    <w:rsid w:val="002B49A8"/>
    <w:rsid w:val="002B4D53"/>
    <w:rsid w:val="002B575D"/>
    <w:rsid w:val="002B6C4D"/>
    <w:rsid w:val="002B7592"/>
    <w:rsid w:val="002C5795"/>
    <w:rsid w:val="002C593B"/>
    <w:rsid w:val="002D0156"/>
    <w:rsid w:val="002D46EE"/>
    <w:rsid w:val="002D55DB"/>
    <w:rsid w:val="002D61C3"/>
    <w:rsid w:val="002D629E"/>
    <w:rsid w:val="002E320D"/>
    <w:rsid w:val="002E481A"/>
    <w:rsid w:val="002E48BC"/>
    <w:rsid w:val="002E7FE9"/>
    <w:rsid w:val="002F02C0"/>
    <w:rsid w:val="002F31FB"/>
    <w:rsid w:val="002F3FD6"/>
    <w:rsid w:val="002F48D7"/>
    <w:rsid w:val="002F6629"/>
    <w:rsid w:val="002F6B34"/>
    <w:rsid w:val="002F7633"/>
    <w:rsid w:val="003045EE"/>
    <w:rsid w:val="003055CA"/>
    <w:rsid w:val="00307C32"/>
    <w:rsid w:val="00311545"/>
    <w:rsid w:val="00316D61"/>
    <w:rsid w:val="00317E8F"/>
    <w:rsid w:val="00321B5F"/>
    <w:rsid w:val="003225AF"/>
    <w:rsid w:val="00322CFD"/>
    <w:rsid w:val="003244D0"/>
    <w:rsid w:val="00324C3B"/>
    <w:rsid w:val="00325021"/>
    <w:rsid w:val="00327ED2"/>
    <w:rsid w:val="003308CE"/>
    <w:rsid w:val="003315D2"/>
    <w:rsid w:val="00331F85"/>
    <w:rsid w:val="00334D4F"/>
    <w:rsid w:val="003354FC"/>
    <w:rsid w:val="00336433"/>
    <w:rsid w:val="00337FB0"/>
    <w:rsid w:val="003403AC"/>
    <w:rsid w:val="003427D2"/>
    <w:rsid w:val="00343F14"/>
    <w:rsid w:val="0034627F"/>
    <w:rsid w:val="003467B2"/>
    <w:rsid w:val="00346C5A"/>
    <w:rsid w:val="0035341B"/>
    <w:rsid w:val="00362437"/>
    <w:rsid w:val="00363ED4"/>
    <w:rsid w:val="0036792B"/>
    <w:rsid w:val="00367E61"/>
    <w:rsid w:val="003739F4"/>
    <w:rsid w:val="00373E2B"/>
    <w:rsid w:val="003740CC"/>
    <w:rsid w:val="0037465B"/>
    <w:rsid w:val="00374946"/>
    <w:rsid w:val="00374A47"/>
    <w:rsid w:val="00375D9D"/>
    <w:rsid w:val="003764D8"/>
    <w:rsid w:val="00380679"/>
    <w:rsid w:val="00382FA6"/>
    <w:rsid w:val="00385F38"/>
    <w:rsid w:val="0038799A"/>
    <w:rsid w:val="00390493"/>
    <w:rsid w:val="00391243"/>
    <w:rsid w:val="00391E0C"/>
    <w:rsid w:val="003946F7"/>
    <w:rsid w:val="003948C0"/>
    <w:rsid w:val="0039511C"/>
    <w:rsid w:val="003969CC"/>
    <w:rsid w:val="00397606"/>
    <w:rsid w:val="003A354B"/>
    <w:rsid w:val="003A3774"/>
    <w:rsid w:val="003A39A2"/>
    <w:rsid w:val="003A3F5E"/>
    <w:rsid w:val="003A41E5"/>
    <w:rsid w:val="003A4873"/>
    <w:rsid w:val="003A559C"/>
    <w:rsid w:val="003A5B3A"/>
    <w:rsid w:val="003A6734"/>
    <w:rsid w:val="003A6AFF"/>
    <w:rsid w:val="003A741E"/>
    <w:rsid w:val="003B06C3"/>
    <w:rsid w:val="003B0C86"/>
    <w:rsid w:val="003B1AC4"/>
    <w:rsid w:val="003B2075"/>
    <w:rsid w:val="003B5E4D"/>
    <w:rsid w:val="003B6B7E"/>
    <w:rsid w:val="003B6D95"/>
    <w:rsid w:val="003C01FB"/>
    <w:rsid w:val="003C02B0"/>
    <w:rsid w:val="003C0405"/>
    <w:rsid w:val="003C0CE6"/>
    <w:rsid w:val="003C3CF4"/>
    <w:rsid w:val="003C5D76"/>
    <w:rsid w:val="003C7963"/>
    <w:rsid w:val="003D0BEC"/>
    <w:rsid w:val="003D17A9"/>
    <w:rsid w:val="003D4560"/>
    <w:rsid w:val="003D59B6"/>
    <w:rsid w:val="003D672C"/>
    <w:rsid w:val="003D7015"/>
    <w:rsid w:val="003E140C"/>
    <w:rsid w:val="003E16E9"/>
    <w:rsid w:val="003E38C5"/>
    <w:rsid w:val="003E5B3C"/>
    <w:rsid w:val="003E630A"/>
    <w:rsid w:val="003E7511"/>
    <w:rsid w:val="003F0BFB"/>
    <w:rsid w:val="003F1653"/>
    <w:rsid w:val="003F30F6"/>
    <w:rsid w:val="003F3DFB"/>
    <w:rsid w:val="003F41AF"/>
    <w:rsid w:val="003F4BD1"/>
    <w:rsid w:val="003F572F"/>
    <w:rsid w:val="003F67A0"/>
    <w:rsid w:val="003F7622"/>
    <w:rsid w:val="004019C1"/>
    <w:rsid w:val="0040221A"/>
    <w:rsid w:val="00403B7D"/>
    <w:rsid w:val="00403C44"/>
    <w:rsid w:val="0040509A"/>
    <w:rsid w:val="00405BAB"/>
    <w:rsid w:val="00411A15"/>
    <w:rsid w:val="00412A7E"/>
    <w:rsid w:val="004132A6"/>
    <w:rsid w:val="00413BB4"/>
    <w:rsid w:val="0041514B"/>
    <w:rsid w:val="00420041"/>
    <w:rsid w:val="00421D41"/>
    <w:rsid w:val="00421F6C"/>
    <w:rsid w:val="00423B4B"/>
    <w:rsid w:val="004255F8"/>
    <w:rsid w:val="00425658"/>
    <w:rsid w:val="00426DB0"/>
    <w:rsid w:val="00427498"/>
    <w:rsid w:val="0043077E"/>
    <w:rsid w:val="00431D5F"/>
    <w:rsid w:val="0043259C"/>
    <w:rsid w:val="00432B3D"/>
    <w:rsid w:val="00434728"/>
    <w:rsid w:val="00435646"/>
    <w:rsid w:val="00437D65"/>
    <w:rsid w:val="004400B3"/>
    <w:rsid w:val="00440D82"/>
    <w:rsid w:val="0044238F"/>
    <w:rsid w:val="00442534"/>
    <w:rsid w:val="004434F3"/>
    <w:rsid w:val="00444AB0"/>
    <w:rsid w:val="00446D6E"/>
    <w:rsid w:val="0044727F"/>
    <w:rsid w:val="00447908"/>
    <w:rsid w:val="004544F9"/>
    <w:rsid w:val="00454982"/>
    <w:rsid w:val="004575BC"/>
    <w:rsid w:val="00461571"/>
    <w:rsid w:val="00463898"/>
    <w:rsid w:val="00464847"/>
    <w:rsid w:val="004649E8"/>
    <w:rsid w:val="00465408"/>
    <w:rsid w:val="0046564D"/>
    <w:rsid w:val="004730F3"/>
    <w:rsid w:val="00474C33"/>
    <w:rsid w:val="00475D5A"/>
    <w:rsid w:val="004779DE"/>
    <w:rsid w:val="00477A33"/>
    <w:rsid w:val="00477DB1"/>
    <w:rsid w:val="00480ECB"/>
    <w:rsid w:val="00481892"/>
    <w:rsid w:val="0048398D"/>
    <w:rsid w:val="0048403A"/>
    <w:rsid w:val="00485FE0"/>
    <w:rsid w:val="00486E40"/>
    <w:rsid w:val="004870ED"/>
    <w:rsid w:val="00487B6D"/>
    <w:rsid w:val="004908CE"/>
    <w:rsid w:val="00492211"/>
    <w:rsid w:val="00492263"/>
    <w:rsid w:val="00494064"/>
    <w:rsid w:val="0049524A"/>
    <w:rsid w:val="004A0793"/>
    <w:rsid w:val="004A2271"/>
    <w:rsid w:val="004A47B7"/>
    <w:rsid w:val="004A620A"/>
    <w:rsid w:val="004B075E"/>
    <w:rsid w:val="004B1050"/>
    <w:rsid w:val="004B4282"/>
    <w:rsid w:val="004B529D"/>
    <w:rsid w:val="004B5AE3"/>
    <w:rsid w:val="004B5E8B"/>
    <w:rsid w:val="004B67FD"/>
    <w:rsid w:val="004C1B79"/>
    <w:rsid w:val="004C2B54"/>
    <w:rsid w:val="004C3847"/>
    <w:rsid w:val="004C4279"/>
    <w:rsid w:val="004C685E"/>
    <w:rsid w:val="004C6C65"/>
    <w:rsid w:val="004C7731"/>
    <w:rsid w:val="004D02EB"/>
    <w:rsid w:val="004D068C"/>
    <w:rsid w:val="004D090A"/>
    <w:rsid w:val="004D0920"/>
    <w:rsid w:val="004D0C6B"/>
    <w:rsid w:val="004D164E"/>
    <w:rsid w:val="004D3C95"/>
    <w:rsid w:val="004D45D3"/>
    <w:rsid w:val="004D4909"/>
    <w:rsid w:val="004D5F1E"/>
    <w:rsid w:val="004D6416"/>
    <w:rsid w:val="004E08E7"/>
    <w:rsid w:val="004E25DF"/>
    <w:rsid w:val="004E34FC"/>
    <w:rsid w:val="004E390C"/>
    <w:rsid w:val="004E5279"/>
    <w:rsid w:val="004E5BCA"/>
    <w:rsid w:val="004E5BD8"/>
    <w:rsid w:val="004E5CA2"/>
    <w:rsid w:val="004F105D"/>
    <w:rsid w:val="004F12C7"/>
    <w:rsid w:val="004F13EC"/>
    <w:rsid w:val="004F1AB6"/>
    <w:rsid w:val="004F1C66"/>
    <w:rsid w:val="004F49C5"/>
    <w:rsid w:val="004F61B2"/>
    <w:rsid w:val="004F759B"/>
    <w:rsid w:val="004F7657"/>
    <w:rsid w:val="00501832"/>
    <w:rsid w:val="00503107"/>
    <w:rsid w:val="005037FB"/>
    <w:rsid w:val="00503972"/>
    <w:rsid w:val="0050443E"/>
    <w:rsid w:val="005073DA"/>
    <w:rsid w:val="00507451"/>
    <w:rsid w:val="005100C8"/>
    <w:rsid w:val="00512FEC"/>
    <w:rsid w:val="005155CE"/>
    <w:rsid w:val="00515FF9"/>
    <w:rsid w:val="00520B55"/>
    <w:rsid w:val="00521300"/>
    <w:rsid w:val="00524934"/>
    <w:rsid w:val="00524C63"/>
    <w:rsid w:val="00525D5B"/>
    <w:rsid w:val="0052634C"/>
    <w:rsid w:val="0053097A"/>
    <w:rsid w:val="00531A37"/>
    <w:rsid w:val="005325AA"/>
    <w:rsid w:val="00532D40"/>
    <w:rsid w:val="005332F7"/>
    <w:rsid w:val="0053397F"/>
    <w:rsid w:val="005362B6"/>
    <w:rsid w:val="0053677E"/>
    <w:rsid w:val="00537B37"/>
    <w:rsid w:val="0054018A"/>
    <w:rsid w:val="0054118F"/>
    <w:rsid w:val="00543595"/>
    <w:rsid w:val="00544B8E"/>
    <w:rsid w:val="00544E08"/>
    <w:rsid w:val="00545060"/>
    <w:rsid w:val="005459BB"/>
    <w:rsid w:val="00545BD7"/>
    <w:rsid w:val="0054685A"/>
    <w:rsid w:val="00547852"/>
    <w:rsid w:val="005510B7"/>
    <w:rsid w:val="005558E7"/>
    <w:rsid w:val="0055646B"/>
    <w:rsid w:val="005571C5"/>
    <w:rsid w:val="005610E3"/>
    <w:rsid w:val="00563165"/>
    <w:rsid w:val="005646F5"/>
    <w:rsid w:val="005648D9"/>
    <w:rsid w:val="005650E1"/>
    <w:rsid w:val="005675F2"/>
    <w:rsid w:val="005703EF"/>
    <w:rsid w:val="00570A3C"/>
    <w:rsid w:val="00571835"/>
    <w:rsid w:val="005724D0"/>
    <w:rsid w:val="0057275E"/>
    <w:rsid w:val="00572904"/>
    <w:rsid w:val="00575204"/>
    <w:rsid w:val="0057708B"/>
    <w:rsid w:val="00580D30"/>
    <w:rsid w:val="00584428"/>
    <w:rsid w:val="00584E1B"/>
    <w:rsid w:val="005851E3"/>
    <w:rsid w:val="00585457"/>
    <w:rsid w:val="005876C8"/>
    <w:rsid w:val="00590777"/>
    <w:rsid w:val="00590812"/>
    <w:rsid w:val="00590A76"/>
    <w:rsid w:val="00590AE3"/>
    <w:rsid w:val="00592D60"/>
    <w:rsid w:val="005930A1"/>
    <w:rsid w:val="005931DA"/>
    <w:rsid w:val="005942BB"/>
    <w:rsid w:val="00594F0A"/>
    <w:rsid w:val="00595E60"/>
    <w:rsid w:val="005963A3"/>
    <w:rsid w:val="005A16DD"/>
    <w:rsid w:val="005A1CF4"/>
    <w:rsid w:val="005A1F4A"/>
    <w:rsid w:val="005A262F"/>
    <w:rsid w:val="005A4EEE"/>
    <w:rsid w:val="005A77C9"/>
    <w:rsid w:val="005B0FA0"/>
    <w:rsid w:val="005B1491"/>
    <w:rsid w:val="005B216F"/>
    <w:rsid w:val="005B35E2"/>
    <w:rsid w:val="005B43C8"/>
    <w:rsid w:val="005B6965"/>
    <w:rsid w:val="005B6EBA"/>
    <w:rsid w:val="005B72B3"/>
    <w:rsid w:val="005C0F94"/>
    <w:rsid w:val="005C4BCD"/>
    <w:rsid w:val="005C7329"/>
    <w:rsid w:val="005C7766"/>
    <w:rsid w:val="005D05EF"/>
    <w:rsid w:val="005D2EF7"/>
    <w:rsid w:val="005D3A78"/>
    <w:rsid w:val="005E3255"/>
    <w:rsid w:val="005E399A"/>
    <w:rsid w:val="005E57D9"/>
    <w:rsid w:val="005E587F"/>
    <w:rsid w:val="005E64B5"/>
    <w:rsid w:val="005F08EE"/>
    <w:rsid w:val="005F11D5"/>
    <w:rsid w:val="005F3428"/>
    <w:rsid w:val="005F3875"/>
    <w:rsid w:val="005F3B65"/>
    <w:rsid w:val="005F75BA"/>
    <w:rsid w:val="00600E71"/>
    <w:rsid w:val="00604965"/>
    <w:rsid w:val="00604E72"/>
    <w:rsid w:val="00604FF3"/>
    <w:rsid w:val="00606AE0"/>
    <w:rsid w:val="00610B72"/>
    <w:rsid w:val="006124B3"/>
    <w:rsid w:val="00613888"/>
    <w:rsid w:val="00613CD2"/>
    <w:rsid w:val="00620EF1"/>
    <w:rsid w:val="00621055"/>
    <w:rsid w:val="0062276A"/>
    <w:rsid w:val="00622FE6"/>
    <w:rsid w:val="00623A61"/>
    <w:rsid w:val="00624DCC"/>
    <w:rsid w:val="00627E43"/>
    <w:rsid w:val="006300B3"/>
    <w:rsid w:val="00632546"/>
    <w:rsid w:val="0063298A"/>
    <w:rsid w:val="0063303B"/>
    <w:rsid w:val="0063374C"/>
    <w:rsid w:val="0063677A"/>
    <w:rsid w:val="00636925"/>
    <w:rsid w:val="00637C1B"/>
    <w:rsid w:val="00637D77"/>
    <w:rsid w:val="006412E2"/>
    <w:rsid w:val="00641402"/>
    <w:rsid w:val="00642158"/>
    <w:rsid w:val="00644B2A"/>
    <w:rsid w:val="00644B8E"/>
    <w:rsid w:val="006459DD"/>
    <w:rsid w:val="00645F16"/>
    <w:rsid w:val="00647797"/>
    <w:rsid w:val="006501CC"/>
    <w:rsid w:val="00650A66"/>
    <w:rsid w:val="00650C51"/>
    <w:rsid w:val="00650FF6"/>
    <w:rsid w:val="00651ED9"/>
    <w:rsid w:val="00652D69"/>
    <w:rsid w:val="00653013"/>
    <w:rsid w:val="00653921"/>
    <w:rsid w:val="00656EF2"/>
    <w:rsid w:val="0066267A"/>
    <w:rsid w:val="00662EAE"/>
    <w:rsid w:val="006631F6"/>
    <w:rsid w:val="00663EC4"/>
    <w:rsid w:val="00664C9D"/>
    <w:rsid w:val="0066797E"/>
    <w:rsid w:val="00670714"/>
    <w:rsid w:val="006723E0"/>
    <w:rsid w:val="00675267"/>
    <w:rsid w:val="006761F2"/>
    <w:rsid w:val="00676A44"/>
    <w:rsid w:val="006778F2"/>
    <w:rsid w:val="00680C47"/>
    <w:rsid w:val="00681F50"/>
    <w:rsid w:val="00682841"/>
    <w:rsid w:val="00684D0C"/>
    <w:rsid w:val="00685CB0"/>
    <w:rsid w:val="00686C85"/>
    <w:rsid w:val="006901D4"/>
    <w:rsid w:val="006902C5"/>
    <w:rsid w:val="0069088A"/>
    <w:rsid w:val="00693978"/>
    <w:rsid w:val="00693E26"/>
    <w:rsid w:val="00693F79"/>
    <w:rsid w:val="00696442"/>
    <w:rsid w:val="006A027A"/>
    <w:rsid w:val="006A0415"/>
    <w:rsid w:val="006A191B"/>
    <w:rsid w:val="006A2727"/>
    <w:rsid w:val="006A37FE"/>
    <w:rsid w:val="006A3F01"/>
    <w:rsid w:val="006A4744"/>
    <w:rsid w:val="006A4E0D"/>
    <w:rsid w:val="006A5B97"/>
    <w:rsid w:val="006A6A83"/>
    <w:rsid w:val="006B1106"/>
    <w:rsid w:val="006B21F1"/>
    <w:rsid w:val="006B4FC8"/>
    <w:rsid w:val="006B788A"/>
    <w:rsid w:val="006C1100"/>
    <w:rsid w:val="006C1DDD"/>
    <w:rsid w:val="006C23E9"/>
    <w:rsid w:val="006C50A1"/>
    <w:rsid w:val="006D1E51"/>
    <w:rsid w:val="006D5638"/>
    <w:rsid w:val="006D5780"/>
    <w:rsid w:val="006D59F9"/>
    <w:rsid w:val="006E1B46"/>
    <w:rsid w:val="006E1EBA"/>
    <w:rsid w:val="006E2F7B"/>
    <w:rsid w:val="006E4408"/>
    <w:rsid w:val="006E5730"/>
    <w:rsid w:val="006E6D86"/>
    <w:rsid w:val="006E7FCA"/>
    <w:rsid w:val="006F0963"/>
    <w:rsid w:val="006F1A3D"/>
    <w:rsid w:val="006F2212"/>
    <w:rsid w:val="006F29E8"/>
    <w:rsid w:val="006F3453"/>
    <w:rsid w:val="006F445B"/>
    <w:rsid w:val="006F5616"/>
    <w:rsid w:val="00703CD5"/>
    <w:rsid w:val="0070459B"/>
    <w:rsid w:val="00705D10"/>
    <w:rsid w:val="00707208"/>
    <w:rsid w:val="00710FAF"/>
    <w:rsid w:val="00713089"/>
    <w:rsid w:val="0071526C"/>
    <w:rsid w:val="00715650"/>
    <w:rsid w:val="00716062"/>
    <w:rsid w:val="00716F86"/>
    <w:rsid w:val="0072062D"/>
    <w:rsid w:val="007211DB"/>
    <w:rsid w:val="0072199E"/>
    <w:rsid w:val="0072338A"/>
    <w:rsid w:val="0072355D"/>
    <w:rsid w:val="007242F9"/>
    <w:rsid w:val="007265FD"/>
    <w:rsid w:val="007266A9"/>
    <w:rsid w:val="007275E1"/>
    <w:rsid w:val="00727895"/>
    <w:rsid w:val="0073258E"/>
    <w:rsid w:val="007346C4"/>
    <w:rsid w:val="0073485C"/>
    <w:rsid w:val="00734FBD"/>
    <w:rsid w:val="00735F86"/>
    <w:rsid w:val="007404E8"/>
    <w:rsid w:val="00740C8E"/>
    <w:rsid w:val="00741EBB"/>
    <w:rsid w:val="00742812"/>
    <w:rsid w:val="00742BE2"/>
    <w:rsid w:val="00744B4A"/>
    <w:rsid w:val="00745121"/>
    <w:rsid w:val="00751E19"/>
    <w:rsid w:val="007526E4"/>
    <w:rsid w:val="00753C09"/>
    <w:rsid w:val="00754D17"/>
    <w:rsid w:val="00756486"/>
    <w:rsid w:val="00756D8C"/>
    <w:rsid w:val="00760513"/>
    <w:rsid w:val="00760940"/>
    <w:rsid w:val="00760DF2"/>
    <w:rsid w:val="00762377"/>
    <w:rsid w:val="00762889"/>
    <w:rsid w:val="00763886"/>
    <w:rsid w:val="0076753F"/>
    <w:rsid w:val="00767F5C"/>
    <w:rsid w:val="00774437"/>
    <w:rsid w:val="00777380"/>
    <w:rsid w:val="00777A99"/>
    <w:rsid w:val="007817DC"/>
    <w:rsid w:val="00781804"/>
    <w:rsid w:val="00782B50"/>
    <w:rsid w:val="00783515"/>
    <w:rsid w:val="007842D0"/>
    <w:rsid w:val="007845B3"/>
    <w:rsid w:val="007848D4"/>
    <w:rsid w:val="0078540F"/>
    <w:rsid w:val="00785DB4"/>
    <w:rsid w:val="007872A5"/>
    <w:rsid w:val="00787C50"/>
    <w:rsid w:val="00790AF5"/>
    <w:rsid w:val="007910D2"/>
    <w:rsid w:val="00791FA0"/>
    <w:rsid w:val="007929BA"/>
    <w:rsid w:val="00792C47"/>
    <w:rsid w:val="00793DDB"/>
    <w:rsid w:val="00793F0D"/>
    <w:rsid w:val="007952C0"/>
    <w:rsid w:val="007960ED"/>
    <w:rsid w:val="00797C2F"/>
    <w:rsid w:val="007A01C9"/>
    <w:rsid w:val="007A09CA"/>
    <w:rsid w:val="007A0C15"/>
    <w:rsid w:val="007A2C0F"/>
    <w:rsid w:val="007A453B"/>
    <w:rsid w:val="007A4AA6"/>
    <w:rsid w:val="007A66CF"/>
    <w:rsid w:val="007B02E7"/>
    <w:rsid w:val="007B2C93"/>
    <w:rsid w:val="007B2CF7"/>
    <w:rsid w:val="007B3A6D"/>
    <w:rsid w:val="007B46D0"/>
    <w:rsid w:val="007B6954"/>
    <w:rsid w:val="007B7FD1"/>
    <w:rsid w:val="007C175A"/>
    <w:rsid w:val="007C5D97"/>
    <w:rsid w:val="007C69E2"/>
    <w:rsid w:val="007D242F"/>
    <w:rsid w:val="007D273E"/>
    <w:rsid w:val="007D382D"/>
    <w:rsid w:val="007D3CA1"/>
    <w:rsid w:val="007D45BE"/>
    <w:rsid w:val="007D7C91"/>
    <w:rsid w:val="007E179E"/>
    <w:rsid w:val="007E17B7"/>
    <w:rsid w:val="007E20C7"/>
    <w:rsid w:val="007E2548"/>
    <w:rsid w:val="007E3A1F"/>
    <w:rsid w:val="007E3C10"/>
    <w:rsid w:val="007E43D3"/>
    <w:rsid w:val="007E560F"/>
    <w:rsid w:val="007E5B70"/>
    <w:rsid w:val="007E6002"/>
    <w:rsid w:val="007F0336"/>
    <w:rsid w:val="007F11C7"/>
    <w:rsid w:val="007F18C0"/>
    <w:rsid w:val="007F3636"/>
    <w:rsid w:val="007F3A41"/>
    <w:rsid w:val="00803B0B"/>
    <w:rsid w:val="008054F8"/>
    <w:rsid w:val="008058EC"/>
    <w:rsid w:val="008100FB"/>
    <w:rsid w:val="00810278"/>
    <w:rsid w:val="00812A27"/>
    <w:rsid w:val="00814438"/>
    <w:rsid w:val="008174A7"/>
    <w:rsid w:val="008212ED"/>
    <w:rsid w:val="00821CBD"/>
    <w:rsid w:val="008221EB"/>
    <w:rsid w:val="008259E3"/>
    <w:rsid w:val="00826F6F"/>
    <w:rsid w:val="00827993"/>
    <w:rsid w:val="00830BE5"/>
    <w:rsid w:val="00831DA0"/>
    <w:rsid w:val="008326EF"/>
    <w:rsid w:val="00832B87"/>
    <w:rsid w:val="00832E7C"/>
    <w:rsid w:val="00833122"/>
    <w:rsid w:val="00834C81"/>
    <w:rsid w:val="008350CF"/>
    <w:rsid w:val="00836A68"/>
    <w:rsid w:val="00836BD7"/>
    <w:rsid w:val="00840C80"/>
    <w:rsid w:val="00842701"/>
    <w:rsid w:val="0084282E"/>
    <w:rsid w:val="00842DF1"/>
    <w:rsid w:val="00843D7E"/>
    <w:rsid w:val="0084574B"/>
    <w:rsid w:val="00846948"/>
    <w:rsid w:val="00847ADB"/>
    <w:rsid w:val="00852234"/>
    <w:rsid w:val="00854667"/>
    <w:rsid w:val="008556A3"/>
    <w:rsid w:val="008577EA"/>
    <w:rsid w:val="00857DB7"/>
    <w:rsid w:val="008646BF"/>
    <w:rsid w:val="00865E1E"/>
    <w:rsid w:val="008672B9"/>
    <w:rsid w:val="00867CB5"/>
    <w:rsid w:val="0087049F"/>
    <w:rsid w:val="008723B3"/>
    <w:rsid w:val="00872634"/>
    <w:rsid w:val="00874657"/>
    <w:rsid w:val="008749C4"/>
    <w:rsid w:val="008764A8"/>
    <w:rsid w:val="00876A43"/>
    <w:rsid w:val="0088183A"/>
    <w:rsid w:val="00881A80"/>
    <w:rsid w:val="00881BB1"/>
    <w:rsid w:val="00881FAD"/>
    <w:rsid w:val="00882392"/>
    <w:rsid w:val="00882B52"/>
    <w:rsid w:val="00882E13"/>
    <w:rsid w:val="00885881"/>
    <w:rsid w:val="00887C79"/>
    <w:rsid w:val="008909EA"/>
    <w:rsid w:val="00890BCA"/>
    <w:rsid w:val="00891648"/>
    <w:rsid w:val="00892BD5"/>
    <w:rsid w:val="00894312"/>
    <w:rsid w:val="008A0509"/>
    <w:rsid w:val="008A0AA7"/>
    <w:rsid w:val="008A55DD"/>
    <w:rsid w:val="008A6371"/>
    <w:rsid w:val="008A7A5E"/>
    <w:rsid w:val="008B25E8"/>
    <w:rsid w:val="008B44C7"/>
    <w:rsid w:val="008B56E9"/>
    <w:rsid w:val="008C0F4E"/>
    <w:rsid w:val="008C1FA7"/>
    <w:rsid w:val="008C21B2"/>
    <w:rsid w:val="008C2BC5"/>
    <w:rsid w:val="008C33BF"/>
    <w:rsid w:val="008C342F"/>
    <w:rsid w:val="008C3BD0"/>
    <w:rsid w:val="008C4116"/>
    <w:rsid w:val="008C482D"/>
    <w:rsid w:val="008C5146"/>
    <w:rsid w:val="008C5773"/>
    <w:rsid w:val="008C7CB3"/>
    <w:rsid w:val="008C7DAA"/>
    <w:rsid w:val="008D0AD0"/>
    <w:rsid w:val="008D1498"/>
    <w:rsid w:val="008D1FE7"/>
    <w:rsid w:val="008D3363"/>
    <w:rsid w:val="008D4915"/>
    <w:rsid w:val="008D593B"/>
    <w:rsid w:val="008D6CFA"/>
    <w:rsid w:val="008E0879"/>
    <w:rsid w:val="008E0FA4"/>
    <w:rsid w:val="008E121A"/>
    <w:rsid w:val="008E1511"/>
    <w:rsid w:val="008E26E1"/>
    <w:rsid w:val="008E3288"/>
    <w:rsid w:val="008E4147"/>
    <w:rsid w:val="008E4782"/>
    <w:rsid w:val="008E6332"/>
    <w:rsid w:val="008F084B"/>
    <w:rsid w:val="008F22C5"/>
    <w:rsid w:val="008F244F"/>
    <w:rsid w:val="008F3E35"/>
    <w:rsid w:val="008F3ECB"/>
    <w:rsid w:val="008F420E"/>
    <w:rsid w:val="008F5A94"/>
    <w:rsid w:val="008F6721"/>
    <w:rsid w:val="008F6D60"/>
    <w:rsid w:val="008F7DCB"/>
    <w:rsid w:val="00900850"/>
    <w:rsid w:val="009025A7"/>
    <w:rsid w:val="009027E1"/>
    <w:rsid w:val="00903E75"/>
    <w:rsid w:val="00910162"/>
    <w:rsid w:val="009124EF"/>
    <w:rsid w:val="00916D58"/>
    <w:rsid w:val="009209D5"/>
    <w:rsid w:val="00921360"/>
    <w:rsid w:val="00921693"/>
    <w:rsid w:val="009227F2"/>
    <w:rsid w:val="0092308A"/>
    <w:rsid w:val="009232CE"/>
    <w:rsid w:val="00923C95"/>
    <w:rsid w:val="009250B6"/>
    <w:rsid w:val="0092750F"/>
    <w:rsid w:val="00927B1F"/>
    <w:rsid w:val="0093119A"/>
    <w:rsid w:val="00942C4E"/>
    <w:rsid w:val="009435E3"/>
    <w:rsid w:val="00943A00"/>
    <w:rsid w:val="009446D2"/>
    <w:rsid w:val="00944DA8"/>
    <w:rsid w:val="00945B72"/>
    <w:rsid w:val="009463C9"/>
    <w:rsid w:val="00952819"/>
    <w:rsid w:val="00952D7B"/>
    <w:rsid w:val="0095343A"/>
    <w:rsid w:val="00953690"/>
    <w:rsid w:val="009536C1"/>
    <w:rsid w:val="0095498B"/>
    <w:rsid w:val="0095516D"/>
    <w:rsid w:val="00955391"/>
    <w:rsid w:val="0095570C"/>
    <w:rsid w:val="00955F64"/>
    <w:rsid w:val="00956FFE"/>
    <w:rsid w:val="00961F49"/>
    <w:rsid w:val="00962929"/>
    <w:rsid w:val="00965D1C"/>
    <w:rsid w:val="0096609A"/>
    <w:rsid w:val="009671AD"/>
    <w:rsid w:val="0096778F"/>
    <w:rsid w:val="0097594F"/>
    <w:rsid w:val="00976943"/>
    <w:rsid w:val="00977FCA"/>
    <w:rsid w:val="009802FA"/>
    <w:rsid w:val="00980813"/>
    <w:rsid w:val="00981099"/>
    <w:rsid w:val="0098289C"/>
    <w:rsid w:val="009837AB"/>
    <w:rsid w:val="009866DA"/>
    <w:rsid w:val="00986A5F"/>
    <w:rsid w:val="0098731C"/>
    <w:rsid w:val="009904AC"/>
    <w:rsid w:val="00990EF1"/>
    <w:rsid w:val="00991594"/>
    <w:rsid w:val="00992503"/>
    <w:rsid w:val="00992EBE"/>
    <w:rsid w:val="00994341"/>
    <w:rsid w:val="00995FD2"/>
    <w:rsid w:val="0099687A"/>
    <w:rsid w:val="0099794B"/>
    <w:rsid w:val="00997FCF"/>
    <w:rsid w:val="009A02BA"/>
    <w:rsid w:val="009A060E"/>
    <w:rsid w:val="009A207E"/>
    <w:rsid w:val="009A3619"/>
    <w:rsid w:val="009A407D"/>
    <w:rsid w:val="009A53FE"/>
    <w:rsid w:val="009B01D4"/>
    <w:rsid w:val="009B03E7"/>
    <w:rsid w:val="009B0ED3"/>
    <w:rsid w:val="009B26C8"/>
    <w:rsid w:val="009B3EE4"/>
    <w:rsid w:val="009B5865"/>
    <w:rsid w:val="009B58D7"/>
    <w:rsid w:val="009B68FE"/>
    <w:rsid w:val="009B71FF"/>
    <w:rsid w:val="009B7CBB"/>
    <w:rsid w:val="009C0EA7"/>
    <w:rsid w:val="009C1996"/>
    <w:rsid w:val="009C2268"/>
    <w:rsid w:val="009C274A"/>
    <w:rsid w:val="009C3E4B"/>
    <w:rsid w:val="009C425F"/>
    <w:rsid w:val="009C546E"/>
    <w:rsid w:val="009C5C35"/>
    <w:rsid w:val="009D0DF7"/>
    <w:rsid w:val="009D1889"/>
    <w:rsid w:val="009D6208"/>
    <w:rsid w:val="009D722D"/>
    <w:rsid w:val="009D7CF7"/>
    <w:rsid w:val="009E13F3"/>
    <w:rsid w:val="009E14CD"/>
    <w:rsid w:val="009E1B95"/>
    <w:rsid w:val="009E6FF5"/>
    <w:rsid w:val="009F054D"/>
    <w:rsid w:val="009F09E8"/>
    <w:rsid w:val="009F17BB"/>
    <w:rsid w:val="009F1C4E"/>
    <w:rsid w:val="009F1D18"/>
    <w:rsid w:val="009F5D71"/>
    <w:rsid w:val="00A018EA"/>
    <w:rsid w:val="00A0269D"/>
    <w:rsid w:val="00A03DF6"/>
    <w:rsid w:val="00A0661B"/>
    <w:rsid w:val="00A123AA"/>
    <w:rsid w:val="00A13416"/>
    <w:rsid w:val="00A135AE"/>
    <w:rsid w:val="00A150FE"/>
    <w:rsid w:val="00A16E27"/>
    <w:rsid w:val="00A2015B"/>
    <w:rsid w:val="00A21320"/>
    <w:rsid w:val="00A2243D"/>
    <w:rsid w:val="00A22473"/>
    <w:rsid w:val="00A22B52"/>
    <w:rsid w:val="00A26F36"/>
    <w:rsid w:val="00A277BA"/>
    <w:rsid w:val="00A312DE"/>
    <w:rsid w:val="00A32496"/>
    <w:rsid w:val="00A32B42"/>
    <w:rsid w:val="00A3324B"/>
    <w:rsid w:val="00A34193"/>
    <w:rsid w:val="00A34FB0"/>
    <w:rsid w:val="00A40DE4"/>
    <w:rsid w:val="00A41764"/>
    <w:rsid w:val="00A425DB"/>
    <w:rsid w:val="00A42E00"/>
    <w:rsid w:val="00A432C5"/>
    <w:rsid w:val="00A43326"/>
    <w:rsid w:val="00A467D6"/>
    <w:rsid w:val="00A5019C"/>
    <w:rsid w:val="00A505FA"/>
    <w:rsid w:val="00A517C1"/>
    <w:rsid w:val="00A5282C"/>
    <w:rsid w:val="00A53607"/>
    <w:rsid w:val="00A544C0"/>
    <w:rsid w:val="00A549AE"/>
    <w:rsid w:val="00A549B6"/>
    <w:rsid w:val="00A5641F"/>
    <w:rsid w:val="00A56942"/>
    <w:rsid w:val="00A56A37"/>
    <w:rsid w:val="00A570D8"/>
    <w:rsid w:val="00A60C06"/>
    <w:rsid w:val="00A63AE1"/>
    <w:rsid w:val="00A64621"/>
    <w:rsid w:val="00A65C2A"/>
    <w:rsid w:val="00A669FE"/>
    <w:rsid w:val="00A67369"/>
    <w:rsid w:val="00A72333"/>
    <w:rsid w:val="00A72573"/>
    <w:rsid w:val="00A730D8"/>
    <w:rsid w:val="00A7668D"/>
    <w:rsid w:val="00A80464"/>
    <w:rsid w:val="00A80D0A"/>
    <w:rsid w:val="00A81F80"/>
    <w:rsid w:val="00A83A59"/>
    <w:rsid w:val="00A8750C"/>
    <w:rsid w:val="00A90BC8"/>
    <w:rsid w:val="00A93521"/>
    <w:rsid w:val="00A94247"/>
    <w:rsid w:val="00A95A48"/>
    <w:rsid w:val="00A95F59"/>
    <w:rsid w:val="00A9651C"/>
    <w:rsid w:val="00AA3DFC"/>
    <w:rsid w:val="00AA4263"/>
    <w:rsid w:val="00AA643D"/>
    <w:rsid w:val="00AB27C6"/>
    <w:rsid w:val="00AB2DCA"/>
    <w:rsid w:val="00AB3318"/>
    <w:rsid w:val="00AB3D13"/>
    <w:rsid w:val="00AB64DD"/>
    <w:rsid w:val="00AC0293"/>
    <w:rsid w:val="00AC29B0"/>
    <w:rsid w:val="00AC7BA2"/>
    <w:rsid w:val="00AC7EF1"/>
    <w:rsid w:val="00AD03E6"/>
    <w:rsid w:val="00AD3CB9"/>
    <w:rsid w:val="00AE021A"/>
    <w:rsid w:val="00AE244B"/>
    <w:rsid w:val="00AE3B57"/>
    <w:rsid w:val="00AE5044"/>
    <w:rsid w:val="00AE7298"/>
    <w:rsid w:val="00AF4B74"/>
    <w:rsid w:val="00AF5CAC"/>
    <w:rsid w:val="00B024D7"/>
    <w:rsid w:val="00B0301E"/>
    <w:rsid w:val="00B03B56"/>
    <w:rsid w:val="00B07B52"/>
    <w:rsid w:val="00B10F4E"/>
    <w:rsid w:val="00B12315"/>
    <w:rsid w:val="00B132E3"/>
    <w:rsid w:val="00B13F98"/>
    <w:rsid w:val="00B17977"/>
    <w:rsid w:val="00B20CE3"/>
    <w:rsid w:val="00B210EE"/>
    <w:rsid w:val="00B24CC8"/>
    <w:rsid w:val="00B2639C"/>
    <w:rsid w:val="00B27FE5"/>
    <w:rsid w:val="00B31CCF"/>
    <w:rsid w:val="00B31FB6"/>
    <w:rsid w:val="00B33D41"/>
    <w:rsid w:val="00B34D5B"/>
    <w:rsid w:val="00B35B1E"/>
    <w:rsid w:val="00B363D6"/>
    <w:rsid w:val="00B41A06"/>
    <w:rsid w:val="00B41B58"/>
    <w:rsid w:val="00B42C3F"/>
    <w:rsid w:val="00B43470"/>
    <w:rsid w:val="00B437F4"/>
    <w:rsid w:val="00B45C06"/>
    <w:rsid w:val="00B46598"/>
    <w:rsid w:val="00B46D53"/>
    <w:rsid w:val="00B50147"/>
    <w:rsid w:val="00B5092E"/>
    <w:rsid w:val="00B50F90"/>
    <w:rsid w:val="00B53CF4"/>
    <w:rsid w:val="00B55FA1"/>
    <w:rsid w:val="00B600F2"/>
    <w:rsid w:val="00B60AA7"/>
    <w:rsid w:val="00B60E0C"/>
    <w:rsid w:val="00B6103A"/>
    <w:rsid w:val="00B617D8"/>
    <w:rsid w:val="00B636F7"/>
    <w:rsid w:val="00B66F88"/>
    <w:rsid w:val="00B67683"/>
    <w:rsid w:val="00B7014E"/>
    <w:rsid w:val="00B701C8"/>
    <w:rsid w:val="00B725BE"/>
    <w:rsid w:val="00B74BEC"/>
    <w:rsid w:val="00B765A4"/>
    <w:rsid w:val="00B77114"/>
    <w:rsid w:val="00B77B7F"/>
    <w:rsid w:val="00B80D0F"/>
    <w:rsid w:val="00B81D46"/>
    <w:rsid w:val="00B82793"/>
    <w:rsid w:val="00B82AEF"/>
    <w:rsid w:val="00B835A5"/>
    <w:rsid w:val="00B8629D"/>
    <w:rsid w:val="00B90E8F"/>
    <w:rsid w:val="00B9124B"/>
    <w:rsid w:val="00B918CB"/>
    <w:rsid w:val="00B92D7C"/>
    <w:rsid w:val="00B92E68"/>
    <w:rsid w:val="00B93846"/>
    <w:rsid w:val="00B939DD"/>
    <w:rsid w:val="00B93DEC"/>
    <w:rsid w:val="00B96361"/>
    <w:rsid w:val="00B96D6D"/>
    <w:rsid w:val="00B97254"/>
    <w:rsid w:val="00B97311"/>
    <w:rsid w:val="00B97D04"/>
    <w:rsid w:val="00BA06E8"/>
    <w:rsid w:val="00BA149B"/>
    <w:rsid w:val="00BA3C80"/>
    <w:rsid w:val="00BA45EA"/>
    <w:rsid w:val="00BA4A28"/>
    <w:rsid w:val="00BA5B1A"/>
    <w:rsid w:val="00BA6B78"/>
    <w:rsid w:val="00BA77BE"/>
    <w:rsid w:val="00BA794B"/>
    <w:rsid w:val="00BA7A94"/>
    <w:rsid w:val="00BB2827"/>
    <w:rsid w:val="00BB2D7D"/>
    <w:rsid w:val="00BB3D5D"/>
    <w:rsid w:val="00BB3DC4"/>
    <w:rsid w:val="00BB467C"/>
    <w:rsid w:val="00BB5F31"/>
    <w:rsid w:val="00BC0408"/>
    <w:rsid w:val="00BC285F"/>
    <w:rsid w:val="00BC2D8A"/>
    <w:rsid w:val="00BC4E0F"/>
    <w:rsid w:val="00BC4E46"/>
    <w:rsid w:val="00BC6B55"/>
    <w:rsid w:val="00BC725C"/>
    <w:rsid w:val="00BD08CB"/>
    <w:rsid w:val="00BD09C6"/>
    <w:rsid w:val="00BD2084"/>
    <w:rsid w:val="00BD74AF"/>
    <w:rsid w:val="00BE00D0"/>
    <w:rsid w:val="00BE2FB2"/>
    <w:rsid w:val="00BE34AA"/>
    <w:rsid w:val="00BE48E6"/>
    <w:rsid w:val="00BE5313"/>
    <w:rsid w:val="00BE7712"/>
    <w:rsid w:val="00BF180C"/>
    <w:rsid w:val="00BF1818"/>
    <w:rsid w:val="00BF2598"/>
    <w:rsid w:val="00BF3991"/>
    <w:rsid w:val="00BF3BE9"/>
    <w:rsid w:val="00C020F7"/>
    <w:rsid w:val="00C027A9"/>
    <w:rsid w:val="00C02F47"/>
    <w:rsid w:val="00C030FE"/>
    <w:rsid w:val="00C0399D"/>
    <w:rsid w:val="00C03BCB"/>
    <w:rsid w:val="00C047CE"/>
    <w:rsid w:val="00C04979"/>
    <w:rsid w:val="00C050B5"/>
    <w:rsid w:val="00C05BAB"/>
    <w:rsid w:val="00C06901"/>
    <w:rsid w:val="00C10209"/>
    <w:rsid w:val="00C10762"/>
    <w:rsid w:val="00C1215B"/>
    <w:rsid w:val="00C14286"/>
    <w:rsid w:val="00C17035"/>
    <w:rsid w:val="00C17D0E"/>
    <w:rsid w:val="00C20C63"/>
    <w:rsid w:val="00C20FB3"/>
    <w:rsid w:val="00C2106A"/>
    <w:rsid w:val="00C21168"/>
    <w:rsid w:val="00C21757"/>
    <w:rsid w:val="00C23148"/>
    <w:rsid w:val="00C23206"/>
    <w:rsid w:val="00C238E2"/>
    <w:rsid w:val="00C239AE"/>
    <w:rsid w:val="00C253CC"/>
    <w:rsid w:val="00C256B8"/>
    <w:rsid w:val="00C267B4"/>
    <w:rsid w:val="00C273E3"/>
    <w:rsid w:val="00C27F3C"/>
    <w:rsid w:val="00C301E7"/>
    <w:rsid w:val="00C318B0"/>
    <w:rsid w:val="00C3286C"/>
    <w:rsid w:val="00C335F4"/>
    <w:rsid w:val="00C34654"/>
    <w:rsid w:val="00C360BF"/>
    <w:rsid w:val="00C36A71"/>
    <w:rsid w:val="00C407B8"/>
    <w:rsid w:val="00C421BC"/>
    <w:rsid w:val="00C42918"/>
    <w:rsid w:val="00C4402F"/>
    <w:rsid w:val="00C45137"/>
    <w:rsid w:val="00C456EE"/>
    <w:rsid w:val="00C478DE"/>
    <w:rsid w:val="00C51414"/>
    <w:rsid w:val="00C518DB"/>
    <w:rsid w:val="00C571BA"/>
    <w:rsid w:val="00C645CE"/>
    <w:rsid w:val="00C64FCB"/>
    <w:rsid w:val="00C67B31"/>
    <w:rsid w:val="00C705A9"/>
    <w:rsid w:val="00C71C0A"/>
    <w:rsid w:val="00C7304A"/>
    <w:rsid w:val="00C73679"/>
    <w:rsid w:val="00C76260"/>
    <w:rsid w:val="00C769C2"/>
    <w:rsid w:val="00C801C2"/>
    <w:rsid w:val="00C8037C"/>
    <w:rsid w:val="00C8461D"/>
    <w:rsid w:val="00C86610"/>
    <w:rsid w:val="00C875FD"/>
    <w:rsid w:val="00C91F9F"/>
    <w:rsid w:val="00C92CD7"/>
    <w:rsid w:val="00C92EFE"/>
    <w:rsid w:val="00C947C4"/>
    <w:rsid w:val="00C95199"/>
    <w:rsid w:val="00CA1D54"/>
    <w:rsid w:val="00CA1E74"/>
    <w:rsid w:val="00CA38A6"/>
    <w:rsid w:val="00CB1675"/>
    <w:rsid w:val="00CB50DC"/>
    <w:rsid w:val="00CB5FC8"/>
    <w:rsid w:val="00CB6E47"/>
    <w:rsid w:val="00CB76EB"/>
    <w:rsid w:val="00CB7887"/>
    <w:rsid w:val="00CC10CD"/>
    <w:rsid w:val="00CC15E5"/>
    <w:rsid w:val="00CC35FC"/>
    <w:rsid w:val="00CC3CC0"/>
    <w:rsid w:val="00CC49FD"/>
    <w:rsid w:val="00CC5857"/>
    <w:rsid w:val="00CC620B"/>
    <w:rsid w:val="00CC6280"/>
    <w:rsid w:val="00CC6687"/>
    <w:rsid w:val="00CC739C"/>
    <w:rsid w:val="00CC7F8F"/>
    <w:rsid w:val="00CD02A3"/>
    <w:rsid w:val="00CD10B0"/>
    <w:rsid w:val="00CD20F8"/>
    <w:rsid w:val="00CD31C6"/>
    <w:rsid w:val="00CD3625"/>
    <w:rsid w:val="00CD4F1C"/>
    <w:rsid w:val="00CD5AEF"/>
    <w:rsid w:val="00CE1887"/>
    <w:rsid w:val="00CE22D3"/>
    <w:rsid w:val="00CE247B"/>
    <w:rsid w:val="00CE2909"/>
    <w:rsid w:val="00CE437F"/>
    <w:rsid w:val="00CE4745"/>
    <w:rsid w:val="00CE4982"/>
    <w:rsid w:val="00CE5763"/>
    <w:rsid w:val="00CE7200"/>
    <w:rsid w:val="00CF1458"/>
    <w:rsid w:val="00CF1494"/>
    <w:rsid w:val="00CF156B"/>
    <w:rsid w:val="00CF1880"/>
    <w:rsid w:val="00CF2858"/>
    <w:rsid w:val="00CF3DDA"/>
    <w:rsid w:val="00CF3F23"/>
    <w:rsid w:val="00CF6271"/>
    <w:rsid w:val="00CF7B5B"/>
    <w:rsid w:val="00D021D5"/>
    <w:rsid w:val="00D027BA"/>
    <w:rsid w:val="00D028BA"/>
    <w:rsid w:val="00D038B1"/>
    <w:rsid w:val="00D040D5"/>
    <w:rsid w:val="00D0442B"/>
    <w:rsid w:val="00D053E2"/>
    <w:rsid w:val="00D05DC2"/>
    <w:rsid w:val="00D068D7"/>
    <w:rsid w:val="00D06E59"/>
    <w:rsid w:val="00D109AE"/>
    <w:rsid w:val="00D11579"/>
    <w:rsid w:val="00D11A1D"/>
    <w:rsid w:val="00D1299A"/>
    <w:rsid w:val="00D13983"/>
    <w:rsid w:val="00D14E11"/>
    <w:rsid w:val="00D20AD6"/>
    <w:rsid w:val="00D20C6E"/>
    <w:rsid w:val="00D21D52"/>
    <w:rsid w:val="00D235E3"/>
    <w:rsid w:val="00D24248"/>
    <w:rsid w:val="00D25EED"/>
    <w:rsid w:val="00D269B1"/>
    <w:rsid w:val="00D27572"/>
    <w:rsid w:val="00D27CA7"/>
    <w:rsid w:val="00D31E28"/>
    <w:rsid w:val="00D32420"/>
    <w:rsid w:val="00D343F6"/>
    <w:rsid w:val="00D34613"/>
    <w:rsid w:val="00D347ED"/>
    <w:rsid w:val="00D353A2"/>
    <w:rsid w:val="00D3748E"/>
    <w:rsid w:val="00D40681"/>
    <w:rsid w:val="00D466DA"/>
    <w:rsid w:val="00D47A4E"/>
    <w:rsid w:val="00D47ADE"/>
    <w:rsid w:val="00D50502"/>
    <w:rsid w:val="00D5075F"/>
    <w:rsid w:val="00D51315"/>
    <w:rsid w:val="00D514C0"/>
    <w:rsid w:val="00D53385"/>
    <w:rsid w:val="00D55CE1"/>
    <w:rsid w:val="00D55D45"/>
    <w:rsid w:val="00D561E0"/>
    <w:rsid w:val="00D60F04"/>
    <w:rsid w:val="00D61DD4"/>
    <w:rsid w:val="00D62B10"/>
    <w:rsid w:val="00D646F6"/>
    <w:rsid w:val="00D65185"/>
    <w:rsid w:val="00D65EC8"/>
    <w:rsid w:val="00D70216"/>
    <w:rsid w:val="00D704E7"/>
    <w:rsid w:val="00D722F6"/>
    <w:rsid w:val="00D737CB"/>
    <w:rsid w:val="00D738A3"/>
    <w:rsid w:val="00D73F4D"/>
    <w:rsid w:val="00D743B5"/>
    <w:rsid w:val="00D74717"/>
    <w:rsid w:val="00D75355"/>
    <w:rsid w:val="00D7543A"/>
    <w:rsid w:val="00D77CB2"/>
    <w:rsid w:val="00D80CAC"/>
    <w:rsid w:val="00D81447"/>
    <w:rsid w:val="00D81BFB"/>
    <w:rsid w:val="00D83C7D"/>
    <w:rsid w:val="00D87FD2"/>
    <w:rsid w:val="00D900E2"/>
    <w:rsid w:val="00D903D6"/>
    <w:rsid w:val="00D92E38"/>
    <w:rsid w:val="00D9486F"/>
    <w:rsid w:val="00D95167"/>
    <w:rsid w:val="00D9623B"/>
    <w:rsid w:val="00D97D5A"/>
    <w:rsid w:val="00DA0CB4"/>
    <w:rsid w:val="00DA1BD6"/>
    <w:rsid w:val="00DA3779"/>
    <w:rsid w:val="00DA401A"/>
    <w:rsid w:val="00DA41E8"/>
    <w:rsid w:val="00DA4355"/>
    <w:rsid w:val="00DA5C79"/>
    <w:rsid w:val="00DB1165"/>
    <w:rsid w:val="00DB36FB"/>
    <w:rsid w:val="00DB52ED"/>
    <w:rsid w:val="00DB5F5D"/>
    <w:rsid w:val="00DB7E5C"/>
    <w:rsid w:val="00DC027C"/>
    <w:rsid w:val="00DC0F86"/>
    <w:rsid w:val="00DC16DC"/>
    <w:rsid w:val="00DC19D2"/>
    <w:rsid w:val="00DC388B"/>
    <w:rsid w:val="00DC449A"/>
    <w:rsid w:val="00DC455E"/>
    <w:rsid w:val="00DC648C"/>
    <w:rsid w:val="00DC654F"/>
    <w:rsid w:val="00DC7EF0"/>
    <w:rsid w:val="00DD061E"/>
    <w:rsid w:val="00DD475A"/>
    <w:rsid w:val="00DD60E1"/>
    <w:rsid w:val="00DE1841"/>
    <w:rsid w:val="00DE197A"/>
    <w:rsid w:val="00DE1C46"/>
    <w:rsid w:val="00DE2930"/>
    <w:rsid w:val="00DE2935"/>
    <w:rsid w:val="00DE3670"/>
    <w:rsid w:val="00DE424C"/>
    <w:rsid w:val="00DE4DE5"/>
    <w:rsid w:val="00DE5CA2"/>
    <w:rsid w:val="00DF32E0"/>
    <w:rsid w:val="00DF3364"/>
    <w:rsid w:val="00DF55C4"/>
    <w:rsid w:val="00DF771E"/>
    <w:rsid w:val="00E0162D"/>
    <w:rsid w:val="00E02369"/>
    <w:rsid w:val="00E04A78"/>
    <w:rsid w:val="00E07393"/>
    <w:rsid w:val="00E10AD0"/>
    <w:rsid w:val="00E148CB"/>
    <w:rsid w:val="00E15B86"/>
    <w:rsid w:val="00E15C29"/>
    <w:rsid w:val="00E16C00"/>
    <w:rsid w:val="00E21076"/>
    <w:rsid w:val="00E22696"/>
    <w:rsid w:val="00E23A77"/>
    <w:rsid w:val="00E26F91"/>
    <w:rsid w:val="00E3588B"/>
    <w:rsid w:val="00E35C46"/>
    <w:rsid w:val="00E36954"/>
    <w:rsid w:val="00E37C44"/>
    <w:rsid w:val="00E40623"/>
    <w:rsid w:val="00E43E3A"/>
    <w:rsid w:val="00E46442"/>
    <w:rsid w:val="00E51FC2"/>
    <w:rsid w:val="00E52531"/>
    <w:rsid w:val="00E536FD"/>
    <w:rsid w:val="00E53DFF"/>
    <w:rsid w:val="00E605A9"/>
    <w:rsid w:val="00E61606"/>
    <w:rsid w:val="00E6311D"/>
    <w:rsid w:val="00E655B5"/>
    <w:rsid w:val="00E661B3"/>
    <w:rsid w:val="00E677E1"/>
    <w:rsid w:val="00E70655"/>
    <w:rsid w:val="00E70EB7"/>
    <w:rsid w:val="00E7302E"/>
    <w:rsid w:val="00E731C1"/>
    <w:rsid w:val="00E75999"/>
    <w:rsid w:val="00E77BA9"/>
    <w:rsid w:val="00E8177E"/>
    <w:rsid w:val="00E8486D"/>
    <w:rsid w:val="00E849BB"/>
    <w:rsid w:val="00E85649"/>
    <w:rsid w:val="00E858A8"/>
    <w:rsid w:val="00E862E6"/>
    <w:rsid w:val="00E90C5E"/>
    <w:rsid w:val="00E9114E"/>
    <w:rsid w:val="00E912FA"/>
    <w:rsid w:val="00E91669"/>
    <w:rsid w:val="00E93B23"/>
    <w:rsid w:val="00E93E3F"/>
    <w:rsid w:val="00E94D04"/>
    <w:rsid w:val="00E96BD9"/>
    <w:rsid w:val="00E97D7F"/>
    <w:rsid w:val="00EA06F7"/>
    <w:rsid w:val="00EA1845"/>
    <w:rsid w:val="00EA2982"/>
    <w:rsid w:val="00EA31D3"/>
    <w:rsid w:val="00EA36FF"/>
    <w:rsid w:val="00EA37C4"/>
    <w:rsid w:val="00EA44E3"/>
    <w:rsid w:val="00EA5653"/>
    <w:rsid w:val="00EA7ED4"/>
    <w:rsid w:val="00EB22C4"/>
    <w:rsid w:val="00EB2343"/>
    <w:rsid w:val="00EB24B6"/>
    <w:rsid w:val="00EB396A"/>
    <w:rsid w:val="00EB3B07"/>
    <w:rsid w:val="00EC1575"/>
    <w:rsid w:val="00EC2FB3"/>
    <w:rsid w:val="00EC3F57"/>
    <w:rsid w:val="00EC4381"/>
    <w:rsid w:val="00EC7665"/>
    <w:rsid w:val="00EC780D"/>
    <w:rsid w:val="00EC7B38"/>
    <w:rsid w:val="00ED183B"/>
    <w:rsid w:val="00ED479D"/>
    <w:rsid w:val="00ED5B5C"/>
    <w:rsid w:val="00ED5F49"/>
    <w:rsid w:val="00ED65F3"/>
    <w:rsid w:val="00ED7483"/>
    <w:rsid w:val="00EE0348"/>
    <w:rsid w:val="00EE0C95"/>
    <w:rsid w:val="00EE187B"/>
    <w:rsid w:val="00EE505E"/>
    <w:rsid w:val="00EE57A4"/>
    <w:rsid w:val="00EE6317"/>
    <w:rsid w:val="00EE6D1A"/>
    <w:rsid w:val="00EE707A"/>
    <w:rsid w:val="00EE7E44"/>
    <w:rsid w:val="00EF0FDC"/>
    <w:rsid w:val="00EF20C0"/>
    <w:rsid w:val="00EF384D"/>
    <w:rsid w:val="00EF46EB"/>
    <w:rsid w:val="00EF6152"/>
    <w:rsid w:val="00F064C7"/>
    <w:rsid w:val="00F11A1F"/>
    <w:rsid w:val="00F11C6D"/>
    <w:rsid w:val="00F121A1"/>
    <w:rsid w:val="00F126D1"/>
    <w:rsid w:val="00F141FA"/>
    <w:rsid w:val="00F15AC1"/>
    <w:rsid w:val="00F16586"/>
    <w:rsid w:val="00F16860"/>
    <w:rsid w:val="00F179E5"/>
    <w:rsid w:val="00F21A4D"/>
    <w:rsid w:val="00F239CC"/>
    <w:rsid w:val="00F23AE0"/>
    <w:rsid w:val="00F24ECE"/>
    <w:rsid w:val="00F2513E"/>
    <w:rsid w:val="00F253C5"/>
    <w:rsid w:val="00F25DBB"/>
    <w:rsid w:val="00F27226"/>
    <w:rsid w:val="00F27E42"/>
    <w:rsid w:val="00F32406"/>
    <w:rsid w:val="00F3254B"/>
    <w:rsid w:val="00F32981"/>
    <w:rsid w:val="00F3392E"/>
    <w:rsid w:val="00F33C3E"/>
    <w:rsid w:val="00F36492"/>
    <w:rsid w:val="00F36E52"/>
    <w:rsid w:val="00F36F33"/>
    <w:rsid w:val="00F438FB"/>
    <w:rsid w:val="00F43A3C"/>
    <w:rsid w:val="00F44608"/>
    <w:rsid w:val="00F44978"/>
    <w:rsid w:val="00F45DDA"/>
    <w:rsid w:val="00F45F3B"/>
    <w:rsid w:val="00F46D41"/>
    <w:rsid w:val="00F521B7"/>
    <w:rsid w:val="00F53D56"/>
    <w:rsid w:val="00F60775"/>
    <w:rsid w:val="00F621CE"/>
    <w:rsid w:val="00F63C32"/>
    <w:rsid w:val="00F668CD"/>
    <w:rsid w:val="00F66F3A"/>
    <w:rsid w:val="00F70322"/>
    <w:rsid w:val="00F70BE3"/>
    <w:rsid w:val="00F725AD"/>
    <w:rsid w:val="00F72BE6"/>
    <w:rsid w:val="00F73B34"/>
    <w:rsid w:val="00F76545"/>
    <w:rsid w:val="00F76E34"/>
    <w:rsid w:val="00F8017B"/>
    <w:rsid w:val="00F81424"/>
    <w:rsid w:val="00F828BF"/>
    <w:rsid w:val="00F8322A"/>
    <w:rsid w:val="00F83BF6"/>
    <w:rsid w:val="00F849AC"/>
    <w:rsid w:val="00F84F88"/>
    <w:rsid w:val="00F866D4"/>
    <w:rsid w:val="00F8696A"/>
    <w:rsid w:val="00F90B8B"/>
    <w:rsid w:val="00F91ABD"/>
    <w:rsid w:val="00F9312E"/>
    <w:rsid w:val="00F956E6"/>
    <w:rsid w:val="00F96BD9"/>
    <w:rsid w:val="00F96C5A"/>
    <w:rsid w:val="00F97A55"/>
    <w:rsid w:val="00FA15BD"/>
    <w:rsid w:val="00FA1962"/>
    <w:rsid w:val="00FA1FBF"/>
    <w:rsid w:val="00FA2B2F"/>
    <w:rsid w:val="00FA374B"/>
    <w:rsid w:val="00FA45B5"/>
    <w:rsid w:val="00FA7F8B"/>
    <w:rsid w:val="00FB5765"/>
    <w:rsid w:val="00FB61E8"/>
    <w:rsid w:val="00FB6B16"/>
    <w:rsid w:val="00FB70F6"/>
    <w:rsid w:val="00FC0484"/>
    <w:rsid w:val="00FC3424"/>
    <w:rsid w:val="00FC342F"/>
    <w:rsid w:val="00FC421D"/>
    <w:rsid w:val="00FC5962"/>
    <w:rsid w:val="00FD002F"/>
    <w:rsid w:val="00FD1AA8"/>
    <w:rsid w:val="00FD2344"/>
    <w:rsid w:val="00FD2CCD"/>
    <w:rsid w:val="00FD3B97"/>
    <w:rsid w:val="00FD4EB0"/>
    <w:rsid w:val="00FD56DA"/>
    <w:rsid w:val="00FD7749"/>
    <w:rsid w:val="00FE1188"/>
    <w:rsid w:val="00FE1363"/>
    <w:rsid w:val="00FE275E"/>
    <w:rsid w:val="00FE35D9"/>
    <w:rsid w:val="00FE4EF7"/>
    <w:rsid w:val="00FE5746"/>
    <w:rsid w:val="00FE6DE3"/>
    <w:rsid w:val="00FF0C58"/>
    <w:rsid w:val="00FF2720"/>
    <w:rsid w:val="00FF3A0B"/>
    <w:rsid w:val="00FF6628"/>
    <w:rsid w:val="00FF69C0"/>
    <w:rsid w:val="00FF7407"/>
    <w:rsid w:val="00FF75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80"/>
    <w:rPr>
      <w:sz w:val="24"/>
      <w:szCs w:val="24"/>
      <w:lang w:val="en-US" w:eastAsia="en-US"/>
    </w:rPr>
  </w:style>
  <w:style w:type="paragraph" w:styleId="Heading1">
    <w:name w:val="heading 1"/>
    <w:basedOn w:val="Normal"/>
    <w:link w:val="Heading1Char"/>
    <w:uiPriority w:val="9"/>
    <w:qFormat/>
    <w:rsid w:val="005963A3"/>
    <w:pPr>
      <w:spacing w:before="100" w:beforeAutospacing="1" w:after="100" w:afterAutospacing="1"/>
      <w:outlineLvl w:val="0"/>
    </w:pPr>
    <w:rPr>
      <w:b/>
      <w:bCs/>
      <w:kern w:val="36"/>
      <w:sz w:val="48"/>
      <w:szCs w:val="4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25DBB"/>
    <w:rPr>
      <w:sz w:val="20"/>
      <w:szCs w:val="20"/>
    </w:rPr>
  </w:style>
  <w:style w:type="character" w:styleId="FootnoteReference">
    <w:name w:val="footnote reference"/>
    <w:basedOn w:val="DefaultParagraphFont"/>
    <w:semiHidden/>
    <w:rsid w:val="00F25DBB"/>
    <w:rPr>
      <w:vertAlign w:val="superscript"/>
    </w:rPr>
  </w:style>
  <w:style w:type="paragraph" w:styleId="Header">
    <w:name w:val="header"/>
    <w:basedOn w:val="Normal"/>
    <w:rsid w:val="00B82AEF"/>
    <w:pPr>
      <w:tabs>
        <w:tab w:val="center" w:pos="4320"/>
        <w:tab w:val="right" w:pos="8640"/>
      </w:tabs>
    </w:pPr>
  </w:style>
  <w:style w:type="paragraph" w:styleId="Footer">
    <w:name w:val="footer"/>
    <w:basedOn w:val="Normal"/>
    <w:link w:val="FooterChar"/>
    <w:uiPriority w:val="99"/>
    <w:rsid w:val="00B82AEF"/>
    <w:pPr>
      <w:tabs>
        <w:tab w:val="center" w:pos="4320"/>
        <w:tab w:val="right" w:pos="8640"/>
      </w:tabs>
    </w:pPr>
  </w:style>
  <w:style w:type="paragraph" w:styleId="BalloonText">
    <w:name w:val="Balloon Text"/>
    <w:basedOn w:val="Normal"/>
    <w:semiHidden/>
    <w:rsid w:val="00B82AEF"/>
    <w:rPr>
      <w:rFonts w:ascii="Tahoma" w:hAnsi="Tahoma" w:cs="Tahoma"/>
      <w:sz w:val="16"/>
      <w:szCs w:val="16"/>
    </w:rPr>
  </w:style>
  <w:style w:type="character" w:styleId="Hyperlink">
    <w:name w:val="Hyperlink"/>
    <w:basedOn w:val="DefaultParagraphFont"/>
    <w:rsid w:val="00F44978"/>
    <w:rPr>
      <w:color w:val="0000FF"/>
      <w:u w:val="single"/>
    </w:rPr>
  </w:style>
  <w:style w:type="character" w:customStyle="1" w:styleId="FootnoteTextChar">
    <w:name w:val="Footnote Text Char"/>
    <w:basedOn w:val="DefaultParagraphFont"/>
    <w:link w:val="FootnoteText"/>
    <w:semiHidden/>
    <w:rsid w:val="00986A5F"/>
    <w:rPr>
      <w:lang w:val="en-US" w:eastAsia="en-US"/>
    </w:rPr>
  </w:style>
  <w:style w:type="character" w:styleId="Emphasis">
    <w:name w:val="Emphasis"/>
    <w:basedOn w:val="DefaultParagraphFont"/>
    <w:uiPriority w:val="20"/>
    <w:qFormat/>
    <w:rsid w:val="00A549AE"/>
    <w:rPr>
      <w:i/>
      <w:iCs/>
    </w:rPr>
  </w:style>
  <w:style w:type="table" w:styleId="TableGrid">
    <w:name w:val="Table Grid"/>
    <w:basedOn w:val="TableNormal"/>
    <w:uiPriority w:val="59"/>
    <w:rsid w:val="00CD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0640"/>
  </w:style>
  <w:style w:type="character" w:customStyle="1" w:styleId="spelle">
    <w:name w:val="spelle"/>
    <w:basedOn w:val="DefaultParagraphFont"/>
    <w:rsid w:val="00140640"/>
  </w:style>
  <w:style w:type="character" w:customStyle="1" w:styleId="grame">
    <w:name w:val="grame"/>
    <w:basedOn w:val="DefaultParagraphFont"/>
    <w:rsid w:val="001B2927"/>
  </w:style>
  <w:style w:type="paragraph" w:customStyle="1" w:styleId="Default">
    <w:name w:val="Default"/>
    <w:rsid w:val="005963A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5963A3"/>
    <w:rPr>
      <w:b/>
      <w:bCs/>
      <w:kern w:val="36"/>
      <w:sz w:val="48"/>
      <w:szCs w:val="48"/>
    </w:rPr>
  </w:style>
  <w:style w:type="character" w:customStyle="1" w:styleId="hit">
    <w:name w:val="hit"/>
    <w:basedOn w:val="DefaultParagraphFont"/>
    <w:rsid w:val="005963A3"/>
  </w:style>
  <w:style w:type="paragraph" w:styleId="ListParagraph">
    <w:name w:val="List Paragraph"/>
    <w:basedOn w:val="Normal"/>
    <w:uiPriority w:val="34"/>
    <w:qFormat/>
    <w:rsid w:val="001B353F"/>
    <w:pPr>
      <w:ind w:left="720"/>
      <w:contextualSpacing/>
    </w:pPr>
  </w:style>
  <w:style w:type="character" w:customStyle="1" w:styleId="FooterChar">
    <w:name w:val="Footer Char"/>
    <w:basedOn w:val="DefaultParagraphFont"/>
    <w:link w:val="Footer"/>
    <w:uiPriority w:val="99"/>
    <w:rsid w:val="00380679"/>
    <w:rPr>
      <w:sz w:val="24"/>
      <w:szCs w:val="24"/>
      <w:lang w:val="en-US" w:eastAsia="en-US"/>
    </w:rPr>
  </w:style>
  <w:style w:type="paragraph" w:styleId="EndnoteText">
    <w:name w:val="endnote text"/>
    <w:basedOn w:val="Normal"/>
    <w:link w:val="EndnoteTextChar"/>
    <w:uiPriority w:val="99"/>
    <w:rsid w:val="002B7592"/>
    <w:rPr>
      <w:sz w:val="20"/>
      <w:szCs w:val="20"/>
    </w:rPr>
  </w:style>
  <w:style w:type="character" w:customStyle="1" w:styleId="EndnoteTextChar">
    <w:name w:val="Endnote Text Char"/>
    <w:basedOn w:val="DefaultParagraphFont"/>
    <w:link w:val="EndnoteText"/>
    <w:rsid w:val="002B7592"/>
    <w:rPr>
      <w:lang w:val="en-US" w:eastAsia="en-US"/>
    </w:rPr>
  </w:style>
  <w:style w:type="character" w:styleId="EndnoteReference">
    <w:name w:val="endnote reference"/>
    <w:basedOn w:val="DefaultParagraphFont"/>
    <w:rsid w:val="002B7592"/>
    <w:rPr>
      <w:vertAlign w:val="superscript"/>
    </w:rPr>
  </w:style>
  <w:style w:type="paragraph" w:styleId="PlainText">
    <w:name w:val="Plain Text"/>
    <w:basedOn w:val="Normal"/>
    <w:link w:val="PlainTextChar"/>
    <w:uiPriority w:val="99"/>
    <w:unhideWhenUsed/>
    <w:rsid w:val="001B69AD"/>
    <w:rPr>
      <w:rFonts w:ascii="Consolas" w:eastAsiaTheme="minorHAnsi" w:hAnsi="Consolas"/>
      <w:sz w:val="21"/>
      <w:szCs w:val="21"/>
      <w:lang w:val="en-NZ"/>
    </w:rPr>
  </w:style>
  <w:style w:type="character" w:customStyle="1" w:styleId="PlainTextChar">
    <w:name w:val="Plain Text Char"/>
    <w:basedOn w:val="DefaultParagraphFont"/>
    <w:link w:val="PlainText"/>
    <w:uiPriority w:val="99"/>
    <w:rsid w:val="001B69AD"/>
    <w:rPr>
      <w:rFonts w:ascii="Consolas" w:eastAsiaTheme="minorHAnsi" w:hAnsi="Consolas"/>
      <w:sz w:val="21"/>
      <w:szCs w:val="21"/>
      <w:lang w:eastAsia="en-US"/>
    </w:rPr>
  </w:style>
  <w:style w:type="paragraph" w:styleId="Title">
    <w:name w:val="Title"/>
    <w:basedOn w:val="Normal"/>
    <w:link w:val="TitleChar"/>
    <w:qFormat/>
    <w:rsid w:val="00D55D45"/>
    <w:pPr>
      <w:widowControl w:val="0"/>
      <w:tabs>
        <w:tab w:val="center" w:pos="5040"/>
      </w:tabs>
      <w:jc w:val="center"/>
    </w:pPr>
    <w:rPr>
      <w:rFonts w:ascii="CG Times" w:hAnsi="CG Times"/>
      <w:b/>
      <w:snapToGrid w:val="0"/>
      <w:sz w:val="56"/>
      <w:szCs w:val="20"/>
    </w:rPr>
  </w:style>
  <w:style w:type="character" w:customStyle="1" w:styleId="TitleChar">
    <w:name w:val="Title Char"/>
    <w:basedOn w:val="DefaultParagraphFont"/>
    <w:link w:val="Title"/>
    <w:rsid w:val="00D55D45"/>
    <w:rPr>
      <w:rFonts w:ascii="CG Times" w:hAnsi="CG Times"/>
      <w:b/>
      <w:snapToGrid w:val="0"/>
      <w:sz w:val="56"/>
      <w:lang w:val="en-US" w:eastAsia="en-US"/>
    </w:rPr>
  </w:style>
  <w:style w:type="paragraph" w:customStyle="1" w:styleId="CM1">
    <w:name w:val="CM1"/>
    <w:basedOn w:val="Default"/>
    <w:next w:val="Default"/>
    <w:rsid w:val="00D55D45"/>
    <w:pPr>
      <w:widowControl w:val="0"/>
      <w:spacing w:line="323" w:lineRule="atLeast"/>
    </w:pPr>
    <w:rPr>
      <w:color w:val="auto"/>
      <w:lang w:val="en-US" w:eastAsia="en-US"/>
    </w:rPr>
  </w:style>
  <w:style w:type="paragraph" w:customStyle="1" w:styleId="CM20">
    <w:name w:val="CM20"/>
    <w:basedOn w:val="Default"/>
    <w:next w:val="Default"/>
    <w:rsid w:val="00D55D45"/>
    <w:pPr>
      <w:widowControl w:val="0"/>
      <w:spacing w:after="1503"/>
    </w:pPr>
    <w:rPr>
      <w:color w:val="auto"/>
      <w:lang w:val="en-US" w:eastAsia="en-US"/>
    </w:rPr>
  </w:style>
  <w:style w:type="paragraph" w:customStyle="1" w:styleId="CM3">
    <w:name w:val="CM3"/>
    <w:basedOn w:val="Default"/>
    <w:next w:val="Default"/>
    <w:rsid w:val="00D55D45"/>
    <w:pPr>
      <w:widowControl w:val="0"/>
    </w:pPr>
    <w:rPr>
      <w:color w:val="auto"/>
      <w:lang w:val="en-US" w:eastAsia="en-US"/>
    </w:rPr>
  </w:style>
  <w:style w:type="paragraph" w:customStyle="1" w:styleId="CM21">
    <w:name w:val="CM21"/>
    <w:basedOn w:val="Default"/>
    <w:next w:val="Default"/>
    <w:rsid w:val="00D55D45"/>
    <w:pPr>
      <w:widowControl w:val="0"/>
      <w:spacing w:after="513"/>
    </w:pPr>
    <w:rPr>
      <w:color w:val="auto"/>
      <w:lang w:val="en-US" w:eastAsia="en-US"/>
    </w:rPr>
  </w:style>
  <w:style w:type="paragraph" w:customStyle="1" w:styleId="CM22">
    <w:name w:val="CM22"/>
    <w:basedOn w:val="Default"/>
    <w:next w:val="Default"/>
    <w:rsid w:val="00D55D45"/>
    <w:pPr>
      <w:widowControl w:val="0"/>
      <w:spacing w:after="65"/>
    </w:pPr>
    <w:rPr>
      <w:color w:val="auto"/>
      <w:lang w:val="en-US" w:eastAsia="en-US"/>
    </w:rPr>
  </w:style>
  <w:style w:type="paragraph" w:customStyle="1" w:styleId="CM4">
    <w:name w:val="CM4"/>
    <w:basedOn w:val="Default"/>
    <w:next w:val="Default"/>
    <w:rsid w:val="00D55D45"/>
    <w:pPr>
      <w:widowControl w:val="0"/>
      <w:spacing w:line="253" w:lineRule="atLeast"/>
    </w:pPr>
    <w:rPr>
      <w:color w:val="auto"/>
      <w:lang w:val="en-US" w:eastAsia="en-US"/>
    </w:rPr>
  </w:style>
  <w:style w:type="paragraph" w:customStyle="1" w:styleId="CM23">
    <w:name w:val="CM23"/>
    <w:basedOn w:val="Default"/>
    <w:next w:val="Default"/>
    <w:rsid w:val="00D55D45"/>
    <w:pPr>
      <w:widowControl w:val="0"/>
      <w:spacing w:after="233"/>
    </w:pPr>
    <w:rPr>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80"/>
    <w:rPr>
      <w:sz w:val="24"/>
      <w:szCs w:val="24"/>
      <w:lang w:val="en-US" w:eastAsia="en-US"/>
    </w:rPr>
  </w:style>
  <w:style w:type="paragraph" w:styleId="Heading1">
    <w:name w:val="heading 1"/>
    <w:basedOn w:val="Normal"/>
    <w:link w:val="Heading1Char"/>
    <w:uiPriority w:val="9"/>
    <w:qFormat/>
    <w:rsid w:val="005963A3"/>
    <w:pPr>
      <w:spacing w:before="100" w:beforeAutospacing="1" w:after="100" w:afterAutospacing="1"/>
      <w:outlineLvl w:val="0"/>
    </w:pPr>
    <w:rPr>
      <w:b/>
      <w:bCs/>
      <w:kern w:val="36"/>
      <w:sz w:val="48"/>
      <w:szCs w:val="4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25DBB"/>
    <w:rPr>
      <w:sz w:val="20"/>
      <w:szCs w:val="20"/>
    </w:rPr>
  </w:style>
  <w:style w:type="character" w:styleId="FootnoteReference">
    <w:name w:val="footnote reference"/>
    <w:basedOn w:val="DefaultParagraphFont"/>
    <w:semiHidden/>
    <w:rsid w:val="00F25DBB"/>
    <w:rPr>
      <w:vertAlign w:val="superscript"/>
    </w:rPr>
  </w:style>
  <w:style w:type="paragraph" w:styleId="Header">
    <w:name w:val="header"/>
    <w:basedOn w:val="Normal"/>
    <w:rsid w:val="00B82AEF"/>
    <w:pPr>
      <w:tabs>
        <w:tab w:val="center" w:pos="4320"/>
        <w:tab w:val="right" w:pos="8640"/>
      </w:tabs>
    </w:pPr>
  </w:style>
  <w:style w:type="paragraph" w:styleId="Footer">
    <w:name w:val="footer"/>
    <w:basedOn w:val="Normal"/>
    <w:link w:val="FooterChar"/>
    <w:uiPriority w:val="99"/>
    <w:rsid w:val="00B82AEF"/>
    <w:pPr>
      <w:tabs>
        <w:tab w:val="center" w:pos="4320"/>
        <w:tab w:val="right" w:pos="8640"/>
      </w:tabs>
    </w:pPr>
  </w:style>
  <w:style w:type="paragraph" w:styleId="BalloonText">
    <w:name w:val="Balloon Text"/>
    <w:basedOn w:val="Normal"/>
    <w:semiHidden/>
    <w:rsid w:val="00B82AEF"/>
    <w:rPr>
      <w:rFonts w:ascii="Tahoma" w:hAnsi="Tahoma" w:cs="Tahoma"/>
      <w:sz w:val="16"/>
      <w:szCs w:val="16"/>
    </w:rPr>
  </w:style>
  <w:style w:type="character" w:styleId="Hyperlink">
    <w:name w:val="Hyperlink"/>
    <w:basedOn w:val="DefaultParagraphFont"/>
    <w:rsid w:val="00F44978"/>
    <w:rPr>
      <w:color w:val="0000FF"/>
      <w:u w:val="single"/>
    </w:rPr>
  </w:style>
  <w:style w:type="character" w:customStyle="1" w:styleId="FootnoteTextChar">
    <w:name w:val="Footnote Text Char"/>
    <w:basedOn w:val="DefaultParagraphFont"/>
    <w:link w:val="FootnoteText"/>
    <w:semiHidden/>
    <w:rsid w:val="00986A5F"/>
    <w:rPr>
      <w:lang w:val="en-US" w:eastAsia="en-US"/>
    </w:rPr>
  </w:style>
  <w:style w:type="character" w:styleId="Emphasis">
    <w:name w:val="Emphasis"/>
    <w:basedOn w:val="DefaultParagraphFont"/>
    <w:uiPriority w:val="20"/>
    <w:qFormat/>
    <w:rsid w:val="00A549AE"/>
    <w:rPr>
      <w:i/>
      <w:iCs/>
    </w:rPr>
  </w:style>
  <w:style w:type="table" w:styleId="TableGrid">
    <w:name w:val="Table Grid"/>
    <w:basedOn w:val="TableNormal"/>
    <w:uiPriority w:val="59"/>
    <w:rsid w:val="00CD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0640"/>
  </w:style>
  <w:style w:type="character" w:customStyle="1" w:styleId="spelle">
    <w:name w:val="spelle"/>
    <w:basedOn w:val="DefaultParagraphFont"/>
    <w:rsid w:val="00140640"/>
  </w:style>
  <w:style w:type="character" w:customStyle="1" w:styleId="grame">
    <w:name w:val="grame"/>
    <w:basedOn w:val="DefaultParagraphFont"/>
    <w:rsid w:val="001B2927"/>
  </w:style>
  <w:style w:type="paragraph" w:customStyle="1" w:styleId="Default">
    <w:name w:val="Default"/>
    <w:rsid w:val="005963A3"/>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5963A3"/>
    <w:rPr>
      <w:b/>
      <w:bCs/>
      <w:kern w:val="36"/>
      <w:sz w:val="48"/>
      <w:szCs w:val="48"/>
    </w:rPr>
  </w:style>
  <w:style w:type="character" w:customStyle="1" w:styleId="hit">
    <w:name w:val="hit"/>
    <w:basedOn w:val="DefaultParagraphFont"/>
    <w:rsid w:val="005963A3"/>
  </w:style>
  <w:style w:type="paragraph" w:styleId="ListParagraph">
    <w:name w:val="List Paragraph"/>
    <w:basedOn w:val="Normal"/>
    <w:uiPriority w:val="34"/>
    <w:qFormat/>
    <w:rsid w:val="001B353F"/>
    <w:pPr>
      <w:ind w:left="720"/>
      <w:contextualSpacing/>
    </w:pPr>
  </w:style>
  <w:style w:type="character" w:customStyle="1" w:styleId="FooterChar">
    <w:name w:val="Footer Char"/>
    <w:basedOn w:val="DefaultParagraphFont"/>
    <w:link w:val="Footer"/>
    <w:uiPriority w:val="99"/>
    <w:rsid w:val="00380679"/>
    <w:rPr>
      <w:sz w:val="24"/>
      <w:szCs w:val="24"/>
      <w:lang w:val="en-US" w:eastAsia="en-US"/>
    </w:rPr>
  </w:style>
  <w:style w:type="paragraph" w:styleId="EndnoteText">
    <w:name w:val="endnote text"/>
    <w:basedOn w:val="Normal"/>
    <w:link w:val="EndnoteTextChar"/>
    <w:uiPriority w:val="99"/>
    <w:rsid w:val="002B7592"/>
    <w:rPr>
      <w:sz w:val="20"/>
      <w:szCs w:val="20"/>
    </w:rPr>
  </w:style>
  <w:style w:type="character" w:customStyle="1" w:styleId="EndnoteTextChar">
    <w:name w:val="Endnote Text Char"/>
    <w:basedOn w:val="DefaultParagraphFont"/>
    <w:link w:val="EndnoteText"/>
    <w:rsid w:val="002B7592"/>
    <w:rPr>
      <w:lang w:val="en-US" w:eastAsia="en-US"/>
    </w:rPr>
  </w:style>
  <w:style w:type="character" w:styleId="EndnoteReference">
    <w:name w:val="endnote reference"/>
    <w:basedOn w:val="DefaultParagraphFont"/>
    <w:rsid w:val="002B7592"/>
    <w:rPr>
      <w:vertAlign w:val="superscript"/>
    </w:rPr>
  </w:style>
  <w:style w:type="paragraph" w:styleId="PlainText">
    <w:name w:val="Plain Text"/>
    <w:basedOn w:val="Normal"/>
    <w:link w:val="PlainTextChar"/>
    <w:uiPriority w:val="99"/>
    <w:unhideWhenUsed/>
    <w:rsid w:val="001B69AD"/>
    <w:rPr>
      <w:rFonts w:ascii="Consolas" w:eastAsiaTheme="minorHAnsi" w:hAnsi="Consolas"/>
      <w:sz w:val="21"/>
      <w:szCs w:val="21"/>
      <w:lang w:val="en-NZ"/>
    </w:rPr>
  </w:style>
  <w:style w:type="character" w:customStyle="1" w:styleId="PlainTextChar">
    <w:name w:val="Plain Text Char"/>
    <w:basedOn w:val="DefaultParagraphFont"/>
    <w:link w:val="PlainText"/>
    <w:uiPriority w:val="99"/>
    <w:rsid w:val="001B69AD"/>
    <w:rPr>
      <w:rFonts w:ascii="Consolas" w:eastAsiaTheme="minorHAnsi" w:hAnsi="Consolas"/>
      <w:sz w:val="21"/>
      <w:szCs w:val="21"/>
      <w:lang w:eastAsia="en-US"/>
    </w:rPr>
  </w:style>
  <w:style w:type="paragraph" w:styleId="Title">
    <w:name w:val="Title"/>
    <w:basedOn w:val="Normal"/>
    <w:link w:val="TitleChar"/>
    <w:qFormat/>
    <w:rsid w:val="00D55D45"/>
    <w:pPr>
      <w:widowControl w:val="0"/>
      <w:tabs>
        <w:tab w:val="center" w:pos="5040"/>
      </w:tabs>
      <w:jc w:val="center"/>
    </w:pPr>
    <w:rPr>
      <w:rFonts w:ascii="CG Times" w:hAnsi="CG Times"/>
      <w:b/>
      <w:snapToGrid w:val="0"/>
      <w:sz w:val="56"/>
      <w:szCs w:val="20"/>
    </w:rPr>
  </w:style>
  <w:style w:type="character" w:customStyle="1" w:styleId="TitleChar">
    <w:name w:val="Title Char"/>
    <w:basedOn w:val="DefaultParagraphFont"/>
    <w:link w:val="Title"/>
    <w:rsid w:val="00D55D45"/>
    <w:rPr>
      <w:rFonts w:ascii="CG Times" w:hAnsi="CG Times"/>
      <w:b/>
      <w:snapToGrid w:val="0"/>
      <w:sz w:val="56"/>
      <w:lang w:val="en-US" w:eastAsia="en-US"/>
    </w:rPr>
  </w:style>
  <w:style w:type="paragraph" w:customStyle="1" w:styleId="CM1">
    <w:name w:val="CM1"/>
    <w:basedOn w:val="Default"/>
    <w:next w:val="Default"/>
    <w:rsid w:val="00D55D45"/>
    <w:pPr>
      <w:widowControl w:val="0"/>
      <w:spacing w:line="323" w:lineRule="atLeast"/>
    </w:pPr>
    <w:rPr>
      <w:color w:val="auto"/>
      <w:lang w:val="en-US" w:eastAsia="en-US"/>
    </w:rPr>
  </w:style>
  <w:style w:type="paragraph" w:customStyle="1" w:styleId="CM20">
    <w:name w:val="CM20"/>
    <w:basedOn w:val="Default"/>
    <w:next w:val="Default"/>
    <w:rsid w:val="00D55D45"/>
    <w:pPr>
      <w:widowControl w:val="0"/>
      <w:spacing w:after="1503"/>
    </w:pPr>
    <w:rPr>
      <w:color w:val="auto"/>
      <w:lang w:val="en-US" w:eastAsia="en-US"/>
    </w:rPr>
  </w:style>
  <w:style w:type="paragraph" w:customStyle="1" w:styleId="CM3">
    <w:name w:val="CM3"/>
    <w:basedOn w:val="Default"/>
    <w:next w:val="Default"/>
    <w:rsid w:val="00D55D45"/>
    <w:pPr>
      <w:widowControl w:val="0"/>
    </w:pPr>
    <w:rPr>
      <w:color w:val="auto"/>
      <w:lang w:val="en-US" w:eastAsia="en-US"/>
    </w:rPr>
  </w:style>
  <w:style w:type="paragraph" w:customStyle="1" w:styleId="CM21">
    <w:name w:val="CM21"/>
    <w:basedOn w:val="Default"/>
    <w:next w:val="Default"/>
    <w:rsid w:val="00D55D45"/>
    <w:pPr>
      <w:widowControl w:val="0"/>
      <w:spacing w:after="513"/>
    </w:pPr>
    <w:rPr>
      <w:color w:val="auto"/>
      <w:lang w:val="en-US" w:eastAsia="en-US"/>
    </w:rPr>
  </w:style>
  <w:style w:type="paragraph" w:customStyle="1" w:styleId="CM22">
    <w:name w:val="CM22"/>
    <w:basedOn w:val="Default"/>
    <w:next w:val="Default"/>
    <w:rsid w:val="00D55D45"/>
    <w:pPr>
      <w:widowControl w:val="0"/>
      <w:spacing w:after="65"/>
    </w:pPr>
    <w:rPr>
      <w:color w:val="auto"/>
      <w:lang w:val="en-US" w:eastAsia="en-US"/>
    </w:rPr>
  </w:style>
  <w:style w:type="paragraph" w:customStyle="1" w:styleId="CM4">
    <w:name w:val="CM4"/>
    <w:basedOn w:val="Default"/>
    <w:next w:val="Default"/>
    <w:rsid w:val="00D55D45"/>
    <w:pPr>
      <w:widowControl w:val="0"/>
      <w:spacing w:line="253" w:lineRule="atLeast"/>
    </w:pPr>
    <w:rPr>
      <w:color w:val="auto"/>
      <w:lang w:val="en-US" w:eastAsia="en-US"/>
    </w:rPr>
  </w:style>
  <w:style w:type="paragraph" w:customStyle="1" w:styleId="CM23">
    <w:name w:val="CM23"/>
    <w:basedOn w:val="Default"/>
    <w:next w:val="Default"/>
    <w:rsid w:val="00D55D45"/>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07549">
      <w:bodyDiv w:val="1"/>
      <w:marLeft w:val="0"/>
      <w:marRight w:val="0"/>
      <w:marTop w:val="0"/>
      <w:marBottom w:val="0"/>
      <w:divBdr>
        <w:top w:val="none" w:sz="0" w:space="0" w:color="auto"/>
        <w:left w:val="none" w:sz="0" w:space="0" w:color="auto"/>
        <w:bottom w:val="none" w:sz="0" w:space="0" w:color="auto"/>
        <w:right w:val="none" w:sz="0" w:space="0" w:color="auto"/>
      </w:divBdr>
      <w:divsChild>
        <w:div w:id="1203788767">
          <w:marLeft w:val="0"/>
          <w:marRight w:val="0"/>
          <w:marTop w:val="0"/>
          <w:marBottom w:val="0"/>
          <w:divBdr>
            <w:top w:val="none" w:sz="0" w:space="0" w:color="auto"/>
            <w:left w:val="none" w:sz="0" w:space="0" w:color="auto"/>
            <w:bottom w:val="none" w:sz="0" w:space="0" w:color="auto"/>
            <w:right w:val="none" w:sz="0" w:space="0" w:color="auto"/>
          </w:divBdr>
          <w:divsChild>
            <w:div w:id="105318159">
              <w:marLeft w:val="0"/>
              <w:marRight w:val="0"/>
              <w:marTop w:val="0"/>
              <w:marBottom w:val="0"/>
              <w:divBdr>
                <w:top w:val="none" w:sz="0" w:space="0" w:color="auto"/>
                <w:left w:val="none" w:sz="0" w:space="0" w:color="auto"/>
                <w:bottom w:val="none" w:sz="0" w:space="0" w:color="auto"/>
                <w:right w:val="none" w:sz="0" w:space="0" w:color="auto"/>
              </w:divBdr>
            </w:div>
            <w:div w:id="151914993">
              <w:marLeft w:val="0"/>
              <w:marRight w:val="0"/>
              <w:marTop w:val="0"/>
              <w:marBottom w:val="0"/>
              <w:divBdr>
                <w:top w:val="none" w:sz="0" w:space="0" w:color="auto"/>
                <w:left w:val="none" w:sz="0" w:space="0" w:color="auto"/>
                <w:bottom w:val="none" w:sz="0" w:space="0" w:color="auto"/>
                <w:right w:val="none" w:sz="0" w:space="0" w:color="auto"/>
              </w:divBdr>
            </w:div>
            <w:div w:id="1127309797">
              <w:marLeft w:val="0"/>
              <w:marRight w:val="0"/>
              <w:marTop w:val="0"/>
              <w:marBottom w:val="0"/>
              <w:divBdr>
                <w:top w:val="none" w:sz="0" w:space="0" w:color="auto"/>
                <w:left w:val="none" w:sz="0" w:space="0" w:color="auto"/>
                <w:bottom w:val="none" w:sz="0" w:space="0" w:color="auto"/>
                <w:right w:val="none" w:sz="0" w:space="0" w:color="auto"/>
              </w:divBdr>
            </w:div>
            <w:div w:id="1141076819">
              <w:marLeft w:val="0"/>
              <w:marRight w:val="0"/>
              <w:marTop w:val="0"/>
              <w:marBottom w:val="0"/>
              <w:divBdr>
                <w:top w:val="none" w:sz="0" w:space="0" w:color="auto"/>
                <w:left w:val="none" w:sz="0" w:space="0" w:color="auto"/>
                <w:bottom w:val="none" w:sz="0" w:space="0" w:color="auto"/>
                <w:right w:val="none" w:sz="0" w:space="0" w:color="auto"/>
              </w:divBdr>
            </w:div>
            <w:div w:id="1546334874">
              <w:marLeft w:val="0"/>
              <w:marRight w:val="0"/>
              <w:marTop w:val="0"/>
              <w:marBottom w:val="0"/>
              <w:divBdr>
                <w:top w:val="none" w:sz="0" w:space="0" w:color="auto"/>
                <w:left w:val="none" w:sz="0" w:space="0" w:color="auto"/>
                <w:bottom w:val="none" w:sz="0" w:space="0" w:color="auto"/>
                <w:right w:val="none" w:sz="0" w:space="0" w:color="auto"/>
              </w:divBdr>
            </w:div>
            <w:div w:id="1678120558">
              <w:marLeft w:val="0"/>
              <w:marRight w:val="0"/>
              <w:marTop w:val="0"/>
              <w:marBottom w:val="0"/>
              <w:divBdr>
                <w:top w:val="none" w:sz="0" w:space="0" w:color="auto"/>
                <w:left w:val="none" w:sz="0" w:space="0" w:color="auto"/>
                <w:bottom w:val="none" w:sz="0" w:space="0" w:color="auto"/>
                <w:right w:val="none" w:sz="0" w:space="0" w:color="auto"/>
              </w:divBdr>
            </w:div>
            <w:div w:id="1800031844">
              <w:marLeft w:val="0"/>
              <w:marRight w:val="0"/>
              <w:marTop w:val="0"/>
              <w:marBottom w:val="0"/>
              <w:divBdr>
                <w:top w:val="none" w:sz="0" w:space="0" w:color="auto"/>
                <w:left w:val="none" w:sz="0" w:space="0" w:color="auto"/>
                <w:bottom w:val="none" w:sz="0" w:space="0" w:color="auto"/>
                <w:right w:val="none" w:sz="0" w:space="0" w:color="auto"/>
              </w:divBdr>
            </w:div>
            <w:div w:id="18255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2849">
      <w:bodyDiv w:val="1"/>
      <w:marLeft w:val="0"/>
      <w:marRight w:val="0"/>
      <w:marTop w:val="0"/>
      <w:marBottom w:val="0"/>
      <w:divBdr>
        <w:top w:val="none" w:sz="0" w:space="0" w:color="auto"/>
        <w:left w:val="none" w:sz="0" w:space="0" w:color="auto"/>
        <w:bottom w:val="none" w:sz="0" w:space="0" w:color="auto"/>
        <w:right w:val="none" w:sz="0" w:space="0" w:color="auto"/>
      </w:divBdr>
    </w:div>
    <w:div w:id="645398619">
      <w:bodyDiv w:val="1"/>
      <w:marLeft w:val="0"/>
      <w:marRight w:val="0"/>
      <w:marTop w:val="0"/>
      <w:marBottom w:val="0"/>
      <w:divBdr>
        <w:top w:val="none" w:sz="0" w:space="0" w:color="auto"/>
        <w:left w:val="none" w:sz="0" w:space="0" w:color="auto"/>
        <w:bottom w:val="none" w:sz="0" w:space="0" w:color="auto"/>
        <w:right w:val="none" w:sz="0" w:space="0" w:color="auto"/>
      </w:divBdr>
      <w:divsChild>
        <w:div w:id="500244596">
          <w:marLeft w:val="0"/>
          <w:marRight w:val="0"/>
          <w:marTop w:val="0"/>
          <w:marBottom w:val="0"/>
          <w:divBdr>
            <w:top w:val="none" w:sz="0" w:space="0" w:color="auto"/>
            <w:left w:val="none" w:sz="0" w:space="0" w:color="auto"/>
            <w:bottom w:val="none" w:sz="0" w:space="0" w:color="auto"/>
            <w:right w:val="none" w:sz="0" w:space="0" w:color="auto"/>
          </w:divBdr>
          <w:divsChild>
            <w:div w:id="171578917">
              <w:marLeft w:val="0"/>
              <w:marRight w:val="0"/>
              <w:marTop w:val="0"/>
              <w:marBottom w:val="0"/>
              <w:divBdr>
                <w:top w:val="none" w:sz="0" w:space="0" w:color="auto"/>
                <w:left w:val="none" w:sz="0" w:space="0" w:color="auto"/>
                <w:bottom w:val="none" w:sz="0" w:space="0" w:color="auto"/>
                <w:right w:val="none" w:sz="0" w:space="0" w:color="auto"/>
              </w:divBdr>
            </w:div>
            <w:div w:id="384448587">
              <w:marLeft w:val="0"/>
              <w:marRight w:val="0"/>
              <w:marTop w:val="0"/>
              <w:marBottom w:val="0"/>
              <w:divBdr>
                <w:top w:val="none" w:sz="0" w:space="0" w:color="auto"/>
                <w:left w:val="none" w:sz="0" w:space="0" w:color="auto"/>
                <w:bottom w:val="none" w:sz="0" w:space="0" w:color="auto"/>
                <w:right w:val="none" w:sz="0" w:space="0" w:color="auto"/>
              </w:divBdr>
            </w:div>
            <w:div w:id="408306732">
              <w:marLeft w:val="0"/>
              <w:marRight w:val="0"/>
              <w:marTop w:val="0"/>
              <w:marBottom w:val="0"/>
              <w:divBdr>
                <w:top w:val="none" w:sz="0" w:space="0" w:color="auto"/>
                <w:left w:val="none" w:sz="0" w:space="0" w:color="auto"/>
                <w:bottom w:val="none" w:sz="0" w:space="0" w:color="auto"/>
                <w:right w:val="none" w:sz="0" w:space="0" w:color="auto"/>
              </w:divBdr>
            </w:div>
            <w:div w:id="699282728">
              <w:marLeft w:val="0"/>
              <w:marRight w:val="0"/>
              <w:marTop w:val="0"/>
              <w:marBottom w:val="0"/>
              <w:divBdr>
                <w:top w:val="none" w:sz="0" w:space="0" w:color="auto"/>
                <w:left w:val="none" w:sz="0" w:space="0" w:color="auto"/>
                <w:bottom w:val="none" w:sz="0" w:space="0" w:color="auto"/>
                <w:right w:val="none" w:sz="0" w:space="0" w:color="auto"/>
              </w:divBdr>
            </w:div>
            <w:div w:id="1510367917">
              <w:marLeft w:val="0"/>
              <w:marRight w:val="0"/>
              <w:marTop w:val="0"/>
              <w:marBottom w:val="0"/>
              <w:divBdr>
                <w:top w:val="none" w:sz="0" w:space="0" w:color="auto"/>
                <w:left w:val="none" w:sz="0" w:space="0" w:color="auto"/>
                <w:bottom w:val="none" w:sz="0" w:space="0" w:color="auto"/>
                <w:right w:val="none" w:sz="0" w:space="0" w:color="auto"/>
              </w:divBdr>
            </w:div>
            <w:div w:id="1551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70585">
      <w:bodyDiv w:val="1"/>
      <w:marLeft w:val="0"/>
      <w:marRight w:val="0"/>
      <w:marTop w:val="0"/>
      <w:marBottom w:val="0"/>
      <w:divBdr>
        <w:top w:val="none" w:sz="0" w:space="0" w:color="auto"/>
        <w:left w:val="none" w:sz="0" w:space="0" w:color="auto"/>
        <w:bottom w:val="none" w:sz="0" w:space="0" w:color="auto"/>
        <w:right w:val="none" w:sz="0" w:space="0" w:color="auto"/>
      </w:divBdr>
    </w:div>
    <w:div w:id="988556509">
      <w:bodyDiv w:val="1"/>
      <w:marLeft w:val="0"/>
      <w:marRight w:val="0"/>
      <w:marTop w:val="0"/>
      <w:marBottom w:val="0"/>
      <w:divBdr>
        <w:top w:val="none" w:sz="0" w:space="0" w:color="auto"/>
        <w:left w:val="none" w:sz="0" w:space="0" w:color="auto"/>
        <w:bottom w:val="none" w:sz="0" w:space="0" w:color="auto"/>
        <w:right w:val="none" w:sz="0" w:space="0" w:color="auto"/>
      </w:divBdr>
      <w:divsChild>
        <w:div w:id="904685200">
          <w:marLeft w:val="0"/>
          <w:marRight w:val="0"/>
          <w:marTop w:val="0"/>
          <w:marBottom w:val="0"/>
          <w:divBdr>
            <w:top w:val="none" w:sz="0" w:space="0" w:color="auto"/>
            <w:left w:val="none" w:sz="0" w:space="0" w:color="auto"/>
            <w:bottom w:val="none" w:sz="0" w:space="0" w:color="auto"/>
            <w:right w:val="none" w:sz="0" w:space="0" w:color="auto"/>
          </w:divBdr>
          <w:divsChild>
            <w:div w:id="82118554">
              <w:marLeft w:val="0"/>
              <w:marRight w:val="0"/>
              <w:marTop w:val="0"/>
              <w:marBottom w:val="0"/>
              <w:divBdr>
                <w:top w:val="none" w:sz="0" w:space="0" w:color="auto"/>
                <w:left w:val="none" w:sz="0" w:space="0" w:color="auto"/>
                <w:bottom w:val="none" w:sz="0" w:space="0" w:color="auto"/>
                <w:right w:val="none" w:sz="0" w:space="0" w:color="auto"/>
              </w:divBdr>
            </w:div>
            <w:div w:id="100953800">
              <w:marLeft w:val="0"/>
              <w:marRight w:val="0"/>
              <w:marTop w:val="0"/>
              <w:marBottom w:val="0"/>
              <w:divBdr>
                <w:top w:val="none" w:sz="0" w:space="0" w:color="auto"/>
                <w:left w:val="none" w:sz="0" w:space="0" w:color="auto"/>
                <w:bottom w:val="none" w:sz="0" w:space="0" w:color="auto"/>
                <w:right w:val="none" w:sz="0" w:space="0" w:color="auto"/>
              </w:divBdr>
            </w:div>
            <w:div w:id="340669645">
              <w:marLeft w:val="0"/>
              <w:marRight w:val="0"/>
              <w:marTop w:val="0"/>
              <w:marBottom w:val="0"/>
              <w:divBdr>
                <w:top w:val="none" w:sz="0" w:space="0" w:color="auto"/>
                <w:left w:val="none" w:sz="0" w:space="0" w:color="auto"/>
                <w:bottom w:val="none" w:sz="0" w:space="0" w:color="auto"/>
                <w:right w:val="none" w:sz="0" w:space="0" w:color="auto"/>
              </w:divBdr>
            </w:div>
            <w:div w:id="1172137168">
              <w:marLeft w:val="0"/>
              <w:marRight w:val="0"/>
              <w:marTop w:val="0"/>
              <w:marBottom w:val="0"/>
              <w:divBdr>
                <w:top w:val="none" w:sz="0" w:space="0" w:color="auto"/>
                <w:left w:val="none" w:sz="0" w:space="0" w:color="auto"/>
                <w:bottom w:val="none" w:sz="0" w:space="0" w:color="auto"/>
                <w:right w:val="none" w:sz="0" w:space="0" w:color="auto"/>
              </w:divBdr>
            </w:div>
            <w:div w:id="11966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007">
      <w:bodyDiv w:val="1"/>
      <w:marLeft w:val="0"/>
      <w:marRight w:val="0"/>
      <w:marTop w:val="0"/>
      <w:marBottom w:val="0"/>
      <w:divBdr>
        <w:top w:val="none" w:sz="0" w:space="0" w:color="auto"/>
        <w:left w:val="none" w:sz="0" w:space="0" w:color="auto"/>
        <w:bottom w:val="none" w:sz="0" w:space="0" w:color="auto"/>
        <w:right w:val="none" w:sz="0" w:space="0" w:color="auto"/>
      </w:divBdr>
    </w:div>
    <w:div w:id="1645768277">
      <w:bodyDiv w:val="1"/>
      <w:marLeft w:val="0"/>
      <w:marRight w:val="0"/>
      <w:marTop w:val="0"/>
      <w:marBottom w:val="0"/>
      <w:divBdr>
        <w:top w:val="none" w:sz="0" w:space="0" w:color="auto"/>
        <w:left w:val="none" w:sz="0" w:space="0" w:color="auto"/>
        <w:bottom w:val="none" w:sz="0" w:space="0" w:color="auto"/>
        <w:right w:val="none" w:sz="0" w:space="0" w:color="auto"/>
      </w:divBdr>
    </w:div>
    <w:div w:id="1828133640">
      <w:bodyDiv w:val="1"/>
      <w:marLeft w:val="0"/>
      <w:marRight w:val="0"/>
      <w:marTop w:val="0"/>
      <w:marBottom w:val="0"/>
      <w:divBdr>
        <w:top w:val="none" w:sz="0" w:space="0" w:color="auto"/>
        <w:left w:val="none" w:sz="0" w:space="0" w:color="auto"/>
        <w:bottom w:val="none" w:sz="0" w:space="0" w:color="auto"/>
        <w:right w:val="none" w:sz="0" w:space="0" w:color="auto"/>
      </w:divBdr>
      <w:divsChild>
        <w:div w:id="1029719044">
          <w:marLeft w:val="0"/>
          <w:marRight w:val="0"/>
          <w:marTop w:val="0"/>
          <w:marBottom w:val="0"/>
          <w:divBdr>
            <w:top w:val="none" w:sz="0" w:space="0" w:color="auto"/>
            <w:left w:val="none" w:sz="0" w:space="0" w:color="auto"/>
            <w:bottom w:val="none" w:sz="0" w:space="0" w:color="auto"/>
            <w:right w:val="none" w:sz="0" w:space="0" w:color="auto"/>
          </w:divBdr>
          <w:divsChild>
            <w:div w:id="110366783">
              <w:marLeft w:val="0"/>
              <w:marRight w:val="0"/>
              <w:marTop w:val="0"/>
              <w:marBottom w:val="0"/>
              <w:divBdr>
                <w:top w:val="none" w:sz="0" w:space="0" w:color="auto"/>
                <w:left w:val="none" w:sz="0" w:space="0" w:color="auto"/>
                <w:bottom w:val="none" w:sz="0" w:space="0" w:color="auto"/>
                <w:right w:val="none" w:sz="0" w:space="0" w:color="auto"/>
              </w:divBdr>
            </w:div>
            <w:div w:id="547030669">
              <w:marLeft w:val="0"/>
              <w:marRight w:val="0"/>
              <w:marTop w:val="0"/>
              <w:marBottom w:val="0"/>
              <w:divBdr>
                <w:top w:val="none" w:sz="0" w:space="0" w:color="auto"/>
                <w:left w:val="none" w:sz="0" w:space="0" w:color="auto"/>
                <w:bottom w:val="none" w:sz="0" w:space="0" w:color="auto"/>
                <w:right w:val="none" w:sz="0" w:space="0" w:color="auto"/>
              </w:divBdr>
            </w:div>
            <w:div w:id="780761133">
              <w:marLeft w:val="0"/>
              <w:marRight w:val="0"/>
              <w:marTop w:val="0"/>
              <w:marBottom w:val="0"/>
              <w:divBdr>
                <w:top w:val="none" w:sz="0" w:space="0" w:color="auto"/>
                <w:left w:val="none" w:sz="0" w:space="0" w:color="auto"/>
                <w:bottom w:val="none" w:sz="0" w:space="0" w:color="auto"/>
                <w:right w:val="none" w:sz="0" w:space="0" w:color="auto"/>
              </w:divBdr>
            </w:div>
            <w:div w:id="1528712443">
              <w:marLeft w:val="0"/>
              <w:marRight w:val="0"/>
              <w:marTop w:val="0"/>
              <w:marBottom w:val="0"/>
              <w:divBdr>
                <w:top w:val="none" w:sz="0" w:space="0" w:color="auto"/>
                <w:left w:val="none" w:sz="0" w:space="0" w:color="auto"/>
                <w:bottom w:val="none" w:sz="0" w:space="0" w:color="auto"/>
                <w:right w:val="none" w:sz="0" w:space="0" w:color="auto"/>
              </w:divBdr>
            </w:div>
            <w:div w:id="1560285105">
              <w:marLeft w:val="0"/>
              <w:marRight w:val="0"/>
              <w:marTop w:val="0"/>
              <w:marBottom w:val="0"/>
              <w:divBdr>
                <w:top w:val="none" w:sz="0" w:space="0" w:color="auto"/>
                <w:left w:val="none" w:sz="0" w:space="0" w:color="auto"/>
                <w:bottom w:val="none" w:sz="0" w:space="0" w:color="auto"/>
                <w:right w:val="none" w:sz="0" w:space="0" w:color="auto"/>
              </w:divBdr>
            </w:div>
            <w:div w:id="19836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ihsn.org/home/node/34"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latin typeface="Times New Roman" panose="02020603050405020304" pitchFamily="18" charset="0"/>
                <a:cs typeface="Times New Roman" panose="02020603050405020304" pitchFamily="18" charset="0"/>
              </a:defRPr>
            </a:pPr>
            <a:r>
              <a:rPr lang="en-NZ" sz="1200" b="1">
                <a:latin typeface="Times New Roman" panose="02020603050405020304" pitchFamily="18" charset="0"/>
                <a:cs typeface="Times New Roman" panose="02020603050405020304" pitchFamily="18" charset="0"/>
              </a:rPr>
              <a:t>Figure 4</a:t>
            </a:r>
            <a:r>
              <a:rPr lang="en-NZ" sz="1200" b="0">
                <a:latin typeface="Times New Roman" panose="02020603050405020304" pitchFamily="18" charset="0"/>
                <a:cs typeface="Times New Roman" panose="02020603050405020304" pitchFamily="18" charset="0"/>
              </a:rPr>
              <a:t>: Overstated</a:t>
            </a:r>
            <a:r>
              <a:rPr lang="en-NZ" sz="1200" b="0" baseline="0">
                <a:latin typeface="Times New Roman" panose="02020603050405020304" pitchFamily="18" charset="0"/>
                <a:cs typeface="Times New Roman" panose="02020603050405020304" pitchFamily="18" charset="0"/>
              </a:rPr>
              <a:t> spatial </a:t>
            </a:r>
            <a:r>
              <a:rPr lang="en-NZ" sz="1200" b="0">
                <a:latin typeface="Times New Roman" panose="02020603050405020304" pitchFamily="18" charset="0"/>
                <a:cs typeface="Times New Roman" panose="02020603050405020304" pitchFamily="18" charset="0"/>
              </a:rPr>
              <a:t>inequality in</a:t>
            </a:r>
            <a:r>
              <a:rPr lang="en-NZ" sz="1200" b="0" baseline="0">
                <a:latin typeface="Times New Roman" panose="02020603050405020304" pitchFamily="18" charset="0"/>
                <a:cs typeface="Times New Roman" panose="02020603050405020304" pitchFamily="18" charset="0"/>
              </a:rPr>
              <a:t> China's </a:t>
            </a:r>
            <a:r>
              <a:rPr lang="en-NZ" sz="1200" b="0">
                <a:latin typeface="Times New Roman" panose="02020603050405020304" pitchFamily="18" charset="0"/>
                <a:cs typeface="Times New Roman" panose="02020603050405020304" pitchFamily="18" charset="0"/>
              </a:rPr>
              <a:t>GDP per capita, 2010</a:t>
            </a:r>
          </a:p>
        </c:rich>
      </c:tx>
      <c:layout>
        <c:manualLayout>
          <c:xMode val="edge"/>
          <c:yMode val="edge"/>
          <c:x val="0.1496971795773038"/>
          <c:y val="0"/>
        </c:manualLayout>
      </c:layout>
      <c:overlay val="1"/>
    </c:title>
    <c:autoTitleDeleted val="0"/>
    <c:plotArea>
      <c:layout>
        <c:manualLayout>
          <c:layoutTarget val="inner"/>
          <c:xMode val="edge"/>
          <c:yMode val="edge"/>
          <c:x val="7.5256634587343343E-2"/>
          <c:y val="4.4057617797775311E-2"/>
          <c:w val="0.90543890347039968"/>
          <c:h val="0.85653105861767309"/>
        </c:manualLayout>
      </c:layout>
      <c:barChart>
        <c:barDir val="col"/>
        <c:grouping val="clustered"/>
        <c:varyColors val="0"/>
        <c:ser>
          <c:idx val="0"/>
          <c:order val="0"/>
          <c:tx>
            <c:strRef>
              <c:f>Sheet1!$B$1</c:f>
              <c:strCache>
                <c:ptCount val="1"/>
                <c:pt idx="0">
                  <c:v>Real</c:v>
                </c:pt>
              </c:strCache>
            </c:strRef>
          </c:tx>
          <c:invertIfNegative val="0"/>
          <c:cat>
            <c:strRef>
              <c:f>Sheet1!$A$2:$A$6</c:f>
              <c:strCache>
                <c:ptCount val="5"/>
                <c:pt idx="0">
                  <c:v>Province</c:v>
                </c:pt>
                <c:pt idx="1">
                  <c:v>City</c:v>
                </c:pt>
                <c:pt idx="3">
                  <c:v>Province</c:v>
                </c:pt>
                <c:pt idx="4">
                  <c:v>City</c:v>
                </c:pt>
              </c:strCache>
            </c:strRef>
          </c:cat>
          <c:val>
            <c:numRef>
              <c:f>Sheet1!$B$2:$B$6</c:f>
              <c:numCache>
                <c:formatCode>General</c:formatCode>
                <c:ptCount val="5"/>
                <c:pt idx="0">
                  <c:v>1</c:v>
                </c:pt>
                <c:pt idx="1">
                  <c:v>1.3847405238327641</c:v>
                </c:pt>
                <c:pt idx="3">
                  <c:v>1</c:v>
                </c:pt>
                <c:pt idx="4">
                  <c:v>1.1395654370894392</c:v>
                </c:pt>
              </c:numCache>
            </c:numRef>
          </c:val>
        </c:ser>
        <c:ser>
          <c:idx val="1"/>
          <c:order val="1"/>
          <c:tx>
            <c:strRef>
              <c:f>Sheet1!$C$1</c:f>
              <c:strCache>
                <c:ptCount val="1"/>
                <c:pt idx="0">
                  <c:v>Nominal</c:v>
                </c:pt>
              </c:strCache>
            </c:strRef>
          </c:tx>
          <c:spPr>
            <a:solidFill>
              <a:srgbClr val="FF0000"/>
            </a:solidFill>
          </c:spPr>
          <c:invertIfNegative val="0"/>
          <c:cat>
            <c:strRef>
              <c:f>Sheet1!$A$2:$A$6</c:f>
              <c:strCache>
                <c:ptCount val="5"/>
                <c:pt idx="0">
                  <c:v>Province</c:v>
                </c:pt>
                <c:pt idx="1">
                  <c:v>City</c:v>
                </c:pt>
                <c:pt idx="3">
                  <c:v>Province</c:v>
                </c:pt>
                <c:pt idx="4">
                  <c:v>City</c:v>
                </c:pt>
              </c:strCache>
            </c:strRef>
          </c:cat>
          <c:val>
            <c:numRef>
              <c:f>Sheet1!$C$2:$C$6</c:f>
              <c:numCache>
                <c:formatCode>General</c:formatCode>
                <c:ptCount val="5"/>
                <c:pt idx="0">
                  <c:v>1.3539938181226614</c:v>
                </c:pt>
                <c:pt idx="1">
                  <c:v>1.793720514071905</c:v>
                </c:pt>
                <c:pt idx="3">
                  <c:v>1.1456291056088934</c:v>
                </c:pt>
                <c:pt idx="4">
                  <c:v>1.3167761495704902</c:v>
                </c:pt>
              </c:numCache>
            </c:numRef>
          </c:val>
        </c:ser>
        <c:dLbls>
          <c:showLegendKey val="0"/>
          <c:showVal val="0"/>
          <c:showCatName val="0"/>
          <c:showSerName val="0"/>
          <c:showPercent val="0"/>
          <c:showBubbleSize val="0"/>
        </c:dLbls>
        <c:gapWidth val="50"/>
        <c:axId val="117376896"/>
        <c:axId val="92721152"/>
      </c:barChart>
      <c:catAx>
        <c:axId val="117376896"/>
        <c:scaling>
          <c:orientation val="minMax"/>
        </c:scaling>
        <c:delete val="0"/>
        <c:axPos val="b"/>
        <c:numFmt formatCode="General" sourceLinked="0"/>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en-US"/>
          </a:p>
        </c:txPr>
        <c:crossAx val="92721152"/>
        <c:crosses val="autoZero"/>
        <c:auto val="1"/>
        <c:lblAlgn val="ctr"/>
        <c:lblOffset val="100"/>
        <c:noMultiLvlLbl val="0"/>
      </c:catAx>
      <c:valAx>
        <c:axId val="92721152"/>
        <c:scaling>
          <c:orientation val="minMax"/>
          <c:max val="2"/>
          <c:min val="0.8"/>
        </c:scaling>
        <c:delete val="0"/>
        <c:axPos val="l"/>
        <c:numFmt formatCode="#,##0.0" sourceLinked="0"/>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en-US"/>
          </a:p>
        </c:txPr>
        <c:crossAx val="117376896"/>
        <c:crosses val="autoZero"/>
        <c:crossBetween val="between"/>
        <c:majorUnit val="0.2"/>
      </c:valAx>
    </c:plotArea>
    <c:legend>
      <c:legendPos val="r"/>
      <c:layout>
        <c:manualLayout>
          <c:xMode val="edge"/>
          <c:yMode val="edge"/>
          <c:x val="0.80208040609803422"/>
          <c:y val="0.13729251031884432"/>
          <c:w val="0.13791218423641169"/>
          <c:h val="0.1262318525150351"/>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2705-8117-409D-A5C9-7998C222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6627</Words>
  <Characters>37775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The Microeconomic Determinants of Emigration and Return Migration</vt:lpstr>
    </vt:vector>
  </TitlesOfParts>
  <Company>The World Bank Group</Company>
  <LinksUpToDate>false</LinksUpToDate>
  <CharactersWithSpaces>44314</CharactersWithSpaces>
  <SharedDoc>false</SharedDoc>
  <HLinks>
    <vt:vector size="6" baseType="variant">
      <vt:variant>
        <vt:i4>1900636</vt:i4>
      </vt:variant>
      <vt:variant>
        <vt:i4>0</vt:i4>
      </vt:variant>
      <vt:variant>
        <vt:i4>0</vt:i4>
      </vt:variant>
      <vt:variant>
        <vt:i4>5</vt:i4>
      </vt:variant>
      <vt:variant>
        <vt:lpwstr>http://www.scoop.co.nz/stories/PA0412/S00222.htm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Microeconomic Determinants of Emigration and Return Migration</dc:title>
  <dc:creator>dmckenzie</dc:creator>
  <cp:lastModifiedBy>Brian Silverstone</cp:lastModifiedBy>
  <cp:revision>4</cp:revision>
  <cp:lastPrinted>2015-09-17T22:40:00Z</cp:lastPrinted>
  <dcterms:created xsi:type="dcterms:W3CDTF">2015-10-05T22:05:00Z</dcterms:created>
  <dcterms:modified xsi:type="dcterms:W3CDTF">2015-10-05T22:12:00Z</dcterms:modified>
</cp:coreProperties>
</file>