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E4" w:rsidRDefault="00B47FE4" w:rsidP="00B47FE4">
      <w:pPr>
        <w:pStyle w:val="Default"/>
        <w:jc w:val="center"/>
        <w:rPr>
          <w:b/>
          <w:bCs/>
          <w:sz w:val="28"/>
          <w:szCs w:val="28"/>
        </w:rPr>
      </w:pPr>
    </w:p>
    <w:p w:rsidR="00E62678" w:rsidRDefault="00E62678" w:rsidP="00B47FE4">
      <w:pPr>
        <w:pStyle w:val="Default"/>
        <w:jc w:val="center"/>
        <w:rPr>
          <w:b/>
          <w:bCs/>
          <w:sz w:val="28"/>
          <w:szCs w:val="28"/>
        </w:rPr>
      </w:pPr>
    </w:p>
    <w:p w:rsidR="00E62678" w:rsidRDefault="00E62678" w:rsidP="00B47FE4">
      <w:pPr>
        <w:pStyle w:val="Default"/>
        <w:jc w:val="center"/>
        <w:rPr>
          <w:b/>
          <w:bCs/>
          <w:sz w:val="28"/>
          <w:szCs w:val="28"/>
        </w:rPr>
      </w:pPr>
    </w:p>
    <w:p w:rsidR="00B47FE4" w:rsidRDefault="00B47FE4" w:rsidP="00B47FE4">
      <w:pPr>
        <w:pStyle w:val="Default"/>
        <w:jc w:val="center"/>
        <w:rPr>
          <w:b/>
          <w:bCs/>
          <w:sz w:val="28"/>
          <w:szCs w:val="28"/>
        </w:rPr>
      </w:pPr>
      <w:r>
        <w:rPr>
          <w:b/>
          <w:bCs/>
          <w:sz w:val="28"/>
          <w:szCs w:val="28"/>
        </w:rPr>
        <w:t>UNIVERSITY OF WAIKATO</w:t>
      </w:r>
    </w:p>
    <w:p w:rsidR="00B47FE4" w:rsidRDefault="00B47FE4" w:rsidP="00B47FE4">
      <w:pPr>
        <w:pStyle w:val="Default"/>
        <w:jc w:val="center"/>
        <w:rPr>
          <w:b/>
          <w:bCs/>
          <w:sz w:val="28"/>
          <w:szCs w:val="28"/>
        </w:rPr>
      </w:pPr>
      <w:r>
        <w:rPr>
          <w:b/>
          <w:bCs/>
          <w:sz w:val="28"/>
          <w:szCs w:val="28"/>
        </w:rPr>
        <w:br/>
        <w:t>Hamilton</w:t>
      </w:r>
    </w:p>
    <w:p w:rsidR="00B47FE4" w:rsidRDefault="00B47FE4" w:rsidP="00B47FE4">
      <w:pPr>
        <w:pStyle w:val="CM1"/>
        <w:spacing w:line="240" w:lineRule="auto"/>
        <w:jc w:val="center"/>
        <w:rPr>
          <w:b/>
          <w:bCs/>
          <w:sz w:val="28"/>
          <w:szCs w:val="28"/>
        </w:rPr>
      </w:pPr>
      <w:r>
        <w:rPr>
          <w:b/>
          <w:bCs/>
          <w:sz w:val="28"/>
          <w:szCs w:val="28"/>
        </w:rPr>
        <w:t xml:space="preserve">New Zealand </w:t>
      </w:r>
    </w:p>
    <w:p w:rsidR="00B47FE4" w:rsidRDefault="00B47FE4" w:rsidP="00B47FE4">
      <w:pPr>
        <w:pStyle w:val="Default"/>
      </w:pPr>
    </w:p>
    <w:p w:rsidR="00B47FE4" w:rsidRDefault="00B47FE4" w:rsidP="00B47FE4">
      <w:pPr>
        <w:pStyle w:val="Default"/>
      </w:pPr>
    </w:p>
    <w:p w:rsidR="00B47FE4" w:rsidRDefault="00B47FE4" w:rsidP="00B47FE4">
      <w:pPr>
        <w:pStyle w:val="Default"/>
      </w:pPr>
    </w:p>
    <w:p w:rsidR="00B47FE4" w:rsidRDefault="00B47FE4" w:rsidP="00B47FE4">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rsidR="00B47FE4" w:rsidRDefault="00B47FE4" w:rsidP="00B47FE4">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28"/>
          <w:szCs w:val="28"/>
        </w:rPr>
      </w:pPr>
      <w:r>
        <w:rPr>
          <w:rFonts w:ascii="Times New Roman" w:hAnsi="Times New Roman"/>
          <w:sz w:val="28"/>
          <w:szCs w:val="28"/>
        </w:rPr>
        <w:t>Measuring Chronic Hunger from Diet Snapshots:</w:t>
      </w:r>
    </w:p>
    <w:p w:rsidR="00B47FE4" w:rsidRDefault="00B508FB" w:rsidP="00B47FE4">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28"/>
          <w:szCs w:val="28"/>
        </w:rPr>
      </w:pPr>
      <w:r>
        <w:rPr>
          <w:rFonts w:ascii="Times New Roman" w:hAnsi="Times New Roman"/>
          <w:sz w:val="28"/>
          <w:szCs w:val="28"/>
        </w:rPr>
        <w:t>Why 'Bo</w:t>
      </w:r>
      <w:r w:rsidR="00B47FE4">
        <w:rPr>
          <w:rFonts w:ascii="Times New Roman" w:hAnsi="Times New Roman"/>
          <w:sz w:val="28"/>
          <w:szCs w:val="28"/>
        </w:rPr>
        <w:t>ttom up' Survey Counts</w:t>
      </w:r>
    </w:p>
    <w:p w:rsidR="00B47FE4" w:rsidRDefault="00B47FE4" w:rsidP="00B47FE4">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28"/>
          <w:szCs w:val="28"/>
        </w:rPr>
      </w:pPr>
      <w:proofErr w:type="gramStart"/>
      <w:r>
        <w:rPr>
          <w:rFonts w:ascii="Times New Roman" w:hAnsi="Times New Roman"/>
          <w:sz w:val="28"/>
          <w:szCs w:val="28"/>
        </w:rPr>
        <w:t>and</w:t>
      </w:r>
      <w:proofErr w:type="gramEnd"/>
      <w:r>
        <w:rPr>
          <w:rFonts w:ascii="Times New Roman" w:hAnsi="Times New Roman"/>
          <w:sz w:val="28"/>
          <w:szCs w:val="28"/>
        </w:rPr>
        <w:t xml:space="preserve"> 'Top down' FAO Estimates Will Never Meet </w:t>
      </w:r>
    </w:p>
    <w:p w:rsidR="00B47FE4" w:rsidRDefault="00B47FE4" w:rsidP="00B47FE4">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14"/>
          <w:szCs w:val="14"/>
        </w:rPr>
      </w:pPr>
    </w:p>
    <w:p w:rsidR="00B47FE4" w:rsidRDefault="00B47FE4" w:rsidP="00B47FE4">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b w:val="0"/>
          <w:sz w:val="28"/>
          <w:szCs w:val="28"/>
        </w:rPr>
      </w:pPr>
      <w:r>
        <w:rPr>
          <w:rFonts w:ascii="Times New Roman" w:hAnsi="Times New Roman"/>
          <w:b w:val="0"/>
          <w:sz w:val="28"/>
          <w:szCs w:val="28"/>
        </w:rPr>
        <w:t xml:space="preserve">John Gibson </w:t>
      </w:r>
    </w:p>
    <w:p w:rsidR="00B47FE4" w:rsidRDefault="00B47FE4" w:rsidP="00B47FE4">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rsidR="00B47FE4" w:rsidRDefault="00B47FE4" w:rsidP="00B47FE4">
      <w:pPr>
        <w:pStyle w:val="Default"/>
      </w:pPr>
    </w:p>
    <w:p w:rsidR="00B47FE4" w:rsidRDefault="00B47FE4" w:rsidP="00B47FE4">
      <w:pPr>
        <w:pStyle w:val="CM20"/>
        <w:spacing w:after="0"/>
        <w:jc w:val="center"/>
        <w:rPr>
          <w:i/>
          <w:iCs/>
        </w:rPr>
      </w:pPr>
    </w:p>
    <w:p w:rsidR="00B47FE4" w:rsidRDefault="00B47FE4" w:rsidP="00B47FE4">
      <w:pPr>
        <w:pStyle w:val="Default"/>
      </w:pPr>
    </w:p>
    <w:p w:rsidR="00B47FE4" w:rsidRDefault="00B47FE4" w:rsidP="00B47FE4">
      <w:pPr>
        <w:pStyle w:val="CM21"/>
        <w:spacing w:after="0"/>
        <w:jc w:val="center"/>
        <w:rPr>
          <w:sz w:val="28"/>
          <w:szCs w:val="28"/>
        </w:rPr>
      </w:pPr>
      <w:r>
        <w:rPr>
          <w:b/>
          <w:bCs/>
          <w:sz w:val="28"/>
          <w:szCs w:val="28"/>
        </w:rPr>
        <w:t xml:space="preserve">Department of Economics </w:t>
      </w:r>
    </w:p>
    <w:p w:rsidR="00B47FE4" w:rsidRDefault="00B47FE4" w:rsidP="00B47FE4">
      <w:pPr>
        <w:pStyle w:val="Default"/>
        <w:rPr>
          <w:color w:val="auto"/>
        </w:rPr>
      </w:pPr>
    </w:p>
    <w:p w:rsidR="00B47FE4" w:rsidRDefault="00B47FE4" w:rsidP="00B47FE4">
      <w:pPr>
        <w:pStyle w:val="CM22"/>
        <w:spacing w:after="0"/>
        <w:jc w:val="center"/>
        <w:rPr>
          <w:b/>
          <w:bCs/>
          <w:sz w:val="28"/>
          <w:szCs w:val="28"/>
        </w:rPr>
      </w:pPr>
      <w:r>
        <w:rPr>
          <w:b/>
          <w:bCs/>
          <w:sz w:val="28"/>
          <w:szCs w:val="28"/>
        </w:rPr>
        <w:t>Working Paper in Economics 7/16</w:t>
      </w:r>
    </w:p>
    <w:p w:rsidR="00B47FE4" w:rsidRDefault="00B47FE4" w:rsidP="00B47FE4">
      <w:pPr>
        <w:pStyle w:val="CM22"/>
        <w:spacing w:after="0"/>
        <w:jc w:val="center"/>
        <w:rPr>
          <w:sz w:val="28"/>
          <w:szCs w:val="28"/>
        </w:rPr>
      </w:pPr>
      <w:r>
        <w:rPr>
          <w:b/>
          <w:bCs/>
          <w:sz w:val="28"/>
          <w:szCs w:val="28"/>
        </w:rPr>
        <w:t xml:space="preserve"> </w:t>
      </w:r>
    </w:p>
    <w:p w:rsidR="00B47FE4" w:rsidRDefault="00B47FE4" w:rsidP="00B47FE4">
      <w:pPr>
        <w:pStyle w:val="CM3"/>
        <w:jc w:val="center"/>
        <w:rPr>
          <w:sz w:val="28"/>
          <w:szCs w:val="28"/>
        </w:rPr>
      </w:pPr>
      <w:r>
        <w:rPr>
          <w:sz w:val="28"/>
          <w:szCs w:val="28"/>
        </w:rPr>
        <w:t>August 2016</w:t>
      </w:r>
    </w:p>
    <w:p w:rsidR="00B47FE4" w:rsidRDefault="00B47FE4" w:rsidP="00B47FE4">
      <w:pPr>
        <w:pStyle w:val="CM4"/>
        <w:spacing w:line="240" w:lineRule="auto"/>
        <w:jc w:val="center"/>
        <w:rPr>
          <w:b/>
          <w:bCs/>
          <w:sz w:val="22"/>
          <w:szCs w:val="22"/>
        </w:rPr>
      </w:pPr>
    </w:p>
    <w:p w:rsidR="00B47FE4" w:rsidRDefault="00B47FE4" w:rsidP="00B47FE4">
      <w:pPr>
        <w:pStyle w:val="Default"/>
      </w:pPr>
    </w:p>
    <w:p w:rsidR="00B47FE4" w:rsidRDefault="00B47FE4" w:rsidP="00B47FE4">
      <w:pPr>
        <w:pStyle w:val="Default"/>
      </w:pPr>
    </w:p>
    <w:tbl>
      <w:tblPr>
        <w:tblW w:w="0" w:type="auto"/>
        <w:jc w:val="center"/>
        <w:tblLook w:val="04A0" w:firstRow="1" w:lastRow="0" w:firstColumn="1" w:lastColumn="0" w:noHBand="0" w:noVBand="1"/>
      </w:tblPr>
      <w:tblGrid>
        <w:gridCol w:w="4621"/>
      </w:tblGrid>
      <w:tr w:rsidR="00B47FE4" w:rsidTr="00B47FE4">
        <w:trPr>
          <w:jc w:val="center"/>
        </w:trPr>
        <w:tc>
          <w:tcPr>
            <w:tcW w:w="4621" w:type="dxa"/>
          </w:tcPr>
          <w:p w:rsidR="00B47FE4" w:rsidRDefault="00B47FE4">
            <w:pPr>
              <w:pStyle w:val="CM4"/>
              <w:spacing w:line="240" w:lineRule="auto"/>
              <w:jc w:val="center"/>
              <w:rPr>
                <w:b/>
                <w:bCs/>
                <w:sz w:val="8"/>
                <w:szCs w:val="8"/>
              </w:rPr>
            </w:pPr>
          </w:p>
          <w:p w:rsidR="00B47FE4" w:rsidRDefault="00B47FE4">
            <w:pPr>
              <w:pStyle w:val="CM4"/>
              <w:spacing w:line="240" w:lineRule="auto"/>
              <w:jc w:val="center"/>
            </w:pPr>
            <w:r>
              <w:rPr>
                <w:b/>
                <w:bCs/>
              </w:rPr>
              <w:t>John Gibson</w:t>
            </w:r>
          </w:p>
          <w:p w:rsidR="00B47FE4" w:rsidRDefault="00B47FE4">
            <w:pPr>
              <w:pStyle w:val="CM23"/>
              <w:spacing w:after="0"/>
              <w:jc w:val="center"/>
              <w:rPr>
                <w:sz w:val="12"/>
                <w:szCs w:val="12"/>
              </w:rPr>
            </w:pPr>
          </w:p>
          <w:p w:rsidR="00B47FE4" w:rsidRDefault="00B47FE4">
            <w:pPr>
              <w:pStyle w:val="CM23"/>
              <w:spacing w:after="0"/>
              <w:jc w:val="center"/>
            </w:pPr>
            <w:r>
              <w:t>Department of Economics</w:t>
            </w:r>
          </w:p>
          <w:p w:rsidR="00B47FE4" w:rsidRDefault="00B47FE4">
            <w:pPr>
              <w:pStyle w:val="CM23"/>
              <w:spacing w:after="0"/>
              <w:jc w:val="center"/>
            </w:pPr>
            <w:r>
              <w:t>University of Waikato</w:t>
            </w:r>
          </w:p>
          <w:p w:rsidR="00B47FE4" w:rsidRDefault="00B47FE4">
            <w:pPr>
              <w:pStyle w:val="CM23"/>
              <w:spacing w:after="0"/>
              <w:jc w:val="center"/>
            </w:pPr>
            <w:r>
              <w:t>Private Bag 3105</w:t>
            </w:r>
          </w:p>
          <w:p w:rsidR="00B47FE4" w:rsidRDefault="00B47FE4">
            <w:pPr>
              <w:pStyle w:val="CM23"/>
              <w:spacing w:after="0"/>
              <w:jc w:val="center"/>
            </w:pPr>
            <w:r>
              <w:t>Hamilton</w:t>
            </w:r>
          </w:p>
          <w:p w:rsidR="00B47FE4" w:rsidRDefault="00B47FE4">
            <w:pPr>
              <w:pStyle w:val="CM23"/>
              <w:spacing w:after="0"/>
              <w:jc w:val="center"/>
            </w:pPr>
            <w:r>
              <w:t xml:space="preserve">New Zealand, 3240 </w:t>
            </w:r>
          </w:p>
          <w:p w:rsidR="00B47FE4" w:rsidRDefault="00B47FE4">
            <w:pPr>
              <w:pStyle w:val="Default"/>
              <w:rPr>
                <w:sz w:val="12"/>
                <w:szCs w:val="12"/>
              </w:rPr>
            </w:pPr>
          </w:p>
          <w:p w:rsidR="00B47FE4" w:rsidRDefault="00B47FE4">
            <w:pPr>
              <w:pStyle w:val="Default"/>
              <w:jc w:val="center"/>
            </w:pPr>
            <w:r>
              <w:t>Tel: +64 (7) 838 4289</w:t>
            </w:r>
          </w:p>
          <w:p w:rsidR="00B47FE4" w:rsidRDefault="00B47FE4">
            <w:pPr>
              <w:pStyle w:val="CM3"/>
              <w:jc w:val="center"/>
              <w:rPr>
                <w:bCs/>
                <w:sz w:val="12"/>
                <w:szCs w:val="12"/>
              </w:rPr>
            </w:pPr>
          </w:p>
          <w:p w:rsidR="00B47FE4" w:rsidRDefault="00B47FE4">
            <w:pPr>
              <w:pStyle w:val="CM3"/>
              <w:jc w:val="center"/>
              <w:rPr>
                <w:bCs/>
              </w:rPr>
            </w:pPr>
            <w:r>
              <w:rPr>
                <w:bCs/>
              </w:rPr>
              <w:t>Email: jkgibson@waikato.ac.nz</w:t>
            </w:r>
          </w:p>
          <w:p w:rsidR="00B47FE4" w:rsidRDefault="00B47FE4">
            <w:pPr>
              <w:pStyle w:val="Default"/>
              <w:jc w:val="center"/>
            </w:pPr>
          </w:p>
        </w:tc>
      </w:tr>
    </w:tbl>
    <w:p w:rsidR="00B47FE4" w:rsidRDefault="00B47FE4" w:rsidP="00B47FE4">
      <w:pPr>
        <w:pStyle w:val="Default"/>
      </w:pPr>
    </w:p>
    <w:p w:rsidR="00B47FE4" w:rsidRDefault="00B47FE4" w:rsidP="00B47FE4">
      <w:pPr>
        <w:spacing w:line="288" w:lineRule="auto"/>
        <w:jc w:val="right"/>
        <w:rPr>
          <w:b/>
          <w:iCs/>
        </w:rPr>
      </w:pPr>
    </w:p>
    <w:p w:rsidR="00B47FE4" w:rsidRDefault="00B47FE4" w:rsidP="00B47FE4">
      <w:pPr>
        <w:spacing w:line="288" w:lineRule="auto"/>
        <w:jc w:val="right"/>
        <w:rPr>
          <w:b/>
          <w:iCs/>
        </w:rPr>
      </w:pPr>
    </w:p>
    <w:p w:rsidR="00B47FE4" w:rsidRDefault="00B47FE4" w:rsidP="00B47FE4">
      <w:pPr>
        <w:spacing w:line="288" w:lineRule="auto"/>
        <w:jc w:val="center"/>
        <w:rPr>
          <w:b/>
          <w:iCs/>
        </w:rPr>
      </w:pPr>
    </w:p>
    <w:p w:rsidR="00B47FE4" w:rsidRDefault="00B47FE4" w:rsidP="00B47FE4">
      <w:pPr>
        <w:spacing w:line="288" w:lineRule="auto"/>
        <w:jc w:val="center"/>
        <w:rPr>
          <w:b/>
          <w:iCs/>
        </w:rPr>
      </w:pPr>
    </w:p>
    <w:p w:rsidR="00B47FE4" w:rsidRDefault="00B47FE4" w:rsidP="00B47FE4">
      <w:pPr>
        <w:spacing w:line="288" w:lineRule="auto"/>
        <w:jc w:val="center"/>
        <w:rPr>
          <w:b/>
        </w:rPr>
      </w:pPr>
    </w:p>
    <w:p w:rsidR="00E62678" w:rsidRDefault="00E62678" w:rsidP="00B47FE4">
      <w:pPr>
        <w:spacing w:line="288" w:lineRule="auto"/>
        <w:jc w:val="center"/>
        <w:rPr>
          <w:b/>
        </w:rPr>
      </w:pPr>
    </w:p>
    <w:p w:rsidR="00B47FE4" w:rsidRDefault="00B47FE4" w:rsidP="00B47FE4">
      <w:pPr>
        <w:spacing w:line="288" w:lineRule="auto"/>
        <w:jc w:val="center"/>
        <w:rPr>
          <w:b/>
        </w:rPr>
      </w:pPr>
      <w:r>
        <w:rPr>
          <w:b/>
        </w:rPr>
        <w:t>Abstract</w:t>
      </w:r>
    </w:p>
    <w:p w:rsidR="00B47FE4" w:rsidRDefault="00B47FE4" w:rsidP="00B47FE4">
      <w:pPr>
        <w:spacing w:line="288" w:lineRule="auto"/>
        <w:jc w:val="center"/>
        <w:rPr>
          <w:b/>
          <w:sz w:val="12"/>
          <w:szCs w:val="12"/>
        </w:rPr>
      </w:pPr>
    </w:p>
    <w:p w:rsidR="00B47FE4" w:rsidRPr="00AB50F9" w:rsidRDefault="00B47FE4" w:rsidP="00B47FE4">
      <w:pPr>
        <w:spacing w:line="300" w:lineRule="auto"/>
        <w:jc w:val="both"/>
      </w:pPr>
      <w:r w:rsidRPr="00AB50F9">
        <w:t>Widely used global hunger estimates from the FAO are ‘top down’ in that they combine data on each country’s total food balance with variance estimates from household surveys. Food balance sheets are only annual so the FAO just estimate the prevalence of chronic hunger. These estimates are criticized and recent research advocates ‘bottom up’ counts of hunger directly from household consumption surveys. These surveys give a snapshot of living standards, for the week, fortnight or month reference period, so only noisy measures of annual dietary energy can be derived from them. This overstated between-households variance raises the share of the population who appear below nutritional standards, for any standard set below the median, and so overstates chronic hunger. In this paper, a new method of deriving chronic hunger estimates from snapshot surveys is proposed, which also lets the transient component of hunger be identified. This method is demonstrated using a household survey from Myanmar that has repeated observations on households during the year. The transient component of hunger i</w:t>
      </w:r>
      <w:r>
        <w:t xml:space="preserve">s almost one-half of the total </w:t>
      </w:r>
      <w:r w:rsidRPr="00AB50F9">
        <w:t>and uncorrected snapshot surveys would overstate the chronic hunger rate by almost 90 percent.</w:t>
      </w:r>
    </w:p>
    <w:p w:rsidR="00B47FE4" w:rsidRDefault="00B47FE4" w:rsidP="00B47FE4">
      <w:pPr>
        <w:autoSpaceDE w:val="0"/>
        <w:autoSpaceDN w:val="0"/>
        <w:adjustRightInd w:val="0"/>
        <w:spacing w:line="288" w:lineRule="auto"/>
        <w:rPr>
          <w:lang w:eastAsia="en-NZ"/>
        </w:rPr>
      </w:pPr>
    </w:p>
    <w:p w:rsidR="00B47FE4" w:rsidRDefault="00B47FE4" w:rsidP="00B47FE4">
      <w:pPr>
        <w:spacing w:line="288" w:lineRule="auto"/>
        <w:jc w:val="center"/>
        <w:rPr>
          <w:b/>
        </w:rPr>
      </w:pPr>
      <w:r>
        <w:rPr>
          <w:b/>
        </w:rPr>
        <w:t>Keywords</w:t>
      </w:r>
    </w:p>
    <w:p w:rsidR="00B47FE4" w:rsidRDefault="00B47FE4" w:rsidP="00B47FE4">
      <w:pPr>
        <w:spacing w:line="300" w:lineRule="auto"/>
        <w:jc w:val="center"/>
        <w:rPr>
          <w:lang w:val="en-GB" w:eastAsia="en-NZ"/>
        </w:rPr>
      </w:pPr>
      <w:proofErr w:type="gramStart"/>
      <w:r>
        <w:rPr>
          <w:lang w:val="en-GB" w:eastAsia="en-NZ"/>
        </w:rPr>
        <w:t>chronic</w:t>
      </w:r>
      <w:proofErr w:type="gramEnd"/>
      <w:r>
        <w:rPr>
          <w:lang w:val="en-GB" w:eastAsia="en-NZ"/>
        </w:rPr>
        <w:t xml:space="preserve"> hunger</w:t>
      </w:r>
    </w:p>
    <w:p w:rsidR="00B47FE4" w:rsidRDefault="00B47FE4" w:rsidP="00B47FE4">
      <w:pPr>
        <w:spacing w:line="300" w:lineRule="auto"/>
        <w:jc w:val="center"/>
        <w:rPr>
          <w:lang w:val="en-GB" w:eastAsia="en-NZ"/>
        </w:rPr>
      </w:pPr>
      <w:proofErr w:type="gramStart"/>
      <w:r>
        <w:rPr>
          <w:lang w:val="en-GB" w:eastAsia="en-NZ"/>
        </w:rPr>
        <w:t>survey</w:t>
      </w:r>
      <w:proofErr w:type="gramEnd"/>
      <w:r>
        <w:rPr>
          <w:lang w:val="en-GB" w:eastAsia="en-NZ"/>
        </w:rPr>
        <w:t xml:space="preserve"> design</w:t>
      </w:r>
    </w:p>
    <w:p w:rsidR="00B47FE4" w:rsidRDefault="00B47FE4" w:rsidP="00B47FE4">
      <w:pPr>
        <w:spacing w:line="300" w:lineRule="auto"/>
        <w:jc w:val="center"/>
        <w:rPr>
          <w:lang w:val="en-GB" w:eastAsia="en-NZ"/>
        </w:rPr>
      </w:pPr>
      <w:proofErr w:type="gramStart"/>
      <w:r>
        <w:rPr>
          <w:lang w:val="en-GB" w:eastAsia="en-NZ"/>
        </w:rPr>
        <w:t>transient</w:t>
      </w:r>
      <w:proofErr w:type="gramEnd"/>
      <w:r>
        <w:rPr>
          <w:lang w:val="en-GB" w:eastAsia="en-NZ"/>
        </w:rPr>
        <w:t xml:space="preserve"> h</w:t>
      </w:r>
      <w:r w:rsidRPr="00FA38FC">
        <w:rPr>
          <w:lang w:val="en-GB" w:eastAsia="en-NZ"/>
        </w:rPr>
        <w:t>unger</w:t>
      </w:r>
    </w:p>
    <w:p w:rsidR="00B47FE4" w:rsidRPr="00FA38FC" w:rsidRDefault="00B47FE4" w:rsidP="00B47FE4">
      <w:pPr>
        <w:spacing w:line="300" w:lineRule="auto"/>
        <w:jc w:val="center"/>
      </w:pPr>
      <w:proofErr w:type="gramStart"/>
      <w:r>
        <w:rPr>
          <w:lang w:val="en-GB" w:eastAsia="en-NZ"/>
        </w:rPr>
        <w:t>u</w:t>
      </w:r>
      <w:r w:rsidRPr="00FA38FC">
        <w:rPr>
          <w:lang w:val="en-GB" w:eastAsia="en-NZ"/>
        </w:rPr>
        <w:t>ndernourishment</w:t>
      </w:r>
      <w:proofErr w:type="gramEnd"/>
    </w:p>
    <w:p w:rsidR="00B47FE4" w:rsidRDefault="00B47FE4" w:rsidP="00B47FE4">
      <w:pPr>
        <w:spacing w:line="288" w:lineRule="auto"/>
      </w:pPr>
    </w:p>
    <w:p w:rsidR="00B47FE4" w:rsidRDefault="00B47FE4" w:rsidP="00B47FE4">
      <w:pPr>
        <w:spacing w:line="288" w:lineRule="auto"/>
        <w:jc w:val="center"/>
        <w:rPr>
          <w:b/>
        </w:rPr>
      </w:pPr>
      <w:r>
        <w:rPr>
          <w:b/>
        </w:rPr>
        <w:t>JEL Codes</w:t>
      </w:r>
    </w:p>
    <w:p w:rsidR="00EE27C7" w:rsidRDefault="00EE27C7" w:rsidP="00EE27C7">
      <w:pPr>
        <w:spacing w:line="300" w:lineRule="auto"/>
        <w:jc w:val="center"/>
        <w:rPr>
          <w:lang w:val="en-GB" w:eastAsia="en-NZ"/>
        </w:rPr>
      </w:pPr>
      <w:r w:rsidRPr="00EE27C7">
        <w:rPr>
          <w:lang w:val="en-GB" w:eastAsia="en-NZ"/>
        </w:rPr>
        <w:t>C81, O15, Q18</w:t>
      </w:r>
    </w:p>
    <w:p w:rsidR="00E62678" w:rsidRDefault="00E62678" w:rsidP="00EE27C7">
      <w:pPr>
        <w:spacing w:line="300" w:lineRule="auto"/>
        <w:jc w:val="center"/>
        <w:rPr>
          <w:lang w:val="en-GB" w:eastAsia="en-NZ"/>
        </w:rPr>
      </w:pPr>
    </w:p>
    <w:p w:rsidR="00F23908" w:rsidRPr="00EE27C7" w:rsidRDefault="00F23908" w:rsidP="00EE27C7">
      <w:pPr>
        <w:spacing w:line="300" w:lineRule="auto"/>
        <w:jc w:val="center"/>
        <w:rPr>
          <w:lang w:val="en-GB" w:eastAsia="en-NZ"/>
        </w:rPr>
      </w:pPr>
    </w:p>
    <w:p w:rsidR="00AC41BD" w:rsidRDefault="00AC41BD" w:rsidP="00AC41BD">
      <w:pPr>
        <w:spacing w:line="300" w:lineRule="auto"/>
        <w:jc w:val="center"/>
        <w:rPr>
          <w:b/>
          <w:sz w:val="22"/>
          <w:szCs w:val="22"/>
        </w:rPr>
      </w:pPr>
      <w:r w:rsidRPr="00FA38FC">
        <w:rPr>
          <w:b/>
          <w:sz w:val="22"/>
          <w:szCs w:val="22"/>
        </w:rPr>
        <w:t>Acknowledgements</w:t>
      </w:r>
    </w:p>
    <w:p w:rsidR="00E62678" w:rsidRPr="00E62678" w:rsidRDefault="00E62678" w:rsidP="00AC41BD">
      <w:pPr>
        <w:spacing w:line="300" w:lineRule="auto"/>
        <w:jc w:val="center"/>
        <w:rPr>
          <w:sz w:val="10"/>
          <w:szCs w:val="10"/>
        </w:rPr>
      </w:pPr>
    </w:p>
    <w:p w:rsidR="00AC41BD" w:rsidRDefault="00AC41BD" w:rsidP="00AC41BD">
      <w:pPr>
        <w:spacing w:line="300" w:lineRule="auto"/>
        <w:jc w:val="center"/>
        <w:rPr>
          <w:sz w:val="22"/>
          <w:szCs w:val="22"/>
        </w:rPr>
      </w:pPr>
      <w:r w:rsidRPr="00FA38FC">
        <w:rPr>
          <w:sz w:val="22"/>
          <w:szCs w:val="22"/>
        </w:rPr>
        <w:t xml:space="preserve">I am grateful to Trinh Le for assistance with the data and to Valerie </w:t>
      </w:r>
      <w:proofErr w:type="spellStart"/>
      <w:r w:rsidRPr="00FA38FC">
        <w:rPr>
          <w:sz w:val="22"/>
          <w:szCs w:val="22"/>
        </w:rPr>
        <w:t>Kozel</w:t>
      </w:r>
      <w:proofErr w:type="spellEnd"/>
      <w:r w:rsidRPr="00FA38FC">
        <w:rPr>
          <w:sz w:val="22"/>
          <w:szCs w:val="22"/>
        </w:rPr>
        <w:t xml:space="preserve"> and audiences at </w:t>
      </w:r>
      <w:r>
        <w:rPr>
          <w:sz w:val="22"/>
          <w:szCs w:val="22"/>
        </w:rPr>
        <w:t xml:space="preserve">Otago and </w:t>
      </w:r>
      <w:r w:rsidRPr="00FA38FC">
        <w:rPr>
          <w:sz w:val="22"/>
          <w:szCs w:val="22"/>
        </w:rPr>
        <w:t xml:space="preserve">Reading </w:t>
      </w:r>
      <w:r w:rsidR="00B508FB">
        <w:rPr>
          <w:sz w:val="22"/>
          <w:szCs w:val="22"/>
        </w:rPr>
        <w:t>u</w:t>
      </w:r>
      <w:r>
        <w:rPr>
          <w:sz w:val="22"/>
          <w:szCs w:val="22"/>
        </w:rPr>
        <w:t xml:space="preserve">niversities </w:t>
      </w:r>
      <w:r w:rsidRPr="00FA38FC">
        <w:rPr>
          <w:sz w:val="22"/>
          <w:szCs w:val="22"/>
        </w:rPr>
        <w:t xml:space="preserve">and </w:t>
      </w:r>
      <w:r w:rsidR="00E62678">
        <w:rPr>
          <w:sz w:val="22"/>
          <w:szCs w:val="22"/>
        </w:rPr>
        <w:t xml:space="preserve">to </w:t>
      </w:r>
      <w:r w:rsidRPr="00FA38FC">
        <w:rPr>
          <w:sz w:val="22"/>
          <w:szCs w:val="22"/>
        </w:rPr>
        <w:t xml:space="preserve">the AJARE pre-conference workshop for helpful discussions. </w:t>
      </w:r>
    </w:p>
    <w:p w:rsidR="00AC41BD" w:rsidRPr="00FA38FC" w:rsidRDefault="00AC41BD" w:rsidP="00AC41BD">
      <w:pPr>
        <w:spacing w:line="300" w:lineRule="auto"/>
        <w:jc w:val="center"/>
        <w:rPr>
          <w:sz w:val="22"/>
          <w:szCs w:val="22"/>
        </w:rPr>
      </w:pPr>
      <w:r w:rsidRPr="00FA38FC">
        <w:rPr>
          <w:sz w:val="22"/>
          <w:szCs w:val="22"/>
        </w:rPr>
        <w:t>All remaining errors are those of the author.</w:t>
      </w:r>
    </w:p>
    <w:p w:rsidR="00AC41BD" w:rsidRPr="00AB50F9" w:rsidRDefault="00AC41BD" w:rsidP="00AC41BD">
      <w:pPr>
        <w:spacing w:line="300" w:lineRule="auto"/>
        <w:jc w:val="both"/>
      </w:pPr>
    </w:p>
    <w:p w:rsidR="00B47FE4" w:rsidRDefault="00B47FE4" w:rsidP="00B47FE4">
      <w:pPr>
        <w:rPr>
          <w:b/>
        </w:rPr>
      </w:pPr>
    </w:p>
    <w:p w:rsidR="007170D2" w:rsidRDefault="007170D2" w:rsidP="00681293">
      <w:pPr>
        <w:tabs>
          <w:tab w:val="left" w:pos="426"/>
        </w:tabs>
        <w:spacing w:line="300" w:lineRule="auto"/>
        <w:jc w:val="both"/>
        <w:rPr>
          <w:b/>
          <w:color w:val="000000"/>
        </w:rPr>
      </w:pPr>
    </w:p>
    <w:p w:rsidR="007170D2" w:rsidRDefault="007170D2" w:rsidP="00681293">
      <w:pPr>
        <w:tabs>
          <w:tab w:val="left" w:pos="426"/>
        </w:tabs>
        <w:spacing w:line="300" w:lineRule="auto"/>
        <w:jc w:val="both"/>
        <w:rPr>
          <w:b/>
          <w:color w:val="000000"/>
        </w:rPr>
      </w:pPr>
    </w:p>
    <w:p w:rsidR="00654538" w:rsidRDefault="003D2D38" w:rsidP="00681293">
      <w:pPr>
        <w:tabs>
          <w:tab w:val="left" w:pos="426"/>
        </w:tabs>
        <w:spacing w:line="300" w:lineRule="auto"/>
        <w:jc w:val="both"/>
        <w:rPr>
          <w:b/>
          <w:color w:val="000000"/>
        </w:rPr>
      </w:pPr>
      <w:r w:rsidRPr="00AB50F9">
        <w:rPr>
          <w:b/>
          <w:color w:val="000000"/>
        </w:rPr>
        <w:t>I.</w:t>
      </w:r>
      <w:r w:rsidRPr="00AB50F9">
        <w:rPr>
          <w:b/>
          <w:color w:val="000000"/>
        </w:rPr>
        <w:tab/>
      </w:r>
      <w:r w:rsidR="00654538" w:rsidRPr="00AB50F9">
        <w:rPr>
          <w:b/>
          <w:color w:val="000000"/>
        </w:rPr>
        <w:t>Introduction</w:t>
      </w:r>
    </w:p>
    <w:p w:rsidR="00FA1998" w:rsidRPr="00FA1998" w:rsidRDefault="00FA1998" w:rsidP="00681293">
      <w:pPr>
        <w:tabs>
          <w:tab w:val="left" w:pos="426"/>
        </w:tabs>
        <w:spacing w:line="300" w:lineRule="auto"/>
        <w:jc w:val="both"/>
        <w:rPr>
          <w:b/>
          <w:color w:val="000000"/>
          <w:sz w:val="12"/>
          <w:szCs w:val="12"/>
        </w:rPr>
      </w:pPr>
    </w:p>
    <w:p w:rsidR="00167FA8" w:rsidRDefault="00B80479" w:rsidP="00681293">
      <w:pPr>
        <w:spacing w:line="300" w:lineRule="auto"/>
        <w:jc w:val="both"/>
        <w:rPr>
          <w:rFonts w:eastAsia="Calibri"/>
        </w:rPr>
      </w:pPr>
      <w:r w:rsidRPr="00AB50F9">
        <w:rPr>
          <w:color w:val="000000"/>
        </w:rPr>
        <w:t xml:space="preserve">This paper considers </w:t>
      </w:r>
      <w:r w:rsidR="00D41B28" w:rsidRPr="00AB50F9">
        <w:rPr>
          <w:color w:val="000000"/>
        </w:rPr>
        <w:t>a largely ignored issue</w:t>
      </w:r>
      <w:r w:rsidR="00EE7B7F" w:rsidRPr="00AB50F9">
        <w:rPr>
          <w:color w:val="000000"/>
        </w:rPr>
        <w:t xml:space="preserve"> that is</w:t>
      </w:r>
      <w:r w:rsidRPr="00AB50F9">
        <w:rPr>
          <w:color w:val="000000"/>
        </w:rPr>
        <w:t xml:space="preserve"> at the intersection of three distinct literatures</w:t>
      </w:r>
      <w:r w:rsidR="00060939" w:rsidRPr="00AB50F9">
        <w:rPr>
          <w:color w:val="000000"/>
        </w:rPr>
        <w:t>:</w:t>
      </w:r>
      <w:r w:rsidRPr="00AB50F9">
        <w:rPr>
          <w:color w:val="000000"/>
        </w:rPr>
        <w:t xml:space="preserve"> how </w:t>
      </w:r>
      <w:r w:rsidR="00167FA8" w:rsidRPr="00AB50F9">
        <w:rPr>
          <w:color w:val="000000"/>
        </w:rPr>
        <w:t xml:space="preserve">to measure hunger, how to </w:t>
      </w:r>
      <w:r w:rsidR="00060939" w:rsidRPr="00AB50F9">
        <w:rPr>
          <w:color w:val="000000"/>
        </w:rPr>
        <w:t>deploy survey resources</w:t>
      </w:r>
      <w:r w:rsidRPr="00AB50F9">
        <w:rPr>
          <w:color w:val="000000"/>
        </w:rPr>
        <w:t xml:space="preserve">, and </w:t>
      </w:r>
      <w:r w:rsidR="00060939" w:rsidRPr="00AB50F9">
        <w:rPr>
          <w:color w:val="000000"/>
        </w:rPr>
        <w:t xml:space="preserve">how to </w:t>
      </w:r>
      <w:r w:rsidR="00B27743" w:rsidRPr="00AB50F9">
        <w:rPr>
          <w:color w:val="000000"/>
        </w:rPr>
        <w:t>split</w:t>
      </w:r>
      <w:r w:rsidR="002C7042" w:rsidRPr="00AB50F9">
        <w:rPr>
          <w:color w:val="000000"/>
        </w:rPr>
        <w:t xml:space="preserve"> observed shortfalls in</w:t>
      </w:r>
      <w:r w:rsidR="00060939" w:rsidRPr="00AB50F9">
        <w:rPr>
          <w:color w:val="000000"/>
        </w:rPr>
        <w:t xml:space="preserve"> living standards into chronic and transient parts. </w:t>
      </w:r>
      <w:r w:rsidR="00167FA8" w:rsidRPr="00AB50F9">
        <w:rPr>
          <w:color w:val="000000"/>
        </w:rPr>
        <w:t>In</w:t>
      </w:r>
      <w:r w:rsidR="00B27743" w:rsidRPr="00AB50F9">
        <w:rPr>
          <w:color w:val="000000"/>
        </w:rPr>
        <w:t xml:space="preserve"> the</w:t>
      </w:r>
      <w:r w:rsidR="009D5BF2" w:rsidRPr="00AB50F9">
        <w:rPr>
          <w:color w:val="000000"/>
        </w:rPr>
        <w:t xml:space="preserve"> first </w:t>
      </w:r>
      <w:r w:rsidR="00B27743" w:rsidRPr="00AB50F9">
        <w:rPr>
          <w:color w:val="000000"/>
        </w:rPr>
        <w:t xml:space="preserve">literature there </w:t>
      </w:r>
      <w:r w:rsidR="00822CE6" w:rsidRPr="00AB50F9">
        <w:rPr>
          <w:color w:val="000000"/>
        </w:rPr>
        <w:t xml:space="preserve">is </w:t>
      </w:r>
      <w:r w:rsidR="009D5BF2" w:rsidRPr="00AB50F9">
        <w:rPr>
          <w:color w:val="000000"/>
        </w:rPr>
        <w:t>debate</w:t>
      </w:r>
      <w:r w:rsidR="00B27743" w:rsidRPr="00AB50F9">
        <w:rPr>
          <w:color w:val="000000"/>
        </w:rPr>
        <w:t xml:space="preserve"> about </w:t>
      </w:r>
      <w:r w:rsidR="004A4858" w:rsidRPr="00AB50F9">
        <w:rPr>
          <w:color w:val="000000"/>
        </w:rPr>
        <w:t xml:space="preserve">Food and Agriculture Organization (FAO) </w:t>
      </w:r>
      <w:r w:rsidR="00B27743" w:rsidRPr="00AB50F9">
        <w:rPr>
          <w:color w:val="000000"/>
        </w:rPr>
        <w:t xml:space="preserve">global hunger </w:t>
      </w:r>
      <w:r w:rsidR="004A4858" w:rsidRPr="00AB50F9">
        <w:rPr>
          <w:color w:val="000000"/>
        </w:rPr>
        <w:t>estimates</w:t>
      </w:r>
      <w:r w:rsidR="00B60708" w:rsidRPr="00AB50F9">
        <w:rPr>
          <w:color w:val="000000"/>
        </w:rPr>
        <w:t>, which</w:t>
      </w:r>
      <w:r w:rsidR="004A4858" w:rsidRPr="00AB50F9">
        <w:rPr>
          <w:color w:val="000000"/>
        </w:rPr>
        <w:t xml:space="preserve"> </w:t>
      </w:r>
      <w:r w:rsidR="00B27743" w:rsidRPr="00AB50F9">
        <w:rPr>
          <w:rFonts w:eastAsia="Calibri"/>
        </w:rPr>
        <w:t xml:space="preserve">combine </w:t>
      </w:r>
      <w:r w:rsidR="00B27743" w:rsidRPr="00AB50F9">
        <w:rPr>
          <w:color w:val="000000"/>
        </w:rPr>
        <w:t xml:space="preserve">food balance </w:t>
      </w:r>
      <w:r w:rsidR="00D41B28" w:rsidRPr="00AB50F9">
        <w:rPr>
          <w:color w:val="000000"/>
        </w:rPr>
        <w:t xml:space="preserve">sheets for each country </w:t>
      </w:r>
      <w:r w:rsidR="00B27743" w:rsidRPr="00AB50F9">
        <w:rPr>
          <w:color w:val="000000"/>
        </w:rPr>
        <w:t>with</w:t>
      </w:r>
      <w:r w:rsidR="004A4858" w:rsidRPr="00AB50F9">
        <w:rPr>
          <w:color w:val="000000"/>
        </w:rPr>
        <w:t xml:space="preserve"> variance estimate</w:t>
      </w:r>
      <w:r w:rsidR="00B27743" w:rsidRPr="00AB50F9">
        <w:rPr>
          <w:color w:val="000000"/>
        </w:rPr>
        <w:t>s from household surveys</w:t>
      </w:r>
      <w:r w:rsidR="00B60708" w:rsidRPr="00AB50F9">
        <w:rPr>
          <w:color w:val="000000"/>
        </w:rPr>
        <w:t>,</w:t>
      </w:r>
      <w:r w:rsidR="004A4858" w:rsidRPr="00AB50F9">
        <w:rPr>
          <w:color w:val="000000"/>
        </w:rPr>
        <w:t xml:space="preserve"> </w:t>
      </w:r>
      <w:r w:rsidR="00B60708" w:rsidRPr="00AB50F9">
        <w:rPr>
          <w:color w:val="000000"/>
        </w:rPr>
        <w:t>so as</w:t>
      </w:r>
      <w:r w:rsidR="004A4858" w:rsidRPr="00AB50F9">
        <w:rPr>
          <w:color w:val="000000"/>
        </w:rPr>
        <w:t xml:space="preserve"> to calculate the likely percentage of people suffering from chronic hunger</w:t>
      </w:r>
      <w:r w:rsidR="00B27743" w:rsidRPr="00AB50F9">
        <w:rPr>
          <w:color w:val="000000"/>
        </w:rPr>
        <w:t xml:space="preserve">. </w:t>
      </w:r>
      <w:r w:rsidR="00822CE6" w:rsidRPr="00AB50F9">
        <w:rPr>
          <w:rFonts w:eastAsia="Calibri"/>
        </w:rPr>
        <w:t xml:space="preserve">Criticisms of the FAO method are made by Smith (1998), </w:t>
      </w:r>
      <w:r w:rsidR="00822CE6" w:rsidRPr="00AB50F9">
        <w:t>Svedberg (1999</w:t>
      </w:r>
      <w:r w:rsidR="00822CE6" w:rsidRPr="00AB50F9">
        <w:rPr>
          <w:rFonts w:eastAsia="Calibri"/>
        </w:rPr>
        <w:t>, 2002)</w:t>
      </w:r>
      <w:r w:rsidR="00B60708" w:rsidRPr="00AB50F9">
        <w:rPr>
          <w:rFonts w:eastAsia="Calibri"/>
        </w:rPr>
        <w:t>,</w:t>
      </w:r>
      <w:r w:rsidR="00822CE6" w:rsidRPr="00AB50F9">
        <w:rPr>
          <w:rFonts w:eastAsia="Calibri"/>
        </w:rPr>
        <w:t xml:space="preserve"> and </w:t>
      </w:r>
      <w:r w:rsidR="004A4858" w:rsidRPr="00AB50F9">
        <w:t>d</w:t>
      </w:r>
      <w:r w:rsidR="00822CE6" w:rsidRPr="00AB50F9">
        <w:t>e</w:t>
      </w:r>
      <w:r w:rsidR="004A4858" w:rsidRPr="00AB50F9">
        <w:t> </w:t>
      </w:r>
      <w:proofErr w:type="spellStart"/>
      <w:r w:rsidR="00822CE6" w:rsidRPr="00AB50F9">
        <w:t>Haen</w:t>
      </w:r>
      <w:proofErr w:type="spellEnd"/>
      <w:r w:rsidR="00822CE6" w:rsidRPr="00AB50F9">
        <w:t xml:space="preserve"> </w:t>
      </w:r>
      <w:r w:rsidR="004A4858" w:rsidRPr="00AB50F9">
        <w:rPr>
          <w:i/>
        </w:rPr>
        <w:t>et al</w:t>
      </w:r>
      <w:r w:rsidR="00822CE6" w:rsidRPr="00AB50F9">
        <w:t>. (2011</w:t>
      </w:r>
      <w:r w:rsidR="00822CE6" w:rsidRPr="00AB50F9">
        <w:rPr>
          <w:rFonts w:eastAsia="Calibri"/>
        </w:rPr>
        <w:t xml:space="preserve">), with </w:t>
      </w:r>
      <w:r w:rsidR="003C1B88" w:rsidRPr="00AB50F9">
        <w:rPr>
          <w:rFonts w:eastAsia="Calibri"/>
        </w:rPr>
        <w:t>rebuttals</w:t>
      </w:r>
      <w:r w:rsidR="00822CE6" w:rsidRPr="00AB50F9">
        <w:rPr>
          <w:rFonts w:eastAsia="Calibri"/>
        </w:rPr>
        <w:t xml:space="preserve"> by the FAO in </w:t>
      </w:r>
      <w:proofErr w:type="spellStart"/>
      <w:r w:rsidR="00822CE6" w:rsidRPr="00AB50F9">
        <w:rPr>
          <w:rFonts w:eastAsia="Calibri"/>
        </w:rPr>
        <w:t>Naiken</w:t>
      </w:r>
      <w:proofErr w:type="spellEnd"/>
      <w:r w:rsidR="00822CE6" w:rsidRPr="00AB50F9">
        <w:rPr>
          <w:rFonts w:eastAsia="Calibri"/>
        </w:rPr>
        <w:t xml:space="preserve"> (2007, 2014) and </w:t>
      </w:r>
      <w:proofErr w:type="spellStart"/>
      <w:r w:rsidR="00822CE6" w:rsidRPr="00AB50F9">
        <w:rPr>
          <w:rFonts w:eastAsia="Calibri"/>
        </w:rPr>
        <w:t>Cafiero</w:t>
      </w:r>
      <w:proofErr w:type="spellEnd"/>
      <w:r w:rsidR="00822CE6" w:rsidRPr="00AB50F9">
        <w:rPr>
          <w:rFonts w:eastAsia="Calibri"/>
        </w:rPr>
        <w:t xml:space="preserve"> (2014). In part due to this debate, a recent </w:t>
      </w:r>
      <w:r w:rsidR="00765A14" w:rsidRPr="00AB50F9">
        <w:rPr>
          <w:rFonts w:eastAsia="Calibri"/>
        </w:rPr>
        <w:t>set</w:t>
      </w:r>
      <w:r w:rsidR="00D41B28" w:rsidRPr="00AB50F9">
        <w:rPr>
          <w:rFonts w:eastAsia="Calibri"/>
        </w:rPr>
        <w:t xml:space="preserve"> of studies argue</w:t>
      </w:r>
      <w:r w:rsidR="00167FA8" w:rsidRPr="00AB50F9">
        <w:rPr>
          <w:rFonts w:eastAsia="Calibri"/>
        </w:rPr>
        <w:t xml:space="preserve"> for</w:t>
      </w:r>
      <w:r w:rsidR="00822CE6" w:rsidRPr="00AB50F9">
        <w:rPr>
          <w:rFonts w:eastAsia="Calibri"/>
        </w:rPr>
        <w:t xml:space="preserve"> </w:t>
      </w:r>
      <w:r w:rsidR="00D41B28" w:rsidRPr="00AB50F9">
        <w:rPr>
          <w:rFonts w:eastAsia="Calibri"/>
        </w:rPr>
        <w:t>directly measuring</w:t>
      </w:r>
      <w:r w:rsidR="00822CE6" w:rsidRPr="00AB50F9">
        <w:rPr>
          <w:rFonts w:eastAsia="Calibri"/>
        </w:rPr>
        <w:t xml:space="preserve"> </w:t>
      </w:r>
      <w:r w:rsidR="00167FA8" w:rsidRPr="00AB50F9">
        <w:rPr>
          <w:rFonts w:eastAsia="Calibri"/>
        </w:rPr>
        <w:t xml:space="preserve">hunger from </w:t>
      </w:r>
      <w:r w:rsidR="00822CE6" w:rsidRPr="00AB50F9">
        <w:rPr>
          <w:rFonts w:eastAsia="Calibri"/>
        </w:rPr>
        <w:t xml:space="preserve">household consumption </w:t>
      </w:r>
      <w:r w:rsidR="00167FA8" w:rsidRPr="00AB50F9">
        <w:rPr>
          <w:rFonts w:eastAsia="Calibri"/>
        </w:rPr>
        <w:t xml:space="preserve">expenditure </w:t>
      </w:r>
      <w:r w:rsidR="00822CE6" w:rsidRPr="00AB50F9">
        <w:rPr>
          <w:rFonts w:eastAsia="Calibri"/>
        </w:rPr>
        <w:t xml:space="preserve">surveys </w:t>
      </w:r>
      <w:r w:rsidR="00167FA8" w:rsidRPr="00AB50F9">
        <w:rPr>
          <w:rFonts w:eastAsia="Calibri"/>
        </w:rPr>
        <w:t xml:space="preserve">[HCES] (Fiedler </w:t>
      </w:r>
      <w:r w:rsidR="004A4858" w:rsidRPr="00AB50F9">
        <w:rPr>
          <w:rFonts w:eastAsia="Calibri"/>
          <w:i/>
        </w:rPr>
        <w:t>et al</w:t>
      </w:r>
      <w:r w:rsidR="00BC23FD">
        <w:rPr>
          <w:rFonts w:eastAsia="Calibri"/>
        </w:rPr>
        <w:t>. 2012,</w:t>
      </w:r>
      <w:r w:rsidR="00167FA8" w:rsidRPr="00AB50F9">
        <w:rPr>
          <w:rFonts w:eastAsia="Calibri"/>
        </w:rPr>
        <w:t xml:space="preserve"> </w:t>
      </w:r>
      <w:proofErr w:type="spellStart"/>
      <w:r w:rsidR="00167FA8" w:rsidRPr="00AB50F9">
        <w:rPr>
          <w:rFonts w:eastAsia="Calibri"/>
        </w:rPr>
        <w:t>Carletto</w:t>
      </w:r>
      <w:proofErr w:type="spellEnd"/>
      <w:r w:rsidR="00167FA8" w:rsidRPr="00AB50F9">
        <w:rPr>
          <w:rFonts w:eastAsia="Calibri"/>
        </w:rPr>
        <w:t xml:space="preserve"> </w:t>
      </w:r>
      <w:r w:rsidR="004A4858" w:rsidRPr="00AB50F9">
        <w:rPr>
          <w:rFonts w:eastAsia="Calibri"/>
          <w:i/>
        </w:rPr>
        <w:t>et al</w:t>
      </w:r>
      <w:r w:rsidR="00BC23FD">
        <w:rPr>
          <w:rFonts w:eastAsia="Calibri"/>
        </w:rPr>
        <w:t>. 2012</w:t>
      </w:r>
      <w:r w:rsidR="00167FA8" w:rsidRPr="00AB50F9">
        <w:rPr>
          <w:rFonts w:eastAsia="Calibri"/>
        </w:rPr>
        <w:t xml:space="preserve"> </w:t>
      </w:r>
      <w:r w:rsidR="00BC23FD">
        <w:rPr>
          <w:rFonts w:eastAsia="Calibri"/>
        </w:rPr>
        <w:t>and Fiedler</w:t>
      </w:r>
      <w:r w:rsidR="00167FA8" w:rsidRPr="00AB50F9">
        <w:rPr>
          <w:rFonts w:eastAsia="Calibri"/>
        </w:rPr>
        <w:t xml:space="preserve"> 2013). T</w:t>
      </w:r>
      <w:r w:rsidR="00836794" w:rsidRPr="00AB50F9">
        <w:rPr>
          <w:rFonts w:eastAsia="Calibri"/>
        </w:rPr>
        <w:t>he rising</w:t>
      </w:r>
      <w:r w:rsidR="00167FA8" w:rsidRPr="00AB50F9">
        <w:rPr>
          <w:rFonts w:eastAsia="Calibri"/>
        </w:rPr>
        <w:t xml:space="preserve"> </w:t>
      </w:r>
      <w:r w:rsidR="003C1B88" w:rsidRPr="00AB50F9">
        <w:rPr>
          <w:rFonts w:eastAsia="Calibri"/>
        </w:rPr>
        <w:t>number</w:t>
      </w:r>
      <w:r w:rsidR="00822CE6" w:rsidRPr="00AB50F9">
        <w:rPr>
          <w:rFonts w:eastAsia="Calibri"/>
        </w:rPr>
        <w:t xml:space="preserve"> </w:t>
      </w:r>
      <w:r w:rsidR="00167FA8" w:rsidRPr="00AB50F9">
        <w:rPr>
          <w:rFonts w:eastAsia="Calibri"/>
        </w:rPr>
        <w:t xml:space="preserve">of HCES </w:t>
      </w:r>
      <w:r w:rsidR="00822CE6" w:rsidRPr="00AB50F9">
        <w:rPr>
          <w:rFonts w:eastAsia="Calibri"/>
        </w:rPr>
        <w:t xml:space="preserve">and </w:t>
      </w:r>
      <w:r w:rsidR="00167FA8" w:rsidRPr="00AB50F9">
        <w:rPr>
          <w:rFonts w:eastAsia="Calibri"/>
        </w:rPr>
        <w:t xml:space="preserve">their </w:t>
      </w:r>
      <w:r w:rsidR="002C7042" w:rsidRPr="00AB50F9">
        <w:rPr>
          <w:rFonts w:eastAsia="Calibri"/>
        </w:rPr>
        <w:t>use for</w:t>
      </w:r>
      <w:r w:rsidR="00822CE6" w:rsidRPr="00AB50F9">
        <w:rPr>
          <w:rFonts w:eastAsia="Calibri"/>
        </w:rPr>
        <w:t xml:space="preserve"> global poverty counts</w:t>
      </w:r>
      <w:r w:rsidR="00167FA8" w:rsidRPr="00AB50F9">
        <w:rPr>
          <w:rFonts w:eastAsia="Calibri"/>
        </w:rPr>
        <w:t xml:space="preserve"> </w:t>
      </w:r>
      <w:r w:rsidR="00836794" w:rsidRPr="00AB50F9">
        <w:rPr>
          <w:rFonts w:eastAsia="Calibri"/>
        </w:rPr>
        <w:t>may fuel</w:t>
      </w:r>
      <w:r w:rsidR="00167FA8" w:rsidRPr="00AB50F9">
        <w:rPr>
          <w:rFonts w:eastAsia="Calibri"/>
        </w:rPr>
        <w:t xml:space="preserve"> some of this demand for a ‘bottom up’ approach to measuring hunger</w:t>
      </w:r>
      <w:r w:rsidR="00836794" w:rsidRPr="00AB50F9">
        <w:rPr>
          <w:rFonts w:eastAsia="Calibri"/>
        </w:rPr>
        <w:t>,</w:t>
      </w:r>
      <w:r w:rsidR="00167FA8" w:rsidRPr="00AB50F9">
        <w:rPr>
          <w:rFonts w:eastAsia="Calibri"/>
        </w:rPr>
        <w:t xml:space="preserve"> which contrasts with </w:t>
      </w:r>
      <w:r w:rsidR="00836794" w:rsidRPr="00AB50F9">
        <w:rPr>
          <w:rFonts w:eastAsia="Calibri"/>
        </w:rPr>
        <w:t xml:space="preserve">what </w:t>
      </w:r>
      <w:r w:rsidR="00810FE5" w:rsidRPr="00AB50F9">
        <w:rPr>
          <w:rFonts w:eastAsia="Calibri"/>
        </w:rPr>
        <w:t xml:space="preserve">is here </w:t>
      </w:r>
      <w:r w:rsidR="00836794" w:rsidRPr="00AB50F9">
        <w:rPr>
          <w:rFonts w:eastAsia="Calibri"/>
        </w:rPr>
        <w:t>call</w:t>
      </w:r>
      <w:r w:rsidR="00810FE5" w:rsidRPr="00AB50F9">
        <w:rPr>
          <w:rFonts w:eastAsia="Calibri"/>
        </w:rPr>
        <w:t>ed</w:t>
      </w:r>
      <w:r w:rsidR="00836794" w:rsidRPr="00AB50F9">
        <w:rPr>
          <w:rFonts w:eastAsia="Calibri"/>
        </w:rPr>
        <w:t xml:space="preserve"> </w:t>
      </w:r>
      <w:r w:rsidR="00167FA8" w:rsidRPr="00AB50F9">
        <w:rPr>
          <w:rFonts w:eastAsia="Calibri"/>
        </w:rPr>
        <w:t>the ‘top down’ FAO approach.</w:t>
      </w:r>
    </w:p>
    <w:p w:rsidR="00AB50F9" w:rsidRPr="00AB50F9" w:rsidRDefault="00AB50F9" w:rsidP="00681293">
      <w:pPr>
        <w:spacing w:line="300" w:lineRule="auto"/>
        <w:jc w:val="both"/>
        <w:rPr>
          <w:rFonts w:eastAsia="Calibri"/>
        </w:rPr>
      </w:pPr>
    </w:p>
    <w:p w:rsidR="00810FE5" w:rsidRDefault="00836794" w:rsidP="00681293">
      <w:pPr>
        <w:spacing w:line="300" w:lineRule="auto"/>
        <w:jc w:val="both"/>
        <w:rPr>
          <w:rFonts w:eastAsia="Calibri"/>
        </w:rPr>
      </w:pPr>
      <w:r w:rsidRPr="00AB50F9">
        <w:rPr>
          <w:rFonts w:eastAsia="Calibri"/>
        </w:rPr>
        <w:tab/>
      </w:r>
      <w:r w:rsidR="002C7042" w:rsidRPr="00AB50F9">
        <w:rPr>
          <w:rFonts w:eastAsia="Calibri"/>
        </w:rPr>
        <w:t>The</w:t>
      </w:r>
      <w:r w:rsidRPr="00AB50F9">
        <w:rPr>
          <w:rFonts w:eastAsia="Calibri"/>
        </w:rPr>
        <w:t xml:space="preserve"> fragility in these</w:t>
      </w:r>
      <w:r w:rsidR="00810FE5" w:rsidRPr="00AB50F9">
        <w:rPr>
          <w:rFonts w:eastAsia="Calibri"/>
        </w:rPr>
        <w:t xml:space="preserve"> </w:t>
      </w:r>
      <w:r w:rsidR="002C7042" w:rsidRPr="00AB50F9">
        <w:rPr>
          <w:rFonts w:eastAsia="Calibri"/>
        </w:rPr>
        <w:t xml:space="preserve">approaches is </w:t>
      </w:r>
      <w:r w:rsidRPr="00AB50F9">
        <w:rPr>
          <w:rFonts w:eastAsia="Calibri"/>
        </w:rPr>
        <w:t xml:space="preserve">highlighted </w:t>
      </w:r>
      <w:r w:rsidR="00810FE5" w:rsidRPr="00AB50F9">
        <w:rPr>
          <w:rFonts w:eastAsia="Calibri"/>
        </w:rPr>
        <w:t xml:space="preserve">by the </w:t>
      </w:r>
      <w:r w:rsidR="002C7042" w:rsidRPr="00AB50F9">
        <w:rPr>
          <w:rFonts w:eastAsia="Calibri"/>
        </w:rPr>
        <w:t>disparate</w:t>
      </w:r>
      <w:r w:rsidR="00810FE5" w:rsidRPr="00AB50F9">
        <w:rPr>
          <w:rFonts w:eastAsia="Calibri"/>
        </w:rPr>
        <w:t xml:space="preserve"> hunger </w:t>
      </w:r>
      <w:r w:rsidR="002C7042" w:rsidRPr="00AB50F9">
        <w:rPr>
          <w:rFonts w:eastAsia="Calibri"/>
        </w:rPr>
        <w:t xml:space="preserve">counts </w:t>
      </w:r>
      <w:r w:rsidR="004A4858" w:rsidRPr="00AB50F9">
        <w:rPr>
          <w:rFonts w:eastAsia="Calibri"/>
        </w:rPr>
        <w:t xml:space="preserve">in </w:t>
      </w:r>
      <w:r w:rsidRPr="00AB50F9">
        <w:rPr>
          <w:rFonts w:eastAsia="Calibri"/>
        </w:rPr>
        <w:t xml:space="preserve">a </w:t>
      </w:r>
      <w:r w:rsidR="004A4858" w:rsidRPr="00AB50F9">
        <w:rPr>
          <w:rFonts w:eastAsia="Calibri"/>
        </w:rPr>
        <w:t xml:space="preserve">recent </w:t>
      </w:r>
      <w:r w:rsidRPr="00AB50F9">
        <w:rPr>
          <w:rFonts w:eastAsia="Calibri"/>
        </w:rPr>
        <w:t xml:space="preserve">survey experiment (De </w:t>
      </w:r>
      <w:proofErr w:type="spellStart"/>
      <w:r w:rsidRPr="00AB50F9">
        <w:rPr>
          <w:rFonts w:eastAsia="Calibri"/>
        </w:rPr>
        <w:t>Weerdt</w:t>
      </w:r>
      <w:proofErr w:type="spellEnd"/>
      <w:r w:rsidRPr="00AB50F9">
        <w:rPr>
          <w:rFonts w:eastAsia="Calibri"/>
        </w:rPr>
        <w:t xml:space="preserve"> </w:t>
      </w:r>
      <w:r w:rsidR="004A4858" w:rsidRPr="00AB50F9">
        <w:rPr>
          <w:rFonts w:eastAsia="Calibri"/>
          <w:i/>
        </w:rPr>
        <w:t>et al</w:t>
      </w:r>
      <w:r w:rsidR="00BC23FD">
        <w:rPr>
          <w:rFonts w:eastAsia="Calibri"/>
        </w:rPr>
        <w:t>.</w:t>
      </w:r>
      <w:r w:rsidRPr="00AB50F9">
        <w:rPr>
          <w:rFonts w:eastAsia="Calibri"/>
        </w:rPr>
        <w:t xml:space="preserve"> 2016).</w:t>
      </w:r>
      <w:r w:rsidR="00EE7B7F" w:rsidRPr="00AB50F9">
        <w:rPr>
          <w:rFonts w:eastAsia="Calibri"/>
        </w:rPr>
        <w:t xml:space="preserve"> But e</w:t>
      </w:r>
      <w:r w:rsidR="002C7042" w:rsidRPr="00AB50F9">
        <w:rPr>
          <w:rFonts w:eastAsia="Calibri"/>
        </w:rPr>
        <w:t xml:space="preserve">ven if </w:t>
      </w:r>
      <w:r w:rsidR="004635EC" w:rsidRPr="00AB50F9">
        <w:rPr>
          <w:rFonts w:eastAsia="Calibri"/>
        </w:rPr>
        <w:t xml:space="preserve">surveys were harmonized and sources of non-comparability were </w:t>
      </w:r>
      <w:r w:rsidR="008E2896" w:rsidRPr="00AB50F9">
        <w:rPr>
          <w:rFonts w:eastAsia="Calibri"/>
        </w:rPr>
        <w:t xml:space="preserve">ironed out, </w:t>
      </w:r>
      <w:r w:rsidR="00EE7B7F" w:rsidRPr="00AB50F9">
        <w:rPr>
          <w:rFonts w:eastAsia="Calibri"/>
        </w:rPr>
        <w:t>there</w:t>
      </w:r>
      <w:r w:rsidR="004772D2" w:rsidRPr="00AB50F9">
        <w:rPr>
          <w:rFonts w:eastAsia="Calibri"/>
        </w:rPr>
        <w:t xml:space="preserve"> still i</w:t>
      </w:r>
      <w:r w:rsidR="00EE7B7F" w:rsidRPr="00AB50F9">
        <w:rPr>
          <w:rFonts w:eastAsia="Calibri"/>
        </w:rPr>
        <w:t>s</w:t>
      </w:r>
      <w:r w:rsidR="00810FE5" w:rsidRPr="00AB50F9">
        <w:rPr>
          <w:rFonts w:eastAsia="Calibri"/>
        </w:rPr>
        <w:t xml:space="preserve"> a problem in </w:t>
      </w:r>
      <w:r w:rsidR="002C7042" w:rsidRPr="00AB50F9">
        <w:rPr>
          <w:rFonts w:eastAsia="Calibri"/>
        </w:rPr>
        <w:t>matching</w:t>
      </w:r>
      <w:r w:rsidR="00810FE5" w:rsidRPr="00AB50F9">
        <w:rPr>
          <w:rFonts w:eastAsia="Calibri"/>
        </w:rPr>
        <w:t xml:space="preserve"> top-down and bottom-up estimates. </w:t>
      </w:r>
      <w:r w:rsidR="002C7042" w:rsidRPr="00AB50F9">
        <w:rPr>
          <w:rFonts w:eastAsia="Calibri"/>
        </w:rPr>
        <w:t>The FAO f</w:t>
      </w:r>
      <w:r w:rsidRPr="00AB50F9">
        <w:rPr>
          <w:rFonts w:eastAsia="Calibri"/>
        </w:rPr>
        <w:t xml:space="preserve">ood balance sheets are </w:t>
      </w:r>
      <w:r w:rsidR="00810FE5" w:rsidRPr="00AB50F9">
        <w:rPr>
          <w:rFonts w:eastAsia="Calibri"/>
        </w:rPr>
        <w:t>annual</w:t>
      </w:r>
      <w:r w:rsidR="002C7042" w:rsidRPr="00AB50F9">
        <w:rPr>
          <w:rFonts w:eastAsia="Calibri"/>
        </w:rPr>
        <w:t>,</w:t>
      </w:r>
      <w:r w:rsidRPr="00AB50F9">
        <w:rPr>
          <w:rFonts w:eastAsia="Calibri"/>
        </w:rPr>
        <w:t xml:space="preserve"> so the </w:t>
      </w:r>
      <w:r w:rsidR="002C7042" w:rsidRPr="00AB50F9">
        <w:rPr>
          <w:rFonts w:eastAsia="Calibri"/>
        </w:rPr>
        <w:t xml:space="preserve">hunger </w:t>
      </w:r>
      <w:r w:rsidR="00810FE5" w:rsidRPr="00AB50F9">
        <w:rPr>
          <w:rFonts w:eastAsia="Calibri"/>
        </w:rPr>
        <w:t xml:space="preserve">measures </w:t>
      </w:r>
      <w:r w:rsidR="002C7042" w:rsidRPr="00AB50F9">
        <w:rPr>
          <w:rFonts w:eastAsia="Calibri"/>
        </w:rPr>
        <w:t>also</w:t>
      </w:r>
      <w:r w:rsidR="00EE7B7F" w:rsidRPr="00AB50F9">
        <w:rPr>
          <w:rFonts w:eastAsia="Calibri"/>
        </w:rPr>
        <w:t xml:space="preserve"> are</w:t>
      </w:r>
      <w:r w:rsidR="002C7042" w:rsidRPr="00AB50F9">
        <w:rPr>
          <w:rFonts w:eastAsia="Calibri"/>
        </w:rPr>
        <w:t xml:space="preserve"> annual</w:t>
      </w:r>
      <w:r w:rsidR="00810FE5" w:rsidRPr="00AB50F9">
        <w:rPr>
          <w:rFonts w:eastAsia="Calibri"/>
        </w:rPr>
        <w:t xml:space="preserve">, </w:t>
      </w:r>
      <w:r w:rsidR="00EE7B7F" w:rsidRPr="00AB50F9">
        <w:rPr>
          <w:rFonts w:eastAsia="Calibri"/>
        </w:rPr>
        <w:t>and refer to a typical level of daily energy</w:t>
      </w:r>
      <w:r w:rsidR="00BC23FD">
        <w:rPr>
          <w:rFonts w:eastAsia="Calibri"/>
        </w:rPr>
        <w:t xml:space="preserve"> consumption during a year (FAO</w:t>
      </w:r>
      <w:r w:rsidR="00EE7B7F" w:rsidRPr="00AB50F9">
        <w:rPr>
          <w:rFonts w:eastAsia="Calibri"/>
        </w:rPr>
        <w:t xml:space="preserve"> 2013, p.46). This approach to measuring chronic hunger is based on mean consumption over time being less than requirements although even within FAO it is sometimes confused with a spells approach, as seen in the following remarks from </w:t>
      </w:r>
      <w:r w:rsidR="00495948" w:rsidRPr="00AB50F9">
        <w:rPr>
          <w:rFonts w:eastAsia="Calibri"/>
        </w:rPr>
        <w:t>Assistant Director-</w:t>
      </w:r>
      <w:r w:rsidR="007F263D" w:rsidRPr="00AB50F9">
        <w:rPr>
          <w:rFonts w:eastAsia="Calibri"/>
        </w:rPr>
        <w:t>General</w:t>
      </w:r>
      <w:r w:rsidR="00EE7B7F" w:rsidRPr="00AB50F9">
        <w:rPr>
          <w:rFonts w:eastAsia="Calibri"/>
        </w:rPr>
        <w:t xml:space="preserve"> </w:t>
      </w:r>
      <w:proofErr w:type="spellStart"/>
      <w:r w:rsidR="00EE7B7F" w:rsidRPr="00AB50F9">
        <w:rPr>
          <w:rFonts w:eastAsia="Calibri"/>
        </w:rPr>
        <w:t>Jomo</w:t>
      </w:r>
      <w:proofErr w:type="spellEnd"/>
      <w:r w:rsidR="00EE7B7F" w:rsidRPr="00AB50F9">
        <w:rPr>
          <w:rFonts w:eastAsia="Calibri"/>
        </w:rPr>
        <w:t xml:space="preserve"> Kwame </w:t>
      </w:r>
      <w:proofErr w:type="spellStart"/>
      <w:r w:rsidR="00EE7B7F" w:rsidRPr="00AB50F9">
        <w:rPr>
          <w:rFonts w:eastAsia="Calibri"/>
        </w:rPr>
        <w:t>Sundaram</w:t>
      </w:r>
      <w:proofErr w:type="spellEnd"/>
      <w:r w:rsidR="002C7042" w:rsidRPr="00AB50F9">
        <w:rPr>
          <w:rFonts w:eastAsia="Calibri"/>
        </w:rPr>
        <w:t xml:space="preserve">: </w:t>
      </w:r>
    </w:p>
    <w:p w:rsidR="00AB50F9" w:rsidRPr="007170D2" w:rsidRDefault="00AB50F9" w:rsidP="00681293">
      <w:pPr>
        <w:spacing w:line="300" w:lineRule="auto"/>
        <w:jc w:val="both"/>
        <w:rPr>
          <w:rFonts w:eastAsia="Calibri"/>
          <w:sz w:val="28"/>
          <w:szCs w:val="28"/>
        </w:rPr>
      </w:pPr>
    </w:p>
    <w:p w:rsidR="00810FE5" w:rsidRPr="009178F0" w:rsidRDefault="009178F0" w:rsidP="00214D81">
      <w:pPr>
        <w:spacing w:line="300" w:lineRule="auto"/>
        <w:ind w:left="709" w:right="855"/>
        <w:jc w:val="both"/>
        <w:rPr>
          <w:rFonts w:eastAsia="Calibri"/>
          <w:sz w:val="22"/>
          <w:szCs w:val="22"/>
          <w:lang w:val="en-NZ"/>
        </w:rPr>
      </w:pPr>
      <w:r w:rsidRPr="009178F0">
        <w:rPr>
          <w:rFonts w:eastAsia="Calibri"/>
          <w:sz w:val="22"/>
          <w:szCs w:val="22"/>
          <w:lang w:val="en-NZ"/>
        </w:rPr>
        <w:t>'</w:t>
      </w:r>
      <w:r w:rsidR="002C7042" w:rsidRPr="009178F0">
        <w:rPr>
          <w:rFonts w:eastAsia="Calibri"/>
          <w:sz w:val="22"/>
          <w:szCs w:val="22"/>
          <w:lang w:val="en-NZ"/>
        </w:rPr>
        <w:t>…at least 842 million people in the world are believed to be still suffering from chronic hunger. This is a very, very strict definition…</w:t>
      </w:r>
      <w:r w:rsidR="00810FE5" w:rsidRPr="009178F0">
        <w:rPr>
          <w:rFonts w:eastAsia="Calibri"/>
          <w:sz w:val="22"/>
          <w:szCs w:val="22"/>
          <w:lang w:val="en-NZ"/>
        </w:rPr>
        <w:t>they have been hungry for at least a year. So if they have not been hungry for a month in that year, or for a season in that year, they n</w:t>
      </w:r>
      <w:r w:rsidR="007F263D" w:rsidRPr="009178F0">
        <w:rPr>
          <w:rFonts w:eastAsia="Calibri"/>
          <w:sz w:val="22"/>
          <w:szCs w:val="22"/>
          <w:lang w:val="en-NZ"/>
        </w:rPr>
        <w:t>o longer qualify as being hungry…</w:t>
      </w:r>
      <w:r w:rsidRPr="009178F0">
        <w:rPr>
          <w:rFonts w:eastAsia="Calibri"/>
          <w:sz w:val="22"/>
          <w:szCs w:val="22"/>
          <w:lang w:val="en-NZ"/>
        </w:rPr>
        <w:t>'</w:t>
      </w:r>
      <w:r>
        <w:rPr>
          <w:rFonts w:eastAsia="Calibri"/>
          <w:sz w:val="22"/>
          <w:szCs w:val="22"/>
          <w:lang w:val="en-NZ"/>
        </w:rPr>
        <w:t xml:space="preserve"> </w:t>
      </w:r>
      <w:proofErr w:type="gramStart"/>
      <w:r>
        <w:rPr>
          <w:rFonts w:eastAsia="Calibri"/>
          <w:sz w:val="22"/>
          <w:szCs w:val="22"/>
          <w:lang w:val="en-NZ"/>
        </w:rPr>
        <w:t>(</w:t>
      </w:r>
      <w:proofErr w:type="spellStart"/>
      <w:r>
        <w:rPr>
          <w:rFonts w:eastAsia="Calibri"/>
          <w:sz w:val="22"/>
          <w:szCs w:val="22"/>
          <w:lang w:val="en-NZ"/>
        </w:rPr>
        <w:t>Sundaram</w:t>
      </w:r>
      <w:proofErr w:type="spellEnd"/>
      <w:r w:rsidR="007F263D" w:rsidRPr="009178F0">
        <w:rPr>
          <w:rFonts w:eastAsia="Calibri"/>
          <w:sz w:val="22"/>
          <w:szCs w:val="22"/>
          <w:lang w:val="en-NZ"/>
        </w:rPr>
        <w:t xml:space="preserve"> 2013)</w:t>
      </w:r>
      <w:r w:rsidR="007C2512">
        <w:rPr>
          <w:rFonts w:eastAsia="Calibri"/>
          <w:sz w:val="22"/>
          <w:szCs w:val="22"/>
          <w:lang w:val="en-NZ"/>
        </w:rPr>
        <w:t>.</w:t>
      </w:r>
      <w:proofErr w:type="gramEnd"/>
    </w:p>
    <w:p w:rsidR="00AB50F9" w:rsidRPr="007170D2" w:rsidRDefault="00AB50F9" w:rsidP="00681293">
      <w:pPr>
        <w:spacing w:line="300" w:lineRule="auto"/>
        <w:ind w:left="170" w:right="170"/>
        <w:jc w:val="both"/>
        <w:rPr>
          <w:rFonts w:eastAsia="Calibri"/>
          <w:sz w:val="28"/>
          <w:szCs w:val="28"/>
          <w:lang w:val="en-NZ"/>
        </w:rPr>
      </w:pPr>
    </w:p>
    <w:p w:rsidR="00EE7B7F" w:rsidRDefault="00FA2111" w:rsidP="00681293">
      <w:pPr>
        <w:spacing w:line="300" w:lineRule="auto"/>
        <w:jc w:val="both"/>
        <w:rPr>
          <w:rFonts w:eastAsia="Calibri"/>
        </w:rPr>
      </w:pPr>
      <w:r>
        <w:rPr>
          <w:rFonts w:eastAsia="Calibri"/>
        </w:rPr>
        <w:tab/>
      </w:r>
      <w:r w:rsidR="008E2896" w:rsidRPr="00AB50F9">
        <w:rPr>
          <w:rFonts w:eastAsia="Calibri"/>
        </w:rPr>
        <w:t xml:space="preserve">In </w:t>
      </w:r>
      <w:r w:rsidR="00EE7B7F" w:rsidRPr="00AB50F9">
        <w:rPr>
          <w:rFonts w:eastAsia="Calibri"/>
        </w:rPr>
        <w:t>fact, contrary to the quotation, the FAO approach</w:t>
      </w:r>
      <w:r w:rsidR="00C37A47" w:rsidRPr="00AB50F9">
        <w:rPr>
          <w:rFonts w:eastAsia="Calibri"/>
        </w:rPr>
        <w:t xml:space="preserve"> cannot distinguish between</w:t>
      </w:r>
      <w:r w:rsidR="00EE7B7F" w:rsidRPr="00AB50F9">
        <w:rPr>
          <w:rFonts w:eastAsia="Calibri"/>
        </w:rPr>
        <w:t xml:space="preserve"> large and small </w:t>
      </w:r>
      <w:r w:rsidR="00C37A47" w:rsidRPr="00AB50F9">
        <w:rPr>
          <w:rFonts w:eastAsia="Calibri"/>
        </w:rPr>
        <w:t xml:space="preserve">intra-year </w:t>
      </w:r>
      <w:r w:rsidR="00EE7B7F" w:rsidRPr="00AB50F9">
        <w:rPr>
          <w:rFonts w:eastAsia="Calibri"/>
        </w:rPr>
        <w:t>fluctuations around the</w:t>
      </w:r>
      <w:r w:rsidR="00C37A47" w:rsidRPr="00AB50F9">
        <w:rPr>
          <w:rFonts w:eastAsia="Calibri"/>
        </w:rPr>
        <w:t xml:space="preserve"> energy requirement that result in the</w:t>
      </w:r>
      <w:r w:rsidR="00EE7B7F" w:rsidRPr="00AB50F9">
        <w:rPr>
          <w:rFonts w:eastAsia="Calibri"/>
        </w:rPr>
        <w:t xml:space="preserve"> same mean </w:t>
      </w:r>
      <w:r w:rsidR="00C37A47" w:rsidRPr="00AB50F9">
        <w:rPr>
          <w:rFonts w:eastAsia="Calibri"/>
        </w:rPr>
        <w:t xml:space="preserve">annual energy </w:t>
      </w:r>
      <w:r w:rsidR="00EE7B7F" w:rsidRPr="00AB50F9">
        <w:rPr>
          <w:rFonts w:eastAsia="Calibri"/>
        </w:rPr>
        <w:t>consumption</w:t>
      </w:r>
      <w:r w:rsidR="00C37A47" w:rsidRPr="00AB50F9">
        <w:rPr>
          <w:rFonts w:eastAsia="Calibri"/>
        </w:rPr>
        <w:t>.</w:t>
      </w:r>
      <w:r w:rsidR="004772D2" w:rsidRPr="00AB50F9">
        <w:rPr>
          <w:rFonts w:eastAsia="Calibri"/>
        </w:rPr>
        <w:t xml:space="preserve"> Indeed, there is an explicit neglect of </w:t>
      </w:r>
      <w:r w:rsidR="006F6289" w:rsidRPr="00AB50F9">
        <w:rPr>
          <w:rFonts w:eastAsia="Calibri"/>
        </w:rPr>
        <w:t xml:space="preserve">short-term fluctuations according to </w:t>
      </w:r>
      <w:proofErr w:type="spellStart"/>
      <w:r w:rsidR="006F6289" w:rsidRPr="00AB50F9">
        <w:rPr>
          <w:rFonts w:eastAsia="Calibri"/>
        </w:rPr>
        <w:t>Caf</w:t>
      </w:r>
      <w:r w:rsidR="005236BF" w:rsidRPr="00AB50F9">
        <w:rPr>
          <w:rFonts w:eastAsia="Calibri"/>
        </w:rPr>
        <w:t>iero</w:t>
      </w:r>
      <w:proofErr w:type="spellEnd"/>
      <w:r w:rsidR="005236BF" w:rsidRPr="00AB50F9">
        <w:rPr>
          <w:rFonts w:eastAsia="Calibri"/>
        </w:rPr>
        <w:t xml:space="preserve"> (2014, p.4) who notes </w:t>
      </w:r>
      <w:r w:rsidR="009178F0">
        <w:rPr>
          <w:rFonts w:eastAsia="Calibri"/>
        </w:rPr>
        <w:t>'</w:t>
      </w:r>
      <w:r w:rsidR="005236BF" w:rsidRPr="00AB50F9">
        <w:rPr>
          <w:rFonts w:eastAsia="Calibri"/>
        </w:rPr>
        <w:t>[t]</w:t>
      </w:r>
      <w:proofErr w:type="spellStart"/>
      <w:proofErr w:type="gramStart"/>
      <w:r w:rsidR="006F6289" w:rsidRPr="00AB50F9">
        <w:rPr>
          <w:rFonts w:eastAsia="Calibri"/>
        </w:rPr>
        <w:t>hough</w:t>
      </w:r>
      <w:proofErr w:type="spellEnd"/>
      <w:proofErr w:type="gramEnd"/>
      <w:r w:rsidR="006F6289" w:rsidRPr="00AB50F9">
        <w:rPr>
          <w:rFonts w:eastAsia="Calibri"/>
        </w:rPr>
        <w:t xml:space="preserve"> temporary food shortages may be stressing, the FAO definition of t</w:t>
      </w:r>
      <w:r w:rsidR="00F41537" w:rsidRPr="00AB50F9">
        <w:rPr>
          <w:rFonts w:eastAsia="Calibri"/>
        </w:rPr>
        <w:t>he indicator is based on a year</w:t>
      </w:r>
      <w:r w:rsidR="006F6289" w:rsidRPr="00AB50F9">
        <w:rPr>
          <w:rFonts w:eastAsia="Calibri"/>
        </w:rPr>
        <w:t>.</w:t>
      </w:r>
      <w:r w:rsidR="009178F0">
        <w:rPr>
          <w:rFonts w:eastAsia="Calibri"/>
        </w:rPr>
        <w:t>'</w:t>
      </w:r>
    </w:p>
    <w:p w:rsidR="00AB50F9" w:rsidRPr="00AB50F9" w:rsidRDefault="00AB50F9" w:rsidP="00681293">
      <w:pPr>
        <w:spacing w:line="300" w:lineRule="auto"/>
        <w:jc w:val="both"/>
        <w:rPr>
          <w:rFonts w:eastAsia="Calibri"/>
        </w:rPr>
      </w:pPr>
    </w:p>
    <w:p w:rsidR="007170D2" w:rsidRDefault="007170D2" w:rsidP="00681293">
      <w:pPr>
        <w:spacing w:line="300" w:lineRule="auto"/>
        <w:ind w:firstLine="720"/>
        <w:jc w:val="both"/>
        <w:rPr>
          <w:rFonts w:eastAsia="Calibri"/>
        </w:rPr>
      </w:pPr>
    </w:p>
    <w:p w:rsidR="00836794" w:rsidRDefault="006F6289" w:rsidP="00681293">
      <w:pPr>
        <w:spacing w:line="300" w:lineRule="auto"/>
        <w:ind w:firstLine="720"/>
        <w:jc w:val="both"/>
        <w:rPr>
          <w:rFonts w:eastAsia="Calibri"/>
        </w:rPr>
      </w:pPr>
      <w:r w:rsidRPr="00AB50F9">
        <w:rPr>
          <w:rFonts w:eastAsia="Calibri"/>
        </w:rPr>
        <w:lastRenderedPageBreak/>
        <w:t xml:space="preserve">In </w:t>
      </w:r>
      <w:r w:rsidR="008E2896" w:rsidRPr="00AB50F9">
        <w:rPr>
          <w:rFonts w:eastAsia="Calibri"/>
        </w:rPr>
        <w:t>contrast</w:t>
      </w:r>
      <w:r w:rsidRPr="00AB50F9">
        <w:rPr>
          <w:rFonts w:eastAsia="Calibri"/>
        </w:rPr>
        <w:t xml:space="preserve"> to </w:t>
      </w:r>
      <w:r w:rsidR="007C000D" w:rsidRPr="00AB50F9">
        <w:rPr>
          <w:rFonts w:eastAsia="Calibri"/>
        </w:rPr>
        <w:t>the</w:t>
      </w:r>
      <w:r w:rsidR="00655071" w:rsidRPr="00AB50F9">
        <w:rPr>
          <w:rFonts w:eastAsia="Calibri"/>
        </w:rPr>
        <w:t xml:space="preserve"> annual focus of FAO </w:t>
      </w:r>
      <w:r w:rsidRPr="00AB50F9">
        <w:rPr>
          <w:rFonts w:eastAsia="Calibri"/>
        </w:rPr>
        <w:t>estimates</w:t>
      </w:r>
      <w:r w:rsidR="008E2896" w:rsidRPr="00AB50F9">
        <w:rPr>
          <w:rFonts w:eastAsia="Calibri"/>
        </w:rPr>
        <w:t xml:space="preserve">, </w:t>
      </w:r>
      <w:r w:rsidR="002F313B" w:rsidRPr="00AB50F9">
        <w:rPr>
          <w:rFonts w:eastAsia="Calibri"/>
        </w:rPr>
        <w:t>advocate</w:t>
      </w:r>
      <w:r w:rsidRPr="00AB50F9">
        <w:rPr>
          <w:rFonts w:eastAsia="Calibri"/>
        </w:rPr>
        <w:t xml:space="preserve">s of direct hunger counts from </w:t>
      </w:r>
      <w:r w:rsidR="00054443" w:rsidRPr="00AB50F9">
        <w:rPr>
          <w:rFonts w:eastAsia="Calibri"/>
        </w:rPr>
        <w:t xml:space="preserve">HCES </w:t>
      </w:r>
      <w:r w:rsidR="007C000D" w:rsidRPr="00AB50F9">
        <w:rPr>
          <w:rFonts w:eastAsia="Calibri"/>
        </w:rPr>
        <w:t>are relying</w:t>
      </w:r>
      <w:r w:rsidRPr="00AB50F9">
        <w:rPr>
          <w:rFonts w:eastAsia="Calibri"/>
        </w:rPr>
        <w:t xml:space="preserve"> on </w:t>
      </w:r>
      <w:r w:rsidR="00655071" w:rsidRPr="00AB50F9">
        <w:rPr>
          <w:rFonts w:eastAsia="Calibri"/>
        </w:rPr>
        <w:t xml:space="preserve">data </w:t>
      </w:r>
      <w:r w:rsidRPr="00AB50F9">
        <w:rPr>
          <w:rFonts w:eastAsia="Calibri"/>
        </w:rPr>
        <w:t xml:space="preserve">that only </w:t>
      </w:r>
      <w:r w:rsidR="00836794" w:rsidRPr="00AB50F9">
        <w:rPr>
          <w:rFonts w:eastAsia="Calibri"/>
        </w:rPr>
        <w:t xml:space="preserve">give </w:t>
      </w:r>
      <w:r w:rsidR="00054443" w:rsidRPr="00AB50F9">
        <w:rPr>
          <w:rFonts w:eastAsia="Calibri"/>
        </w:rPr>
        <w:t xml:space="preserve">a snapshot </w:t>
      </w:r>
      <w:r w:rsidRPr="00AB50F9">
        <w:rPr>
          <w:rFonts w:eastAsia="Calibri"/>
        </w:rPr>
        <w:t xml:space="preserve">of living standards </w:t>
      </w:r>
      <w:r w:rsidR="00836794" w:rsidRPr="00AB50F9">
        <w:rPr>
          <w:rFonts w:eastAsia="Calibri"/>
        </w:rPr>
        <w:t xml:space="preserve">for the week, fortnight or month </w:t>
      </w:r>
      <w:r w:rsidR="00655071" w:rsidRPr="00AB50F9">
        <w:rPr>
          <w:rFonts w:eastAsia="Calibri"/>
        </w:rPr>
        <w:t xml:space="preserve">survey </w:t>
      </w:r>
      <w:r w:rsidR="00836794" w:rsidRPr="00AB50F9">
        <w:rPr>
          <w:rFonts w:eastAsia="Calibri"/>
        </w:rPr>
        <w:t>reference period</w:t>
      </w:r>
      <w:r w:rsidR="007F263D" w:rsidRPr="00AB50F9">
        <w:rPr>
          <w:rFonts w:eastAsia="Calibri"/>
        </w:rPr>
        <w:t>.</w:t>
      </w:r>
      <w:r w:rsidR="007F263D" w:rsidRPr="00AB50F9">
        <w:rPr>
          <w:rStyle w:val="FootnoteReference"/>
          <w:rFonts w:eastAsia="Calibri"/>
        </w:rPr>
        <w:footnoteReference w:id="1"/>
      </w:r>
      <w:r w:rsidR="00836794" w:rsidRPr="00AB50F9">
        <w:rPr>
          <w:rFonts w:eastAsia="Calibri"/>
        </w:rPr>
        <w:t xml:space="preserve"> </w:t>
      </w:r>
      <w:r w:rsidRPr="00AB50F9">
        <w:rPr>
          <w:rFonts w:eastAsia="Calibri"/>
        </w:rPr>
        <w:t>A</w:t>
      </w:r>
      <w:r w:rsidR="00054443" w:rsidRPr="00AB50F9">
        <w:rPr>
          <w:rFonts w:eastAsia="Calibri"/>
        </w:rPr>
        <w:t>bsent perfect smoothing, t</w:t>
      </w:r>
      <w:r w:rsidR="00836794" w:rsidRPr="00AB50F9">
        <w:rPr>
          <w:rFonts w:eastAsia="Calibri"/>
        </w:rPr>
        <w:t>he</w:t>
      </w:r>
      <w:r w:rsidRPr="00AB50F9">
        <w:rPr>
          <w:rFonts w:eastAsia="Calibri"/>
        </w:rPr>
        <w:t>se</w:t>
      </w:r>
      <w:r w:rsidR="00836794" w:rsidRPr="00AB50F9">
        <w:rPr>
          <w:rFonts w:eastAsia="Calibri"/>
        </w:rPr>
        <w:t xml:space="preserve"> </w:t>
      </w:r>
      <w:r w:rsidR="00054443" w:rsidRPr="00AB50F9">
        <w:rPr>
          <w:rFonts w:eastAsia="Calibri"/>
        </w:rPr>
        <w:t xml:space="preserve">HCES </w:t>
      </w:r>
      <w:r w:rsidR="00836794" w:rsidRPr="00AB50F9">
        <w:rPr>
          <w:rFonts w:eastAsia="Calibri"/>
        </w:rPr>
        <w:t xml:space="preserve">snapshots </w:t>
      </w:r>
      <w:r w:rsidR="002F313B" w:rsidRPr="00AB50F9">
        <w:rPr>
          <w:rFonts w:eastAsia="Calibri"/>
        </w:rPr>
        <w:t xml:space="preserve">are a </w:t>
      </w:r>
      <w:r w:rsidR="00836794" w:rsidRPr="00AB50F9">
        <w:rPr>
          <w:rFonts w:eastAsia="Calibri"/>
        </w:rPr>
        <w:t xml:space="preserve">noisy </w:t>
      </w:r>
      <w:r w:rsidR="002F313B" w:rsidRPr="00AB50F9">
        <w:rPr>
          <w:rFonts w:eastAsia="Calibri"/>
        </w:rPr>
        <w:t xml:space="preserve">basis for extrapolating to annual estimates </w:t>
      </w:r>
      <w:r w:rsidR="00836794" w:rsidRPr="00AB50F9">
        <w:rPr>
          <w:rFonts w:eastAsia="Calibri"/>
        </w:rPr>
        <w:t xml:space="preserve">of </w:t>
      </w:r>
      <w:r w:rsidR="00655071" w:rsidRPr="00AB50F9">
        <w:rPr>
          <w:rFonts w:eastAsia="Calibri"/>
        </w:rPr>
        <w:t>habitual dietary energy consumption</w:t>
      </w:r>
      <w:r w:rsidR="00495948" w:rsidRPr="00AB50F9">
        <w:rPr>
          <w:rFonts w:eastAsia="Calibri"/>
        </w:rPr>
        <w:t>, which</w:t>
      </w:r>
      <w:r w:rsidR="002F313B" w:rsidRPr="00AB50F9">
        <w:rPr>
          <w:rFonts w:eastAsia="Calibri"/>
        </w:rPr>
        <w:t xml:space="preserve"> the FAO</w:t>
      </w:r>
      <w:r w:rsidR="00495948" w:rsidRPr="00AB50F9">
        <w:rPr>
          <w:rFonts w:eastAsia="Calibri"/>
        </w:rPr>
        <w:t xml:space="preserve"> approach relies upon</w:t>
      </w:r>
      <w:r w:rsidR="002F313B" w:rsidRPr="00AB50F9">
        <w:rPr>
          <w:rFonts w:eastAsia="Calibri"/>
        </w:rPr>
        <w:t>. The o</w:t>
      </w:r>
      <w:r w:rsidR="00836794" w:rsidRPr="00AB50F9">
        <w:rPr>
          <w:rFonts w:eastAsia="Calibri"/>
        </w:rPr>
        <w:t>verstated b</w:t>
      </w:r>
      <w:r w:rsidR="00655071" w:rsidRPr="00AB50F9">
        <w:rPr>
          <w:rFonts w:eastAsia="Calibri"/>
        </w:rPr>
        <w:t xml:space="preserve">etween-households variance </w:t>
      </w:r>
      <w:r w:rsidR="002F313B" w:rsidRPr="00AB50F9">
        <w:rPr>
          <w:rFonts w:eastAsia="Calibri"/>
        </w:rPr>
        <w:t xml:space="preserve">will </w:t>
      </w:r>
      <w:r w:rsidR="00836794" w:rsidRPr="00AB50F9">
        <w:rPr>
          <w:rFonts w:eastAsia="Calibri"/>
        </w:rPr>
        <w:t>raise the share of the population who ap</w:t>
      </w:r>
      <w:r w:rsidR="002E724D" w:rsidRPr="00AB50F9">
        <w:rPr>
          <w:rFonts w:eastAsia="Calibri"/>
        </w:rPr>
        <w:t>pear below calorie requirements</w:t>
      </w:r>
      <w:r w:rsidR="00836794" w:rsidRPr="00AB50F9">
        <w:rPr>
          <w:rFonts w:eastAsia="Calibri"/>
        </w:rPr>
        <w:t xml:space="preserve">, for any </w:t>
      </w:r>
      <w:r w:rsidR="002E724D" w:rsidRPr="00AB50F9">
        <w:rPr>
          <w:rFonts w:eastAsia="Calibri"/>
        </w:rPr>
        <w:t xml:space="preserve">cut-off </w:t>
      </w:r>
      <w:r w:rsidR="00836794" w:rsidRPr="00AB50F9">
        <w:rPr>
          <w:rFonts w:eastAsia="Calibri"/>
        </w:rPr>
        <w:t xml:space="preserve">set below the </w:t>
      </w:r>
      <w:proofErr w:type="gramStart"/>
      <w:r w:rsidR="00836794" w:rsidRPr="00AB50F9">
        <w:rPr>
          <w:rFonts w:eastAsia="Calibri"/>
        </w:rPr>
        <w:t>median,</w:t>
      </w:r>
      <w:proofErr w:type="gramEnd"/>
      <w:r w:rsidR="00836794" w:rsidRPr="00AB50F9">
        <w:rPr>
          <w:rFonts w:eastAsia="Calibri"/>
        </w:rPr>
        <w:t xml:space="preserve"> and </w:t>
      </w:r>
      <w:r w:rsidR="002E724D" w:rsidRPr="00AB50F9">
        <w:rPr>
          <w:rFonts w:eastAsia="Calibri"/>
        </w:rPr>
        <w:t xml:space="preserve">so </w:t>
      </w:r>
      <w:r w:rsidR="00655071" w:rsidRPr="00AB50F9">
        <w:rPr>
          <w:rFonts w:eastAsia="Calibri"/>
        </w:rPr>
        <w:t xml:space="preserve">bottom-up direct hunger counts </w:t>
      </w:r>
      <w:r w:rsidR="00836794" w:rsidRPr="00AB50F9">
        <w:rPr>
          <w:rFonts w:eastAsia="Calibri"/>
        </w:rPr>
        <w:t xml:space="preserve">will </w:t>
      </w:r>
      <w:r w:rsidR="00655071" w:rsidRPr="00AB50F9">
        <w:rPr>
          <w:rFonts w:eastAsia="Calibri"/>
        </w:rPr>
        <w:t>exceed the top-down FAO estimates</w:t>
      </w:r>
      <w:r w:rsidR="007C000D" w:rsidRPr="00AB50F9">
        <w:rPr>
          <w:rFonts w:eastAsia="Calibri"/>
        </w:rPr>
        <w:t xml:space="preserve">, even if </w:t>
      </w:r>
      <w:r w:rsidR="002F313B" w:rsidRPr="00AB50F9">
        <w:rPr>
          <w:rFonts w:eastAsia="Calibri"/>
        </w:rPr>
        <w:t xml:space="preserve">for </w:t>
      </w:r>
      <w:r w:rsidR="007C000D" w:rsidRPr="00AB50F9">
        <w:rPr>
          <w:rFonts w:eastAsia="Calibri"/>
        </w:rPr>
        <w:t>the same population and even if HCES</w:t>
      </w:r>
      <w:r w:rsidR="002F313B" w:rsidRPr="00AB50F9">
        <w:rPr>
          <w:rFonts w:eastAsia="Calibri"/>
        </w:rPr>
        <w:t xml:space="preserve"> and food balance sheets cover</w:t>
      </w:r>
      <w:r w:rsidR="007C000D" w:rsidRPr="00AB50F9">
        <w:rPr>
          <w:rFonts w:eastAsia="Calibri"/>
        </w:rPr>
        <w:t xml:space="preserve"> the same food consumption</w:t>
      </w:r>
      <w:r w:rsidR="00655071" w:rsidRPr="00AB50F9">
        <w:rPr>
          <w:rFonts w:eastAsia="Calibri"/>
        </w:rPr>
        <w:t>.</w:t>
      </w:r>
      <w:r w:rsidR="005121F1" w:rsidRPr="00AB50F9">
        <w:rPr>
          <w:rStyle w:val="FootnoteReference"/>
          <w:rFonts w:eastAsia="Calibri"/>
        </w:rPr>
        <w:footnoteReference w:id="2"/>
      </w:r>
      <w:r w:rsidR="002E724D" w:rsidRPr="00AB50F9">
        <w:rPr>
          <w:rFonts w:eastAsia="Calibri"/>
        </w:rPr>
        <w:t xml:space="preserve"> The </w:t>
      </w:r>
      <w:r w:rsidR="002F313B" w:rsidRPr="00AB50F9">
        <w:rPr>
          <w:rFonts w:eastAsia="Calibri"/>
        </w:rPr>
        <w:t xml:space="preserve">HCES </w:t>
      </w:r>
      <w:r w:rsidR="002E724D" w:rsidRPr="00AB50F9">
        <w:rPr>
          <w:rFonts w:eastAsia="Calibri"/>
        </w:rPr>
        <w:t xml:space="preserve">variances </w:t>
      </w:r>
      <w:r w:rsidR="00765A14" w:rsidRPr="00AB50F9">
        <w:rPr>
          <w:rFonts w:eastAsia="Calibri"/>
        </w:rPr>
        <w:t>also pose a problem for FAO estimates</w:t>
      </w:r>
      <w:r w:rsidR="002E724D" w:rsidRPr="00AB50F9">
        <w:rPr>
          <w:rFonts w:eastAsia="Calibri"/>
        </w:rPr>
        <w:t xml:space="preserve">, which ideally would </w:t>
      </w:r>
      <w:r w:rsidR="00765A14" w:rsidRPr="00AB50F9">
        <w:rPr>
          <w:rFonts w:eastAsia="Calibri"/>
        </w:rPr>
        <w:t xml:space="preserve">use </w:t>
      </w:r>
      <w:r w:rsidR="002E724D" w:rsidRPr="00AB50F9">
        <w:rPr>
          <w:rFonts w:eastAsia="Calibri"/>
        </w:rPr>
        <w:t>estimate</w:t>
      </w:r>
      <w:r w:rsidR="00765A14" w:rsidRPr="00AB50F9">
        <w:rPr>
          <w:rFonts w:eastAsia="Calibri"/>
        </w:rPr>
        <w:t>s</w:t>
      </w:r>
      <w:r w:rsidR="00977AAD" w:rsidRPr="00AB50F9">
        <w:rPr>
          <w:rFonts w:eastAsia="Calibri"/>
        </w:rPr>
        <w:t xml:space="preserve"> of annual variances</w:t>
      </w:r>
      <w:r w:rsidR="002E724D" w:rsidRPr="00AB50F9">
        <w:rPr>
          <w:rFonts w:eastAsia="Calibri"/>
        </w:rPr>
        <w:t xml:space="preserve"> </w:t>
      </w:r>
      <w:r w:rsidR="00765A14" w:rsidRPr="00AB50F9">
        <w:rPr>
          <w:rFonts w:eastAsia="Calibri"/>
        </w:rPr>
        <w:t>when</w:t>
      </w:r>
      <w:r w:rsidR="002E724D" w:rsidRPr="00AB50F9">
        <w:rPr>
          <w:rFonts w:eastAsia="Calibri"/>
        </w:rPr>
        <w:t xml:space="preserve"> distributing annual average </w:t>
      </w:r>
      <w:r w:rsidR="00A36FE8" w:rsidRPr="00AB50F9">
        <w:rPr>
          <w:rFonts w:eastAsia="Calibri"/>
        </w:rPr>
        <w:t xml:space="preserve">dietary </w:t>
      </w:r>
      <w:r w:rsidR="002E724D" w:rsidRPr="00AB50F9">
        <w:rPr>
          <w:rFonts w:eastAsia="Calibri"/>
        </w:rPr>
        <w:t>energy over the population. Since HCES do not observe households for a full y</w:t>
      </w:r>
      <w:r w:rsidR="002F313B" w:rsidRPr="00AB50F9">
        <w:rPr>
          <w:rFonts w:eastAsia="Calibri"/>
        </w:rPr>
        <w:t>ear, the FAO have to use short</w:t>
      </w:r>
      <w:r w:rsidR="002E724D" w:rsidRPr="00AB50F9">
        <w:rPr>
          <w:rFonts w:eastAsia="Calibri"/>
        </w:rPr>
        <w:t>-term estimates that have excess variability</w:t>
      </w:r>
      <w:r w:rsidR="002F313B" w:rsidRPr="00AB50F9">
        <w:rPr>
          <w:rFonts w:eastAsia="Calibri"/>
        </w:rPr>
        <w:t xml:space="preserve">, which they </w:t>
      </w:r>
      <w:r w:rsidR="002E724D" w:rsidRPr="00AB50F9">
        <w:rPr>
          <w:rFonts w:eastAsia="Calibri"/>
        </w:rPr>
        <w:t xml:space="preserve">dampen by </w:t>
      </w:r>
      <w:r w:rsidR="00765A14" w:rsidRPr="00AB50F9">
        <w:rPr>
          <w:rFonts w:eastAsia="Calibri"/>
        </w:rPr>
        <w:t xml:space="preserve">indirectly </w:t>
      </w:r>
      <w:r w:rsidR="002E724D" w:rsidRPr="00AB50F9">
        <w:rPr>
          <w:rFonts w:eastAsia="Calibri"/>
        </w:rPr>
        <w:t>relating them to income.</w:t>
      </w:r>
      <w:r w:rsidR="009201F9" w:rsidRPr="00AB50F9">
        <w:rPr>
          <w:rStyle w:val="FootnoteReference"/>
          <w:rFonts w:eastAsia="Calibri"/>
        </w:rPr>
        <w:footnoteReference w:id="3"/>
      </w:r>
    </w:p>
    <w:p w:rsidR="00AB50F9" w:rsidRPr="00AB50F9" w:rsidRDefault="00AB50F9" w:rsidP="00681293">
      <w:pPr>
        <w:spacing w:line="300" w:lineRule="auto"/>
        <w:ind w:firstLine="720"/>
        <w:jc w:val="both"/>
        <w:rPr>
          <w:rFonts w:eastAsia="Calibri"/>
        </w:rPr>
      </w:pPr>
    </w:p>
    <w:p w:rsidR="00062C8F" w:rsidRDefault="008E2896" w:rsidP="00681293">
      <w:pPr>
        <w:widowControl w:val="0"/>
        <w:spacing w:line="300" w:lineRule="auto"/>
        <w:ind w:firstLine="720"/>
        <w:jc w:val="both"/>
        <w:rPr>
          <w:rFonts w:eastAsia="Calibri"/>
        </w:rPr>
      </w:pPr>
      <w:r w:rsidRPr="00AB50F9">
        <w:rPr>
          <w:rFonts w:eastAsia="Calibri"/>
        </w:rPr>
        <w:t xml:space="preserve">In this paper, </w:t>
      </w:r>
      <w:r w:rsidR="002E724D" w:rsidRPr="00AB50F9">
        <w:rPr>
          <w:rFonts w:eastAsia="Calibri"/>
        </w:rPr>
        <w:t xml:space="preserve">I propose </w:t>
      </w:r>
      <w:r w:rsidRPr="00AB50F9">
        <w:rPr>
          <w:rFonts w:eastAsia="Calibri"/>
        </w:rPr>
        <w:t xml:space="preserve">a new </w:t>
      </w:r>
      <w:r w:rsidR="009201F9" w:rsidRPr="00AB50F9">
        <w:rPr>
          <w:rFonts w:eastAsia="Calibri"/>
        </w:rPr>
        <w:t xml:space="preserve">method </w:t>
      </w:r>
      <w:r w:rsidR="00054443" w:rsidRPr="00AB50F9">
        <w:rPr>
          <w:rFonts w:eastAsia="Calibri"/>
        </w:rPr>
        <w:t>o</w:t>
      </w:r>
      <w:r w:rsidR="009201F9" w:rsidRPr="00AB50F9">
        <w:rPr>
          <w:rFonts w:eastAsia="Calibri"/>
        </w:rPr>
        <w:t>f deriving</w:t>
      </w:r>
      <w:r w:rsidRPr="00AB50F9">
        <w:rPr>
          <w:rFonts w:eastAsia="Calibri"/>
        </w:rPr>
        <w:t xml:space="preserve"> chronic hunger </w:t>
      </w:r>
      <w:r w:rsidR="00054443" w:rsidRPr="00AB50F9">
        <w:rPr>
          <w:rFonts w:eastAsia="Calibri"/>
        </w:rPr>
        <w:t xml:space="preserve">estimates </w:t>
      </w:r>
      <w:r w:rsidRPr="00AB50F9">
        <w:rPr>
          <w:rFonts w:eastAsia="Calibri"/>
        </w:rPr>
        <w:t xml:space="preserve">from </w:t>
      </w:r>
      <w:r w:rsidR="00054443" w:rsidRPr="00AB50F9">
        <w:rPr>
          <w:rFonts w:eastAsia="Calibri"/>
        </w:rPr>
        <w:t>HCES</w:t>
      </w:r>
      <w:r w:rsidR="009201F9" w:rsidRPr="00AB50F9">
        <w:rPr>
          <w:rFonts w:eastAsia="Calibri"/>
        </w:rPr>
        <w:t xml:space="preserve"> </w:t>
      </w:r>
      <w:r w:rsidR="002F313B" w:rsidRPr="00AB50F9">
        <w:rPr>
          <w:rFonts w:eastAsia="Calibri"/>
        </w:rPr>
        <w:t xml:space="preserve">data </w:t>
      </w:r>
      <w:r w:rsidR="009201F9" w:rsidRPr="00AB50F9">
        <w:rPr>
          <w:rFonts w:eastAsia="Calibri"/>
        </w:rPr>
        <w:t xml:space="preserve">that </w:t>
      </w:r>
      <w:r w:rsidR="002E724D" w:rsidRPr="00AB50F9">
        <w:rPr>
          <w:rFonts w:eastAsia="Calibri"/>
        </w:rPr>
        <w:t>account</w:t>
      </w:r>
      <w:r w:rsidR="009201F9" w:rsidRPr="00AB50F9">
        <w:rPr>
          <w:rFonts w:eastAsia="Calibri"/>
        </w:rPr>
        <w:t>s</w:t>
      </w:r>
      <w:r w:rsidR="002E724D" w:rsidRPr="00AB50F9">
        <w:rPr>
          <w:rFonts w:eastAsia="Calibri"/>
        </w:rPr>
        <w:t xml:space="preserve"> f</w:t>
      </w:r>
      <w:r w:rsidR="009201F9" w:rsidRPr="00AB50F9">
        <w:rPr>
          <w:rFonts w:eastAsia="Calibri"/>
        </w:rPr>
        <w:t>or</w:t>
      </w:r>
      <w:r w:rsidR="002E724D" w:rsidRPr="00AB50F9">
        <w:rPr>
          <w:rFonts w:eastAsia="Calibri"/>
        </w:rPr>
        <w:t xml:space="preserve"> excess variability from just</w:t>
      </w:r>
      <w:r w:rsidR="009201F9" w:rsidRPr="00AB50F9">
        <w:rPr>
          <w:rFonts w:eastAsia="Calibri"/>
        </w:rPr>
        <w:t xml:space="preserve"> observing</w:t>
      </w:r>
      <w:r w:rsidR="002E724D" w:rsidRPr="00AB50F9">
        <w:rPr>
          <w:rFonts w:eastAsia="Calibri"/>
        </w:rPr>
        <w:t xml:space="preserve"> a</w:t>
      </w:r>
      <w:r w:rsidR="00054443" w:rsidRPr="00AB50F9">
        <w:rPr>
          <w:rFonts w:eastAsia="Calibri"/>
        </w:rPr>
        <w:t xml:space="preserve"> </w:t>
      </w:r>
      <w:r w:rsidRPr="00AB50F9">
        <w:rPr>
          <w:rFonts w:eastAsia="Calibri"/>
        </w:rPr>
        <w:t>snapshot</w:t>
      </w:r>
      <w:r w:rsidR="002E724D" w:rsidRPr="00AB50F9">
        <w:rPr>
          <w:rFonts w:eastAsia="Calibri"/>
        </w:rPr>
        <w:t xml:space="preserve"> of </w:t>
      </w:r>
      <w:r w:rsidR="009201F9" w:rsidRPr="00AB50F9">
        <w:rPr>
          <w:rFonts w:eastAsia="Calibri"/>
        </w:rPr>
        <w:t>living standards</w:t>
      </w:r>
      <w:r w:rsidR="00C06C12" w:rsidRPr="00AB50F9">
        <w:rPr>
          <w:rFonts w:eastAsia="Calibri"/>
        </w:rPr>
        <w:t>. This method</w:t>
      </w:r>
      <w:r w:rsidRPr="00AB50F9">
        <w:rPr>
          <w:rFonts w:eastAsia="Calibri"/>
        </w:rPr>
        <w:t xml:space="preserve"> </w:t>
      </w:r>
      <w:r w:rsidR="00655071" w:rsidRPr="00AB50F9">
        <w:rPr>
          <w:rFonts w:eastAsia="Calibri"/>
        </w:rPr>
        <w:t>is potentially useful for both the bottom-up approach of measuring hunger</w:t>
      </w:r>
      <w:r w:rsidR="009201F9" w:rsidRPr="00AB50F9">
        <w:rPr>
          <w:rFonts w:eastAsia="Calibri"/>
        </w:rPr>
        <w:t xml:space="preserve"> directly from HCES and </w:t>
      </w:r>
      <w:r w:rsidR="005121F1" w:rsidRPr="00AB50F9">
        <w:rPr>
          <w:rFonts w:eastAsia="Calibri"/>
        </w:rPr>
        <w:t xml:space="preserve">for </w:t>
      </w:r>
      <w:r w:rsidR="00655071" w:rsidRPr="00AB50F9">
        <w:rPr>
          <w:rFonts w:eastAsia="Calibri"/>
        </w:rPr>
        <w:t xml:space="preserve">the top-down FAO approach. In addition, this method </w:t>
      </w:r>
      <w:r w:rsidR="006431E2" w:rsidRPr="00AB50F9">
        <w:rPr>
          <w:rFonts w:eastAsia="Calibri"/>
        </w:rPr>
        <w:t xml:space="preserve">can </w:t>
      </w:r>
      <w:r w:rsidR="00646139" w:rsidRPr="00AB50F9">
        <w:rPr>
          <w:rFonts w:eastAsia="Calibri"/>
        </w:rPr>
        <w:t>identify</w:t>
      </w:r>
      <w:r w:rsidR="002E6A95" w:rsidRPr="00AB50F9">
        <w:rPr>
          <w:rFonts w:eastAsia="Calibri"/>
        </w:rPr>
        <w:t xml:space="preserve"> </w:t>
      </w:r>
      <w:r w:rsidR="005121F1" w:rsidRPr="00AB50F9">
        <w:rPr>
          <w:rFonts w:eastAsia="Calibri"/>
        </w:rPr>
        <w:t>the transient</w:t>
      </w:r>
      <w:r w:rsidRPr="00AB50F9">
        <w:rPr>
          <w:rFonts w:eastAsia="Calibri"/>
        </w:rPr>
        <w:t xml:space="preserve"> component of hunger</w:t>
      </w:r>
      <w:r w:rsidR="009201F9" w:rsidRPr="00AB50F9">
        <w:rPr>
          <w:rFonts w:eastAsia="Calibri"/>
        </w:rPr>
        <w:t xml:space="preserve">, </w:t>
      </w:r>
      <w:r w:rsidR="00865AE9" w:rsidRPr="00AB50F9">
        <w:rPr>
          <w:rFonts w:eastAsia="Calibri"/>
        </w:rPr>
        <w:t xml:space="preserve">which </w:t>
      </w:r>
      <w:r w:rsidR="00D457F4" w:rsidRPr="00AB50F9">
        <w:rPr>
          <w:rFonts w:eastAsia="Calibri"/>
        </w:rPr>
        <w:t xml:space="preserve">is </w:t>
      </w:r>
      <w:r w:rsidR="00977AAD" w:rsidRPr="00AB50F9">
        <w:rPr>
          <w:rFonts w:eastAsia="Calibri"/>
        </w:rPr>
        <w:t xml:space="preserve">a type of welfare fluctuation </w:t>
      </w:r>
      <w:r w:rsidR="00655071" w:rsidRPr="00AB50F9">
        <w:rPr>
          <w:rFonts w:eastAsia="Calibri"/>
        </w:rPr>
        <w:t xml:space="preserve">neglected in the literature </w:t>
      </w:r>
      <w:r w:rsidR="00245EB3" w:rsidRPr="00AB50F9">
        <w:rPr>
          <w:rFonts w:eastAsia="Calibri"/>
        </w:rPr>
        <w:t xml:space="preserve">compared </w:t>
      </w:r>
      <w:r w:rsidR="009201F9" w:rsidRPr="00AB50F9">
        <w:rPr>
          <w:rFonts w:eastAsia="Calibri"/>
        </w:rPr>
        <w:t>to</w:t>
      </w:r>
      <w:r w:rsidR="00655071" w:rsidRPr="00AB50F9">
        <w:rPr>
          <w:rFonts w:eastAsia="Calibri"/>
        </w:rPr>
        <w:t xml:space="preserve"> the emphasis </w:t>
      </w:r>
      <w:r w:rsidR="00865AE9" w:rsidRPr="00AB50F9">
        <w:rPr>
          <w:rFonts w:eastAsia="Calibri"/>
        </w:rPr>
        <w:t xml:space="preserve">placed </w:t>
      </w:r>
      <w:r w:rsidR="009201F9" w:rsidRPr="00AB50F9">
        <w:rPr>
          <w:rFonts w:eastAsia="Calibri"/>
        </w:rPr>
        <w:t xml:space="preserve">on </w:t>
      </w:r>
      <w:r w:rsidR="005121F1" w:rsidRPr="00AB50F9">
        <w:rPr>
          <w:rFonts w:eastAsia="Calibri"/>
        </w:rPr>
        <w:t>transient</w:t>
      </w:r>
      <w:r w:rsidR="00655071" w:rsidRPr="00AB50F9">
        <w:rPr>
          <w:rFonts w:eastAsia="Calibri"/>
        </w:rPr>
        <w:t xml:space="preserve"> poverty</w:t>
      </w:r>
      <w:r w:rsidRPr="00AB50F9">
        <w:rPr>
          <w:rFonts w:eastAsia="Calibri"/>
        </w:rPr>
        <w:t>.</w:t>
      </w:r>
      <w:r w:rsidR="00054443" w:rsidRPr="00AB50F9">
        <w:rPr>
          <w:rFonts w:eastAsia="Calibri"/>
        </w:rPr>
        <w:t xml:space="preserve"> </w:t>
      </w:r>
      <w:r w:rsidR="00765A14" w:rsidRPr="00AB50F9">
        <w:rPr>
          <w:rFonts w:eastAsia="Calibri"/>
        </w:rPr>
        <w:t xml:space="preserve">The proposed method </w:t>
      </w:r>
      <w:r w:rsidR="00D457F4" w:rsidRPr="00AB50F9">
        <w:rPr>
          <w:rFonts w:eastAsia="Calibri"/>
        </w:rPr>
        <w:t>can aid the bottom-up approach since</w:t>
      </w:r>
      <w:r w:rsidR="00765A14" w:rsidRPr="00AB50F9">
        <w:rPr>
          <w:rFonts w:eastAsia="Calibri"/>
        </w:rPr>
        <w:t xml:space="preserve"> it is a </w:t>
      </w:r>
      <w:r w:rsidR="00D457F4" w:rsidRPr="00AB50F9">
        <w:rPr>
          <w:rFonts w:eastAsia="Calibri"/>
        </w:rPr>
        <w:t>viable</w:t>
      </w:r>
      <w:r w:rsidR="00765A14" w:rsidRPr="00AB50F9">
        <w:rPr>
          <w:rFonts w:eastAsia="Calibri"/>
        </w:rPr>
        <w:t xml:space="preserve"> way to estimate chronic hunger on the same annual basis as used by the FAO, without requiring year-long observations on households. Since the method provides a variance estimate for annual </w:t>
      </w:r>
      <w:r w:rsidR="00D457F4" w:rsidRPr="00AB50F9">
        <w:rPr>
          <w:rFonts w:eastAsia="Calibri"/>
        </w:rPr>
        <w:t>dietary energy</w:t>
      </w:r>
      <w:r w:rsidR="00865AE9" w:rsidRPr="00AB50F9">
        <w:rPr>
          <w:rFonts w:eastAsia="Calibri"/>
        </w:rPr>
        <w:t xml:space="preserve"> </w:t>
      </w:r>
      <w:r w:rsidR="00765A14" w:rsidRPr="00AB50F9">
        <w:rPr>
          <w:rFonts w:eastAsia="Calibri"/>
        </w:rPr>
        <w:t xml:space="preserve">it </w:t>
      </w:r>
      <w:r w:rsidR="00D457F4" w:rsidRPr="00AB50F9">
        <w:rPr>
          <w:rFonts w:eastAsia="Calibri"/>
        </w:rPr>
        <w:t xml:space="preserve">also </w:t>
      </w:r>
      <w:r w:rsidR="00C0090B" w:rsidRPr="00AB50F9">
        <w:rPr>
          <w:rFonts w:eastAsia="Calibri"/>
        </w:rPr>
        <w:t>s</w:t>
      </w:r>
      <w:r w:rsidR="00D457F4" w:rsidRPr="00AB50F9">
        <w:rPr>
          <w:rFonts w:eastAsia="Calibri"/>
        </w:rPr>
        <w:t>hould be</w:t>
      </w:r>
      <w:r w:rsidR="00C0090B" w:rsidRPr="00AB50F9">
        <w:rPr>
          <w:rFonts w:eastAsia="Calibri"/>
        </w:rPr>
        <w:t xml:space="preserve"> </w:t>
      </w:r>
      <w:r w:rsidR="00765A14" w:rsidRPr="00AB50F9">
        <w:rPr>
          <w:rFonts w:eastAsia="Calibri"/>
        </w:rPr>
        <w:t xml:space="preserve">a better starting point for </w:t>
      </w:r>
      <w:r w:rsidR="00865AE9" w:rsidRPr="00AB50F9">
        <w:rPr>
          <w:rFonts w:eastAsia="Calibri"/>
        </w:rPr>
        <w:t xml:space="preserve">the </w:t>
      </w:r>
      <w:r w:rsidR="00C0090B" w:rsidRPr="00AB50F9">
        <w:rPr>
          <w:rFonts w:eastAsia="Calibri"/>
        </w:rPr>
        <w:t xml:space="preserve">FAO </w:t>
      </w:r>
      <w:r w:rsidR="00D457F4" w:rsidRPr="00AB50F9">
        <w:rPr>
          <w:rFonts w:eastAsia="Calibri"/>
        </w:rPr>
        <w:t xml:space="preserve">when </w:t>
      </w:r>
      <w:r w:rsidR="00865AE9" w:rsidRPr="00AB50F9">
        <w:rPr>
          <w:rFonts w:eastAsia="Calibri"/>
        </w:rPr>
        <w:t>they derive</w:t>
      </w:r>
      <w:r w:rsidR="00C0090B" w:rsidRPr="00AB50F9">
        <w:rPr>
          <w:rFonts w:eastAsia="Calibri"/>
        </w:rPr>
        <w:t xml:space="preserve"> the distribution parameter (the Co</w:t>
      </w:r>
      <w:r w:rsidR="00DC1B8E" w:rsidRPr="00AB50F9">
        <w:rPr>
          <w:rFonts w:eastAsia="Calibri"/>
        </w:rPr>
        <w:t xml:space="preserve">efficient of </w:t>
      </w:r>
      <w:r w:rsidR="00C0090B" w:rsidRPr="00AB50F9">
        <w:rPr>
          <w:rFonts w:eastAsia="Calibri"/>
        </w:rPr>
        <w:t>V</w:t>
      </w:r>
      <w:r w:rsidR="00DC1B8E" w:rsidRPr="00AB50F9">
        <w:rPr>
          <w:rFonts w:eastAsia="Calibri"/>
        </w:rPr>
        <w:t>ariation</w:t>
      </w:r>
      <w:r w:rsidR="00C0090B" w:rsidRPr="00AB50F9">
        <w:rPr>
          <w:rFonts w:eastAsia="Calibri"/>
        </w:rPr>
        <w:t xml:space="preserve">) needed to spread annual energy consumption over the population, </w:t>
      </w:r>
      <w:r w:rsidR="00977AAD" w:rsidRPr="00AB50F9">
        <w:rPr>
          <w:rFonts w:eastAsia="Calibri"/>
        </w:rPr>
        <w:t xml:space="preserve">compared to </w:t>
      </w:r>
      <w:r w:rsidR="00865AE9" w:rsidRPr="00AB50F9">
        <w:rPr>
          <w:rFonts w:eastAsia="Calibri"/>
        </w:rPr>
        <w:t xml:space="preserve">the starting point provided by typical </w:t>
      </w:r>
      <w:r w:rsidR="00765A14" w:rsidRPr="00AB50F9">
        <w:rPr>
          <w:rFonts w:eastAsia="Calibri"/>
        </w:rPr>
        <w:t>HCES data</w:t>
      </w:r>
      <w:r w:rsidR="00C0090B" w:rsidRPr="00AB50F9">
        <w:rPr>
          <w:rFonts w:eastAsia="Calibri"/>
        </w:rPr>
        <w:t xml:space="preserve"> t</w:t>
      </w:r>
      <w:r w:rsidR="00304BCC" w:rsidRPr="00AB50F9">
        <w:rPr>
          <w:rFonts w:eastAsia="Calibri"/>
        </w:rPr>
        <w:t>hat have</w:t>
      </w:r>
      <w:r w:rsidR="00C0090B" w:rsidRPr="00AB50F9">
        <w:rPr>
          <w:rFonts w:eastAsia="Calibri"/>
        </w:rPr>
        <w:t xml:space="preserve"> what </w:t>
      </w:r>
      <w:proofErr w:type="spellStart"/>
      <w:r w:rsidR="00C0090B" w:rsidRPr="00AB50F9">
        <w:rPr>
          <w:rFonts w:eastAsia="Calibri"/>
        </w:rPr>
        <w:t>Cafiero</w:t>
      </w:r>
      <w:proofErr w:type="spellEnd"/>
      <w:r w:rsidR="00C0090B" w:rsidRPr="00AB50F9">
        <w:rPr>
          <w:rFonts w:eastAsia="Calibri"/>
        </w:rPr>
        <w:t xml:space="preserve"> (2014) considers to be excess variability.</w:t>
      </w:r>
    </w:p>
    <w:p w:rsidR="00CE5557" w:rsidRDefault="00062C8F" w:rsidP="00681293">
      <w:pPr>
        <w:spacing w:line="300" w:lineRule="auto"/>
        <w:ind w:firstLine="720"/>
        <w:jc w:val="both"/>
      </w:pPr>
      <w:r w:rsidRPr="00AB50F9">
        <w:rPr>
          <w:rFonts w:eastAsia="Calibri"/>
        </w:rPr>
        <w:lastRenderedPageBreak/>
        <w:t xml:space="preserve">The proposed </w:t>
      </w:r>
      <w:r w:rsidR="00054443" w:rsidRPr="00AB50F9">
        <w:rPr>
          <w:rFonts w:eastAsia="Calibri"/>
        </w:rPr>
        <w:t xml:space="preserve">method </w:t>
      </w:r>
      <w:r w:rsidRPr="00AB50F9">
        <w:rPr>
          <w:rFonts w:eastAsia="Calibri"/>
        </w:rPr>
        <w:t xml:space="preserve">needs </w:t>
      </w:r>
      <w:r w:rsidR="00054443" w:rsidRPr="00AB50F9">
        <w:rPr>
          <w:rFonts w:eastAsia="Calibri"/>
        </w:rPr>
        <w:t xml:space="preserve">survey resources </w:t>
      </w:r>
      <w:r w:rsidR="00C06C12" w:rsidRPr="00AB50F9">
        <w:rPr>
          <w:rFonts w:eastAsia="Calibri"/>
        </w:rPr>
        <w:t xml:space="preserve">to be </w:t>
      </w:r>
      <w:r w:rsidRPr="00AB50F9">
        <w:rPr>
          <w:rFonts w:eastAsia="Calibri"/>
        </w:rPr>
        <w:t>deployed so</w:t>
      </w:r>
      <w:r w:rsidR="00054443" w:rsidRPr="00AB50F9">
        <w:rPr>
          <w:rFonts w:eastAsia="Calibri"/>
        </w:rPr>
        <w:t xml:space="preserve"> that the same households are</w:t>
      </w:r>
      <w:r w:rsidR="00C06C12" w:rsidRPr="00AB50F9">
        <w:rPr>
          <w:rFonts w:eastAsia="Calibri"/>
        </w:rPr>
        <w:t xml:space="preserve"> observed</w:t>
      </w:r>
      <w:r w:rsidR="00054443" w:rsidRPr="00AB50F9">
        <w:rPr>
          <w:rFonts w:eastAsia="Calibri"/>
        </w:rPr>
        <w:t xml:space="preserve"> in at lea</w:t>
      </w:r>
      <w:r w:rsidR="00304BCC" w:rsidRPr="00AB50F9">
        <w:rPr>
          <w:rFonts w:eastAsia="Calibri"/>
        </w:rPr>
        <w:t>st two, non-adjacent, periods in</w:t>
      </w:r>
      <w:r w:rsidR="00054443" w:rsidRPr="00AB50F9">
        <w:rPr>
          <w:rFonts w:eastAsia="Calibri"/>
        </w:rPr>
        <w:t xml:space="preserve"> the year.</w:t>
      </w:r>
      <w:r w:rsidR="002E6A95" w:rsidRPr="00AB50F9">
        <w:rPr>
          <w:rFonts w:eastAsia="Calibri"/>
        </w:rPr>
        <w:t xml:space="preserve"> This </w:t>
      </w:r>
      <w:r w:rsidR="00C06C12" w:rsidRPr="00AB50F9">
        <w:rPr>
          <w:rFonts w:eastAsia="Calibri"/>
        </w:rPr>
        <w:t>survey design</w:t>
      </w:r>
      <w:r w:rsidR="002E6A95" w:rsidRPr="00AB50F9">
        <w:rPr>
          <w:rFonts w:eastAsia="Calibri"/>
        </w:rPr>
        <w:t xml:space="preserve"> is rare. </w:t>
      </w:r>
      <w:proofErr w:type="spellStart"/>
      <w:r w:rsidR="002E6A95" w:rsidRPr="00AB50F9">
        <w:rPr>
          <w:rFonts w:eastAsia="Calibri"/>
        </w:rPr>
        <w:t>D</w:t>
      </w:r>
      <w:r w:rsidR="00E75EBD" w:rsidRPr="00AB50F9">
        <w:rPr>
          <w:rFonts w:eastAsia="Batang"/>
          <w:lang w:eastAsia="ko-KR"/>
        </w:rPr>
        <w:t>upriez</w:t>
      </w:r>
      <w:proofErr w:type="spellEnd"/>
      <w:r w:rsidR="00E75EBD" w:rsidRPr="00AB50F9">
        <w:rPr>
          <w:rFonts w:eastAsia="Batang"/>
          <w:lang w:eastAsia="ko-KR"/>
        </w:rPr>
        <w:t xml:space="preserve"> </w:t>
      </w:r>
      <w:r w:rsidR="00E75EBD" w:rsidRPr="00AB50F9">
        <w:rPr>
          <w:rFonts w:eastAsia="Batang"/>
          <w:i/>
          <w:lang w:eastAsia="ko-KR"/>
        </w:rPr>
        <w:t>et al.</w:t>
      </w:r>
      <w:r w:rsidR="00E75EBD" w:rsidRPr="00AB50F9">
        <w:rPr>
          <w:rFonts w:eastAsia="Batang"/>
          <w:lang w:eastAsia="ko-KR"/>
        </w:rPr>
        <w:t xml:space="preserve"> (2014) </w:t>
      </w:r>
      <w:r w:rsidR="00CE5557" w:rsidRPr="00AB50F9">
        <w:rPr>
          <w:rFonts w:eastAsia="Batang"/>
          <w:lang w:eastAsia="ko-KR"/>
        </w:rPr>
        <w:t>poll</w:t>
      </w:r>
      <w:r w:rsidR="00E75EBD" w:rsidRPr="00AB50F9">
        <w:rPr>
          <w:rFonts w:eastAsia="Batang"/>
          <w:lang w:eastAsia="ko-KR"/>
        </w:rPr>
        <w:t xml:space="preserve"> statistics offices in 100 low- and middle-income countries </w:t>
      </w:r>
      <w:r w:rsidR="00CE5557" w:rsidRPr="00AB50F9">
        <w:rPr>
          <w:rFonts w:eastAsia="Batang"/>
          <w:lang w:eastAsia="ko-KR"/>
        </w:rPr>
        <w:t>to obtain</w:t>
      </w:r>
      <w:r w:rsidR="00E75EBD" w:rsidRPr="00AB50F9">
        <w:rPr>
          <w:rFonts w:eastAsia="Batang"/>
          <w:lang w:eastAsia="ko-KR"/>
        </w:rPr>
        <w:t xml:space="preserve"> metadata on HCES design related to food consumption; of </w:t>
      </w:r>
      <w:r w:rsidR="00CE5557" w:rsidRPr="00AB50F9">
        <w:rPr>
          <w:rFonts w:eastAsia="Batang"/>
          <w:lang w:eastAsia="ko-KR"/>
        </w:rPr>
        <w:t>95 surveys</w:t>
      </w:r>
      <w:r w:rsidR="002E6A95" w:rsidRPr="00AB50F9">
        <w:rPr>
          <w:rFonts w:eastAsia="Batang"/>
          <w:lang w:eastAsia="ko-KR"/>
        </w:rPr>
        <w:t xml:space="preserve"> in their</w:t>
      </w:r>
      <w:r w:rsidR="00E75EBD" w:rsidRPr="00AB50F9">
        <w:rPr>
          <w:rFonts w:eastAsia="Batang"/>
          <w:lang w:eastAsia="ko-KR"/>
        </w:rPr>
        <w:t xml:space="preserve"> sample fielded since 1999</w:t>
      </w:r>
      <w:r w:rsidR="002E65A2" w:rsidRPr="00AB50F9">
        <w:rPr>
          <w:rFonts w:eastAsia="Batang"/>
          <w:lang w:eastAsia="ko-KR"/>
        </w:rPr>
        <w:t>, just two use</w:t>
      </w:r>
      <w:r w:rsidR="00E75EBD" w:rsidRPr="00AB50F9">
        <w:rPr>
          <w:rFonts w:eastAsia="Batang"/>
          <w:lang w:eastAsia="ko-KR"/>
        </w:rPr>
        <w:t xml:space="preserve"> </w:t>
      </w:r>
      <w:r w:rsidRPr="00AB50F9">
        <w:rPr>
          <w:rFonts w:eastAsia="Batang"/>
          <w:lang w:eastAsia="ko-KR"/>
        </w:rPr>
        <w:t xml:space="preserve">this type of </w:t>
      </w:r>
      <w:r w:rsidR="00E75EBD" w:rsidRPr="00AB50F9">
        <w:rPr>
          <w:rFonts w:eastAsia="Batang"/>
          <w:lang w:eastAsia="ko-KR"/>
        </w:rPr>
        <w:t xml:space="preserve">intra-survey </w:t>
      </w:r>
      <w:r w:rsidRPr="00AB50F9">
        <w:rPr>
          <w:rFonts w:eastAsia="Batang"/>
          <w:lang w:eastAsia="ko-KR"/>
        </w:rPr>
        <w:t>panel where</w:t>
      </w:r>
      <w:r w:rsidR="00E75EBD" w:rsidRPr="00AB50F9">
        <w:rPr>
          <w:rFonts w:eastAsia="Batang"/>
          <w:lang w:eastAsia="ko-KR"/>
        </w:rPr>
        <w:t xml:space="preserve"> the same households </w:t>
      </w:r>
      <w:r w:rsidRPr="00AB50F9">
        <w:rPr>
          <w:rFonts w:eastAsia="Batang"/>
          <w:lang w:eastAsia="ko-KR"/>
        </w:rPr>
        <w:t xml:space="preserve">are </w:t>
      </w:r>
      <w:r w:rsidR="00C06C12" w:rsidRPr="00AB50F9">
        <w:rPr>
          <w:rFonts w:eastAsia="Batang"/>
          <w:lang w:eastAsia="ko-KR"/>
        </w:rPr>
        <w:t>observed</w:t>
      </w:r>
      <w:r w:rsidR="002E6A95" w:rsidRPr="00AB50F9">
        <w:rPr>
          <w:rFonts w:eastAsia="Batang"/>
          <w:lang w:eastAsia="ko-KR"/>
        </w:rPr>
        <w:t xml:space="preserve"> </w:t>
      </w:r>
      <w:r w:rsidR="00E75EBD" w:rsidRPr="00AB50F9">
        <w:rPr>
          <w:rFonts w:eastAsia="Batang"/>
          <w:lang w:eastAsia="ko-KR"/>
        </w:rPr>
        <w:t>in multiple rounds of the survey</w:t>
      </w:r>
      <w:r w:rsidR="00F30CD3" w:rsidRPr="00AB50F9">
        <w:rPr>
          <w:rFonts w:eastAsia="Batang"/>
          <w:lang w:eastAsia="ko-KR"/>
        </w:rPr>
        <w:t>.</w:t>
      </w:r>
      <w:r w:rsidR="00F30CD3" w:rsidRPr="00AB50F9">
        <w:rPr>
          <w:rStyle w:val="FootnoteReference"/>
          <w:rFonts w:eastAsia="Batang"/>
          <w:lang w:eastAsia="ko-KR"/>
        </w:rPr>
        <w:footnoteReference w:id="4"/>
      </w:r>
      <w:r w:rsidR="00E75EBD" w:rsidRPr="00AB50F9">
        <w:rPr>
          <w:rFonts w:eastAsia="Batang"/>
          <w:lang w:eastAsia="ko-KR"/>
        </w:rPr>
        <w:t xml:space="preserve"> </w:t>
      </w:r>
      <w:r w:rsidR="00F30CD3" w:rsidRPr="00AB50F9">
        <w:rPr>
          <w:rFonts w:eastAsia="Batang"/>
          <w:lang w:eastAsia="ko-KR"/>
        </w:rPr>
        <w:t xml:space="preserve">The rarity of </w:t>
      </w:r>
      <w:r w:rsidR="00646139" w:rsidRPr="00AB50F9">
        <w:rPr>
          <w:rFonts w:eastAsia="Batang"/>
          <w:lang w:eastAsia="ko-KR"/>
        </w:rPr>
        <w:t xml:space="preserve">such surveys </w:t>
      </w:r>
      <w:r w:rsidR="00F30CD3" w:rsidRPr="00AB50F9">
        <w:rPr>
          <w:rFonts w:eastAsia="Batang"/>
          <w:lang w:eastAsia="ko-KR"/>
        </w:rPr>
        <w:t xml:space="preserve">is </w:t>
      </w:r>
      <w:r w:rsidR="00CE5557" w:rsidRPr="00AB50F9">
        <w:rPr>
          <w:rFonts w:eastAsia="Batang"/>
          <w:lang w:eastAsia="ko-KR"/>
        </w:rPr>
        <w:t xml:space="preserve">unlikely to be </w:t>
      </w:r>
      <w:r w:rsidRPr="00AB50F9">
        <w:rPr>
          <w:rFonts w:eastAsia="Batang"/>
          <w:lang w:eastAsia="ko-KR"/>
        </w:rPr>
        <w:t>due to lack of resources since</w:t>
      </w:r>
      <w:r w:rsidR="00F30CD3" w:rsidRPr="00AB50F9">
        <w:rPr>
          <w:rFonts w:eastAsia="Batang"/>
          <w:lang w:eastAsia="ko-KR"/>
        </w:rPr>
        <w:t xml:space="preserve"> many surveys </w:t>
      </w:r>
      <w:r w:rsidRPr="00AB50F9">
        <w:rPr>
          <w:rFonts w:eastAsia="Batang"/>
          <w:lang w:eastAsia="ko-KR"/>
        </w:rPr>
        <w:t xml:space="preserve">budget for </w:t>
      </w:r>
      <w:r w:rsidR="00CE5557" w:rsidRPr="00AB50F9">
        <w:rPr>
          <w:rFonts w:eastAsia="Batang"/>
          <w:lang w:eastAsia="ko-KR"/>
        </w:rPr>
        <w:t>revisit</w:t>
      </w:r>
      <w:r w:rsidRPr="00AB50F9">
        <w:rPr>
          <w:rFonts w:eastAsia="Batang"/>
          <w:lang w:eastAsia="ko-KR"/>
        </w:rPr>
        <w:t>ing</w:t>
      </w:r>
      <w:r w:rsidR="00F30CD3" w:rsidRPr="00AB50F9">
        <w:rPr>
          <w:rFonts w:eastAsia="Batang"/>
          <w:lang w:eastAsia="ko-KR"/>
        </w:rPr>
        <w:t xml:space="preserve"> households </w:t>
      </w:r>
      <w:r w:rsidR="002E6A95" w:rsidRPr="00AB50F9">
        <w:rPr>
          <w:rFonts w:eastAsia="Batang"/>
          <w:lang w:eastAsia="ko-KR"/>
        </w:rPr>
        <w:t>to ch</w:t>
      </w:r>
      <w:r w:rsidR="00C06C12" w:rsidRPr="00AB50F9">
        <w:rPr>
          <w:rFonts w:eastAsia="Batang"/>
          <w:lang w:eastAsia="ko-KR"/>
        </w:rPr>
        <w:t xml:space="preserve">eck </w:t>
      </w:r>
      <w:r w:rsidRPr="00AB50F9">
        <w:rPr>
          <w:rFonts w:eastAsia="Batang"/>
          <w:lang w:eastAsia="ko-KR"/>
        </w:rPr>
        <w:t xml:space="preserve">on </w:t>
      </w:r>
      <w:r w:rsidR="002E6A95" w:rsidRPr="00AB50F9">
        <w:rPr>
          <w:rFonts w:eastAsia="Batang"/>
          <w:lang w:eastAsia="ko-KR"/>
        </w:rPr>
        <w:t>their diary-keeping</w:t>
      </w:r>
      <w:r w:rsidR="002E65A2" w:rsidRPr="00AB50F9">
        <w:rPr>
          <w:rFonts w:eastAsia="Batang"/>
          <w:lang w:eastAsia="ko-KR"/>
        </w:rPr>
        <w:t>. F</w:t>
      </w:r>
      <w:r w:rsidR="00F30CD3" w:rsidRPr="00AB50F9">
        <w:rPr>
          <w:rFonts w:eastAsia="Batang"/>
          <w:lang w:eastAsia="ko-KR"/>
        </w:rPr>
        <w:t xml:space="preserve">or example, </w:t>
      </w:r>
      <w:r w:rsidRPr="00AB50F9">
        <w:rPr>
          <w:rFonts w:eastAsia="Batang"/>
          <w:lang w:eastAsia="ko-KR"/>
        </w:rPr>
        <w:t>among</w:t>
      </w:r>
      <w:r w:rsidR="002E6A95" w:rsidRPr="00AB50F9">
        <w:rPr>
          <w:rFonts w:eastAsia="Batang"/>
          <w:lang w:eastAsia="ko-KR"/>
        </w:rPr>
        <w:t xml:space="preserve"> </w:t>
      </w:r>
      <w:r w:rsidR="00F30CD3" w:rsidRPr="00AB50F9">
        <w:rPr>
          <w:rFonts w:eastAsia="Batang"/>
          <w:lang w:eastAsia="ko-KR"/>
        </w:rPr>
        <w:t xml:space="preserve">surveys </w:t>
      </w:r>
      <w:r w:rsidR="002E6A95" w:rsidRPr="00AB50F9">
        <w:rPr>
          <w:rFonts w:eastAsia="Batang"/>
          <w:lang w:eastAsia="ko-KR"/>
        </w:rPr>
        <w:t>using the diary method (</w:t>
      </w:r>
      <w:r w:rsidR="00F552AF" w:rsidRPr="00AB50F9">
        <w:rPr>
          <w:rFonts w:eastAsia="Batang"/>
          <w:lang w:eastAsia="ko-KR"/>
        </w:rPr>
        <w:t xml:space="preserve">40 percent of the </w:t>
      </w:r>
      <w:proofErr w:type="spellStart"/>
      <w:r w:rsidRPr="00AB50F9">
        <w:rPr>
          <w:rFonts w:eastAsia="Batang"/>
          <w:lang w:eastAsia="ko-KR"/>
        </w:rPr>
        <w:t>Dupriez</w:t>
      </w:r>
      <w:proofErr w:type="spellEnd"/>
      <w:r w:rsidRPr="00AB50F9">
        <w:rPr>
          <w:rFonts w:eastAsia="Batang"/>
          <w:lang w:eastAsia="ko-KR"/>
        </w:rPr>
        <w:t xml:space="preserve"> </w:t>
      </w:r>
      <w:r w:rsidRPr="00AB50F9">
        <w:rPr>
          <w:rFonts w:eastAsia="Batang"/>
          <w:i/>
          <w:lang w:eastAsia="ko-KR"/>
        </w:rPr>
        <w:t xml:space="preserve">et al. </w:t>
      </w:r>
      <w:r w:rsidR="00214D81">
        <w:rPr>
          <w:rFonts w:eastAsia="Batang"/>
          <w:lang w:eastAsia="ko-KR"/>
        </w:rPr>
        <w:t xml:space="preserve">2014 </w:t>
      </w:r>
      <w:r w:rsidR="00F552AF" w:rsidRPr="00AB50F9">
        <w:rPr>
          <w:rFonts w:eastAsia="Batang"/>
          <w:lang w:eastAsia="ko-KR"/>
        </w:rPr>
        <w:t xml:space="preserve">sample) the median number of interviewer visits made to </w:t>
      </w:r>
      <w:r w:rsidRPr="00AB50F9">
        <w:rPr>
          <w:rFonts w:eastAsia="Batang"/>
          <w:lang w:eastAsia="ko-KR"/>
        </w:rPr>
        <w:t xml:space="preserve">the household was five, and </w:t>
      </w:r>
      <w:r w:rsidR="00F552AF" w:rsidRPr="00AB50F9">
        <w:rPr>
          <w:rFonts w:eastAsia="Batang"/>
          <w:lang w:eastAsia="ko-KR"/>
        </w:rPr>
        <w:t>some surveys</w:t>
      </w:r>
      <w:r w:rsidRPr="00AB50F9">
        <w:rPr>
          <w:rFonts w:eastAsia="Batang"/>
          <w:lang w:eastAsia="ko-KR"/>
        </w:rPr>
        <w:t xml:space="preserve"> revisited</w:t>
      </w:r>
      <w:r w:rsidR="00F552AF" w:rsidRPr="00AB50F9">
        <w:rPr>
          <w:rFonts w:eastAsia="Batang"/>
          <w:lang w:eastAsia="ko-KR"/>
        </w:rPr>
        <w:t xml:space="preserve"> households seven or more times in quick succession.</w:t>
      </w:r>
      <w:r w:rsidRPr="00AB50F9">
        <w:rPr>
          <w:rFonts w:eastAsia="Batang"/>
          <w:lang w:eastAsia="ko-KR"/>
        </w:rPr>
        <w:t xml:space="preserve"> </w:t>
      </w:r>
      <w:r w:rsidR="00304BCC" w:rsidRPr="00AB50F9">
        <w:rPr>
          <w:rFonts w:eastAsia="Batang"/>
          <w:lang w:eastAsia="ko-KR"/>
        </w:rPr>
        <w:t>L</w:t>
      </w:r>
      <w:r w:rsidR="00C06C12" w:rsidRPr="00AB50F9">
        <w:rPr>
          <w:rFonts w:eastAsia="Batang"/>
          <w:lang w:eastAsia="ko-KR"/>
        </w:rPr>
        <w:t xml:space="preserve">ittle new information </w:t>
      </w:r>
      <w:r w:rsidR="00304BCC" w:rsidRPr="00AB50F9">
        <w:rPr>
          <w:rFonts w:eastAsia="Batang"/>
          <w:lang w:eastAsia="ko-KR"/>
        </w:rPr>
        <w:t>relevant</w:t>
      </w:r>
      <w:r w:rsidR="00CE5557" w:rsidRPr="00AB50F9">
        <w:rPr>
          <w:rFonts w:eastAsia="Batang"/>
          <w:lang w:eastAsia="ko-KR"/>
        </w:rPr>
        <w:t xml:space="preserve"> </w:t>
      </w:r>
      <w:r w:rsidR="00C1067F" w:rsidRPr="00AB50F9">
        <w:rPr>
          <w:rFonts w:eastAsia="Batang"/>
          <w:lang w:eastAsia="ko-KR"/>
        </w:rPr>
        <w:t xml:space="preserve">for food policy </w:t>
      </w:r>
      <w:r w:rsidRPr="00AB50F9">
        <w:rPr>
          <w:rFonts w:eastAsia="Batang"/>
          <w:lang w:eastAsia="ko-KR"/>
        </w:rPr>
        <w:t xml:space="preserve">is </w:t>
      </w:r>
      <w:r w:rsidR="00CE5557" w:rsidRPr="00AB50F9">
        <w:rPr>
          <w:rFonts w:eastAsia="Batang"/>
          <w:lang w:eastAsia="ko-KR"/>
        </w:rPr>
        <w:t xml:space="preserve">obtained </w:t>
      </w:r>
      <w:r w:rsidR="00C06C12" w:rsidRPr="00AB50F9">
        <w:rPr>
          <w:rFonts w:eastAsia="Batang"/>
          <w:lang w:eastAsia="ko-KR"/>
        </w:rPr>
        <w:t xml:space="preserve">after the </w:t>
      </w:r>
      <w:r w:rsidR="00A36FE8" w:rsidRPr="00AB50F9">
        <w:rPr>
          <w:rFonts w:eastAsia="Batang"/>
          <w:lang w:eastAsia="ko-KR"/>
        </w:rPr>
        <w:t xml:space="preserve">second or </w:t>
      </w:r>
      <w:r w:rsidR="00C06C12" w:rsidRPr="00AB50F9">
        <w:rPr>
          <w:rFonts w:eastAsia="Batang"/>
          <w:lang w:eastAsia="ko-KR"/>
        </w:rPr>
        <w:t>third</w:t>
      </w:r>
      <w:r w:rsidR="00A36FE8" w:rsidRPr="00AB50F9">
        <w:rPr>
          <w:rFonts w:eastAsia="Batang"/>
          <w:lang w:eastAsia="ko-KR"/>
        </w:rPr>
        <w:t xml:space="preserve"> visit</w:t>
      </w:r>
      <w:r w:rsidR="00304BCC" w:rsidRPr="00AB50F9">
        <w:rPr>
          <w:rFonts w:eastAsia="Batang"/>
          <w:lang w:eastAsia="ko-KR"/>
        </w:rPr>
        <w:t>,</w:t>
      </w:r>
      <w:r w:rsidR="00C06C12" w:rsidRPr="00AB50F9">
        <w:rPr>
          <w:rFonts w:eastAsia="Batang"/>
          <w:lang w:eastAsia="ko-KR"/>
        </w:rPr>
        <w:t xml:space="preserve"> </w:t>
      </w:r>
      <w:r w:rsidR="00C1067F" w:rsidRPr="00AB50F9">
        <w:rPr>
          <w:rFonts w:eastAsia="Batang"/>
          <w:lang w:eastAsia="ko-KR"/>
        </w:rPr>
        <w:t>when these visits are for short, adjacent, periods, s</w:t>
      </w:r>
      <w:r w:rsidR="00F52959" w:rsidRPr="00AB50F9">
        <w:rPr>
          <w:rFonts w:eastAsia="Batang"/>
          <w:lang w:eastAsia="ko-KR"/>
        </w:rPr>
        <w:t>uch a</w:t>
      </w:r>
      <w:r w:rsidR="009178F0">
        <w:rPr>
          <w:rFonts w:eastAsia="Batang"/>
          <w:lang w:eastAsia="ko-KR"/>
        </w:rPr>
        <w:t>s every second day (Engel-Stone</w:t>
      </w:r>
      <w:r w:rsidR="00865AE9" w:rsidRPr="00AB50F9">
        <w:rPr>
          <w:rFonts w:eastAsia="Batang"/>
          <w:lang w:eastAsia="ko-KR"/>
        </w:rPr>
        <w:t xml:space="preserve"> </w:t>
      </w:r>
      <w:r w:rsidR="00865AE9" w:rsidRPr="00AB50F9">
        <w:rPr>
          <w:rFonts w:eastAsia="Batang"/>
          <w:i/>
          <w:lang w:eastAsia="ko-KR"/>
        </w:rPr>
        <w:t>et al.</w:t>
      </w:r>
      <w:r w:rsidR="00C1067F" w:rsidRPr="00AB50F9">
        <w:rPr>
          <w:rFonts w:eastAsia="Batang"/>
          <w:lang w:eastAsia="ko-KR"/>
        </w:rPr>
        <w:t xml:space="preserve"> 2016)</w:t>
      </w:r>
      <w:r w:rsidRPr="00AB50F9">
        <w:rPr>
          <w:rFonts w:eastAsia="Batang"/>
          <w:lang w:eastAsia="ko-KR"/>
        </w:rPr>
        <w:t xml:space="preserve">. Thus a potentially </w:t>
      </w:r>
      <w:r w:rsidR="00304BCC" w:rsidRPr="00AB50F9">
        <w:rPr>
          <w:rFonts w:eastAsia="Batang"/>
          <w:lang w:eastAsia="ko-KR"/>
        </w:rPr>
        <w:t xml:space="preserve">better </w:t>
      </w:r>
      <w:r w:rsidR="00CE5557" w:rsidRPr="00AB50F9">
        <w:rPr>
          <w:rFonts w:eastAsia="Batang"/>
          <w:lang w:eastAsia="ko-KR"/>
        </w:rPr>
        <w:t xml:space="preserve">use of survey </w:t>
      </w:r>
      <w:r w:rsidRPr="00AB50F9">
        <w:rPr>
          <w:rFonts w:eastAsia="Batang"/>
          <w:lang w:eastAsia="ko-KR"/>
        </w:rPr>
        <w:t xml:space="preserve">resources </w:t>
      </w:r>
      <w:r w:rsidR="00CE5557" w:rsidRPr="00AB50F9">
        <w:rPr>
          <w:rFonts w:eastAsia="Batang"/>
          <w:lang w:eastAsia="ko-KR"/>
        </w:rPr>
        <w:t xml:space="preserve">would be to revisit the households after </w:t>
      </w:r>
      <w:r w:rsidR="00304BCC" w:rsidRPr="00AB50F9">
        <w:rPr>
          <w:rFonts w:eastAsia="Batang"/>
          <w:lang w:eastAsia="ko-KR"/>
        </w:rPr>
        <w:t xml:space="preserve">some </w:t>
      </w:r>
      <w:r w:rsidR="00CE5557" w:rsidRPr="00AB50F9">
        <w:rPr>
          <w:rFonts w:eastAsia="Batang"/>
          <w:lang w:eastAsia="ko-KR"/>
        </w:rPr>
        <w:t>months have elapsed</w:t>
      </w:r>
      <w:r w:rsidR="00C1067F" w:rsidRPr="00AB50F9">
        <w:rPr>
          <w:rFonts w:eastAsia="Batang"/>
          <w:lang w:eastAsia="ko-KR"/>
        </w:rPr>
        <w:t>.</w:t>
      </w:r>
      <w:r w:rsidR="00CE5557" w:rsidRPr="00AB50F9">
        <w:rPr>
          <w:rFonts w:eastAsia="Batang"/>
          <w:lang w:eastAsia="ko-KR"/>
        </w:rPr>
        <w:t xml:space="preserve"> Such revisits </w:t>
      </w:r>
      <w:r w:rsidRPr="00AB50F9">
        <w:rPr>
          <w:rFonts w:eastAsia="Batang"/>
          <w:lang w:eastAsia="ko-KR"/>
        </w:rPr>
        <w:t xml:space="preserve">are </w:t>
      </w:r>
      <w:r w:rsidR="00CE5557" w:rsidRPr="00AB50F9">
        <w:rPr>
          <w:rFonts w:eastAsia="Batang"/>
          <w:lang w:eastAsia="ko-KR"/>
        </w:rPr>
        <w:t xml:space="preserve">feasible in surveys </w:t>
      </w:r>
      <w:r w:rsidRPr="00AB50F9">
        <w:rPr>
          <w:rFonts w:eastAsia="Batang"/>
          <w:lang w:eastAsia="ko-KR"/>
        </w:rPr>
        <w:t xml:space="preserve">that have interview </w:t>
      </w:r>
      <w:r w:rsidR="00C1067F" w:rsidRPr="00AB50F9">
        <w:t>teams wor</w:t>
      </w:r>
      <w:r w:rsidR="00CE5557" w:rsidRPr="00AB50F9">
        <w:t>k</w:t>
      </w:r>
      <w:r w:rsidR="00C1067F" w:rsidRPr="00AB50F9">
        <w:t xml:space="preserve"> continuously over a year in each region</w:t>
      </w:r>
      <w:r w:rsidRPr="00AB50F9">
        <w:t>,</w:t>
      </w:r>
      <w:r w:rsidR="00CE5557" w:rsidRPr="00AB50F9">
        <w:t xml:space="preserve"> </w:t>
      </w:r>
      <w:r w:rsidRPr="00AB50F9">
        <w:t xml:space="preserve">with the teams </w:t>
      </w:r>
      <w:r w:rsidR="00CE5557" w:rsidRPr="00AB50F9">
        <w:t xml:space="preserve">often </w:t>
      </w:r>
      <w:r w:rsidR="00304BCC" w:rsidRPr="00AB50F9">
        <w:t xml:space="preserve">doubling </w:t>
      </w:r>
      <w:r w:rsidR="00C1067F" w:rsidRPr="00AB50F9">
        <w:t xml:space="preserve">back to revisit the same </w:t>
      </w:r>
      <w:r w:rsidR="00CE5557" w:rsidRPr="00AB50F9">
        <w:t xml:space="preserve">areas </w:t>
      </w:r>
      <w:r w:rsidR="00304BCC" w:rsidRPr="00AB50F9">
        <w:t xml:space="preserve">in each season </w:t>
      </w:r>
      <w:r w:rsidR="00CE5557" w:rsidRPr="00AB50F9">
        <w:t xml:space="preserve">even </w:t>
      </w:r>
      <w:r w:rsidR="00C0090B" w:rsidRPr="00AB50F9">
        <w:t>if traditional survey design has</w:t>
      </w:r>
      <w:r w:rsidRPr="00AB50F9">
        <w:t xml:space="preserve"> them </w:t>
      </w:r>
      <w:r w:rsidR="00CE5557" w:rsidRPr="00AB50F9">
        <w:t>avoid</w:t>
      </w:r>
      <w:r w:rsidR="00977AAD" w:rsidRPr="00AB50F9">
        <w:t>ing</w:t>
      </w:r>
      <w:r w:rsidR="00CE5557" w:rsidRPr="00AB50F9">
        <w:t xml:space="preserve"> households who</w:t>
      </w:r>
      <w:r w:rsidR="00304BCC" w:rsidRPr="00AB50F9">
        <w:t>m</w:t>
      </w:r>
      <w:r w:rsidR="00CE5557" w:rsidRPr="00AB50F9">
        <w:t xml:space="preserve"> they had seen </w:t>
      </w:r>
      <w:r w:rsidRPr="00AB50F9">
        <w:t xml:space="preserve">earlier in </w:t>
      </w:r>
      <w:r w:rsidR="00CE5557" w:rsidRPr="00AB50F9">
        <w:t>the year.</w:t>
      </w:r>
      <w:r w:rsidRPr="00AB50F9">
        <w:rPr>
          <w:rStyle w:val="FootnoteReference"/>
        </w:rPr>
        <w:footnoteReference w:id="5"/>
      </w:r>
      <w:r w:rsidR="00CE5557" w:rsidRPr="00AB50F9">
        <w:t xml:space="preserve"> </w:t>
      </w:r>
    </w:p>
    <w:p w:rsidR="00AB50F9" w:rsidRPr="00AB50F9" w:rsidRDefault="00AB50F9" w:rsidP="00681293">
      <w:pPr>
        <w:spacing w:line="300" w:lineRule="auto"/>
        <w:ind w:firstLine="720"/>
        <w:jc w:val="both"/>
      </w:pPr>
    </w:p>
    <w:p w:rsidR="003B4488" w:rsidRDefault="00871FA9" w:rsidP="00681293">
      <w:pPr>
        <w:spacing w:line="300" w:lineRule="auto"/>
        <w:ind w:firstLine="720"/>
        <w:jc w:val="both"/>
      </w:pPr>
      <w:r w:rsidRPr="00AB50F9">
        <w:t>The literature on the optimal deployment of survey resources is limited.</w:t>
      </w:r>
      <w:r w:rsidR="00161F80" w:rsidRPr="00AB50F9">
        <w:t xml:space="preserve"> </w:t>
      </w:r>
      <w:r w:rsidR="00C0090B" w:rsidRPr="00AB50F9">
        <w:t>In p</w:t>
      </w:r>
      <w:r w:rsidR="00FB3C6F" w:rsidRPr="00AB50F9">
        <w:t>art this may reflect</w:t>
      </w:r>
      <w:r w:rsidR="00C0090B" w:rsidRPr="00AB50F9">
        <w:t xml:space="preserve"> a focus </w:t>
      </w:r>
      <w:r w:rsidR="00FB3C6F" w:rsidRPr="00AB50F9">
        <w:t xml:space="preserve">by statistics offices </w:t>
      </w:r>
      <w:r w:rsidR="00C0090B" w:rsidRPr="00AB50F9">
        <w:t>on</w:t>
      </w:r>
      <w:r w:rsidR="00FB3C6F" w:rsidRPr="00AB50F9">
        <w:t xml:space="preserve"> surveys</w:t>
      </w:r>
      <w:r w:rsidR="00C0090B" w:rsidRPr="00AB50F9">
        <w:t xml:space="preserve"> that should yield accurate measures of means and totals for the population, even </w:t>
      </w:r>
      <w:r w:rsidR="00B02422" w:rsidRPr="00AB50F9">
        <w:t xml:space="preserve">if </w:t>
      </w:r>
      <w:r w:rsidR="00C0090B" w:rsidRPr="00AB50F9">
        <w:t xml:space="preserve">data are </w:t>
      </w:r>
      <w:r w:rsidR="00B02422" w:rsidRPr="00AB50F9">
        <w:t xml:space="preserve">atypical </w:t>
      </w:r>
      <w:r w:rsidR="00FB3C6F" w:rsidRPr="00AB50F9">
        <w:t>of long-run</w:t>
      </w:r>
      <w:r w:rsidR="00C0090B" w:rsidRPr="00AB50F9">
        <w:t xml:space="preserve"> living standards </w:t>
      </w:r>
      <w:r w:rsidR="00245EB3" w:rsidRPr="00AB50F9">
        <w:t xml:space="preserve">for </w:t>
      </w:r>
      <w:r w:rsidR="00FB3C6F" w:rsidRPr="00AB50F9">
        <w:t xml:space="preserve">individual </w:t>
      </w:r>
      <w:r w:rsidR="00C0090B" w:rsidRPr="00AB50F9">
        <w:t>household</w:t>
      </w:r>
      <w:r w:rsidR="00245EB3" w:rsidRPr="00AB50F9">
        <w:t>s</w:t>
      </w:r>
      <w:r w:rsidR="00C0090B" w:rsidRPr="00AB50F9">
        <w:t xml:space="preserve">. Gibson </w:t>
      </w:r>
      <w:r w:rsidR="00C0090B" w:rsidRPr="00AB50F9">
        <w:rPr>
          <w:i/>
        </w:rPr>
        <w:t>et al</w:t>
      </w:r>
      <w:r w:rsidR="00B02422" w:rsidRPr="00AB50F9">
        <w:t>. (2003) is</w:t>
      </w:r>
      <w:r w:rsidR="00FB3C6F" w:rsidRPr="00AB50F9">
        <w:t xml:space="preserve"> an exception, for the important case of </w:t>
      </w:r>
      <w:r w:rsidR="00EB698D" w:rsidRPr="00AB50F9">
        <w:t xml:space="preserve">urban </w:t>
      </w:r>
      <w:r w:rsidR="00FB3C6F" w:rsidRPr="00AB50F9">
        <w:t>China where households were meant to keep an expenditure diary for a full year and where the</w:t>
      </w:r>
      <w:r w:rsidR="00EB698D" w:rsidRPr="00AB50F9">
        <w:t xml:space="preserve"> statistics office faced grow</w:t>
      </w:r>
      <w:r w:rsidR="00FB3C6F" w:rsidRPr="00AB50F9">
        <w:t>ing non-compliance and unrepres</w:t>
      </w:r>
      <w:r w:rsidR="00EB698D" w:rsidRPr="00AB50F9">
        <w:t>entative sample</w:t>
      </w:r>
      <w:r w:rsidR="00B02422" w:rsidRPr="00AB50F9">
        <w:t>s due to</w:t>
      </w:r>
      <w:r w:rsidR="009E3F8D" w:rsidRPr="00AB50F9">
        <w:t xml:space="preserve"> this</w:t>
      </w:r>
      <w:r w:rsidR="00FB3C6F" w:rsidRPr="00AB50F9">
        <w:t xml:space="preserve"> </w:t>
      </w:r>
      <w:r w:rsidR="00EB698D" w:rsidRPr="00AB50F9">
        <w:t>heavy</w:t>
      </w:r>
      <w:r w:rsidR="00FB3C6F" w:rsidRPr="00AB50F9">
        <w:t xml:space="preserve"> </w:t>
      </w:r>
      <w:r w:rsidR="00EB698D" w:rsidRPr="00AB50F9">
        <w:t xml:space="preserve">reporting </w:t>
      </w:r>
      <w:r w:rsidR="00FB3C6F" w:rsidRPr="00AB50F9">
        <w:t>burden. Th</w:t>
      </w:r>
      <w:r w:rsidR="00EB698D" w:rsidRPr="00AB50F9">
        <w:t xml:space="preserve">e month-by-month expenditure records for each household were used to </w:t>
      </w:r>
      <w:r w:rsidR="009E3F8D" w:rsidRPr="00AB50F9">
        <w:t>see how switching to a</w:t>
      </w:r>
      <w:r w:rsidR="00EB698D" w:rsidRPr="00AB50F9">
        <w:t xml:space="preserve"> month</w:t>
      </w:r>
      <w:r w:rsidR="005121F1" w:rsidRPr="00AB50F9">
        <w:t>ly</w:t>
      </w:r>
      <w:r w:rsidR="00EB698D" w:rsidRPr="00AB50F9">
        <w:t xml:space="preserve"> reference period, with households </w:t>
      </w:r>
      <w:r w:rsidR="009E3F8D" w:rsidRPr="00AB50F9">
        <w:t xml:space="preserve">revisited </w:t>
      </w:r>
      <w:r w:rsidR="00EB698D" w:rsidRPr="00AB50F9">
        <w:t xml:space="preserve">once, twice, </w:t>
      </w:r>
      <w:r w:rsidR="009E3F8D" w:rsidRPr="00AB50F9">
        <w:t>or five times</w:t>
      </w:r>
      <w:r w:rsidR="005121F1" w:rsidRPr="00AB50F9">
        <w:t xml:space="preserve"> per year</w:t>
      </w:r>
      <w:r w:rsidR="006431E2" w:rsidRPr="00AB50F9">
        <w:t>,</w:t>
      </w:r>
      <w:r w:rsidR="00EB698D" w:rsidRPr="00AB50F9">
        <w:t xml:space="preserve"> would affect </w:t>
      </w:r>
      <w:r w:rsidR="004244B1" w:rsidRPr="00AB50F9">
        <w:t>estimates of mean annual expenditures, poverty, and inequality.</w:t>
      </w:r>
      <w:r w:rsidR="009E3F8D" w:rsidRPr="00AB50F9">
        <w:t xml:space="preserve"> A</w:t>
      </w:r>
      <w:r w:rsidR="004244B1" w:rsidRPr="00AB50F9">
        <w:t xml:space="preserve"> month</w:t>
      </w:r>
      <w:r w:rsidR="005236BF" w:rsidRPr="00AB50F9">
        <w:t>ly</w:t>
      </w:r>
      <w:r w:rsidR="004244B1" w:rsidRPr="00AB50F9">
        <w:t xml:space="preserve"> </w:t>
      </w:r>
      <w:r w:rsidR="00807BB1" w:rsidRPr="00AB50F9">
        <w:t>reference</w:t>
      </w:r>
      <w:r w:rsidR="004244B1" w:rsidRPr="00AB50F9">
        <w:t xml:space="preserve"> period </w:t>
      </w:r>
      <w:r w:rsidR="009E3F8D" w:rsidRPr="00AB50F9">
        <w:t xml:space="preserve">and </w:t>
      </w:r>
      <w:r w:rsidR="00495948" w:rsidRPr="00AB50F9">
        <w:t>surveying 1/12</w:t>
      </w:r>
      <w:r w:rsidR="00495948" w:rsidRPr="00AB50F9">
        <w:rPr>
          <w:vertAlign w:val="superscript"/>
        </w:rPr>
        <w:t>th</w:t>
      </w:r>
      <w:r w:rsidR="00495948" w:rsidRPr="00AB50F9">
        <w:t xml:space="preserve"> of the </w:t>
      </w:r>
      <w:r w:rsidR="004244B1" w:rsidRPr="00AB50F9">
        <w:t xml:space="preserve">sample </w:t>
      </w:r>
      <w:r w:rsidR="00495948" w:rsidRPr="00AB50F9">
        <w:t>every month</w:t>
      </w:r>
      <w:r w:rsidR="004244B1" w:rsidRPr="00AB50F9">
        <w:t xml:space="preserve"> gave the same mean annual expenditure</w:t>
      </w:r>
      <w:r w:rsidR="009E3F8D" w:rsidRPr="00AB50F9">
        <w:t>s as the year-long diary</w:t>
      </w:r>
      <w:r w:rsidR="004244B1" w:rsidRPr="00AB50F9">
        <w:t xml:space="preserve"> but the </w:t>
      </w:r>
      <w:r w:rsidR="00807BB1" w:rsidRPr="00AB50F9">
        <w:t>standard deviation was twice as high and</w:t>
      </w:r>
      <w:r w:rsidR="004244B1" w:rsidRPr="00AB50F9">
        <w:t xml:space="preserve"> the poverty </w:t>
      </w:r>
      <w:r w:rsidR="00807BB1" w:rsidRPr="00AB50F9">
        <w:t>head count</w:t>
      </w:r>
      <w:r w:rsidR="004244B1" w:rsidRPr="00AB50F9">
        <w:t xml:space="preserve"> and Gini inequality measures </w:t>
      </w:r>
      <w:r w:rsidR="00807BB1" w:rsidRPr="00AB50F9">
        <w:t xml:space="preserve">inflated </w:t>
      </w:r>
      <w:r w:rsidR="004244B1" w:rsidRPr="00AB50F9">
        <w:t>by 50-65 percent.</w:t>
      </w:r>
      <w:r w:rsidR="009E3F8D" w:rsidRPr="00AB50F9">
        <w:t xml:space="preserve"> This just reflects the fact that snapshots </w:t>
      </w:r>
      <w:r w:rsidR="009E3F8D" w:rsidRPr="00AB50F9">
        <w:lastRenderedPageBreak/>
        <w:t xml:space="preserve">from HCES </w:t>
      </w:r>
      <w:r w:rsidR="00B02422" w:rsidRPr="00AB50F9">
        <w:t xml:space="preserve">may </w:t>
      </w:r>
      <w:r w:rsidR="009E3F8D" w:rsidRPr="00AB50F9">
        <w:t xml:space="preserve">adequately measure annual means but not annual variances, and </w:t>
      </w:r>
      <w:r w:rsidR="00B02422" w:rsidRPr="00AB50F9">
        <w:t>supports</w:t>
      </w:r>
      <w:r w:rsidR="009E3F8D" w:rsidRPr="00AB50F9">
        <w:t xml:space="preserve"> </w:t>
      </w:r>
      <w:r w:rsidR="00133D01" w:rsidRPr="00AB50F9">
        <w:t xml:space="preserve">the </w:t>
      </w:r>
      <w:r w:rsidR="009E3F8D" w:rsidRPr="00AB50F9">
        <w:t>FAO concerns about excess variability in HCES-based measures</w:t>
      </w:r>
      <w:r w:rsidR="00B02422" w:rsidRPr="00AB50F9">
        <w:t>, noting</w:t>
      </w:r>
      <w:r w:rsidR="006431E2" w:rsidRPr="00AB50F9">
        <w:t xml:space="preserve"> that these we</w:t>
      </w:r>
      <w:r w:rsidR="00495948" w:rsidRPr="00AB50F9">
        <w:t>re urban dwellers so it wa</w:t>
      </w:r>
      <w:r w:rsidR="003B4488" w:rsidRPr="00AB50F9">
        <w:t xml:space="preserve">s not seasonality on the production side </w:t>
      </w:r>
      <w:r w:rsidR="00B02422" w:rsidRPr="00AB50F9">
        <w:t xml:space="preserve">causing </w:t>
      </w:r>
      <w:r w:rsidR="003B4488" w:rsidRPr="00AB50F9">
        <w:t>this variability</w:t>
      </w:r>
      <w:r w:rsidR="009E3F8D" w:rsidRPr="00AB50F9">
        <w:t xml:space="preserve">. </w:t>
      </w:r>
    </w:p>
    <w:p w:rsidR="00AB50F9" w:rsidRPr="00AB50F9" w:rsidRDefault="00AB50F9" w:rsidP="00681293">
      <w:pPr>
        <w:spacing w:line="300" w:lineRule="auto"/>
        <w:ind w:firstLine="720"/>
        <w:jc w:val="both"/>
      </w:pPr>
    </w:p>
    <w:p w:rsidR="00127E86" w:rsidRDefault="003B4488" w:rsidP="00681293">
      <w:pPr>
        <w:spacing w:line="300" w:lineRule="auto"/>
        <w:ind w:firstLine="720"/>
        <w:jc w:val="both"/>
      </w:pPr>
      <w:r w:rsidRPr="00AB50F9">
        <w:t>T</w:t>
      </w:r>
      <w:r w:rsidR="009E3F8D" w:rsidRPr="00AB50F9">
        <w:t xml:space="preserve">he </w:t>
      </w:r>
      <w:r w:rsidR="00ED6CDB" w:rsidRPr="00AB50F9">
        <w:t xml:space="preserve">China </w:t>
      </w:r>
      <w:r w:rsidR="009E3F8D" w:rsidRPr="00AB50F9">
        <w:t xml:space="preserve">results </w:t>
      </w:r>
      <w:r w:rsidR="00ED6CDB" w:rsidRPr="00AB50F9">
        <w:t xml:space="preserve">improve greatly </w:t>
      </w:r>
      <w:r w:rsidRPr="00AB50F9">
        <w:t>for designs with</w:t>
      </w:r>
      <w:r w:rsidR="009E3F8D" w:rsidRPr="00AB50F9">
        <w:t xml:space="preserve"> households observed for two months, six months apart. </w:t>
      </w:r>
      <w:r w:rsidRPr="00AB50F9">
        <w:t xml:space="preserve">First, with naïve extrapolation, where data from </w:t>
      </w:r>
      <w:r w:rsidR="00A36FE8" w:rsidRPr="00AB50F9">
        <w:t>both</w:t>
      </w:r>
      <w:r w:rsidRPr="00AB50F9">
        <w:t xml:space="preserve"> month-long observation</w:t>
      </w:r>
      <w:r w:rsidR="00A36FE8" w:rsidRPr="00AB50F9">
        <w:t>s</w:t>
      </w:r>
      <w:r w:rsidRPr="00AB50F9">
        <w:t xml:space="preserve"> were multiplied by six and combined to give an annual total, the overstatement in variance-based measures was less; by about 50 percent for the standard deviation and 32-36 percent for poverty and inequality. </w:t>
      </w:r>
      <w:r w:rsidR="00133D01" w:rsidRPr="00AB50F9">
        <w:t>But t</w:t>
      </w:r>
      <w:r w:rsidRPr="00AB50F9">
        <w:t>he real benefit f</w:t>
      </w:r>
      <w:r w:rsidR="00ED6CDB" w:rsidRPr="00AB50F9">
        <w:t>rom</w:t>
      </w:r>
      <w:r w:rsidRPr="00AB50F9">
        <w:t xml:space="preserve"> revisiting households six months after the initial </w:t>
      </w:r>
      <w:r w:rsidR="00ED6CDB" w:rsidRPr="00AB50F9">
        <w:t xml:space="preserve">visit came from using </w:t>
      </w:r>
      <w:r w:rsidRPr="00AB50F9">
        <w:t xml:space="preserve">a corrected extrapolation method due to Scott (1992); </w:t>
      </w:r>
      <w:r w:rsidR="00133D01" w:rsidRPr="00AB50F9">
        <w:t xml:space="preserve">with this method </w:t>
      </w:r>
      <w:r w:rsidRPr="00AB50F9">
        <w:t>the</w:t>
      </w:r>
      <w:r w:rsidR="00133D01" w:rsidRPr="00AB50F9">
        <w:t xml:space="preserve"> head count</w:t>
      </w:r>
      <w:r w:rsidRPr="00AB50F9">
        <w:t xml:space="preserve"> poverty rate </w:t>
      </w:r>
      <w:r w:rsidR="00B03A05" w:rsidRPr="00AB50F9">
        <w:t>equal</w:t>
      </w:r>
      <w:r w:rsidR="00ED6CDB" w:rsidRPr="00AB50F9">
        <w:t>ed</w:t>
      </w:r>
      <w:r w:rsidR="00127E86" w:rsidRPr="00AB50F9">
        <w:t xml:space="preserve"> </w:t>
      </w:r>
      <w:r w:rsidR="00133D01" w:rsidRPr="00AB50F9">
        <w:t>that estimated from</w:t>
      </w:r>
      <w:r w:rsidR="00B03A05" w:rsidRPr="00AB50F9">
        <w:t xml:space="preserve"> year-long diaries</w:t>
      </w:r>
      <w:r w:rsidR="00133D01" w:rsidRPr="00AB50F9">
        <w:t>,</w:t>
      </w:r>
      <w:r w:rsidR="00B03A05" w:rsidRPr="00AB50F9">
        <w:t xml:space="preserve"> and</w:t>
      </w:r>
      <w:r w:rsidRPr="00AB50F9">
        <w:t xml:space="preserve"> the standard deviation and Gini </w:t>
      </w:r>
      <w:r w:rsidR="00133D01" w:rsidRPr="00AB50F9">
        <w:t xml:space="preserve">index </w:t>
      </w:r>
      <w:r w:rsidRPr="00AB50F9">
        <w:t>were within six percent of the annual estimates</w:t>
      </w:r>
      <w:r w:rsidR="00CA30E7" w:rsidRPr="00AB50F9">
        <w:t xml:space="preserve"> (Gibson </w:t>
      </w:r>
      <w:r w:rsidR="00CA30E7" w:rsidRPr="00AB50F9">
        <w:rPr>
          <w:i/>
        </w:rPr>
        <w:t>et al</w:t>
      </w:r>
      <w:r w:rsidR="00BC23FD">
        <w:t>.</w:t>
      </w:r>
      <w:r w:rsidR="00CA30E7" w:rsidRPr="00AB50F9">
        <w:t xml:space="preserve"> 2003)</w:t>
      </w:r>
      <w:r w:rsidRPr="00AB50F9">
        <w:t>.</w:t>
      </w:r>
      <w:r w:rsidR="00B03A05" w:rsidRPr="00AB50F9">
        <w:t xml:space="preserve"> </w:t>
      </w:r>
      <w:r w:rsidR="00127E86" w:rsidRPr="00AB50F9">
        <w:t>This corrected extrapolation relies on empirically estimated correlations between values of a living standards indicator in two separate periods for the same households; correlations that are implicitly assumed to be 1.0 when data from snapshot surveys are naïvely extrapolated to annual totals.</w:t>
      </w:r>
    </w:p>
    <w:p w:rsidR="00AB50F9" w:rsidRPr="00AB50F9" w:rsidRDefault="00AB50F9" w:rsidP="00681293">
      <w:pPr>
        <w:spacing w:line="300" w:lineRule="auto"/>
        <w:ind w:firstLine="720"/>
        <w:jc w:val="both"/>
      </w:pPr>
    </w:p>
    <w:p w:rsidR="00871FA9" w:rsidRDefault="006431E2" w:rsidP="00681293">
      <w:pPr>
        <w:spacing w:line="300" w:lineRule="auto"/>
        <w:ind w:firstLine="720"/>
        <w:jc w:val="both"/>
      </w:pPr>
      <w:r w:rsidRPr="00AB50F9">
        <w:t xml:space="preserve">A similar </w:t>
      </w:r>
      <w:r w:rsidR="00B03A05" w:rsidRPr="00AB50F9">
        <w:t xml:space="preserve">corrected extrapolation is proposed </w:t>
      </w:r>
      <w:r w:rsidRPr="00AB50F9">
        <w:t xml:space="preserve">here </w:t>
      </w:r>
      <w:r w:rsidR="00B03A05" w:rsidRPr="00AB50F9">
        <w:t>as a way to derive chronic hunger estimates from snapshot surveys</w:t>
      </w:r>
      <w:r w:rsidR="003D75DD" w:rsidRPr="00AB50F9">
        <w:t xml:space="preserve">, </w:t>
      </w:r>
      <w:r w:rsidR="00060901" w:rsidRPr="00AB50F9">
        <w:t xml:space="preserve">so </w:t>
      </w:r>
      <w:r w:rsidR="003D75DD" w:rsidRPr="00AB50F9">
        <w:t>the</w:t>
      </w:r>
      <w:r w:rsidR="00133D01" w:rsidRPr="00AB50F9">
        <w:t xml:space="preserve"> </w:t>
      </w:r>
      <w:r w:rsidR="00B03A05" w:rsidRPr="00AB50F9">
        <w:t xml:space="preserve">good performance in China </w:t>
      </w:r>
      <w:r w:rsidR="00133D01" w:rsidRPr="00AB50F9">
        <w:t xml:space="preserve">against the benchmark of a year-long diary </w:t>
      </w:r>
      <w:r w:rsidR="00B03A05" w:rsidRPr="00AB50F9">
        <w:t>should be borne in mind.</w:t>
      </w:r>
      <w:r w:rsidR="00133D01" w:rsidRPr="00AB50F9">
        <w:t xml:space="preserve"> Intuitively, the method uncover</w:t>
      </w:r>
      <w:r w:rsidRPr="00AB50F9">
        <w:t>s</w:t>
      </w:r>
      <w:r w:rsidR="00133D01" w:rsidRPr="00AB50F9">
        <w:t xml:space="preserve"> </w:t>
      </w:r>
      <w:r w:rsidR="003D75DD" w:rsidRPr="00AB50F9">
        <w:t xml:space="preserve">more </w:t>
      </w:r>
      <w:r w:rsidR="00133D01" w:rsidRPr="00AB50F9">
        <w:t>about the typical living standards of a h</w:t>
      </w:r>
      <w:r w:rsidR="003D75DD" w:rsidRPr="00AB50F9">
        <w:t xml:space="preserve">ousehold because seeing the </w:t>
      </w:r>
      <w:r w:rsidR="00133D01" w:rsidRPr="00AB50F9">
        <w:t xml:space="preserve">same household </w:t>
      </w:r>
      <w:r w:rsidR="003D75DD" w:rsidRPr="00AB50F9">
        <w:t xml:space="preserve">some months later </w:t>
      </w:r>
      <w:r w:rsidR="00133D01" w:rsidRPr="00AB50F9">
        <w:t xml:space="preserve">reveals new information about it, compared with </w:t>
      </w:r>
      <w:r w:rsidR="003D75DD" w:rsidRPr="00AB50F9">
        <w:t>seeing it</w:t>
      </w:r>
      <w:r w:rsidR="00133D01" w:rsidRPr="00AB50F9">
        <w:t xml:space="preserve"> </w:t>
      </w:r>
      <w:r w:rsidR="003D75DD" w:rsidRPr="00AB50F9">
        <w:t xml:space="preserve">just </w:t>
      </w:r>
      <w:r w:rsidR="00133D01" w:rsidRPr="00AB50F9">
        <w:t xml:space="preserve">once or </w:t>
      </w:r>
      <w:r w:rsidR="003D75DD" w:rsidRPr="00AB50F9">
        <w:t xml:space="preserve">else seeing it </w:t>
      </w:r>
      <w:r w:rsidR="00133D01" w:rsidRPr="00AB50F9">
        <w:t xml:space="preserve">repeatedly in a short, concentrated period like a fortnight (as </w:t>
      </w:r>
      <w:r w:rsidR="003D75DD" w:rsidRPr="00AB50F9">
        <w:t xml:space="preserve">in surveys </w:t>
      </w:r>
      <w:r w:rsidR="00133D01" w:rsidRPr="00AB50F9">
        <w:t xml:space="preserve">with diary-checking visits). </w:t>
      </w:r>
      <w:r w:rsidR="00481809" w:rsidRPr="00AB50F9">
        <w:t>A related study</w:t>
      </w:r>
      <w:r w:rsidR="00060901" w:rsidRPr="00AB50F9">
        <w:t>,</w:t>
      </w:r>
      <w:r w:rsidR="00481809" w:rsidRPr="00AB50F9">
        <w:t xml:space="preserve"> in</w:t>
      </w:r>
      <w:r w:rsidR="00161F80" w:rsidRPr="00AB50F9">
        <w:t xml:space="preserve"> the context of randomized experiments</w:t>
      </w:r>
      <w:r w:rsidR="003D75DD" w:rsidRPr="00AB50F9">
        <w:t xml:space="preserve"> in economics</w:t>
      </w:r>
      <w:r w:rsidR="00060901" w:rsidRPr="00AB50F9">
        <w:t>,</w:t>
      </w:r>
      <w:r w:rsidR="003D75DD" w:rsidRPr="00AB50F9">
        <w:t xml:space="preserve"> </w:t>
      </w:r>
      <w:r w:rsidR="00977AAD" w:rsidRPr="00AB50F9">
        <w:t xml:space="preserve">notes that </w:t>
      </w:r>
      <w:r w:rsidR="003D75DD" w:rsidRPr="00AB50F9">
        <w:t xml:space="preserve">a </w:t>
      </w:r>
      <w:r w:rsidR="00CA30E7" w:rsidRPr="00AB50F9">
        <w:t xml:space="preserve">common design uses a </w:t>
      </w:r>
      <w:r w:rsidR="003D75DD" w:rsidRPr="00AB50F9">
        <w:t xml:space="preserve">baseline </w:t>
      </w:r>
      <w:r w:rsidR="00977AAD" w:rsidRPr="00AB50F9">
        <w:t xml:space="preserve">survey </w:t>
      </w:r>
      <w:r w:rsidR="00BC23FD">
        <w:t>and single follow-up (McKenzie</w:t>
      </w:r>
      <w:r w:rsidR="003D75DD" w:rsidRPr="00AB50F9">
        <w:t xml:space="preserve"> 2012). </w:t>
      </w:r>
      <w:r w:rsidRPr="00AB50F9">
        <w:t>This suits</w:t>
      </w:r>
      <w:r w:rsidR="00161F80" w:rsidRPr="00AB50F9">
        <w:t xml:space="preserve"> highly auto-correlated and relatively precisely measured </w:t>
      </w:r>
      <w:r w:rsidR="004E0D09" w:rsidRPr="00AB50F9">
        <w:t xml:space="preserve">educational </w:t>
      </w:r>
      <w:r w:rsidR="00161F80" w:rsidRPr="00AB50F9">
        <w:t xml:space="preserve">outcomes </w:t>
      </w:r>
      <w:r w:rsidR="003D75DD" w:rsidRPr="00AB50F9">
        <w:t xml:space="preserve">but </w:t>
      </w:r>
      <w:r w:rsidR="00161F80" w:rsidRPr="00AB50F9">
        <w:t xml:space="preserve">is </w:t>
      </w:r>
      <w:r w:rsidRPr="00AB50F9">
        <w:t xml:space="preserve">not </w:t>
      </w:r>
      <w:r w:rsidR="00161F80" w:rsidRPr="00AB50F9">
        <w:t>optimal for less auto-correlated outcomes such as incomes</w:t>
      </w:r>
      <w:r w:rsidR="00A36FE8" w:rsidRPr="00AB50F9">
        <w:t>,</w:t>
      </w:r>
      <w:r w:rsidR="00161F80" w:rsidRPr="00AB50F9">
        <w:t xml:space="preserve"> expenditures</w:t>
      </w:r>
      <w:r w:rsidR="00A36FE8" w:rsidRPr="00AB50F9">
        <w:t>, and microenterprise profits</w:t>
      </w:r>
      <w:r w:rsidR="00161F80" w:rsidRPr="00AB50F9">
        <w:t xml:space="preserve">. For </w:t>
      </w:r>
      <w:r w:rsidR="004635EC" w:rsidRPr="00AB50F9">
        <w:t xml:space="preserve">such </w:t>
      </w:r>
      <w:r w:rsidR="00161F80" w:rsidRPr="00AB50F9">
        <w:t>outcomes</w:t>
      </w:r>
      <w:r w:rsidR="004635EC" w:rsidRPr="00AB50F9">
        <w:t>,</w:t>
      </w:r>
      <w:r w:rsidR="00161F80" w:rsidRPr="00AB50F9">
        <w:t xml:space="preserve"> taking multiple measurements at relatively short intervals </w:t>
      </w:r>
      <w:r w:rsidR="00620F1F" w:rsidRPr="00AB50F9">
        <w:t>(</w:t>
      </w:r>
      <w:r w:rsidR="00161F80" w:rsidRPr="00AB50F9">
        <w:t xml:space="preserve">as </w:t>
      </w:r>
      <w:r w:rsidR="00620F1F" w:rsidRPr="00AB50F9">
        <w:t xml:space="preserve">happens </w:t>
      </w:r>
      <w:r w:rsidR="00161F80" w:rsidRPr="00AB50F9">
        <w:t>with an intra-year panel)</w:t>
      </w:r>
      <w:r w:rsidR="003D75DD" w:rsidRPr="00AB50F9">
        <w:t>,</w:t>
      </w:r>
      <w:r w:rsidR="00161F80" w:rsidRPr="00AB50F9">
        <w:t xml:space="preserve"> lets one average out the noise and increase statistical power. </w:t>
      </w:r>
    </w:p>
    <w:p w:rsidR="00AB50F9" w:rsidRPr="00AB50F9" w:rsidRDefault="00AB50F9" w:rsidP="00681293">
      <w:pPr>
        <w:spacing w:line="300" w:lineRule="auto"/>
        <w:ind w:firstLine="720"/>
        <w:jc w:val="both"/>
      </w:pPr>
    </w:p>
    <w:p w:rsidR="003D75DD" w:rsidRDefault="003D75DD" w:rsidP="00681293">
      <w:pPr>
        <w:widowControl w:val="0"/>
        <w:spacing w:line="300" w:lineRule="auto"/>
        <w:jc w:val="both"/>
        <w:rPr>
          <w:rFonts w:eastAsia="Calibri"/>
        </w:rPr>
      </w:pPr>
      <w:r w:rsidRPr="00AB50F9">
        <w:rPr>
          <w:rFonts w:eastAsia="Calibri"/>
        </w:rPr>
        <w:tab/>
        <w:t xml:space="preserve">Whether the fluctuations that create this ‘noise’ are of interest </w:t>
      </w:r>
      <w:r w:rsidR="00977AAD" w:rsidRPr="00AB50F9">
        <w:rPr>
          <w:rFonts w:eastAsia="Calibri"/>
        </w:rPr>
        <w:t xml:space="preserve">or are just a nuisance </w:t>
      </w:r>
      <w:r w:rsidRPr="00AB50F9">
        <w:rPr>
          <w:rFonts w:eastAsia="Calibri"/>
        </w:rPr>
        <w:t xml:space="preserve">depends on whether they </w:t>
      </w:r>
      <w:r w:rsidR="00E03293" w:rsidRPr="00AB50F9">
        <w:rPr>
          <w:rFonts w:eastAsia="Calibri"/>
        </w:rPr>
        <w:t xml:space="preserve">are viewed as </w:t>
      </w:r>
      <w:r w:rsidRPr="00AB50F9">
        <w:rPr>
          <w:rFonts w:eastAsia="Calibri"/>
        </w:rPr>
        <w:t xml:space="preserve">measurement error rather than </w:t>
      </w:r>
      <w:r w:rsidR="00060901" w:rsidRPr="00AB50F9">
        <w:rPr>
          <w:rFonts w:eastAsia="Calibri"/>
        </w:rPr>
        <w:t xml:space="preserve">as </w:t>
      </w:r>
      <w:r w:rsidRPr="00AB50F9">
        <w:rPr>
          <w:rFonts w:eastAsia="Calibri"/>
        </w:rPr>
        <w:t xml:space="preserve">genuine volatility. </w:t>
      </w:r>
      <w:r w:rsidR="00977AAD" w:rsidRPr="00AB50F9">
        <w:rPr>
          <w:rFonts w:eastAsia="Calibri"/>
        </w:rPr>
        <w:t>At least i</w:t>
      </w:r>
      <w:r w:rsidRPr="00AB50F9">
        <w:rPr>
          <w:rFonts w:eastAsia="Calibri"/>
        </w:rPr>
        <w:t xml:space="preserve">n the </w:t>
      </w:r>
      <w:r w:rsidR="00060901" w:rsidRPr="00AB50F9">
        <w:rPr>
          <w:rFonts w:eastAsia="Calibri"/>
        </w:rPr>
        <w:t xml:space="preserve">literature on </w:t>
      </w:r>
      <w:r w:rsidRPr="00AB50F9">
        <w:rPr>
          <w:rFonts w:eastAsia="Calibri"/>
        </w:rPr>
        <w:t>poverty</w:t>
      </w:r>
      <w:r w:rsidR="00E03293" w:rsidRPr="00AB50F9">
        <w:rPr>
          <w:rFonts w:eastAsia="Calibri"/>
        </w:rPr>
        <w:t xml:space="preserve">, the fluctuations over time </w:t>
      </w:r>
      <w:r w:rsidR="00060901" w:rsidRPr="00AB50F9">
        <w:rPr>
          <w:rFonts w:eastAsia="Calibri"/>
        </w:rPr>
        <w:t xml:space="preserve">that are </w:t>
      </w:r>
      <w:r w:rsidR="00E03293" w:rsidRPr="00AB50F9">
        <w:rPr>
          <w:rFonts w:eastAsia="Calibri"/>
        </w:rPr>
        <w:t xml:space="preserve">revealed by </w:t>
      </w:r>
      <w:r w:rsidR="00060901" w:rsidRPr="00AB50F9">
        <w:rPr>
          <w:rFonts w:eastAsia="Calibri"/>
        </w:rPr>
        <w:t>panel surveys are considered worth</w:t>
      </w:r>
      <w:r w:rsidR="00E03293" w:rsidRPr="00AB50F9">
        <w:rPr>
          <w:rFonts w:eastAsia="Calibri"/>
        </w:rPr>
        <w:t>y of study in their own right</w:t>
      </w:r>
      <w:r w:rsidR="005121F1" w:rsidRPr="00AB50F9">
        <w:rPr>
          <w:rFonts w:eastAsia="Calibri"/>
        </w:rPr>
        <w:t>. W</w:t>
      </w:r>
      <w:r w:rsidR="00977AAD" w:rsidRPr="00AB50F9">
        <w:rPr>
          <w:rFonts w:eastAsia="Calibri"/>
        </w:rPr>
        <w:t xml:space="preserve">hile across-survey panels </w:t>
      </w:r>
      <w:r w:rsidR="005121F1" w:rsidRPr="00AB50F9">
        <w:rPr>
          <w:rFonts w:eastAsia="Calibri"/>
        </w:rPr>
        <w:t xml:space="preserve">are </w:t>
      </w:r>
      <w:r w:rsidR="00495948" w:rsidRPr="00AB50F9">
        <w:rPr>
          <w:rFonts w:eastAsia="Calibri"/>
        </w:rPr>
        <w:t xml:space="preserve">mostly </w:t>
      </w:r>
      <w:r w:rsidR="005121F1" w:rsidRPr="00AB50F9">
        <w:rPr>
          <w:rFonts w:eastAsia="Calibri"/>
        </w:rPr>
        <w:t>used</w:t>
      </w:r>
      <w:r w:rsidR="006431E2" w:rsidRPr="00AB50F9">
        <w:rPr>
          <w:rFonts w:eastAsia="Calibri"/>
        </w:rPr>
        <w:t>,</w:t>
      </w:r>
      <w:r w:rsidR="005121F1" w:rsidRPr="00AB50F9">
        <w:rPr>
          <w:rFonts w:eastAsia="Calibri"/>
        </w:rPr>
        <w:t xml:space="preserve"> </w:t>
      </w:r>
      <w:r w:rsidR="00977AAD" w:rsidRPr="00AB50F9">
        <w:rPr>
          <w:rFonts w:eastAsia="Calibri"/>
        </w:rPr>
        <w:t>there are some intra-year panels providing eviden</w:t>
      </w:r>
      <w:r w:rsidR="00BC23FD">
        <w:rPr>
          <w:rFonts w:eastAsia="Calibri"/>
        </w:rPr>
        <w:t>ce on transient poverty (Gibson</w:t>
      </w:r>
      <w:r w:rsidR="00977AAD" w:rsidRPr="00AB50F9">
        <w:rPr>
          <w:rFonts w:eastAsia="Calibri"/>
        </w:rPr>
        <w:t xml:space="preserve"> 2001).</w:t>
      </w:r>
      <w:r w:rsidR="00245EB3" w:rsidRPr="00AB50F9">
        <w:rPr>
          <w:rFonts w:eastAsia="Calibri"/>
        </w:rPr>
        <w:t xml:space="preserve"> Yet</w:t>
      </w:r>
      <w:r w:rsidR="00977AAD" w:rsidRPr="00AB50F9">
        <w:rPr>
          <w:rFonts w:eastAsia="Calibri"/>
        </w:rPr>
        <w:t xml:space="preserve"> studies </w:t>
      </w:r>
      <w:r w:rsidR="00060901" w:rsidRPr="00AB50F9">
        <w:rPr>
          <w:rFonts w:eastAsia="Calibri"/>
        </w:rPr>
        <w:t>that</w:t>
      </w:r>
      <w:r w:rsidR="00E03293" w:rsidRPr="00AB50F9">
        <w:rPr>
          <w:rFonts w:eastAsia="Calibri"/>
        </w:rPr>
        <w:t xml:space="preserve"> </w:t>
      </w:r>
      <w:r w:rsidR="005121F1" w:rsidRPr="00AB50F9">
        <w:rPr>
          <w:rFonts w:eastAsia="Calibri"/>
        </w:rPr>
        <w:t xml:space="preserve">split </w:t>
      </w:r>
      <w:r w:rsidR="00E03293" w:rsidRPr="00AB50F9">
        <w:rPr>
          <w:rFonts w:eastAsia="Calibri"/>
        </w:rPr>
        <w:t>observed shortfalls in living standard</w:t>
      </w:r>
      <w:r w:rsidR="005121F1" w:rsidRPr="00AB50F9">
        <w:rPr>
          <w:rFonts w:eastAsia="Calibri"/>
        </w:rPr>
        <w:t>s into chronic and transient componen</w:t>
      </w:r>
      <w:r w:rsidR="00E03293" w:rsidRPr="00AB50F9">
        <w:rPr>
          <w:rFonts w:eastAsia="Calibri"/>
        </w:rPr>
        <w:t>ts</w:t>
      </w:r>
      <w:r w:rsidR="00060901" w:rsidRPr="00AB50F9">
        <w:rPr>
          <w:rFonts w:eastAsia="Calibri"/>
        </w:rPr>
        <w:t xml:space="preserve"> pay</w:t>
      </w:r>
      <w:r w:rsidR="00E03293" w:rsidRPr="00AB50F9">
        <w:rPr>
          <w:rFonts w:eastAsia="Calibri"/>
        </w:rPr>
        <w:t xml:space="preserve"> </w:t>
      </w:r>
      <w:r w:rsidR="00DC1B8E" w:rsidRPr="00AB50F9">
        <w:rPr>
          <w:rFonts w:eastAsia="Calibri"/>
        </w:rPr>
        <w:t xml:space="preserve">little </w:t>
      </w:r>
      <w:r w:rsidR="00E03293" w:rsidRPr="00AB50F9">
        <w:rPr>
          <w:rFonts w:eastAsia="Calibri"/>
        </w:rPr>
        <w:t xml:space="preserve">attention to hunger. For example, a search of journal article titles and abstracts in </w:t>
      </w:r>
      <w:proofErr w:type="spellStart"/>
      <w:r w:rsidR="00E03293" w:rsidRPr="00AB50F9">
        <w:rPr>
          <w:rFonts w:eastAsia="Calibri"/>
          <w:i/>
        </w:rPr>
        <w:t>EconLit</w:t>
      </w:r>
      <w:proofErr w:type="spellEnd"/>
      <w:r w:rsidR="00E03293" w:rsidRPr="00AB50F9">
        <w:rPr>
          <w:rFonts w:eastAsia="Calibri"/>
        </w:rPr>
        <w:t xml:space="preserve"> (</w:t>
      </w:r>
      <w:r w:rsidR="00DC1B8E" w:rsidRPr="00AB50F9">
        <w:rPr>
          <w:rFonts w:eastAsia="Calibri"/>
        </w:rPr>
        <w:t xml:space="preserve">on </w:t>
      </w:r>
      <w:r w:rsidR="00E03293" w:rsidRPr="00AB50F9">
        <w:rPr>
          <w:rFonts w:eastAsia="Calibri"/>
        </w:rPr>
        <w:t xml:space="preserve">November 7, 2015) found 38 journal articles on transient poverty but none on transient hunger. </w:t>
      </w:r>
      <w:r w:rsidR="00977AAD" w:rsidRPr="00AB50F9">
        <w:rPr>
          <w:rFonts w:eastAsia="Calibri"/>
        </w:rPr>
        <w:lastRenderedPageBreak/>
        <w:t xml:space="preserve">This lack of attention to transient hunger is despite the fact that it can, potentially, be measured </w:t>
      </w:r>
      <w:r w:rsidR="006431E2" w:rsidRPr="00AB50F9">
        <w:rPr>
          <w:rFonts w:eastAsia="Calibri"/>
        </w:rPr>
        <w:t xml:space="preserve">from </w:t>
      </w:r>
      <w:r w:rsidR="005121F1" w:rsidRPr="00AB50F9">
        <w:rPr>
          <w:rFonts w:eastAsia="Calibri"/>
        </w:rPr>
        <w:t xml:space="preserve">the </w:t>
      </w:r>
      <w:r w:rsidR="00060901" w:rsidRPr="00AB50F9">
        <w:rPr>
          <w:rFonts w:eastAsia="Calibri"/>
        </w:rPr>
        <w:t xml:space="preserve">same </w:t>
      </w:r>
      <w:r w:rsidR="00977AAD" w:rsidRPr="00AB50F9">
        <w:rPr>
          <w:rFonts w:eastAsia="Calibri"/>
        </w:rPr>
        <w:t xml:space="preserve">HCES </w:t>
      </w:r>
      <w:r w:rsidR="00060901" w:rsidRPr="00AB50F9">
        <w:rPr>
          <w:rFonts w:eastAsia="Calibri"/>
        </w:rPr>
        <w:t xml:space="preserve">surveys </w:t>
      </w:r>
      <w:r w:rsidR="006431E2" w:rsidRPr="00AB50F9">
        <w:rPr>
          <w:rFonts w:eastAsia="Calibri"/>
        </w:rPr>
        <w:t xml:space="preserve">that are </w:t>
      </w:r>
      <w:r w:rsidR="00060901" w:rsidRPr="00AB50F9">
        <w:rPr>
          <w:rFonts w:eastAsia="Calibri"/>
        </w:rPr>
        <w:t xml:space="preserve">considered trustworthy enough to study transient poverty. One reason </w:t>
      </w:r>
      <w:r w:rsidR="00977AAD" w:rsidRPr="00AB50F9">
        <w:rPr>
          <w:rFonts w:eastAsia="Calibri"/>
        </w:rPr>
        <w:t xml:space="preserve">for the sparse literature on transient hunger </w:t>
      </w:r>
      <w:r w:rsidR="00060901" w:rsidRPr="00AB50F9">
        <w:rPr>
          <w:rFonts w:eastAsia="Calibri"/>
        </w:rPr>
        <w:t>may be the emphasis by FAO on annual estimates</w:t>
      </w:r>
      <w:r w:rsidR="00CA30E7" w:rsidRPr="00AB50F9">
        <w:rPr>
          <w:rFonts w:eastAsia="Calibri"/>
        </w:rPr>
        <w:t>,</w:t>
      </w:r>
      <w:r w:rsidR="00060901" w:rsidRPr="00AB50F9">
        <w:rPr>
          <w:rFonts w:eastAsia="Calibri"/>
        </w:rPr>
        <w:t xml:space="preserve"> </w:t>
      </w:r>
      <w:r w:rsidR="005121F1" w:rsidRPr="00AB50F9">
        <w:rPr>
          <w:rFonts w:eastAsia="Calibri"/>
        </w:rPr>
        <w:t xml:space="preserve">with an </w:t>
      </w:r>
      <w:r w:rsidR="00977AAD" w:rsidRPr="00AB50F9">
        <w:rPr>
          <w:rFonts w:eastAsia="Calibri"/>
        </w:rPr>
        <w:t xml:space="preserve">explicit </w:t>
      </w:r>
      <w:r w:rsidR="00060901" w:rsidRPr="00AB50F9">
        <w:rPr>
          <w:rFonts w:eastAsia="Calibri"/>
        </w:rPr>
        <w:t>neglect of short-term fluctuations.</w:t>
      </w:r>
    </w:p>
    <w:p w:rsidR="00BC23FD" w:rsidRDefault="00BC23FD" w:rsidP="00681293">
      <w:pPr>
        <w:widowControl w:val="0"/>
        <w:spacing w:line="300" w:lineRule="auto"/>
        <w:jc w:val="both"/>
        <w:rPr>
          <w:rFonts w:eastAsia="Calibri"/>
        </w:rPr>
      </w:pPr>
    </w:p>
    <w:p w:rsidR="00E03293" w:rsidRDefault="00060901" w:rsidP="00681293">
      <w:pPr>
        <w:spacing w:line="300" w:lineRule="auto"/>
        <w:jc w:val="both"/>
        <w:rPr>
          <w:lang w:val="en-NZ" w:eastAsia="en-GB"/>
        </w:rPr>
      </w:pPr>
      <w:r w:rsidRPr="00AB50F9">
        <w:rPr>
          <w:rFonts w:eastAsia="Calibri"/>
        </w:rPr>
        <w:tab/>
        <w:t>The</w:t>
      </w:r>
      <w:r w:rsidR="00552582" w:rsidRPr="00AB50F9">
        <w:rPr>
          <w:rFonts w:eastAsia="Calibri"/>
        </w:rPr>
        <w:t xml:space="preserve"> method proposed here can reveal</w:t>
      </w:r>
      <w:r w:rsidRPr="00AB50F9">
        <w:rPr>
          <w:rFonts w:eastAsia="Calibri"/>
        </w:rPr>
        <w:t xml:space="preserve"> </w:t>
      </w:r>
      <w:r w:rsidR="00552582" w:rsidRPr="00AB50F9">
        <w:rPr>
          <w:rFonts w:eastAsia="Calibri"/>
        </w:rPr>
        <w:t>transient</w:t>
      </w:r>
      <w:r w:rsidRPr="00AB50F9">
        <w:rPr>
          <w:rFonts w:eastAsia="Calibri"/>
        </w:rPr>
        <w:t xml:space="preserve"> hunger under the </w:t>
      </w:r>
      <w:r w:rsidR="009178F0">
        <w:rPr>
          <w:rFonts w:eastAsia="Calibri"/>
        </w:rPr>
        <w:t>'</w:t>
      </w:r>
      <w:r w:rsidRPr="00AB50F9">
        <w:rPr>
          <w:rFonts w:eastAsia="Calibri"/>
        </w:rPr>
        <w:t>components approach</w:t>
      </w:r>
      <w:r w:rsidR="009178F0">
        <w:rPr>
          <w:rFonts w:eastAsia="Calibri"/>
        </w:rPr>
        <w:t>'</w:t>
      </w:r>
      <w:r w:rsidR="00977AAD" w:rsidRPr="00AB50F9">
        <w:rPr>
          <w:rFonts w:eastAsia="Calibri"/>
        </w:rPr>
        <w:t xml:space="preserve"> to welfare</w:t>
      </w:r>
      <w:r w:rsidRPr="00AB50F9">
        <w:rPr>
          <w:rFonts w:eastAsia="Calibri"/>
        </w:rPr>
        <w:t xml:space="preserve"> </w:t>
      </w:r>
      <w:r w:rsidR="00552582" w:rsidRPr="00AB50F9">
        <w:rPr>
          <w:rFonts w:eastAsia="Calibri"/>
        </w:rPr>
        <w:t xml:space="preserve">fluctuations </w:t>
      </w:r>
      <w:r w:rsidRPr="00AB50F9">
        <w:rPr>
          <w:rFonts w:eastAsia="Calibri"/>
        </w:rPr>
        <w:t xml:space="preserve">proposed by </w:t>
      </w:r>
      <w:proofErr w:type="spellStart"/>
      <w:r w:rsidRPr="00AB50F9">
        <w:rPr>
          <w:rFonts w:eastAsia="Calibri"/>
        </w:rPr>
        <w:t>Jalan</w:t>
      </w:r>
      <w:proofErr w:type="spellEnd"/>
      <w:r w:rsidRPr="00AB50F9">
        <w:rPr>
          <w:rFonts w:eastAsia="Calibri"/>
        </w:rPr>
        <w:t xml:space="preserve"> and </w:t>
      </w:r>
      <w:proofErr w:type="spellStart"/>
      <w:r w:rsidRPr="00AB50F9">
        <w:rPr>
          <w:rFonts w:eastAsia="Calibri"/>
        </w:rPr>
        <w:t>Ravallion</w:t>
      </w:r>
      <w:proofErr w:type="spellEnd"/>
      <w:r w:rsidRPr="00AB50F9">
        <w:rPr>
          <w:rFonts w:eastAsia="Calibri"/>
        </w:rPr>
        <w:t xml:space="preserve"> (1998).</w:t>
      </w:r>
      <w:r w:rsidR="00CB7019" w:rsidRPr="00AB50F9">
        <w:rPr>
          <w:rFonts w:eastAsia="Calibri"/>
        </w:rPr>
        <w:t xml:space="preserve"> </w:t>
      </w:r>
      <w:r w:rsidR="00552582" w:rsidRPr="00AB50F9">
        <w:rPr>
          <w:rFonts w:eastAsia="Calibri"/>
        </w:rPr>
        <w:t xml:space="preserve">Under this approach, </w:t>
      </w:r>
      <w:r w:rsidR="00CB7019" w:rsidRPr="00AB50F9">
        <w:rPr>
          <w:rFonts w:eastAsia="Calibri"/>
        </w:rPr>
        <w:t>chronic</w:t>
      </w:r>
      <w:r w:rsidR="00E03293" w:rsidRPr="00AB50F9">
        <w:rPr>
          <w:lang w:val="en-NZ" w:eastAsia="en-GB"/>
        </w:rPr>
        <w:t xml:space="preserve"> poverty </w:t>
      </w:r>
      <w:r w:rsidR="00552582" w:rsidRPr="00AB50F9">
        <w:rPr>
          <w:lang w:val="en-NZ" w:eastAsia="en-GB"/>
        </w:rPr>
        <w:t xml:space="preserve">is </w:t>
      </w:r>
      <w:r w:rsidR="00E03293" w:rsidRPr="00AB50F9">
        <w:rPr>
          <w:lang w:val="en-NZ" w:eastAsia="en-GB"/>
        </w:rPr>
        <w:t xml:space="preserve">the part of total poverty due to permanent consumption being below the poverty line, while </w:t>
      </w:r>
      <w:r w:rsidR="00552582" w:rsidRPr="00AB50F9">
        <w:rPr>
          <w:lang w:val="en-NZ" w:eastAsia="en-GB"/>
        </w:rPr>
        <w:t>transient poverty i</w:t>
      </w:r>
      <w:r w:rsidR="00E03293" w:rsidRPr="00AB50F9">
        <w:rPr>
          <w:lang w:val="en-NZ" w:eastAsia="en-GB"/>
        </w:rPr>
        <w:t>s the remainder</w:t>
      </w:r>
      <w:r w:rsidR="006431E2" w:rsidRPr="00AB50F9">
        <w:rPr>
          <w:lang w:val="en-NZ" w:eastAsia="en-GB"/>
        </w:rPr>
        <w:t xml:space="preserve">. Thus, a </w:t>
      </w:r>
      <w:r w:rsidR="00E03293" w:rsidRPr="00AB50F9">
        <w:rPr>
          <w:lang w:val="en-NZ" w:eastAsia="en-GB"/>
        </w:rPr>
        <w:t xml:space="preserve">chronically poor household </w:t>
      </w:r>
      <w:r w:rsidR="006431E2" w:rsidRPr="00AB50F9">
        <w:rPr>
          <w:lang w:val="en-NZ" w:eastAsia="en-GB"/>
        </w:rPr>
        <w:t>may</w:t>
      </w:r>
      <w:r w:rsidR="00977AAD" w:rsidRPr="00AB50F9">
        <w:rPr>
          <w:lang w:val="en-NZ" w:eastAsia="en-GB"/>
        </w:rPr>
        <w:t xml:space="preserve"> </w:t>
      </w:r>
      <w:r w:rsidR="006431E2" w:rsidRPr="00AB50F9">
        <w:rPr>
          <w:lang w:val="en-NZ" w:eastAsia="en-GB"/>
        </w:rPr>
        <w:t>have</w:t>
      </w:r>
      <w:r w:rsidR="00977AAD" w:rsidRPr="00AB50F9">
        <w:rPr>
          <w:lang w:val="en-NZ" w:eastAsia="en-GB"/>
        </w:rPr>
        <w:t xml:space="preserve"> </w:t>
      </w:r>
      <w:r w:rsidR="00E03293" w:rsidRPr="00AB50F9">
        <w:rPr>
          <w:lang w:val="en-NZ" w:eastAsia="en-GB"/>
        </w:rPr>
        <w:t xml:space="preserve">transient welfare </w:t>
      </w:r>
      <w:r w:rsidR="006431E2" w:rsidRPr="00AB50F9">
        <w:rPr>
          <w:lang w:val="en-NZ" w:eastAsia="en-GB"/>
        </w:rPr>
        <w:t>fluctuations, with consequent welfare costs (or conversely</w:t>
      </w:r>
      <w:r w:rsidR="00EA35FB" w:rsidRPr="00AB50F9">
        <w:rPr>
          <w:lang w:val="en-NZ" w:eastAsia="en-GB"/>
        </w:rPr>
        <w:t>,</w:t>
      </w:r>
      <w:r w:rsidR="006431E2" w:rsidRPr="00AB50F9">
        <w:rPr>
          <w:lang w:val="en-NZ" w:eastAsia="en-GB"/>
        </w:rPr>
        <w:t xml:space="preserve"> unmet demand for smoothing</w:t>
      </w:r>
      <w:r w:rsidR="00552582" w:rsidRPr="00AB50F9">
        <w:rPr>
          <w:lang w:val="en-NZ" w:eastAsia="en-GB"/>
        </w:rPr>
        <w:t xml:space="preserve"> mechanisms)</w:t>
      </w:r>
      <w:r w:rsidR="00EA35FB" w:rsidRPr="00AB50F9">
        <w:rPr>
          <w:lang w:val="en-NZ" w:eastAsia="en-GB"/>
        </w:rPr>
        <w:t xml:space="preserve">, and these fluctuations are </w:t>
      </w:r>
      <w:r w:rsidR="00CA30E7" w:rsidRPr="00AB50F9">
        <w:rPr>
          <w:lang w:val="en-NZ" w:eastAsia="en-GB"/>
        </w:rPr>
        <w:t xml:space="preserve">counted </w:t>
      </w:r>
      <w:r w:rsidR="00EA35FB" w:rsidRPr="00AB50F9">
        <w:rPr>
          <w:lang w:val="en-NZ" w:eastAsia="en-GB"/>
        </w:rPr>
        <w:t xml:space="preserve">by this method. </w:t>
      </w:r>
      <w:r w:rsidR="00977AAD" w:rsidRPr="00AB50F9">
        <w:rPr>
          <w:lang w:val="en-NZ" w:eastAsia="en-GB"/>
        </w:rPr>
        <w:t>A</w:t>
      </w:r>
      <w:r w:rsidR="00E03293" w:rsidRPr="00AB50F9">
        <w:rPr>
          <w:lang w:val="en-NZ" w:eastAsia="en-GB"/>
        </w:rPr>
        <w:t>n</w:t>
      </w:r>
      <w:r w:rsidR="00EA35FB" w:rsidRPr="00AB50F9">
        <w:rPr>
          <w:lang w:val="en-NZ" w:eastAsia="en-GB"/>
        </w:rPr>
        <w:t>other</w:t>
      </w:r>
      <w:r w:rsidR="00E03293" w:rsidRPr="00AB50F9">
        <w:rPr>
          <w:lang w:val="en-NZ" w:eastAsia="en-GB"/>
        </w:rPr>
        <w:t xml:space="preserve"> decomposition</w:t>
      </w:r>
      <w:r w:rsidR="00977AAD" w:rsidRPr="00AB50F9">
        <w:rPr>
          <w:lang w:val="en-NZ" w:eastAsia="en-GB"/>
        </w:rPr>
        <w:t xml:space="preserve"> is the spells approach</w:t>
      </w:r>
      <w:r w:rsidR="00E03293" w:rsidRPr="00AB50F9">
        <w:rPr>
          <w:lang w:val="en-NZ" w:eastAsia="en-GB"/>
        </w:rPr>
        <w:t xml:space="preserve">, where </w:t>
      </w:r>
      <w:r w:rsidR="009178F0">
        <w:rPr>
          <w:lang w:val="en-NZ" w:eastAsia="en-GB"/>
        </w:rPr>
        <w:t>'</w:t>
      </w:r>
      <w:r w:rsidR="00E03293" w:rsidRPr="00AB50F9">
        <w:rPr>
          <w:lang w:val="en-NZ" w:eastAsia="en-GB"/>
        </w:rPr>
        <w:t>the chronic poor are identified based on the number or length of spel</w:t>
      </w:r>
      <w:r w:rsidR="00552582" w:rsidRPr="00AB50F9">
        <w:rPr>
          <w:lang w:val="en-NZ" w:eastAsia="en-GB"/>
        </w:rPr>
        <w:t>ls of poverty they experience – so</w:t>
      </w:r>
      <w:r w:rsidR="00E03293" w:rsidRPr="00AB50F9">
        <w:rPr>
          <w:lang w:val="en-NZ" w:eastAsia="en-GB"/>
        </w:rPr>
        <w:t xml:space="preserve"> that all poor households are classified as either chronic or transient p</w:t>
      </w:r>
      <w:r w:rsidR="00CB7019" w:rsidRPr="00AB50F9">
        <w:rPr>
          <w:lang w:val="en-NZ" w:eastAsia="en-GB"/>
        </w:rPr>
        <w:t>oor</w:t>
      </w:r>
      <w:r w:rsidR="009178F0">
        <w:rPr>
          <w:lang w:val="en-NZ" w:eastAsia="en-GB"/>
        </w:rPr>
        <w:t>'</w:t>
      </w:r>
      <w:r w:rsidR="00CB7019" w:rsidRPr="00AB50F9">
        <w:rPr>
          <w:lang w:val="en-NZ" w:eastAsia="en-GB"/>
        </w:rPr>
        <w:t xml:space="preserve"> </w:t>
      </w:r>
      <w:r w:rsidR="00552582" w:rsidRPr="00AB50F9">
        <w:rPr>
          <w:lang w:val="en-NZ" w:eastAsia="en-GB"/>
        </w:rPr>
        <w:t>(</w:t>
      </w:r>
      <w:r w:rsidR="00CB7019" w:rsidRPr="00AB50F9">
        <w:rPr>
          <w:lang w:val="en-NZ" w:eastAsia="en-GB"/>
        </w:rPr>
        <w:t>McK</w:t>
      </w:r>
      <w:r w:rsidR="00BC23FD">
        <w:rPr>
          <w:lang w:val="en-NZ" w:eastAsia="en-GB"/>
        </w:rPr>
        <w:t>ay and Lawson</w:t>
      </w:r>
      <w:r w:rsidR="00552582" w:rsidRPr="00AB50F9">
        <w:rPr>
          <w:lang w:val="en-NZ" w:eastAsia="en-GB"/>
        </w:rPr>
        <w:t xml:space="preserve"> </w:t>
      </w:r>
      <w:r w:rsidR="00E03293" w:rsidRPr="00AB50F9">
        <w:rPr>
          <w:lang w:val="en-NZ" w:eastAsia="en-GB"/>
        </w:rPr>
        <w:t xml:space="preserve">2003, p. 427). </w:t>
      </w:r>
      <w:r w:rsidR="00CB7019" w:rsidRPr="00AB50F9">
        <w:rPr>
          <w:lang w:val="en-NZ" w:eastAsia="en-GB"/>
        </w:rPr>
        <w:t>T</w:t>
      </w:r>
      <w:r w:rsidR="00E03293" w:rsidRPr="00AB50F9">
        <w:rPr>
          <w:lang w:val="en-NZ" w:eastAsia="en-GB"/>
        </w:rPr>
        <w:t xml:space="preserve">he spells approach </w:t>
      </w:r>
      <w:r w:rsidRPr="00AB50F9">
        <w:rPr>
          <w:lang w:val="en-NZ" w:eastAsia="en-GB"/>
        </w:rPr>
        <w:t xml:space="preserve">is </w:t>
      </w:r>
      <w:r w:rsidR="00E03293" w:rsidRPr="00AB50F9">
        <w:rPr>
          <w:lang w:val="en-NZ" w:eastAsia="en-GB"/>
        </w:rPr>
        <w:t xml:space="preserve">a discrete method </w:t>
      </w:r>
      <w:r w:rsidR="00CB7019" w:rsidRPr="00AB50F9">
        <w:rPr>
          <w:lang w:val="en-NZ" w:eastAsia="en-GB"/>
        </w:rPr>
        <w:t xml:space="preserve">that </w:t>
      </w:r>
      <w:r w:rsidR="00E03293" w:rsidRPr="00AB50F9">
        <w:rPr>
          <w:lang w:val="en-NZ" w:eastAsia="en-GB"/>
        </w:rPr>
        <w:t xml:space="preserve">does not </w:t>
      </w:r>
      <w:r w:rsidR="00552582" w:rsidRPr="00AB50F9">
        <w:rPr>
          <w:lang w:val="en-NZ" w:eastAsia="en-GB"/>
        </w:rPr>
        <w:t xml:space="preserve">consider </w:t>
      </w:r>
      <w:r w:rsidR="00E03293" w:rsidRPr="00AB50F9">
        <w:rPr>
          <w:lang w:val="en-NZ" w:eastAsia="en-GB"/>
        </w:rPr>
        <w:t xml:space="preserve">information about </w:t>
      </w:r>
      <w:r w:rsidR="00CB7019" w:rsidRPr="00AB50F9">
        <w:rPr>
          <w:lang w:val="en-NZ" w:eastAsia="en-GB"/>
        </w:rPr>
        <w:t xml:space="preserve">transient </w:t>
      </w:r>
      <w:r w:rsidR="00E03293" w:rsidRPr="00AB50F9">
        <w:rPr>
          <w:lang w:val="en-NZ" w:eastAsia="en-GB"/>
        </w:rPr>
        <w:t>welfare f</w:t>
      </w:r>
      <w:r w:rsidR="00EA35FB" w:rsidRPr="00AB50F9">
        <w:rPr>
          <w:lang w:val="en-NZ" w:eastAsia="en-GB"/>
        </w:rPr>
        <w:t>or chronically poor households.</w:t>
      </w:r>
      <w:r w:rsidR="00EA35FB" w:rsidRPr="00AB50F9">
        <w:rPr>
          <w:rStyle w:val="FootnoteReference"/>
          <w:lang w:val="en-NZ" w:eastAsia="en-GB"/>
        </w:rPr>
        <w:footnoteReference w:id="6"/>
      </w:r>
    </w:p>
    <w:p w:rsidR="00AB50F9" w:rsidRPr="00AB50F9" w:rsidRDefault="00AB50F9" w:rsidP="00681293">
      <w:pPr>
        <w:spacing w:line="300" w:lineRule="auto"/>
        <w:jc w:val="both"/>
        <w:rPr>
          <w:lang w:val="en-NZ" w:eastAsia="en-GB"/>
        </w:rPr>
      </w:pPr>
    </w:p>
    <w:p w:rsidR="00E03293" w:rsidRDefault="00552582" w:rsidP="00681293">
      <w:pPr>
        <w:spacing w:line="300" w:lineRule="auto"/>
        <w:jc w:val="both"/>
      </w:pPr>
      <w:r w:rsidRPr="00AB50F9">
        <w:rPr>
          <w:rFonts w:eastAsia="Calibri"/>
        </w:rPr>
        <w:tab/>
      </w:r>
      <w:r w:rsidRPr="00AB50F9">
        <w:t xml:space="preserve">The remainder of the paper is structured as follows: Section 2 </w:t>
      </w:r>
      <w:r w:rsidR="00E424E2" w:rsidRPr="00AB50F9">
        <w:t xml:space="preserve">describes the method of deriving chronic hunger estimates from the snapshots of living standards provided by HCES. </w:t>
      </w:r>
      <w:r w:rsidRPr="00AB50F9">
        <w:t xml:space="preserve">Section 3 discusses the data </w:t>
      </w:r>
      <w:r w:rsidR="00E424E2" w:rsidRPr="00AB50F9">
        <w:t xml:space="preserve">from Myanmar </w:t>
      </w:r>
      <w:r w:rsidR="00C56936" w:rsidRPr="00AB50F9">
        <w:t xml:space="preserve">used to illustrate </w:t>
      </w:r>
      <w:r w:rsidR="00E424E2" w:rsidRPr="00AB50F9">
        <w:t xml:space="preserve">the method, while </w:t>
      </w:r>
      <w:r w:rsidRPr="00AB50F9">
        <w:t xml:space="preserve">Section 4 </w:t>
      </w:r>
      <w:r w:rsidR="00E424E2" w:rsidRPr="00AB50F9">
        <w:t>has the results</w:t>
      </w:r>
      <w:r w:rsidRPr="00AB50F9">
        <w:t xml:space="preserve"> and Section 5 concludes</w:t>
      </w:r>
      <w:r w:rsidR="00E424E2" w:rsidRPr="00AB50F9">
        <w:t>.</w:t>
      </w:r>
    </w:p>
    <w:p w:rsidR="00AB50F9" w:rsidRDefault="00AB50F9" w:rsidP="00681293">
      <w:pPr>
        <w:spacing w:line="300" w:lineRule="auto"/>
        <w:jc w:val="both"/>
        <w:rPr>
          <w:rFonts w:eastAsia="Calibri"/>
        </w:rPr>
      </w:pPr>
    </w:p>
    <w:p w:rsidR="003C084C" w:rsidRPr="00AB50F9" w:rsidRDefault="003C084C" w:rsidP="00681293">
      <w:pPr>
        <w:spacing w:line="300" w:lineRule="auto"/>
        <w:jc w:val="both"/>
        <w:rPr>
          <w:rFonts w:eastAsia="Calibri"/>
        </w:rPr>
      </w:pPr>
    </w:p>
    <w:p w:rsidR="002C7042" w:rsidRDefault="002F2E15" w:rsidP="00BC23FD">
      <w:pPr>
        <w:tabs>
          <w:tab w:val="left" w:pos="426"/>
        </w:tabs>
        <w:spacing w:line="300" w:lineRule="auto"/>
        <w:jc w:val="both"/>
        <w:rPr>
          <w:rFonts w:eastAsia="Calibri"/>
          <w:b/>
        </w:rPr>
      </w:pPr>
      <w:r w:rsidRPr="00AB50F9">
        <w:rPr>
          <w:rFonts w:eastAsia="Calibri"/>
          <w:b/>
        </w:rPr>
        <w:t>2.</w:t>
      </w:r>
      <w:r w:rsidRPr="00AB50F9">
        <w:rPr>
          <w:rFonts w:eastAsia="Calibri"/>
          <w:b/>
        </w:rPr>
        <w:tab/>
        <w:t>A Method of Deriving Chronic Hunger Estimates from HCES</w:t>
      </w:r>
    </w:p>
    <w:p w:rsidR="00BC23FD" w:rsidRPr="00BC23FD" w:rsidRDefault="00BC23FD" w:rsidP="00BC23FD">
      <w:pPr>
        <w:tabs>
          <w:tab w:val="left" w:pos="426"/>
        </w:tabs>
        <w:spacing w:line="300" w:lineRule="auto"/>
        <w:jc w:val="both"/>
        <w:rPr>
          <w:rFonts w:eastAsia="Calibri"/>
          <w:sz w:val="12"/>
          <w:szCs w:val="12"/>
        </w:rPr>
      </w:pPr>
    </w:p>
    <w:p w:rsidR="00495948" w:rsidRPr="00AB50F9" w:rsidRDefault="00495948" w:rsidP="00681293">
      <w:pPr>
        <w:spacing w:line="300" w:lineRule="auto"/>
        <w:jc w:val="both"/>
        <w:rPr>
          <w:lang w:val="en-NZ"/>
        </w:rPr>
      </w:pPr>
      <w:r w:rsidRPr="00AB50F9">
        <w:t xml:space="preserve">In order to </w:t>
      </w:r>
      <w:r w:rsidR="00E61F3B" w:rsidRPr="00AB50F9">
        <w:t>provide a bottom-up measure of hunger that should match FAO esti</w:t>
      </w:r>
      <w:r w:rsidR="002A3DEB" w:rsidRPr="00AB50F9">
        <w:t>mates, the ideal (but impractical</w:t>
      </w:r>
      <w:r w:rsidR="00E61F3B" w:rsidRPr="00AB50F9">
        <w:t xml:space="preserve">) survey would observe the same households over the course of a year. Such a design would </w:t>
      </w:r>
      <w:r w:rsidR="005236BF" w:rsidRPr="00AB50F9">
        <w:t xml:space="preserve">likely show that many </w:t>
      </w:r>
      <w:r w:rsidR="00E61F3B" w:rsidRPr="00AB50F9">
        <w:t>short term shocks tend to cancel out over a year. In contrast, a snapshot from a short reference period</w:t>
      </w:r>
      <w:r w:rsidR="005236BF" w:rsidRPr="00AB50F9">
        <w:t xml:space="preserve"> survey</w:t>
      </w:r>
      <w:r w:rsidR="00E61F3B" w:rsidRPr="00AB50F9">
        <w:t xml:space="preserve">, even </w:t>
      </w:r>
      <w:r w:rsidR="005236BF" w:rsidRPr="00AB50F9">
        <w:t xml:space="preserve">if it is for </w:t>
      </w:r>
      <w:r w:rsidR="00E61F3B" w:rsidRPr="00AB50F9">
        <w:t xml:space="preserve">a month, will have a higher variance because </w:t>
      </w:r>
      <w:r w:rsidR="005236BF" w:rsidRPr="00AB50F9">
        <w:t xml:space="preserve">some of </w:t>
      </w:r>
      <w:r w:rsidR="00E61F3B" w:rsidRPr="00AB50F9">
        <w:t xml:space="preserve">the shocks, but not their </w:t>
      </w:r>
      <w:proofErr w:type="gramStart"/>
      <w:r w:rsidR="00E61F3B" w:rsidRPr="00AB50F9">
        <w:t xml:space="preserve">reversal, </w:t>
      </w:r>
      <w:r w:rsidR="005236BF" w:rsidRPr="00AB50F9">
        <w:t>occur</w:t>
      </w:r>
      <w:proofErr w:type="gramEnd"/>
      <w:r w:rsidR="005236BF" w:rsidRPr="00AB50F9">
        <w:t xml:space="preserve"> in that period</w:t>
      </w:r>
      <w:r w:rsidR="00E61F3B" w:rsidRPr="00AB50F9">
        <w:t xml:space="preserve">. This </w:t>
      </w:r>
      <w:r w:rsidR="005236BF" w:rsidRPr="00AB50F9">
        <w:t xml:space="preserve">higher </w:t>
      </w:r>
      <w:r w:rsidRPr="00AB50F9">
        <w:t>variance</w:t>
      </w:r>
      <w:r w:rsidR="005236BF" w:rsidRPr="00AB50F9">
        <w:t xml:space="preserve">, compared with the </w:t>
      </w:r>
      <w:r w:rsidR="00CA30E7" w:rsidRPr="00AB50F9">
        <w:t xml:space="preserve">variance of </w:t>
      </w:r>
      <w:r w:rsidR="005236BF" w:rsidRPr="00AB50F9">
        <w:t>annual estimate</w:t>
      </w:r>
      <w:r w:rsidR="00CA30E7" w:rsidRPr="00AB50F9">
        <w:t>s</w:t>
      </w:r>
      <w:r w:rsidR="005236BF" w:rsidRPr="00AB50F9">
        <w:t>,</w:t>
      </w:r>
      <w:r w:rsidRPr="00AB50F9">
        <w:t xml:space="preserve"> </w:t>
      </w:r>
      <w:r w:rsidR="00CA30E7" w:rsidRPr="00AB50F9">
        <w:t>will inflate</w:t>
      </w:r>
      <w:r w:rsidR="00E61F3B" w:rsidRPr="00AB50F9">
        <w:t xml:space="preserve"> </w:t>
      </w:r>
      <w:r w:rsidRPr="00AB50F9">
        <w:t xml:space="preserve">the share of the population who </w:t>
      </w:r>
      <w:r w:rsidR="005236BF" w:rsidRPr="00AB50F9">
        <w:t xml:space="preserve">are seemingly below the </w:t>
      </w:r>
      <w:r w:rsidR="00E61F3B" w:rsidRPr="00AB50F9">
        <w:t xml:space="preserve">energy </w:t>
      </w:r>
      <w:r w:rsidR="005236BF" w:rsidRPr="00AB50F9">
        <w:t>requirement,</w:t>
      </w:r>
      <w:r w:rsidR="00E61F3B" w:rsidRPr="00AB50F9">
        <w:t xml:space="preserve"> for any threshold that is</w:t>
      </w:r>
      <w:r w:rsidRPr="00AB50F9">
        <w:t xml:space="preserve"> below the median, and </w:t>
      </w:r>
      <w:r w:rsidR="00E61F3B" w:rsidRPr="00AB50F9">
        <w:t>thus</w:t>
      </w:r>
      <w:r w:rsidRPr="00AB50F9">
        <w:t xml:space="preserve"> will overstate </w:t>
      </w:r>
      <w:r w:rsidR="00E61F3B" w:rsidRPr="00AB50F9">
        <w:t xml:space="preserve">the prevalence of </w:t>
      </w:r>
      <w:r w:rsidRPr="00AB50F9">
        <w:t>chronic hunger</w:t>
      </w:r>
      <w:r w:rsidR="00E61F3B" w:rsidRPr="00AB50F9">
        <w:t xml:space="preserve"> (Figure 1)</w:t>
      </w:r>
      <w:r w:rsidRPr="00AB50F9">
        <w:t>.</w:t>
      </w:r>
    </w:p>
    <w:p w:rsidR="00E424E2" w:rsidRPr="00AB50F9" w:rsidRDefault="00B60708" w:rsidP="00681293">
      <w:pPr>
        <w:spacing w:line="300" w:lineRule="auto"/>
        <w:ind w:firstLine="720"/>
        <w:jc w:val="both"/>
        <w:rPr>
          <w:lang w:val="en-NZ"/>
        </w:rPr>
      </w:pPr>
      <w:r w:rsidRPr="00AB50F9">
        <w:rPr>
          <w:noProof/>
          <w:lang w:val="en-NZ" w:eastAsia="en-NZ"/>
        </w:rPr>
        <w:lastRenderedPageBreak/>
        <w:drawing>
          <wp:inline distT="0" distB="0" distL="0" distR="0" wp14:anchorId="68F3F595" wp14:editId="722156AD">
            <wp:extent cx="4795157" cy="2844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1178" cy="2865854"/>
                    </a:xfrm>
                    <a:prstGeom prst="rect">
                      <a:avLst/>
                    </a:prstGeom>
                    <a:noFill/>
                    <a:ln>
                      <a:noFill/>
                    </a:ln>
                  </pic:spPr>
                </pic:pic>
              </a:graphicData>
            </a:graphic>
          </wp:inline>
        </w:drawing>
      </w:r>
    </w:p>
    <w:p w:rsidR="00E61F3B" w:rsidRPr="009178F0" w:rsidRDefault="00E61F3B" w:rsidP="009178F0">
      <w:pPr>
        <w:spacing w:line="300" w:lineRule="auto"/>
        <w:ind w:firstLine="720"/>
        <w:jc w:val="center"/>
        <w:rPr>
          <w:b/>
          <w:sz w:val="22"/>
          <w:szCs w:val="22"/>
          <w:lang w:val="en-NZ"/>
        </w:rPr>
      </w:pPr>
      <w:r w:rsidRPr="009178F0">
        <w:rPr>
          <w:b/>
          <w:sz w:val="22"/>
          <w:szCs w:val="22"/>
          <w:lang w:val="en-NZ"/>
        </w:rPr>
        <w:t>Figure 1: Over-stated Chronic Hunger from a Snapshot Survey</w:t>
      </w:r>
    </w:p>
    <w:p w:rsidR="00AB50F9" w:rsidRPr="009178F0" w:rsidRDefault="00AB50F9" w:rsidP="009178F0">
      <w:pPr>
        <w:spacing w:line="300" w:lineRule="auto"/>
        <w:ind w:firstLine="720"/>
        <w:jc w:val="center"/>
        <w:rPr>
          <w:b/>
          <w:sz w:val="22"/>
          <w:szCs w:val="22"/>
          <w:lang w:val="en-NZ"/>
        </w:rPr>
      </w:pPr>
    </w:p>
    <w:p w:rsidR="002F2E15" w:rsidRDefault="00DD1B3A" w:rsidP="00681293">
      <w:pPr>
        <w:spacing w:line="300" w:lineRule="auto"/>
        <w:ind w:firstLine="720"/>
        <w:jc w:val="both"/>
        <w:rPr>
          <w:lang w:val="en-NZ"/>
        </w:rPr>
      </w:pPr>
      <w:r w:rsidRPr="00AB50F9">
        <w:rPr>
          <w:lang w:val="en-NZ"/>
        </w:rPr>
        <w:t xml:space="preserve">It should be obvious that simply taking survey data </w:t>
      </w:r>
      <w:r w:rsidR="002A3DEB" w:rsidRPr="00AB50F9">
        <w:rPr>
          <w:lang w:val="en-NZ"/>
        </w:rPr>
        <w:t xml:space="preserve">that are </w:t>
      </w:r>
      <w:r w:rsidRPr="00AB50F9">
        <w:rPr>
          <w:lang w:val="en-NZ"/>
        </w:rPr>
        <w:t xml:space="preserve">based on a monthly reference period and multiplying them by 12 so as to annualize them does not alter the problem </w:t>
      </w:r>
      <w:r w:rsidR="002A3DEB" w:rsidRPr="00AB50F9">
        <w:rPr>
          <w:lang w:val="en-NZ"/>
        </w:rPr>
        <w:t xml:space="preserve">shown </w:t>
      </w:r>
      <w:r w:rsidRPr="00AB50F9">
        <w:rPr>
          <w:lang w:val="en-NZ"/>
        </w:rPr>
        <w:t xml:space="preserve">in Figure 1. </w:t>
      </w:r>
      <w:r w:rsidR="002F2E15" w:rsidRPr="00AB50F9">
        <w:rPr>
          <w:lang w:val="en-NZ"/>
        </w:rPr>
        <w:t xml:space="preserve">Let </w:t>
      </w:r>
      <w:r w:rsidR="002F2E15" w:rsidRPr="00AB50F9">
        <w:rPr>
          <w:position w:val="-10"/>
          <w:lang w:val="en-NZ"/>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5.6pt" o:ole="" fillcolor="window">
            <v:imagedata r:id="rId9" o:title=""/>
          </v:shape>
          <o:OLEObject Type="Embed" ProgID="Equation.3" ShapeID="_x0000_i1025" DrawAspect="Content" ObjectID="_1532244002" r:id="rId10"/>
        </w:object>
      </w:r>
      <w:r w:rsidR="002F2E15" w:rsidRPr="00AB50F9">
        <w:rPr>
          <w:lang w:val="en-NZ"/>
        </w:rPr>
        <w:t xml:space="preserve"> refer to the average, and </w:t>
      </w:r>
      <w:proofErr w:type="gramStart"/>
      <w:r w:rsidR="002F2E15" w:rsidRPr="00AB50F9">
        <w:rPr>
          <w:i/>
          <w:lang w:val="en-NZ"/>
        </w:rPr>
        <w:t>V</w:t>
      </w:r>
      <w:r w:rsidR="002F2E15" w:rsidRPr="00AB50F9">
        <w:rPr>
          <w:lang w:val="en-NZ"/>
        </w:rPr>
        <w:t>(</w:t>
      </w:r>
      <w:proofErr w:type="spellStart"/>
      <w:proofErr w:type="gramEnd"/>
      <w:r w:rsidR="002F2E15" w:rsidRPr="00AB50F9">
        <w:rPr>
          <w:i/>
          <w:lang w:val="en-NZ"/>
        </w:rPr>
        <w:t>x</w:t>
      </w:r>
      <w:r w:rsidR="002F2E15" w:rsidRPr="00AB50F9">
        <w:rPr>
          <w:i/>
          <w:vertAlign w:val="subscript"/>
          <w:lang w:val="en-NZ"/>
        </w:rPr>
        <w:t>m</w:t>
      </w:r>
      <w:proofErr w:type="spellEnd"/>
      <w:r w:rsidR="002F2E15" w:rsidRPr="00AB50F9">
        <w:rPr>
          <w:lang w:val="en-NZ"/>
        </w:rPr>
        <w:t xml:space="preserve">) the variance, of monthly calories across all </w:t>
      </w:r>
      <w:proofErr w:type="spellStart"/>
      <w:r w:rsidR="002F2E15" w:rsidRPr="00AB50F9">
        <w:rPr>
          <w:i/>
          <w:lang w:val="en-NZ"/>
        </w:rPr>
        <w:t>i</w:t>
      </w:r>
      <w:proofErr w:type="spellEnd"/>
      <w:r w:rsidR="002A3DEB" w:rsidRPr="00AB50F9">
        <w:rPr>
          <w:i/>
          <w:lang w:val="en-NZ"/>
        </w:rPr>
        <w:t> </w:t>
      </w:r>
      <w:r w:rsidR="002F2E15" w:rsidRPr="00AB50F9">
        <w:rPr>
          <w:lang w:val="en-NZ"/>
        </w:rPr>
        <w:t xml:space="preserve">households and </w:t>
      </w:r>
      <w:r w:rsidR="002F2E15" w:rsidRPr="00AB50F9">
        <w:rPr>
          <w:i/>
          <w:lang w:val="en-NZ"/>
        </w:rPr>
        <w:t>t</w:t>
      </w:r>
      <w:r w:rsidR="002F2E15" w:rsidRPr="00AB50F9">
        <w:rPr>
          <w:lang w:val="en-NZ"/>
        </w:rPr>
        <w:t> months in the year. Extrapolating to annual calorie totals by multiplying monthly calories by 12 gives an estimated variance of annual calories of 144</w:t>
      </w:r>
      <w:r w:rsidR="002F2E15" w:rsidRPr="00AB50F9">
        <w:rPr>
          <w:lang w:val="en-NZ"/>
        </w:rPr>
        <w:sym w:font="Symbol" w:char="F0D7"/>
      </w:r>
      <w:proofErr w:type="gramStart"/>
      <w:r w:rsidR="002F2E15" w:rsidRPr="00AB50F9">
        <w:rPr>
          <w:i/>
          <w:lang w:val="en-NZ"/>
        </w:rPr>
        <w:t>V</w:t>
      </w:r>
      <w:r w:rsidR="002F2E15" w:rsidRPr="00AB50F9">
        <w:rPr>
          <w:lang w:val="en-NZ"/>
        </w:rPr>
        <w:t>(</w:t>
      </w:r>
      <w:proofErr w:type="spellStart"/>
      <w:proofErr w:type="gramEnd"/>
      <w:r w:rsidR="002F2E15" w:rsidRPr="00AB50F9">
        <w:rPr>
          <w:i/>
          <w:lang w:val="en-NZ"/>
        </w:rPr>
        <w:t>x</w:t>
      </w:r>
      <w:r w:rsidR="002F2E15" w:rsidRPr="00AB50F9">
        <w:rPr>
          <w:i/>
          <w:vertAlign w:val="subscript"/>
          <w:lang w:val="en-NZ"/>
        </w:rPr>
        <w:t>m</w:t>
      </w:r>
      <w:proofErr w:type="spellEnd"/>
      <w:r w:rsidR="002F2E15" w:rsidRPr="00AB50F9">
        <w:rPr>
          <w:lang w:val="en-NZ"/>
        </w:rPr>
        <w:t>). This will overstate the true variance in annual calories, which is defined as:</w:t>
      </w:r>
    </w:p>
    <w:p w:rsidR="00AB50F9" w:rsidRPr="00AB50F9" w:rsidRDefault="00AB50F9" w:rsidP="00681293">
      <w:pPr>
        <w:spacing w:line="300" w:lineRule="auto"/>
        <w:ind w:firstLine="720"/>
        <w:jc w:val="both"/>
        <w:rPr>
          <w:lang w:val="en-NZ"/>
        </w:rPr>
      </w:pPr>
    </w:p>
    <w:p w:rsidR="002F2E15" w:rsidRPr="00AB50F9" w:rsidRDefault="002F2E15" w:rsidP="00681293">
      <w:pPr>
        <w:spacing w:line="300" w:lineRule="auto"/>
        <w:ind w:hanging="90"/>
        <w:jc w:val="both"/>
        <w:rPr>
          <w:lang w:val="en-NZ"/>
        </w:rPr>
      </w:pPr>
      <w:r w:rsidRPr="00AB50F9">
        <w:rPr>
          <w:position w:val="-24"/>
          <w:lang w:val="en-NZ"/>
        </w:rPr>
        <w:object w:dxaOrig="5760" w:dyaOrig="639">
          <v:shape id="_x0000_i1026" type="#_x0000_t75" style="width:4in;height:33.6pt" o:ole="" fillcolor="window">
            <v:imagedata r:id="rId11" o:title=""/>
          </v:shape>
          <o:OLEObject Type="Embed" ProgID="Equation.3" ShapeID="_x0000_i1026" DrawAspect="Content" ObjectID="_1532244003" r:id="rId12"/>
        </w:object>
      </w:r>
    </w:p>
    <w:p w:rsidR="00AB50F9" w:rsidRDefault="00AB50F9" w:rsidP="00681293">
      <w:pPr>
        <w:spacing w:line="300" w:lineRule="auto"/>
        <w:jc w:val="both"/>
        <w:rPr>
          <w:lang w:val="en-NZ"/>
        </w:rPr>
      </w:pPr>
    </w:p>
    <w:p w:rsidR="002F2E15" w:rsidRDefault="002F2E15" w:rsidP="00681293">
      <w:pPr>
        <w:spacing w:line="300" w:lineRule="auto"/>
        <w:jc w:val="both"/>
        <w:rPr>
          <w:lang w:val="en-NZ"/>
        </w:rPr>
      </w:pPr>
      <w:proofErr w:type="gramStart"/>
      <w:r w:rsidRPr="00AB50F9">
        <w:rPr>
          <w:lang w:val="en-NZ"/>
        </w:rPr>
        <w:t>where</w:t>
      </w:r>
      <w:proofErr w:type="gramEnd"/>
      <w:r w:rsidRPr="00AB50F9">
        <w:rPr>
          <w:lang w:val="en-NZ"/>
        </w:rPr>
        <w:t xml:space="preserve"> </w:t>
      </w:r>
      <w:r w:rsidRPr="00AB50F9">
        <w:rPr>
          <w:position w:val="-14"/>
          <w:lang w:val="en-NZ"/>
        </w:rPr>
        <w:object w:dxaOrig="380" w:dyaOrig="380">
          <v:shape id="_x0000_i1027" type="#_x0000_t75" style="width:19.2pt;height:19.2pt" o:ole="" fillcolor="window">
            <v:imagedata r:id="rId13" o:title=""/>
          </v:shape>
          <o:OLEObject Type="Embed" ProgID="Equation.3" ShapeID="_x0000_i1027" DrawAspect="Content" ObjectID="_1532244004" r:id="rId14"/>
        </w:object>
      </w:r>
      <w:r w:rsidRPr="00AB50F9">
        <w:rPr>
          <w:lang w:val="en-NZ"/>
        </w:rPr>
        <w:t xml:space="preserve"> is annual calories for the </w:t>
      </w:r>
      <w:proofErr w:type="spellStart"/>
      <w:r w:rsidRPr="00AB50F9">
        <w:rPr>
          <w:i/>
          <w:lang w:val="en-NZ"/>
        </w:rPr>
        <w:t>i</w:t>
      </w:r>
      <w:r w:rsidRPr="00AB50F9">
        <w:rPr>
          <w:lang w:val="en-NZ"/>
        </w:rPr>
        <w:t>th</w:t>
      </w:r>
      <w:proofErr w:type="spellEnd"/>
      <w:r w:rsidRPr="00AB50F9">
        <w:rPr>
          <w:lang w:val="en-NZ"/>
        </w:rPr>
        <w:t xml:space="preserve"> household and </w:t>
      </w:r>
      <w:r w:rsidRPr="00AB50F9">
        <w:rPr>
          <w:position w:val="-10"/>
          <w:lang w:val="en-NZ"/>
        </w:rPr>
        <w:object w:dxaOrig="300" w:dyaOrig="320">
          <v:shape id="_x0000_i1028" type="#_x0000_t75" style="width:15.6pt;height:15.6pt" o:ole="" fillcolor="window">
            <v:imagedata r:id="rId15" o:title=""/>
          </v:shape>
          <o:OLEObject Type="Embed" ProgID="Equation.3" ShapeID="_x0000_i1028" DrawAspect="Content" ObjectID="_1532244005" r:id="rId16"/>
        </w:object>
      </w:r>
      <w:r w:rsidRPr="00AB50F9">
        <w:rPr>
          <w:lang w:val="en-NZ"/>
        </w:rPr>
        <w:t>is the av</w:t>
      </w:r>
      <w:r w:rsidR="00F41537" w:rsidRPr="00AB50F9">
        <w:rPr>
          <w:lang w:val="en-NZ"/>
        </w:rPr>
        <w:t>erage annual calories across a</w:t>
      </w:r>
      <w:r w:rsidRPr="00AB50F9">
        <w:rPr>
          <w:lang w:val="en-NZ"/>
        </w:rPr>
        <w:t xml:space="preserve"> sample </w:t>
      </w:r>
      <w:r w:rsidR="00F41537" w:rsidRPr="00AB50F9">
        <w:rPr>
          <w:lang w:val="en-NZ"/>
        </w:rPr>
        <w:t xml:space="preserve">of size </w:t>
      </w:r>
      <w:r w:rsidR="00F41537" w:rsidRPr="00AB50F9">
        <w:rPr>
          <w:i/>
          <w:lang w:val="en-NZ"/>
        </w:rPr>
        <w:t>N</w:t>
      </w:r>
      <w:r w:rsidR="00F41537" w:rsidRPr="00AB50F9">
        <w:rPr>
          <w:lang w:val="en-NZ"/>
        </w:rPr>
        <w:t xml:space="preserve"> </w:t>
      </w:r>
      <w:r w:rsidRPr="00AB50F9">
        <w:rPr>
          <w:lang w:val="en-NZ"/>
        </w:rPr>
        <w:t xml:space="preserve">(so for a nationally representative sample this should be a counterpart to what FAO </w:t>
      </w:r>
      <w:r w:rsidR="00E424E2" w:rsidRPr="00AB50F9">
        <w:rPr>
          <w:lang w:val="en-NZ"/>
        </w:rPr>
        <w:t xml:space="preserve">hope to </w:t>
      </w:r>
      <w:r w:rsidRPr="00AB50F9">
        <w:rPr>
          <w:lang w:val="en-NZ"/>
        </w:rPr>
        <w:t>estimate from Food Balance Sheets). Equation (1) can be expressed as:</w:t>
      </w:r>
    </w:p>
    <w:p w:rsidR="00AB50F9" w:rsidRPr="00AB50F9" w:rsidRDefault="00AB50F9" w:rsidP="00681293">
      <w:pPr>
        <w:spacing w:line="300" w:lineRule="auto"/>
        <w:jc w:val="both"/>
        <w:rPr>
          <w:lang w:val="en-NZ"/>
        </w:rPr>
      </w:pPr>
    </w:p>
    <w:p w:rsidR="002F2E15" w:rsidRPr="00AB50F9" w:rsidRDefault="002F2E15" w:rsidP="00681293">
      <w:pPr>
        <w:spacing w:line="300" w:lineRule="auto"/>
        <w:jc w:val="both"/>
        <w:rPr>
          <w:lang w:val="en-NZ"/>
        </w:rPr>
      </w:pPr>
      <w:r w:rsidRPr="00AB50F9">
        <w:rPr>
          <w:position w:val="-26"/>
          <w:lang w:val="en-NZ"/>
        </w:rPr>
        <w:object w:dxaOrig="5600" w:dyaOrig="620">
          <v:shape id="_x0000_i1029" type="#_x0000_t75" style="width:280.8pt;height:31.2pt" o:ole="" fillcolor="window">
            <v:imagedata r:id="rId17" o:title=""/>
          </v:shape>
          <o:OLEObject Type="Embed" ProgID="Equation.3" ShapeID="_x0000_i1029" DrawAspect="Content" ObjectID="_1532244006" r:id="rId18"/>
        </w:object>
      </w:r>
    </w:p>
    <w:p w:rsidR="00AB50F9" w:rsidRDefault="00AB50F9" w:rsidP="00681293">
      <w:pPr>
        <w:spacing w:line="300" w:lineRule="auto"/>
        <w:jc w:val="both"/>
        <w:rPr>
          <w:lang w:val="en-NZ"/>
        </w:rPr>
      </w:pPr>
    </w:p>
    <w:p w:rsidR="002F2E15" w:rsidRDefault="002F2E15" w:rsidP="00681293">
      <w:pPr>
        <w:spacing w:line="300" w:lineRule="auto"/>
        <w:jc w:val="both"/>
        <w:rPr>
          <w:lang w:val="en-NZ"/>
        </w:rPr>
      </w:pPr>
      <w:proofErr w:type="gramStart"/>
      <w:r w:rsidRPr="00AB50F9">
        <w:rPr>
          <w:lang w:val="en-NZ"/>
        </w:rPr>
        <w:t>where</w:t>
      </w:r>
      <w:proofErr w:type="gramEnd"/>
      <w:r w:rsidRPr="00AB50F9">
        <w:rPr>
          <w:lang w:val="en-NZ"/>
        </w:rPr>
        <w:t xml:space="preserve"> </w:t>
      </w:r>
      <w:proofErr w:type="spellStart"/>
      <w:r w:rsidRPr="00AB50F9">
        <w:rPr>
          <w:i/>
          <w:lang w:val="en-NZ"/>
        </w:rPr>
        <w:t>r</w:t>
      </w:r>
      <w:r w:rsidRPr="00AB50F9">
        <w:rPr>
          <w:i/>
          <w:vertAlign w:val="subscript"/>
          <w:lang w:val="en-NZ"/>
        </w:rPr>
        <w:t>t,t</w:t>
      </w:r>
      <w:proofErr w:type="spellEnd"/>
      <w:r w:rsidRPr="00AB50F9">
        <w:rPr>
          <w:i/>
          <w:vertAlign w:val="subscript"/>
          <w:lang w:val="en-NZ"/>
        </w:rPr>
        <w:t>’</w:t>
      </w:r>
      <w:r w:rsidRPr="00AB50F9">
        <w:rPr>
          <w:lang w:val="en-NZ"/>
        </w:rPr>
        <w:t xml:space="preserve"> is the correlation between calories in month </w:t>
      </w:r>
      <w:r w:rsidRPr="00AB50F9">
        <w:rPr>
          <w:i/>
          <w:lang w:val="en-NZ"/>
        </w:rPr>
        <w:t>t</w:t>
      </w:r>
      <w:r w:rsidRPr="00AB50F9">
        <w:rPr>
          <w:lang w:val="en-NZ"/>
        </w:rPr>
        <w:t xml:space="preserve"> and month </w:t>
      </w:r>
      <w:r w:rsidRPr="00AB50F9">
        <w:rPr>
          <w:position w:val="-6"/>
          <w:lang w:val="en-NZ"/>
        </w:rPr>
        <w:object w:dxaOrig="220" w:dyaOrig="279">
          <v:shape id="_x0000_i1030" type="#_x0000_t75" style="width:10.8pt;height:14.4pt" o:ole="">
            <v:imagedata r:id="rId19" o:title=""/>
          </v:shape>
          <o:OLEObject Type="Embed" ProgID="Equation.3" ShapeID="_x0000_i1030" DrawAspect="Content" ObjectID="_1532244007" r:id="rId20"/>
        </w:object>
      </w:r>
      <w:r w:rsidRPr="00AB50F9">
        <w:rPr>
          <w:lang w:val="en-NZ"/>
        </w:rPr>
        <w:t xml:space="preserve">and </w:t>
      </w:r>
      <w:r w:rsidRPr="00AB50F9">
        <w:rPr>
          <w:position w:val="-12"/>
          <w:lang w:val="en-NZ"/>
        </w:rPr>
        <w:object w:dxaOrig="300" w:dyaOrig="360">
          <v:shape id="_x0000_i1031" type="#_x0000_t75" style="width:15.6pt;height:18pt" o:ole="" fillcolor="window">
            <v:imagedata r:id="rId21" o:title=""/>
          </v:shape>
          <o:OLEObject Type="Embed" ProgID="Equation.3" ShapeID="_x0000_i1031" DrawAspect="Content" ObjectID="_1532244008" r:id="rId22"/>
        </w:object>
      </w:r>
      <w:r w:rsidRPr="00AB50F9">
        <w:rPr>
          <w:lang w:val="en-NZ"/>
        </w:rPr>
        <w:t xml:space="preserve">is the standard deviation across households in month </w:t>
      </w:r>
      <w:r w:rsidRPr="00AB50F9">
        <w:rPr>
          <w:i/>
          <w:lang w:val="en-NZ"/>
        </w:rPr>
        <w:t>t</w:t>
      </w:r>
      <w:r w:rsidRPr="00AB50F9">
        <w:rPr>
          <w:lang w:val="en-NZ"/>
        </w:rPr>
        <w:t xml:space="preserve">. This follows because </w:t>
      </w:r>
      <w:r w:rsidR="00646139" w:rsidRPr="00AB50F9">
        <w:rPr>
          <w:position w:val="-10"/>
          <w:lang w:val="en-NZ"/>
        </w:rPr>
        <w:object w:dxaOrig="960" w:dyaOrig="420">
          <v:shape id="_x0000_i1032" type="#_x0000_t75" style="width:38.4pt;height:16.8pt" o:ole="" fillcolor="window">
            <v:imagedata r:id="rId23" o:title=""/>
          </v:shape>
          <o:OLEObject Type="Embed" ProgID="Equation.3" ShapeID="_x0000_i1032" DrawAspect="Content" ObjectID="_1532244009" r:id="rId24"/>
        </w:object>
      </w:r>
      <w:r w:rsidRPr="00AB50F9">
        <w:rPr>
          <w:lang w:val="en-NZ"/>
        </w:rPr>
        <w:t xml:space="preserve"> in equation (1) can be expressed as the sum of the deviations of each household’s monthly calories from the mean for that month, </w:t>
      </w:r>
      <w:r w:rsidRPr="00AB50F9">
        <w:rPr>
          <w:position w:val="-10"/>
          <w:lang w:val="en-NZ"/>
        </w:rPr>
        <w:object w:dxaOrig="1260" w:dyaOrig="300">
          <v:shape id="_x0000_i1033" type="#_x0000_t75" style="width:63.6pt;height:15.6pt" o:ole="" fillcolor="window">
            <v:imagedata r:id="rId25" o:title=""/>
          </v:shape>
          <o:OLEObject Type="Embed" ProgID="Equation.3" ShapeID="_x0000_i1033" DrawAspect="Content" ObjectID="_1532244010" r:id="rId26"/>
        </w:object>
      </w:r>
      <w:r w:rsidRPr="00AB50F9">
        <w:rPr>
          <w:lang w:val="en-NZ"/>
        </w:rPr>
        <w:t xml:space="preserve">and the </w:t>
      </w:r>
      <w:proofErr w:type="spellStart"/>
      <w:r w:rsidRPr="00AB50F9">
        <w:rPr>
          <w:i/>
          <w:lang w:val="en-NZ"/>
        </w:rPr>
        <w:t>d</w:t>
      </w:r>
      <w:r w:rsidRPr="00AB50F9">
        <w:rPr>
          <w:i/>
          <w:vertAlign w:val="subscript"/>
          <w:lang w:val="en-NZ"/>
        </w:rPr>
        <w:t>it</w:t>
      </w:r>
      <w:proofErr w:type="spellEnd"/>
      <w:r w:rsidRPr="00AB50F9">
        <w:rPr>
          <w:lang w:val="en-NZ"/>
        </w:rPr>
        <w:t xml:space="preserve"> terms are components of the correlation coefficient:</w:t>
      </w:r>
    </w:p>
    <w:p w:rsidR="002F2E15" w:rsidRPr="00AB50F9" w:rsidRDefault="002F2E15" w:rsidP="00681293">
      <w:pPr>
        <w:spacing w:line="300" w:lineRule="auto"/>
        <w:jc w:val="both"/>
        <w:rPr>
          <w:lang w:val="en-NZ"/>
        </w:rPr>
      </w:pPr>
      <w:r w:rsidRPr="00AB50F9">
        <w:rPr>
          <w:position w:val="-24"/>
          <w:lang w:val="en-NZ"/>
        </w:rPr>
        <w:object w:dxaOrig="5800" w:dyaOrig="620">
          <v:shape id="_x0000_i1034" type="#_x0000_t75" style="width:289.2pt;height:31.2pt" o:ole="" fillcolor="window">
            <v:imagedata r:id="rId27" o:title=""/>
          </v:shape>
          <o:OLEObject Type="Embed" ProgID="Equation.3" ShapeID="_x0000_i1034" DrawAspect="Content" ObjectID="_1532244011" r:id="rId28"/>
        </w:object>
      </w:r>
    </w:p>
    <w:p w:rsidR="00AB50F9" w:rsidRDefault="00AB50F9" w:rsidP="00681293">
      <w:pPr>
        <w:spacing w:line="300" w:lineRule="auto"/>
        <w:ind w:firstLine="720"/>
        <w:jc w:val="both"/>
        <w:rPr>
          <w:lang w:val="en-NZ"/>
        </w:rPr>
      </w:pPr>
    </w:p>
    <w:p w:rsidR="002F2E15" w:rsidRDefault="00552582" w:rsidP="00681293">
      <w:pPr>
        <w:spacing w:line="300" w:lineRule="auto"/>
        <w:ind w:firstLine="720"/>
        <w:jc w:val="both"/>
        <w:rPr>
          <w:lang w:val="en-NZ"/>
        </w:rPr>
      </w:pPr>
      <w:r w:rsidRPr="00AB50F9">
        <w:rPr>
          <w:lang w:val="en-NZ"/>
        </w:rPr>
        <w:t>By a</w:t>
      </w:r>
      <w:r w:rsidR="002F2E15" w:rsidRPr="00AB50F9">
        <w:rPr>
          <w:lang w:val="en-NZ"/>
        </w:rPr>
        <w:t xml:space="preserve">ssuming that the dispersion across households does not vary from month to month, </w:t>
      </w:r>
      <w:r w:rsidRPr="00AB50F9">
        <w:rPr>
          <w:position w:val="-12"/>
          <w:lang w:val="en-NZ"/>
        </w:rPr>
        <w:object w:dxaOrig="1300" w:dyaOrig="360">
          <v:shape id="_x0000_i1035" type="#_x0000_t75" style="width:64.8pt;height:18pt" o:ole="">
            <v:imagedata r:id="rId29" o:title=""/>
          </v:shape>
          <o:OLEObject Type="Embed" ProgID="Equation.3" ShapeID="_x0000_i1035" DrawAspect="Content" ObjectID="_1532244012" r:id="rId30"/>
        </w:object>
      </w:r>
      <w:r w:rsidR="002F2E15" w:rsidRPr="00AB50F9">
        <w:rPr>
          <w:lang w:val="en-NZ"/>
        </w:rPr>
        <w:t xml:space="preserve"> </w:t>
      </w:r>
      <w:r w:rsidRPr="00AB50F9">
        <w:rPr>
          <w:lang w:val="en-NZ"/>
        </w:rPr>
        <w:t xml:space="preserve">Scott (1992) shows that </w:t>
      </w:r>
      <w:r w:rsidR="002F2E15" w:rsidRPr="00AB50F9">
        <w:rPr>
          <w:lang w:val="en-NZ"/>
        </w:rPr>
        <w:t xml:space="preserve">equation (2) can be expressed </w:t>
      </w:r>
      <w:r w:rsidR="00E424E2" w:rsidRPr="00AB50F9">
        <w:rPr>
          <w:lang w:val="en-NZ"/>
        </w:rPr>
        <w:t xml:space="preserve">in terms of the average of all of the inter-month correlations, </w:t>
      </w:r>
      <w:r w:rsidR="004E51CD" w:rsidRPr="00AB50F9">
        <w:rPr>
          <w:position w:val="-6"/>
          <w:lang w:val="en-NZ"/>
        </w:rPr>
        <w:object w:dxaOrig="279" w:dyaOrig="260">
          <v:shape id="_x0000_i1036" type="#_x0000_t75" style="width:15.6pt;height:15.6pt" o:ole="" fillcolor="window">
            <v:imagedata r:id="rId31" o:title=""/>
          </v:shape>
          <o:OLEObject Type="Embed" ProgID="Equation.3" ShapeID="_x0000_i1036" DrawAspect="Content" ObjectID="_1532244013" r:id="rId32"/>
        </w:object>
      </w:r>
      <w:r w:rsidR="00E424E2" w:rsidRPr="00AB50F9">
        <w:rPr>
          <w:lang w:val="en-NZ"/>
        </w:rPr>
        <w:t xml:space="preserve"> </w:t>
      </w:r>
    </w:p>
    <w:p w:rsidR="00AB50F9" w:rsidRPr="00AB50F9" w:rsidRDefault="00AB50F9" w:rsidP="00681293">
      <w:pPr>
        <w:spacing w:line="300" w:lineRule="auto"/>
        <w:ind w:firstLine="720"/>
        <w:jc w:val="both"/>
        <w:rPr>
          <w:lang w:val="en-NZ"/>
        </w:rPr>
      </w:pPr>
    </w:p>
    <w:p w:rsidR="002F2E15" w:rsidRDefault="002F2E15" w:rsidP="00681293">
      <w:pPr>
        <w:spacing w:line="300" w:lineRule="auto"/>
        <w:jc w:val="both"/>
        <w:rPr>
          <w:lang w:val="en-NZ"/>
        </w:rPr>
      </w:pPr>
      <w:r w:rsidRPr="00AB50F9">
        <w:rPr>
          <w:position w:val="-12"/>
          <w:lang w:val="en-NZ"/>
        </w:rPr>
        <w:object w:dxaOrig="6100" w:dyaOrig="360">
          <v:shape id="_x0000_i1037" type="#_x0000_t75" style="width:304.8pt;height:18pt" o:ole="" fillcolor="window">
            <v:imagedata r:id="rId33" o:title=""/>
          </v:shape>
          <o:OLEObject Type="Embed" ProgID="Equation.3" ShapeID="_x0000_i1037" DrawAspect="Content" ObjectID="_1532244014" r:id="rId34"/>
        </w:object>
      </w:r>
    </w:p>
    <w:p w:rsidR="00AB50F9" w:rsidRPr="00AB50F9" w:rsidRDefault="00AB50F9" w:rsidP="00681293">
      <w:pPr>
        <w:spacing w:line="300" w:lineRule="auto"/>
        <w:jc w:val="both"/>
        <w:rPr>
          <w:lang w:val="en-NZ"/>
        </w:rPr>
      </w:pPr>
    </w:p>
    <w:p w:rsidR="002F2E15" w:rsidRDefault="002F2E15" w:rsidP="00681293">
      <w:pPr>
        <w:spacing w:line="300" w:lineRule="auto"/>
        <w:jc w:val="both"/>
        <w:rPr>
          <w:lang w:val="en-NZ"/>
        </w:rPr>
      </w:pPr>
      <w:r w:rsidRPr="00AB50F9">
        <w:rPr>
          <w:lang w:val="en-NZ"/>
        </w:rPr>
        <w:t>Hence the variance from simple extrapolation to annual totals, 144</w:t>
      </w:r>
      <w:r w:rsidRPr="00AB50F9">
        <w:rPr>
          <w:lang w:val="en-NZ"/>
        </w:rPr>
        <w:sym w:font="Symbol" w:char="F0D7"/>
      </w:r>
      <w:proofErr w:type="gramStart"/>
      <w:r w:rsidRPr="00AB50F9">
        <w:rPr>
          <w:i/>
          <w:lang w:val="en-NZ"/>
        </w:rPr>
        <w:t>V</w:t>
      </w:r>
      <w:r w:rsidRPr="00AB50F9">
        <w:rPr>
          <w:lang w:val="en-NZ"/>
        </w:rPr>
        <w:t>(</w:t>
      </w:r>
      <w:proofErr w:type="spellStart"/>
      <w:proofErr w:type="gramEnd"/>
      <w:r w:rsidRPr="00AB50F9">
        <w:rPr>
          <w:i/>
          <w:lang w:val="en-NZ"/>
        </w:rPr>
        <w:t>x</w:t>
      </w:r>
      <w:r w:rsidRPr="00AB50F9">
        <w:rPr>
          <w:i/>
          <w:vertAlign w:val="subscript"/>
          <w:lang w:val="en-NZ"/>
        </w:rPr>
        <w:t>m</w:t>
      </w:r>
      <w:proofErr w:type="spellEnd"/>
      <w:r w:rsidRPr="00AB50F9">
        <w:rPr>
          <w:lang w:val="en-NZ"/>
        </w:rPr>
        <w:t xml:space="preserve">), equals </w:t>
      </w:r>
      <w:r w:rsidRPr="00AB50F9">
        <w:rPr>
          <w:i/>
          <w:lang w:val="en-NZ"/>
        </w:rPr>
        <w:t>V</w:t>
      </w:r>
      <w:r w:rsidRPr="00AB50F9">
        <w:rPr>
          <w:lang w:val="en-NZ"/>
        </w:rPr>
        <w:t>(</w:t>
      </w:r>
      <w:proofErr w:type="spellStart"/>
      <w:r w:rsidRPr="00AB50F9">
        <w:rPr>
          <w:i/>
          <w:lang w:val="en-NZ"/>
        </w:rPr>
        <w:t>x</w:t>
      </w:r>
      <w:r w:rsidRPr="00AB50F9">
        <w:rPr>
          <w:i/>
          <w:vertAlign w:val="subscript"/>
          <w:lang w:val="en-NZ"/>
        </w:rPr>
        <w:t>a</w:t>
      </w:r>
      <w:proofErr w:type="spellEnd"/>
      <w:r w:rsidRPr="00AB50F9">
        <w:rPr>
          <w:lang w:val="en-NZ"/>
        </w:rPr>
        <w:t xml:space="preserve">) only in the special case of </w:t>
      </w:r>
      <w:r w:rsidRPr="00AB50F9">
        <w:rPr>
          <w:position w:val="-4"/>
          <w:lang w:val="en-NZ"/>
        </w:rPr>
        <w:object w:dxaOrig="520" w:dyaOrig="260">
          <v:shape id="_x0000_i1038" type="#_x0000_t75" style="width:26.4pt;height:13.2pt" o:ole="" fillcolor="window">
            <v:imagedata r:id="rId35" o:title=""/>
          </v:shape>
          <o:OLEObject Type="Embed" ProgID="Equation.3" ShapeID="_x0000_i1038" DrawAspect="Content" ObjectID="_1532244015" r:id="rId36"/>
        </w:object>
      </w:r>
      <w:r w:rsidRPr="00AB50F9">
        <w:rPr>
          <w:lang w:val="en-NZ"/>
        </w:rPr>
        <w:t xml:space="preserve">. The assumption </w:t>
      </w:r>
      <w:r w:rsidR="00E424E2" w:rsidRPr="00AB50F9">
        <w:rPr>
          <w:lang w:val="en-NZ"/>
        </w:rPr>
        <w:t xml:space="preserve">to get to equation (4), </w:t>
      </w:r>
      <w:r w:rsidRPr="00AB50F9">
        <w:rPr>
          <w:lang w:val="en-NZ"/>
        </w:rPr>
        <w:t>that dispersion across households does not vary from month to month</w:t>
      </w:r>
      <w:r w:rsidR="00E424E2" w:rsidRPr="00AB50F9">
        <w:rPr>
          <w:lang w:val="en-NZ"/>
        </w:rPr>
        <w:t>,</w:t>
      </w:r>
      <w:r w:rsidRPr="00AB50F9">
        <w:rPr>
          <w:lang w:val="en-NZ"/>
        </w:rPr>
        <w:t xml:space="preserve"> is unlikely to be exactly true</w:t>
      </w:r>
      <w:r w:rsidR="00E424E2" w:rsidRPr="00AB50F9">
        <w:rPr>
          <w:lang w:val="en-NZ"/>
        </w:rPr>
        <w:t xml:space="preserve">. For example, </w:t>
      </w:r>
      <w:r w:rsidRPr="00AB50F9">
        <w:rPr>
          <w:lang w:val="en-NZ"/>
        </w:rPr>
        <w:t xml:space="preserve">heterogeneity in </w:t>
      </w:r>
      <w:r w:rsidR="00552582" w:rsidRPr="00AB50F9">
        <w:rPr>
          <w:lang w:val="en-NZ"/>
        </w:rPr>
        <w:t xml:space="preserve">diet </w:t>
      </w:r>
      <w:r w:rsidRPr="00AB50F9">
        <w:rPr>
          <w:lang w:val="en-NZ"/>
        </w:rPr>
        <w:t xml:space="preserve">preferences </w:t>
      </w:r>
      <w:r w:rsidR="00552582" w:rsidRPr="00AB50F9">
        <w:rPr>
          <w:lang w:val="en-NZ"/>
        </w:rPr>
        <w:t xml:space="preserve">has scope </w:t>
      </w:r>
      <w:r w:rsidR="004E51CD" w:rsidRPr="00AB50F9">
        <w:rPr>
          <w:lang w:val="en-NZ"/>
        </w:rPr>
        <w:t xml:space="preserve">to have </w:t>
      </w:r>
      <w:r w:rsidR="00552582" w:rsidRPr="00AB50F9">
        <w:rPr>
          <w:lang w:val="en-NZ"/>
        </w:rPr>
        <w:t xml:space="preserve">more impact </w:t>
      </w:r>
      <w:r w:rsidR="00670302">
        <w:rPr>
          <w:lang w:val="en-NZ"/>
        </w:rPr>
        <w:t>in seasons of plenty (for example</w:t>
      </w:r>
      <w:r w:rsidRPr="00AB50F9">
        <w:rPr>
          <w:lang w:val="en-NZ"/>
        </w:rPr>
        <w:t xml:space="preserve">, post-harvest) than in lean seasons </w:t>
      </w:r>
      <w:r w:rsidR="00552582" w:rsidRPr="00AB50F9">
        <w:rPr>
          <w:lang w:val="en-NZ"/>
        </w:rPr>
        <w:t xml:space="preserve">when reduced access to food (or higher prices) makes diets more </w:t>
      </w:r>
      <w:proofErr w:type="gramStart"/>
      <w:r w:rsidR="00552582" w:rsidRPr="00AB50F9">
        <w:rPr>
          <w:lang w:val="en-NZ"/>
        </w:rPr>
        <w:t>alike</w:t>
      </w:r>
      <w:proofErr w:type="gramEnd"/>
      <w:r w:rsidR="00552582" w:rsidRPr="00AB50F9">
        <w:rPr>
          <w:lang w:val="en-NZ"/>
        </w:rPr>
        <w:t xml:space="preserve"> (Behrman </w:t>
      </w:r>
      <w:r w:rsidR="00552582" w:rsidRPr="00AB50F9">
        <w:rPr>
          <w:i/>
          <w:lang w:val="en-NZ"/>
        </w:rPr>
        <w:t>et al</w:t>
      </w:r>
      <w:r w:rsidR="00670302">
        <w:rPr>
          <w:lang w:val="en-NZ"/>
        </w:rPr>
        <w:t>.</w:t>
      </w:r>
      <w:r w:rsidR="00552582" w:rsidRPr="00AB50F9">
        <w:rPr>
          <w:lang w:val="en-NZ"/>
        </w:rPr>
        <w:t xml:space="preserve"> 1997</w:t>
      </w:r>
      <w:r w:rsidRPr="00AB50F9">
        <w:rPr>
          <w:lang w:val="en-NZ"/>
        </w:rPr>
        <w:t>).</w:t>
      </w:r>
      <w:r w:rsidR="003C7017" w:rsidRPr="00AB50F9">
        <w:rPr>
          <w:rStyle w:val="FootnoteReference"/>
          <w:lang w:val="en-NZ"/>
        </w:rPr>
        <w:footnoteReference w:id="7"/>
      </w:r>
      <w:r w:rsidR="00DD1B3A" w:rsidRPr="00AB50F9">
        <w:rPr>
          <w:lang w:val="en-NZ"/>
        </w:rPr>
        <w:t xml:space="preserve"> T</w:t>
      </w:r>
      <w:r w:rsidRPr="00AB50F9">
        <w:rPr>
          <w:lang w:val="en-NZ"/>
        </w:rPr>
        <w:t xml:space="preserve">he results </w:t>
      </w:r>
      <w:r w:rsidR="00CA30E7" w:rsidRPr="00AB50F9">
        <w:rPr>
          <w:lang w:val="en-NZ"/>
        </w:rPr>
        <w:t xml:space="preserve">below </w:t>
      </w:r>
      <w:r w:rsidR="00DD1B3A" w:rsidRPr="00AB50F9">
        <w:rPr>
          <w:lang w:val="en-NZ"/>
        </w:rPr>
        <w:t xml:space="preserve">include </w:t>
      </w:r>
      <w:r w:rsidR="001F4CD2" w:rsidRPr="00AB50F9">
        <w:rPr>
          <w:lang w:val="en-NZ"/>
        </w:rPr>
        <w:t>a simulation</w:t>
      </w:r>
      <w:r w:rsidR="003C7017" w:rsidRPr="00AB50F9">
        <w:rPr>
          <w:lang w:val="en-NZ"/>
        </w:rPr>
        <w:t xml:space="preserve"> to explore the </w:t>
      </w:r>
      <w:r w:rsidRPr="00AB50F9">
        <w:rPr>
          <w:lang w:val="en-NZ"/>
        </w:rPr>
        <w:t>sensitivity to this assumption</w:t>
      </w:r>
      <w:r w:rsidR="003C7017" w:rsidRPr="00AB50F9">
        <w:rPr>
          <w:lang w:val="en-NZ"/>
        </w:rPr>
        <w:t xml:space="preserve"> and </w:t>
      </w:r>
      <w:r w:rsidR="00B60708" w:rsidRPr="00AB50F9">
        <w:rPr>
          <w:lang w:val="en-NZ"/>
        </w:rPr>
        <w:t xml:space="preserve">it seems to </w:t>
      </w:r>
      <w:r w:rsidR="004E51CD" w:rsidRPr="00AB50F9">
        <w:rPr>
          <w:lang w:val="en-NZ"/>
        </w:rPr>
        <w:t>not have much</w:t>
      </w:r>
      <w:r w:rsidR="00DD1B3A" w:rsidRPr="00AB50F9">
        <w:rPr>
          <w:lang w:val="en-NZ"/>
        </w:rPr>
        <w:t xml:space="preserve"> bearing, at least for the </w:t>
      </w:r>
      <w:r w:rsidR="003C7017" w:rsidRPr="00AB50F9">
        <w:rPr>
          <w:lang w:val="en-NZ"/>
        </w:rPr>
        <w:t xml:space="preserve">empirically observed </w:t>
      </w:r>
      <w:r w:rsidR="00DD1B3A" w:rsidRPr="00AB50F9">
        <w:rPr>
          <w:lang w:val="en-NZ"/>
        </w:rPr>
        <w:t>degree of seasonal variation</w:t>
      </w:r>
      <w:r w:rsidR="003C7017" w:rsidRPr="00AB50F9">
        <w:rPr>
          <w:lang w:val="en-NZ"/>
        </w:rPr>
        <w:t xml:space="preserve"> in the inter-household variance of calories</w:t>
      </w:r>
      <w:r w:rsidR="00245EB3" w:rsidRPr="00AB50F9">
        <w:rPr>
          <w:lang w:val="en-NZ"/>
        </w:rPr>
        <w:t xml:space="preserve"> in Myanmar</w:t>
      </w:r>
      <w:r w:rsidRPr="00AB50F9">
        <w:rPr>
          <w:lang w:val="en-NZ"/>
        </w:rPr>
        <w:t>.</w:t>
      </w:r>
      <w:r w:rsidR="004E51CD" w:rsidRPr="00AB50F9">
        <w:rPr>
          <w:lang w:val="en-NZ"/>
        </w:rPr>
        <w:t xml:space="preserve"> Indeed, in the results from urban China </w:t>
      </w:r>
      <w:r w:rsidR="00245EB3" w:rsidRPr="00AB50F9">
        <w:rPr>
          <w:lang w:val="en-NZ"/>
        </w:rPr>
        <w:t xml:space="preserve">(Gibson </w:t>
      </w:r>
      <w:r w:rsidR="00245EB3" w:rsidRPr="00AB50F9">
        <w:rPr>
          <w:i/>
          <w:lang w:val="en-NZ"/>
        </w:rPr>
        <w:t>et al</w:t>
      </w:r>
      <w:r w:rsidR="009178F0">
        <w:rPr>
          <w:lang w:val="en-NZ"/>
        </w:rPr>
        <w:t>.</w:t>
      </w:r>
      <w:r w:rsidR="00245EB3" w:rsidRPr="00AB50F9">
        <w:rPr>
          <w:lang w:val="en-NZ"/>
        </w:rPr>
        <w:t xml:space="preserve"> 2003), </w:t>
      </w:r>
      <w:r w:rsidR="004E51CD" w:rsidRPr="00AB50F9">
        <w:rPr>
          <w:lang w:val="en-NZ"/>
        </w:rPr>
        <w:t>where the corrected extrapolation method worked very well at recreating annual variance-based measures, the degree of dispersion across households did vary month by month but evidently this did not hamper the performance of the method.</w:t>
      </w:r>
    </w:p>
    <w:p w:rsidR="00AB50F9" w:rsidRPr="00AB50F9" w:rsidRDefault="00AB50F9" w:rsidP="00681293">
      <w:pPr>
        <w:spacing w:line="300" w:lineRule="auto"/>
        <w:jc w:val="both"/>
        <w:rPr>
          <w:lang w:val="en-NZ"/>
        </w:rPr>
      </w:pPr>
    </w:p>
    <w:p w:rsidR="002F2E15" w:rsidRDefault="002F2E15" w:rsidP="00681293">
      <w:pPr>
        <w:spacing w:line="300" w:lineRule="auto"/>
        <w:ind w:firstLine="720"/>
        <w:jc w:val="both"/>
        <w:rPr>
          <w:lang w:val="en-NZ"/>
        </w:rPr>
      </w:pPr>
      <w:r w:rsidRPr="00AB50F9">
        <w:rPr>
          <w:lang w:val="en-NZ"/>
        </w:rPr>
        <w:t xml:space="preserve">The corrected extrapolation </w:t>
      </w:r>
      <w:r w:rsidR="003C7017" w:rsidRPr="00AB50F9">
        <w:rPr>
          <w:lang w:val="en-NZ"/>
        </w:rPr>
        <w:t xml:space="preserve">method proposed by Scott (1992) </w:t>
      </w:r>
      <w:r w:rsidRPr="00AB50F9">
        <w:rPr>
          <w:lang w:val="en-NZ"/>
        </w:rPr>
        <w:t xml:space="preserve">uses estimates of </w:t>
      </w:r>
      <w:r w:rsidRPr="00AB50F9">
        <w:rPr>
          <w:position w:val="-4"/>
          <w:lang w:val="en-NZ"/>
        </w:rPr>
        <w:object w:dxaOrig="200" w:dyaOrig="240">
          <v:shape id="_x0000_i1039" type="#_x0000_t75" style="width:9.6pt;height:12pt" o:ole="" fillcolor="window">
            <v:imagedata r:id="rId37" o:title=""/>
          </v:shape>
          <o:OLEObject Type="Embed" ProgID="Equation.3" ShapeID="_x0000_i1039" DrawAspect="Content" ObjectID="_1532244016" r:id="rId38"/>
        </w:object>
      </w:r>
      <w:r w:rsidRPr="00AB50F9">
        <w:rPr>
          <w:lang w:val="en-NZ"/>
        </w:rPr>
        <w:t xml:space="preserve">to scale the </w:t>
      </w:r>
      <w:proofErr w:type="spellStart"/>
      <w:r w:rsidRPr="00AB50F9">
        <w:rPr>
          <w:i/>
          <w:lang w:val="en-NZ"/>
        </w:rPr>
        <w:t>i</w:t>
      </w:r>
      <w:r w:rsidRPr="00AB50F9">
        <w:rPr>
          <w:lang w:val="en-NZ"/>
        </w:rPr>
        <w:t>th</w:t>
      </w:r>
      <w:proofErr w:type="spellEnd"/>
      <w:r w:rsidRPr="00AB50F9">
        <w:rPr>
          <w:lang w:val="en-NZ"/>
        </w:rPr>
        <w:t xml:space="preserve"> household’s deviation from the overall monthly average, </w:t>
      </w:r>
      <w:r w:rsidRPr="00AB50F9">
        <w:rPr>
          <w:position w:val="-14"/>
          <w:lang w:val="en-NZ"/>
        </w:rPr>
        <w:object w:dxaOrig="920" w:dyaOrig="380">
          <v:shape id="_x0000_i1040" type="#_x0000_t75" style="width:45.6pt;height:19.2pt" o:ole="" fillcolor="window">
            <v:imagedata r:id="rId39" o:title=""/>
          </v:shape>
          <o:OLEObject Type="Embed" ProgID="Equation.3" ShapeID="_x0000_i1040" DrawAspect="Content" ObjectID="_1532244017" r:id="rId40"/>
        </w:object>
      </w:r>
      <w:r w:rsidRPr="00AB50F9">
        <w:rPr>
          <w:lang w:val="en-NZ"/>
        </w:rPr>
        <w:t xml:space="preserve"> u</w:t>
      </w:r>
      <w:r w:rsidR="003C7017" w:rsidRPr="00AB50F9">
        <w:rPr>
          <w:lang w:val="en-NZ"/>
        </w:rPr>
        <w:t>p to an annual value, and adds</w:t>
      </w:r>
      <w:r w:rsidRPr="00AB50F9">
        <w:rPr>
          <w:lang w:val="en-NZ"/>
        </w:rPr>
        <w:t xml:space="preserve"> this to the annual average across all households, </w:t>
      </w:r>
      <w:r w:rsidR="003C7017" w:rsidRPr="00AB50F9">
        <w:rPr>
          <w:position w:val="-12"/>
          <w:lang w:val="en-NZ"/>
        </w:rPr>
        <w:object w:dxaOrig="1219" w:dyaOrig="360">
          <v:shape id="_x0000_i1041" type="#_x0000_t75" style="width:61.2pt;height:18pt" o:ole="" fillcolor="window">
            <v:imagedata r:id="rId41" o:title=""/>
          </v:shape>
          <o:OLEObject Type="Embed" ProgID="Equation.3" ShapeID="_x0000_i1041" DrawAspect="Content" ObjectID="_1532244018" r:id="rId42"/>
        </w:object>
      </w:r>
    </w:p>
    <w:p w:rsidR="00AB50F9" w:rsidRPr="00AB50F9" w:rsidRDefault="00AB50F9" w:rsidP="00681293">
      <w:pPr>
        <w:spacing w:line="300" w:lineRule="auto"/>
        <w:ind w:firstLine="720"/>
        <w:jc w:val="both"/>
        <w:rPr>
          <w:lang w:val="en-NZ"/>
        </w:rPr>
      </w:pPr>
    </w:p>
    <w:p w:rsidR="002F2E15" w:rsidRPr="00AB50F9" w:rsidRDefault="002F2E15" w:rsidP="00681293">
      <w:pPr>
        <w:spacing w:line="300" w:lineRule="auto"/>
        <w:jc w:val="both"/>
        <w:rPr>
          <w:lang w:val="en-NZ"/>
        </w:rPr>
      </w:pPr>
      <w:r w:rsidRPr="00AB50F9">
        <w:rPr>
          <w:position w:val="-14"/>
          <w:lang w:val="en-NZ"/>
        </w:rPr>
        <w:object w:dxaOrig="6600" w:dyaOrig="420">
          <v:shape id="_x0000_i1042" type="#_x0000_t75" style="width:330pt;height:21.6pt" o:ole="" fillcolor="window">
            <v:imagedata r:id="rId43" o:title=""/>
          </v:shape>
          <o:OLEObject Type="Embed" ProgID="Equation.3" ShapeID="_x0000_i1042" DrawAspect="Content" ObjectID="_1532244019" r:id="rId44"/>
        </w:object>
      </w:r>
    </w:p>
    <w:p w:rsidR="00AB50F9" w:rsidRDefault="00AB50F9" w:rsidP="00681293">
      <w:pPr>
        <w:widowControl w:val="0"/>
        <w:spacing w:line="300" w:lineRule="auto"/>
        <w:jc w:val="both"/>
        <w:rPr>
          <w:lang w:val="en-NZ"/>
        </w:rPr>
      </w:pPr>
    </w:p>
    <w:p w:rsidR="002F2E15" w:rsidRDefault="002F2E15" w:rsidP="00681293">
      <w:pPr>
        <w:widowControl w:val="0"/>
        <w:spacing w:line="300" w:lineRule="auto"/>
        <w:jc w:val="both"/>
        <w:rPr>
          <w:lang w:val="en-NZ"/>
        </w:rPr>
      </w:pPr>
      <w:r w:rsidRPr="00AB50F9">
        <w:rPr>
          <w:lang w:val="en-NZ"/>
        </w:rPr>
        <w:t>For example, if the average correlation between the same household’s calories in all pairs of months in the year is 0.5, the scaling factor is only 8.8 (=</w:t>
      </w:r>
      <w:r w:rsidRPr="00AB50F9">
        <w:rPr>
          <w:lang w:val="en-NZ"/>
        </w:rPr>
        <w:sym w:font="Symbol" w:char="F0D6"/>
      </w:r>
      <w:r w:rsidRPr="00AB50F9">
        <w:rPr>
          <w:lang w:val="en-NZ"/>
        </w:rPr>
        <w:t xml:space="preserve">78), rather than 12 </w:t>
      </w:r>
      <w:r w:rsidR="001F4CD2" w:rsidRPr="00AB50F9">
        <w:rPr>
          <w:lang w:val="en-NZ"/>
        </w:rPr>
        <w:t xml:space="preserve">that is </w:t>
      </w:r>
      <w:r w:rsidRPr="00AB50F9">
        <w:rPr>
          <w:lang w:val="en-NZ"/>
        </w:rPr>
        <w:t>implied by simple extrapolation. In other words, deviations of a household’s one</w:t>
      </w:r>
      <w:r w:rsidRPr="00AB50F9">
        <w:rPr>
          <w:lang w:val="en-NZ"/>
        </w:rPr>
        <w:noBreakHyphen/>
        <w:t xml:space="preserve">month calories from </w:t>
      </w:r>
      <w:r w:rsidRPr="00AB50F9">
        <w:rPr>
          <w:position w:val="-10"/>
          <w:lang w:val="en-NZ"/>
        </w:rPr>
        <w:object w:dxaOrig="340" w:dyaOrig="320">
          <v:shape id="_x0000_i1043" type="#_x0000_t75" style="width:16.8pt;height:15.6pt" o:ole="" fillcolor="window">
            <v:imagedata r:id="rId9" o:title=""/>
          </v:shape>
          <o:OLEObject Type="Embed" ProgID="Equation.3" ShapeID="_x0000_i1043" DrawAspect="Content" ObjectID="_1532244020" r:id="rId45"/>
        </w:object>
      </w:r>
      <w:r w:rsidR="008F7FA5" w:rsidRPr="00AB50F9">
        <w:rPr>
          <w:lang w:val="en-NZ"/>
        </w:rPr>
        <w:t xml:space="preserve"> have</w:t>
      </w:r>
      <w:r w:rsidRPr="00AB50F9">
        <w:rPr>
          <w:lang w:val="en-NZ"/>
        </w:rPr>
        <w:t xml:space="preserve"> a smaller effect on the annual variance than under </w:t>
      </w:r>
      <w:r w:rsidR="00B60708" w:rsidRPr="00AB50F9">
        <w:rPr>
          <w:lang w:val="en-NZ"/>
        </w:rPr>
        <w:t xml:space="preserve">simple </w:t>
      </w:r>
      <w:r w:rsidRPr="00AB50F9">
        <w:rPr>
          <w:lang w:val="en-NZ"/>
        </w:rPr>
        <w:t xml:space="preserve">extrapolation, leading to a less </w:t>
      </w:r>
      <w:r w:rsidRPr="00AB50F9">
        <w:rPr>
          <w:lang w:val="en-NZ"/>
        </w:rPr>
        <w:lastRenderedPageBreak/>
        <w:t>dispersed distribution of annual calories</w:t>
      </w:r>
      <w:r w:rsidR="003C7017" w:rsidRPr="00AB50F9">
        <w:rPr>
          <w:lang w:val="en-NZ"/>
        </w:rPr>
        <w:t xml:space="preserve"> than what is implied by a snapshot survey</w:t>
      </w:r>
      <w:r w:rsidR="00B60708" w:rsidRPr="00AB50F9">
        <w:rPr>
          <w:lang w:val="en-NZ"/>
        </w:rPr>
        <w:t xml:space="preserve"> (since simple extrapolation just mirrors the variance in the snapshot survey)</w:t>
      </w:r>
      <w:r w:rsidRPr="00AB50F9">
        <w:rPr>
          <w:lang w:val="en-NZ"/>
        </w:rPr>
        <w:t xml:space="preserve">. </w:t>
      </w:r>
      <w:r w:rsidR="004E51CD" w:rsidRPr="00AB50F9">
        <w:rPr>
          <w:lang w:val="en-NZ"/>
        </w:rPr>
        <w:t>The intuition is that some of the factors that caused the household to deviate from the sample average for the mo</w:t>
      </w:r>
      <w:r w:rsidR="008F7FA5" w:rsidRPr="00AB50F9">
        <w:rPr>
          <w:lang w:val="en-NZ"/>
        </w:rPr>
        <w:t>n</w:t>
      </w:r>
      <w:r w:rsidR="004E51CD" w:rsidRPr="00AB50F9">
        <w:rPr>
          <w:lang w:val="en-NZ"/>
        </w:rPr>
        <w:t>th might subsequently be reversed in the rest of the year but applying a scaling factor of 12 to these deviations locks them in, as if they occur in every month of the year.</w:t>
      </w:r>
    </w:p>
    <w:p w:rsidR="00AB50F9" w:rsidRPr="00AB50F9" w:rsidRDefault="00AB50F9" w:rsidP="00681293">
      <w:pPr>
        <w:widowControl w:val="0"/>
        <w:spacing w:line="300" w:lineRule="auto"/>
        <w:jc w:val="both"/>
        <w:rPr>
          <w:lang w:val="en-NZ"/>
        </w:rPr>
      </w:pPr>
    </w:p>
    <w:p w:rsidR="002F2E15" w:rsidRDefault="002F2E15" w:rsidP="00681293">
      <w:pPr>
        <w:spacing w:line="300" w:lineRule="auto"/>
        <w:ind w:firstLine="720"/>
        <w:jc w:val="both"/>
        <w:rPr>
          <w:lang w:val="en-NZ"/>
        </w:rPr>
      </w:pPr>
      <w:r w:rsidRPr="00AB50F9">
        <w:rPr>
          <w:lang w:val="en-NZ"/>
        </w:rPr>
        <w:t xml:space="preserve">The most reliable estimate of </w:t>
      </w:r>
      <w:r w:rsidRPr="00AB50F9">
        <w:rPr>
          <w:position w:val="-4"/>
          <w:lang w:val="en-NZ"/>
        </w:rPr>
        <w:object w:dxaOrig="200" w:dyaOrig="240">
          <v:shape id="_x0000_i1044" type="#_x0000_t75" style="width:9.6pt;height:12pt" o:ole="" fillcolor="window">
            <v:imagedata r:id="rId37" o:title=""/>
          </v:shape>
          <o:OLEObject Type="Embed" ProgID="Equation.3" ShapeID="_x0000_i1044" DrawAspect="Content" ObjectID="_1532244021" r:id="rId46"/>
        </w:object>
      </w:r>
      <w:r w:rsidRPr="00AB50F9">
        <w:rPr>
          <w:lang w:val="en-NZ"/>
        </w:rPr>
        <w:t xml:space="preserve"> would use the 66 correlation coefficients, </w:t>
      </w:r>
      <w:proofErr w:type="spellStart"/>
      <w:r w:rsidRPr="00AB50F9">
        <w:rPr>
          <w:i/>
          <w:lang w:val="en-NZ"/>
        </w:rPr>
        <w:t>r</w:t>
      </w:r>
      <w:r w:rsidRPr="00AB50F9">
        <w:rPr>
          <w:i/>
          <w:vertAlign w:val="subscript"/>
          <w:lang w:val="en-NZ"/>
        </w:rPr>
        <w:t>t</w:t>
      </w:r>
      <w:proofErr w:type="gramStart"/>
      <w:r w:rsidRPr="00AB50F9">
        <w:rPr>
          <w:i/>
          <w:vertAlign w:val="subscript"/>
          <w:lang w:val="en-NZ"/>
        </w:rPr>
        <w:t>,t</w:t>
      </w:r>
      <w:proofErr w:type="spellEnd"/>
      <w:r w:rsidRPr="00AB50F9">
        <w:rPr>
          <w:i/>
          <w:vertAlign w:val="subscript"/>
          <w:lang w:val="en-NZ"/>
        </w:rPr>
        <w:t>’</w:t>
      </w:r>
      <w:proofErr w:type="gramEnd"/>
      <w:r w:rsidRPr="00AB50F9">
        <w:rPr>
          <w:lang w:val="en-NZ"/>
        </w:rPr>
        <w:t xml:space="preserve"> between all </w:t>
      </w:r>
      <w:proofErr w:type="spellStart"/>
      <w:r w:rsidRPr="00AB50F9">
        <w:rPr>
          <w:i/>
          <w:lang w:val="en-NZ"/>
        </w:rPr>
        <w:t>i</w:t>
      </w:r>
      <w:proofErr w:type="spellEnd"/>
      <w:r w:rsidRPr="00AB50F9">
        <w:rPr>
          <w:lang w:val="en-NZ"/>
        </w:rPr>
        <w:sym w:font="Symbol" w:char="F0B9"/>
      </w:r>
      <w:r w:rsidRPr="00AB50F9">
        <w:rPr>
          <w:i/>
          <w:lang w:val="en-NZ"/>
        </w:rPr>
        <w:t>j</w:t>
      </w:r>
      <w:r w:rsidRPr="00AB50F9">
        <w:rPr>
          <w:lang w:val="en-NZ"/>
        </w:rPr>
        <w:t xml:space="preserve"> pairs of months</w:t>
      </w:r>
      <w:r w:rsidR="003C7017" w:rsidRPr="00AB50F9">
        <w:rPr>
          <w:lang w:val="en-NZ"/>
        </w:rPr>
        <w:t xml:space="preserve"> (noting that </w:t>
      </w:r>
      <w:proofErr w:type="spellStart"/>
      <w:r w:rsidR="003C7017" w:rsidRPr="00AB50F9">
        <w:rPr>
          <w:i/>
          <w:lang w:val="en-NZ"/>
        </w:rPr>
        <w:t>r</w:t>
      </w:r>
      <w:r w:rsidR="003C7017" w:rsidRPr="00AB50F9">
        <w:rPr>
          <w:i/>
          <w:vertAlign w:val="subscript"/>
          <w:lang w:val="en-NZ"/>
        </w:rPr>
        <w:t>t,t</w:t>
      </w:r>
      <w:proofErr w:type="spellEnd"/>
      <w:r w:rsidR="003C7017" w:rsidRPr="00AB50F9">
        <w:rPr>
          <w:i/>
          <w:vertAlign w:val="subscript"/>
          <w:lang w:val="en-NZ"/>
        </w:rPr>
        <w:t>’</w:t>
      </w:r>
      <w:r w:rsidR="008F7FA5" w:rsidRPr="00AB50F9">
        <w:rPr>
          <w:i/>
          <w:vertAlign w:val="subscript"/>
          <w:lang w:val="en-NZ"/>
        </w:rPr>
        <w:t xml:space="preserve"> </w:t>
      </w:r>
      <w:r w:rsidR="003C7017" w:rsidRPr="00AB50F9">
        <w:rPr>
          <w:lang w:val="en-NZ"/>
        </w:rPr>
        <w:t>=</w:t>
      </w:r>
      <w:r w:rsidR="003C7017" w:rsidRPr="00AB50F9">
        <w:rPr>
          <w:i/>
          <w:lang w:val="en-NZ"/>
        </w:rPr>
        <w:t xml:space="preserve"> </w:t>
      </w:r>
      <w:proofErr w:type="spellStart"/>
      <w:r w:rsidR="003C7017" w:rsidRPr="00AB50F9">
        <w:rPr>
          <w:i/>
          <w:lang w:val="en-NZ"/>
        </w:rPr>
        <w:t>r</w:t>
      </w:r>
      <w:r w:rsidR="003C7017" w:rsidRPr="00AB50F9">
        <w:rPr>
          <w:i/>
          <w:vertAlign w:val="subscript"/>
          <w:lang w:val="en-NZ"/>
        </w:rPr>
        <w:t>t</w:t>
      </w:r>
      <w:proofErr w:type="spellEnd"/>
      <w:r w:rsidR="003C7017" w:rsidRPr="00AB50F9">
        <w:rPr>
          <w:i/>
          <w:vertAlign w:val="subscript"/>
          <w:lang w:val="en-NZ"/>
        </w:rPr>
        <w:t>’,t</w:t>
      </w:r>
      <w:r w:rsidRPr="00AB50F9">
        <w:rPr>
          <w:lang w:val="en-NZ"/>
        </w:rPr>
        <w:t xml:space="preserve"> </w:t>
      </w:r>
      <w:r w:rsidR="003C7017" w:rsidRPr="00AB50F9">
        <w:rPr>
          <w:lang w:val="en-NZ"/>
        </w:rPr>
        <w:t>to get to the 132 used in equation (5))</w:t>
      </w:r>
      <w:r w:rsidR="004E51CD" w:rsidRPr="00AB50F9">
        <w:rPr>
          <w:lang w:val="en-NZ"/>
        </w:rPr>
        <w:t xml:space="preserve"> </w:t>
      </w:r>
      <w:r w:rsidRPr="00AB50F9">
        <w:rPr>
          <w:lang w:val="en-NZ"/>
        </w:rPr>
        <w:t>but this requires observations on each household’s calo</w:t>
      </w:r>
      <w:r w:rsidR="003C7017" w:rsidRPr="00AB50F9">
        <w:rPr>
          <w:lang w:val="en-NZ"/>
        </w:rPr>
        <w:t xml:space="preserve">ries in every month in the year. Such a survey design </w:t>
      </w:r>
      <w:r w:rsidR="00CA30E7" w:rsidRPr="00AB50F9">
        <w:rPr>
          <w:lang w:val="en-NZ"/>
        </w:rPr>
        <w:t>is impractical</w:t>
      </w:r>
      <w:r w:rsidRPr="00AB50F9">
        <w:rPr>
          <w:lang w:val="en-NZ"/>
        </w:rPr>
        <w:t xml:space="preserve"> because of the burden on respondents</w:t>
      </w:r>
      <w:r w:rsidR="003C7017" w:rsidRPr="00AB50F9">
        <w:rPr>
          <w:lang w:val="en-NZ"/>
        </w:rPr>
        <w:t xml:space="preserve"> and in fact was the design in China </w:t>
      </w:r>
      <w:r w:rsidR="008F7FA5" w:rsidRPr="00AB50F9">
        <w:rPr>
          <w:lang w:val="en-NZ"/>
        </w:rPr>
        <w:t>where problems of rising non-compliance lead to a study of</w:t>
      </w:r>
      <w:r w:rsidR="004E51CD" w:rsidRPr="00AB50F9">
        <w:rPr>
          <w:lang w:val="en-NZ"/>
        </w:rPr>
        <w:t xml:space="preserve"> potential reform by </w:t>
      </w:r>
      <w:r w:rsidR="003C7017" w:rsidRPr="00AB50F9">
        <w:rPr>
          <w:lang w:val="en-NZ"/>
        </w:rPr>
        <w:t xml:space="preserve">Gibson </w:t>
      </w:r>
      <w:r w:rsidR="003C7017" w:rsidRPr="00AB50F9">
        <w:rPr>
          <w:i/>
          <w:lang w:val="en-NZ"/>
        </w:rPr>
        <w:t>et al</w:t>
      </w:r>
      <w:r w:rsidR="003C7017" w:rsidRPr="00AB50F9">
        <w:rPr>
          <w:lang w:val="en-NZ"/>
        </w:rPr>
        <w:t>. (2003)</w:t>
      </w:r>
      <w:r w:rsidR="004E51CD" w:rsidRPr="00AB50F9">
        <w:rPr>
          <w:lang w:val="en-NZ"/>
        </w:rPr>
        <w:t xml:space="preserve">. </w:t>
      </w:r>
      <w:r w:rsidR="003C7017" w:rsidRPr="00AB50F9">
        <w:rPr>
          <w:lang w:val="en-NZ"/>
        </w:rPr>
        <w:t>Instead</w:t>
      </w:r>
      <w:r w:rsidR="004E51CD" w:rsidRPr="00AB50F9">
        <w:rPr>
          <w:lang w:val="en-NZ"/>
        </w:rPr>
        <w:t xml:space="preserve"> of needing 66 values of</w:t>
      </w:r>
      <w:r w:rsidR="003C7017" w:rsidRPr="00AB50F9">
        <w:rPr>
          <w:lang w:val="en-NZ"/>
        </w:rPr>
        <w:t xml:space="preserve"> </w:t>
      </w:r>
      <w:proofErr w:type="spellStart"/>
      <w:r w:rsidR="003C7017" w:rsidRPr="00AB50F9">
        <w:rPr>
          <w:i/>
          <w:lang w:val="en-NZ"/>
        </w:rPr>
        <w:t>r</w:t>
      </w:r>
      <w:r w:rsidR="003C7017" w:rsidRPr="00AB50F9">
        <w:rPr>
          <w:i/>
          <w:vertAlign w:val="subscript"/>
          <w:lang w:val="en-NZ"/>
        </w:rPr>
        <w:t>t,t</w:t>
      </w:r>
      <w:proofErr w:type="spellEnd"/>
      <w:r w:rsidR="003C7017" w:rsidRPr="00AB50F9">
        <w:rPr>
          <w:i/>
          <w:vertAlign w:val="subscript"/>
          <w:lang w:val="en-NZ"/>
        </w:rPr>
        <w:t>’</w:t>
      </w:r>
      <w:r w:rsidR="003C7017" w:rsidRPr="00AB50F9">
        <w:rPr>
          <w:lang w:val="en-NZ"/>
        </w:rPr>
        <w:t xml:space="preserve"> </w:t>
      </w:r>
      <w:r w:rsidR="004E51CD" w:rsidRPr="00AB50F9">
        <w:rPr>
          <w:lang w:val="en-NZ"/>
        </w:rPr>
        <w:t>to form the average, a</w:t>
      </w:r>
      <w:r w:rsidRPr="00AB50F9">
        <w:rPr>
          <w:lang w:val="en-NZ"/>
        </w:rPr>
        <w:t xml:space="preserve"> sampling approach can be used, estimating </w:t>
      </w:r>
      <w:r w:rsidRPr="00AB50F9">
        <w:rPr>
          <w:position w:val="-4"/>
          <w:lang w:val="en-NZ"/>
        </w:rPr>
        <w:object w:dxaOrig="200" w:dyaOrig="240">
          <v:shape id="_x0000_i1045" type="#_x0000_t75" style="width:9.6pt;height:12pt" o:ole="" fillcolor="window">
            <v:imagedata r:id="rId37" o:title=""/>
          </v:shape>
          <o:OLEObject Type="Embed" ProgID="Equation.3" ShapeID="_x0000_i1045" DrawAspect="Content" ObjectID="_1532244022" r:id="rId47"/>
        </w:object>
      </w:r>
      <w:r w:rsidRPr="00AB50F9">
        <w:rPr>
          <w:lang w:val="en-NZ"/>
        </w:rPr>
        <w:t xml:space="preserve"> from only a few of the possible </w:t>
      </w:r>
      <w:r w:rsidR="004E51CD" w:rsidRPr="00AB50F9">
        <w:rPr>
          <w:lang w:val="en-NZ"/>
        </w:rPr>
        <w:t xml:space="preserve">inter-month </w:t>
      </w:r>
      <w:r w:rsidRPr="00AB50F9">
        <w:rPr>
          <w:lang w:val="en-NZ"/>
        </w:rPr>
        <w:t xml:space="preserve">correlation coefficients for calories in the various </w:t>
      </w:r>
      <w:proofErr w:type="spellStart"/>
      <w:r w:rsidRPr="00AB50F9">
        <w:rPr>
          <w:i/>
          <w:lang w:val="en-NZ"/>
        </w:rPr>
        <w:t>i</w:t>
      </w:r>
      <w:proofErr w:type="spellEnd"/>
      <w:r w:rsidRPr="00AB50F9">
        <w:rPr>
          <w:lang w:val="en-NZ"/>
        </w:rPr>
        <w:sym w:font="Symbol" w:char="F0B9"/>
      </w:r>
      <w:r w:rsidRPr="00AB50F9">
        <w:rPr>
          <w:i/>
          <w:lang w:val="en-NZ"/>
        </w:rPr>
        <w:t>j</w:t>
      </w:r>
      <w:r w:rsidRPr="00AB50F9">
        <w:rPr>
          <w:lang w:val="en-NZ"/>
        </w:rPr>
        <w:t xml:space="preserve"> pairs of months. This sampling approach reduces the cost of fieldwork </w:t>
      </w:r>
      <w:r w:rsidR="003C7017" w:rsidRPr="00AB50F9">
        <w:rPr>
          <w:lang w:val="en-NZ"/>
        </w:rPr>
        <w:t xml:space="preserve">and the burden on respondents </w:t>
      </w:r>
      <w:r w:rsidRPr="00AB50F9">
        <w:rPr>
          <w:lang w:val="en-NZ"/>
        </w:rPr>
        <w:t xml:space="preserve">but relies on the </w:t>
      </w:r>
      <w:proofErr w:type="spellStart"/>
      <w:r w:rsidRPr="00AB50F9">
        <w:rPr>
          <w:i/>
          <w:lang w:val="en-NZ"/>
        </w:rPr>
        <w:t>r</w:t>
      </w:r>
      <w:r w:rsidRPr="00AB50F9">
        <w:rPr>
          <w:i/>
          <w:vertAlign w:val="subscript"/>
          <w:lang w:val="en-NZ"/>
        </w:rPr>
        <w:t>t</w:t>
      </w:r>
      <w:proofErr w:type="gramStart"/>
      <w:r w:rsidRPr="00AB50F9">
        <w:rPr>
          <w:i/>
          <w:vertAlign w:val="subscript"/>
          <w:lang w:val="en-NZ"/>
        </w:rPr>
        <w:t>,t</w:t>
      </w:r>
      <w:proofErr w:type="spellEnd"/>
      <w:r w:rsidRPr="00AB50F9">
        <w:rPr>
          <w:i/>
          <w:vertAlign w:val="subscript"/>
          <w:lang w:val="en-NZ"/>
        </w:rPr>
        <w:t>’</w:t>
      </w:r>
      <w:proofErr w:type="gramEnd"/>
      <w:r w:rsidRPr="00AB50F9">
        <w:rPr>
          <w:lang w:val="en-NZ"/>
        </w:rPr>
        <w:t xml:space="preserve"> having roughly the same value and varying little as the gap between </w:t>
      </w:r>
      <w:r w:rsidRPr="00AB50F9">
        <w:rPr>
          <w:i/>
          <w:iCs/>
          <w:lang w:val="en-NZ"/>
        </w:rPr>
        <w:t>t</w:t>
      </w:r>
      <w:r w:rsidRPr="00AB50F9">
        <w:rPr>
          <w:lang w:val="en-NZ"/>
        </w:rPr>
        <w:t xml:space="preserve"> and </w:t>
      </w:r>
      <w:r w:rsidRPr="00AB50F9">
        <w:rPr>
          <w:position w:val="-6"/>
          <w:lang w:val="en-NZ"/>
        </w:rPr>
        <w:object w:dxaOrig="220" w:dyaOrig="279">
          <v:shape id="_x0000_i1046" type="#_x0000_t75" style="width:10.8pt;height:14.4pt" o:ole="">
            <v:imagedata r:id="rId48" o:title=""/>
          </v:shape>
          <o:OLEObject Type="Embed" ProgID="Equation.3" ShapeID="_x0000_i1046" DrawAspect="Content" ObjectID="_1532244023" r:id="rId49"/>
        </w:object>
      </w:r>
      <w:r w:rsidRPr="00AB50F9">
        <w:rPr>
          <w:lang w:val="en-NZ"/>
        </w:rPr>
        <w:t xml:space="preserve"> increases. Existing evidence (which is for consumption expenditures rather than for calories) </w:t>
      </w:r>
      <w:r w:rsidR="004E51CD" w:rsidRPr="00AB50F9">
        <w:rPr>
          <w:lang w:val="en-NZ"/>
        </w:rPr>
        <w:t>supports this assumption. For example, a</w:t>
      </w:r>
      <w:r w:rsidRPr="00AB50F9">
        <w:rPr>
          <w:lang w:val="en-NZ"/>
        </w:rPr>
        <w:t xml:space="preserve"> survey </w:t>
      </w:r>
      <w:r w:rsidR="004E51CD" w:rsidRPr="00AB50F9">
        <w:rPr>
          <w:lang w:val="en-NZ"/>
        </w:rPr>
        <w:t xml:space="preserve">from Zambia found </w:t>
      </w:r>
      <w:r w:rsidRPr="00AB50F9">
        <w:rPr>
          <w:lang w:val="en-NZ"/>
        </w:rPr>
        <w:t xml:space="preserve">that </w:t>
      </w:r>
      <w:proofErr w:type="spellStart"/>
      <w:r w:rsidRPr="00AB50F9">
        <w:rPr>
          <w:i/>
          <w:lang w:val="en-NZ"/>
        </w:rPr>
        <w:t>r</w:t>
      </w:r>
      <w:r w:rsidRPr="00AB50F9">
        <w:rPr>
          <w:i/>
          <w:vertAlign w:val="subscript"/>
          <w:lang w:val="en-NZ"/>
        </w:rPr>
        <w:t>t</w:t>
      </w:r>
      <w:proofErr w:type="gramStart"/>
      <w:r w:rsidRPr="00AB50F9">
        <w:rPr>
          <w:i/>
          <w:vertAlign w:val="subscript"/>
          <w:lang w:val="en-NZ"/>
        </w:rPr>
        <w:t>,t</w:t>
      </w:r>
      <w:proofErr w:type="spellEnd"/>
      <w:r w:rsidRPr="00AB50F9">
        <w:rPr>
          <w:i/>
          <w:vertAlign w:val="subscript"/>
          <w:lang w:val="en-NZ"/>
        </w:rPr>
        <w:t>’</w:t>
      </w:r>
      <w:proofErr w:type="gramEnd"/>
      <w:r w:rsidRPr="00AB50F9">
        <w:rPr>
          <w:i/>
          <w:vertAlign w:val="subscript"/>
          <w:lang w:val="en-NZ"/>
        </w:rPr>
        <w:t xml:space="preserve"> </w:t>
      </w:r>
      <w:r w:rsidRPr="00AB50F9">
        <w:rPr>
          <w:lang w:val="en-NZ"/>
        </w:rPr>
        <w:t xml:space="preserve">fell by just 0.0078 for each month that the gap between </w:t>
      </w:r>
      <w:r w:rsidRPr="00AB50F9">
        <w:rPr>
          <w:i/>
          <w:iCs/>
          <w:lang w:val="en-NZ"/>
        </w:rPr>
        <w:t>t</w:t>
      </w:r>
      <w:r w:rsidRPr="00AB50F9">
        <w:rPr>
          <w:lang w:val="en-NZ"/>
        </w:rPr>
        <w:t xml:space="preserve"> and </w:t>
      </w:r>
      <w:r w:rsidRPr="00AB50F9">
        <w:rPr>
          <w:position w:val="-6"/>
          <w:lang w:val="en-NZ"/>
        </w:rPr>
        <w:object w:dxaOrig="220" w:dyaOrig="279">
          <v:shape id="_x0000_i1047" type="#_x0000_t75" style="width:10.8pt;height:14.4pt" o:ole="">
            <v:imagedata r:id="rId48" o:title=""/>
          </v:shape>
          <o:OLEObject Type="Embed" ProgID="Equation.3" ShapeID="_x0000_i1047" DrawAspect="Content" ObjectID="_1532244024" r:id="rId50"/>
        </w:object>
      </w:r>
      <w:r w:rsidR="00FA1998">
        <w:rPr>
          <w:lang w:val="en-NZ"/>
        </w:rPr>
        <w:t xml:space="preserve"> increased (CSO</w:t>
      </w:r>
      <w:r w:rsidRPr="00AB50F9">
        <w:rPr>
          <w:lang w:val="en-NZ"/>
        </w:rPr>
        <w:t xml:space="preserve"> 1995).</w:t>
      </w:r>
      <w:r w:rsidR="004E51CD" w:rsidRPr="00AB50F9">
        <w:rPr>
          <w:lang w:val="en-NZ"/>
        </w:rPr>
        <w:t xml:space="preserve"> In the data from urban China used by Gibson </w:t>
      </w:r>
      <w:r w:rsidR="004E51CD" w:rsidRPr="00AB50F9">
        <w:rPr>
          <w:i/>
          <w:lang w:val="en-NZ"/>
        </w:rPr>
        <w:t>et al</w:t>
      </w:r>
      <w:r w:rsidR="004E51CD" w:rsidRPr="00AB50F9">
        <w:rPr>
          <w:lang w:val="en-NZ"/>
        </w:rPr>
        <w:t xml:space="preserve">. (2003) the correlations </w:t>
      </w:r>
      <w:r w:rsidR="00F41537" w:rsidRPr="00AB50F9">
        <w:rPr>
          <w:lang w:val="en-NZ"/>
        </w:rPr>
        <w:t xml:space="preserve">between observations on the same household </w:t>
      </w:r>
      <w:r w:rsidR="004E51CD" w:rsidRPr="00AB50F9">
        <w:rPr>
          <w:lang w:val="en-NZ"/>
        </w:rPr>
        <w:t xml:space="preserve">showed no </w:t>
      </w:r>
      <w:r w:rsidR="00F41537" w:rsidRPr="00AB50F9">
        <w:rPr>
          <w:lang w:val="en-NZ"/>
        </w:rPr>
        <w:t>statistically significant (</w:t>
      </w:r>
      <w:r w:rsidR="00F41537" w:rsidRPr="00AB50F9">
        <w:rPr>
          <w:i/>
          <w:lang w:val="en-NZ"/>
        </w:rPr>
        <w:t>t</w:t>
      </w:r>
      <w:r w:rsidR="00F41537" w:rsidRPr="00AB50F9">
        <w:rPr>
          <w:lang w:val="en-NZ"/>
        </w:rPr>
        <w:t xml:space="preserve">=0.2) </w:t>
      </w:r>
      <w:r w:rsidR="004E51CD" w:rsidRPr="00AB50F9">
        <w:rPr>
          <w:lang w:val="en-NZ"/>
        </w:rPr>
        <w:t>time trend  as the months be</w:t>
      </w:r>
      <w:r w:rsidR="00F41537" w:rsidRPr="00AB50F9">
        <w:rPr>
          <w:lang w:val="en-NZ"/>
        </w:rPr>
        <w:t xml:space="preserve">tween the two observations </w:t>
      </w:r>
      <w:r w:rsidR="004E0D09" w:rsidRPr="00AB50F9">
        <w:rPr>
          <w:lang w:val="en-NZ"/>
        </w:rPr>
        <w:t xml:space="preserve">increased </w:t>
      </w:r>
      <w:r w:rsidR="00F41537" w:rsidRPr="00AB50F9">
        <w:rPr>
          <w:lang w:val="en-NZ"/>
        </w:rPr>
        <w:t>and</w:t>
      </w:r>
      <w:r w:rsidR="004E51CD" w:rsidRPr="00AB50F9">
        <w:rPr>
          <w:lang w:val="en-NZ"/>
        </w:rPr>
        <w:t xml:space="preserve"> ea</w:t>
      </w:r>
      <w:r w:rsidR="008F7FA5" w:rsidRPr="00AB50F9">
        <w:rPr>
          <w:lang w:val="en-NZ"/>
        </w:rPr>
        <w:t xml:space="preserve">ch additional month that separated the two observations changed </w:t>
      </w:r>
      <w:r w:rsidR="004E51CD" w:rsidRPr="00AB50F9">
        <w:rPr>
          <w:lang w:val="en-NZ"/>
        </w:rPr>
        <w:t>the correlation coefficient by just 0.004.</w:t>
      </w:r>
    </w:p>
    <w:p w:rsidR="00AB50F9" w:rsidRPr="00AB50F9" w:rsidRDefault="00AB50F9" w:rsidP="00681293">
      <w:pPr>
        <w:spacing w:line="300" w:lineRule="auto"/>
        <w:ind w:firstLine="720"/>
        <w:jc w:val="both"/>
        <w:rPr>
          <w:lang w:val="en-NZ"/>
        </w:rPr>
      </w:pPr>
    </w:p>
    <w:p w:rsidR="002F2E15" w:rsidRDefault="00410CFD" w:rsidP="00681293">
      <w:pPr>
        <w:spacing w:line="300" w:lineRule="auto"/>
        <w:jc w:val="both"/>
        <w:rPr>
          <w:lang w:val="en-NZ"/>
        </w:rPr>
      </w:pPr>
      <w:r w:rsidRPr="00AB50F9">
        <w:rPr>
          <w:rFonts w:eastAsia="Calibri"/>
        </w:rPr>
        <w:tab/>
        <w:t xml:space="preserve">The bold line in Figure 2 shows </w:t>
      </w:r>
      <w:r w:rsidR="00CA30E7" w:rsidRPr="00AB50F9">
        <w:rPr>
          <w:rFonts w:eastAsia="Calibri"/>
        </w:rPr>
        <w:t xml:space="preserve">by how much </w:t>
      </w:r>
      <w:r w:rsidRPr="00AB50F9">
        <w:rPr>
          <w:rFonts w:eastAsia="Calibri"/>
        </w:rPr>
        <w:t>the variance of a</w:t>
      </w:r>
      <w:r w:rsidR="00C56936" w:rsidRPr="00AB50F9">
        <w:rPr>
          <w:rFonts w:eastAsia="Calibri"/>
        </w:rPr>
        <w:t>n</w:t>
      </w:r>
      <w:r w:rsidRPr="00AB50F9">
        <w:rPr>
          <w:rFonts w:eastAsia="Calibri"/>
        </w:rPr>
        <w:t xml:space="preserve"> extrapolation from a monthly reference period, </w:t>
      </w:r>
      <w:r w:rsidRPr="00AB50F9">
        <w:rPr>
          <w:rFonts w:eastAsia="Calibri"/>
          <w:lang w:val="en-NZ"/>
        </w:rPr>
        <w:t>144</w:t>
      </w:r>
      <w:r w:rsidRPr="00AB50F9">
        <w:rPr>
          <w:rFonts w:eastAsia="Calibri"/>
          <w:lang w:val="en-NZ"/>
        </w:rPr>
        <w:sym w:font="Symbol" w:char="F0D7"/>
      </w:r>
      <w:proofErr w:type="gramStart"/>
      <w:r w:rsidRPr="00AB50F9">
        <w:rPr>
          <w:rFonts w:eastAsia="Calibri"/>
          <w:i/>
          <w:lang w:val="en-NZ"/>
        </w:rPr>
        <w:t>V</w:t>
      </w:r>
      <w:r w:rsidRPr="00AB50F9">
        <w:rPr>
          <w:rFonts w:eastAsia="Calibri"/>
          <w:lang w:val="en-NZ"/>
        </w:rPr>
        <w:t>(</w:t>
      </w:r>
      <w:proofErr w:type="spellStart"/>
      <w:proofErr w:type="gramEnd"/>
      <w:r w:rsidRPr="00AB50F9">
        <w:rPr>
          <w:rFonts w:eastAsia="Calibri"/>
          <w:i/>
          <w:lang w:val="en-NZ"/>
        </w:rPr>
        <w:t>x</w:t>
      </w:r>
      <w:r w:rsidRPr="00AB50F9">
        <w:rPr>
          <w:rFonts w:eastAsia="Calibri"/>
          <w:i/>
          <w:vertAlign w:val="subscript"/>
          <w:lang w:val="en-NZ"/>
        </w:rPr>
        <w:t>m</w:t>
      </w:r>
      <w:proofErr w:type="spellEnd"/>
      <w:r w:rsidRPr="00AB50F9">
        <w:rPr>
          <w:rFonts w:eastAsia="Calibri"/>
          <w:lang w:val="en-NZ"/>
        </w:rPr>
        <w:t xml:space="preserve">), will overstate the true variance in annual calories, </w:t>
      </w:r>
      <w:r w:rsidRPr="00AB50F9">
        <w:rPr>
          <w:rFonts w:eastAsia="Calibri"/>
          <w:i/>
          <w:lang w:val="en-NZ"/>
        </w:rPr>
        <w:t>V</w:t>
      </w:r>
      <w:r w:rsidRPr="00AB50F9">
        <w:rPr>
          <w:rFonts w:eastAsia="Calibri"/>
          <w:lang w:val="en-NZ"/>
        </w:rPr>
        <w:t>(</w:t>
      </w:r>
      <w:proofErr w:type="spellStart"/>
      <w:r w:rsidRPr="00AB50F9">
        <w:rPr>
          <w:rFonts w:eastAsia="Calibri"/>
          <w:i/>
          <w:lang w:val="en-NZ"/>
        </w:rPr>
        <w:t>x</w:t>
      </w:r>
      <w:r w:rsidRPr="00AB50F9">
        <w:rPr>
          <w:rFonts w:eastAsia="Calibri"/>
          <w:i/>
          <w:vertAlign w:val="subscript"/>
          <w:lang w:val="en-NZ"/>
        </w:rPr>
        <w:t>a</w:t>
      </w:r>
      <w:proofErr w:type="spellEnd"/>
      <w:r w:rsidRPr="00AB50F9">
        <w:rPr>
          <w:rFonts w:eastAsia="Calibri"/>
          <w:lang w:val="en-NZ"/>
        </w:rPr>
        <w:t>)</w:t>
      </w:r>
      <w:r w:rsidR="00CA30E7" w:rsidRPr="00AB50F9">
        <w:rPr>
          <w:rFonts w:eastAsia="Calibri"/>
          <w:lang w:val="en-NZ"/>
        </w:rPr>
        <w:t>,</w:t>
      </w:r>
      <w:r w:rsidRPr="00AB50F9">
        <w:rPr>
          <w:rFonts w:eastAsia="Calibri"/>
          <w:lang w:val="en-NZ"/>
        </w:rPr>
        <w:t xml:space="preserve"> as the average correlation between months varies. For example, if </w:t>
      </w:r>
      <w:r w:rsidR="0003167C" w:rsidRPr="00AB50F9">
        <w:rPr>
          <w:rFonts w:eastAsia="Calibri"/>
          <w:position w:val="-10"/>
          <w:lang w:val="en-NZ"/>
        </w:rPr>
        <w:object w:dxaOrig="780" w:dyaOrig="320">
          <v:shape id="_x0000_i1048" type="#_x0000_t75" style="width:39.6pt;height:15.6pt" o:ole="">
            <v:imagedata r:id="rId51" o:title=""/>
          </v:shape>
          <o:OLEObject Type="Embed" ProgID="Equation.3" ShapeID="_x0000_i1048" DrawAspect="Content" ObjectID="_1532244025" r:id="rId52"/>
        </w:object>
      </w:r>
      <w:r w:rsidR="0003167C" w:rsidRPr="00AB50F9">
        <w:rPr>
          <w:rFonts w:eastAsia="Calibri"/>
          <w:lang w:val="en-NZ"/>
        </w:rPr>
        <w:t xml:space="preserve">there is just a small overstatement of about ten percent, but at </w:t>
      </w:r>
      <w:r w:rsidR="0003167C" w:rsidRPr="00AB50F9">
        <w:rPr>
          <w:rFonts w:eastAsia="Calibri"/>
          <w:position w:val="-10"/>
          <w:lang w:val="en-NZ"/>
        </w:rPr>
        <w:object w:dxaOrig="780" w:dyaOrig="320">
          <v:shape id="_x0000_i1049" type="#_x0000_t75" style="width:39.6pt;height:15.6pt" o:ole="">
            <v:imagedata r:id="rId53" o:title=""/>
          </v:shape>
          <o:OLEObject Type="Embed" ProgID="Equation.3" ShapeID="_x0000_i1049" DrawAspect="Content" ObjectID="_1532244026" r:id="rId54"/>
        </w:object>
      </w:r>
      <w:r w:rsidR="0003167C" w:rsidRPr="00AB50F9">
        <w:rPr>
          <w:rFonts w:eastAsia="Calibri"/>
          <w:lang w:val="en-NZ"/>
        </w:rPr>
        <w:t>the overstatement factor is 1.4, and it grows to 1.8 (2.8) if the average correlation between the same household’s calories is as low as 0.5 (0.3). The dashed line in Figure 2 adjusts</w:t>
      </w:r>
      <w:r w:rsidR="00CF0F05" w:rsidRPr="00AB50F9">
        <w:rPr>
          <w:rFonts w:eastAsia="Calibri"/>
          <w:lang w:val="en-NZ"/>
        </w:rPr>
        <w:t xml:space="preserve"> for possible seasonal differences</w:t>
      </w:r>
      <w:r w:rsidR="0003167C" w:rsidRPr="00AB50F9">
        <w:rPr>
          <w:rFonts w:eastAsia="Calibri"/>
          <w:lang w:val="en-NZ"/>
        </w:rPr>
        <w:t xml:space="preserve"> in the degree of dispersion across households, </w:t>
      </w:r>
      <w:r w:rsidR="00CF0F05" w:rsidRPr="00AB50F9">
        <w:rPr>
          <w:rFonts w:eastAsia="Calibri"/>
          <w:lang w:val="en-NZ"/>
        </w:rPr>
        <w:t xml:space="preserve">letting </w:t>
      </w:r>
      <w:r w:rsidR="0003167C" w:rsidRPr="00AB50F9">
        <w:rPr>
          <w:rFonts w:eastAsia="Calibri"/>
          <w:lang w:val="en-NZ"/>
        </w:rPr>
        <w:t xml:space="preserve">the </w:t>
      </w:r>
      <w:r w:rsidR="00646139" w:rsidRPr="00AB50F9">
        <w:rPr>
          <w:rFonts w:eastAsia="Calibri"/>
          <w:lang w:val="en-NZ"/>
        </w:rPr>
        <w:t xml:space="preserve">inter-household </w:t>
      </w:r>
      <w:r w:rsidR="00DE66EF" w:rsidRPr="00AB50F9">
        <w:rPr>
          <w:rFonts w:eastAsia="Calibri"/>
          <w:lang w:val="en-NZ"/>
        </w:rPr>
        <w:t xml:space="preserve">variance </w:t>
      </w:r>
      <w:r w:rsidR="00CF0F05" w:rsidRPr="00AB50F9">
        <w:rPr>
          <w:rFonts w:eastAsia="Calibri"/>
          <w:lang w:val="en-NZ"/>
        </w:rPr>
        <w:t xml:space="preserve">of monthly calories </w:t>
      </w:r>
      <w:r w:rsidR="00DE66EF" w:rsidRPr="00AB50F9">
        <w:rPr>
          <w:rFonts w:eastAsia="Calibri"/>
          <w:lang w:val="en-NZ"/>
        </w:rPr>
        <w:t>be 25</w:t>
      </w:r>
      <w:r w:rsidR="00CF0F05" w:rsidRPr="00AB50F9">
        <w:rPr>
          <w:rFonts w:eastAsia="Calibri"/>
          <w:lang w:val="en-NZ"/>
        </w:rPr>
        <w:t xml:space="preserve"> percent less</w:t>
      </w:r>
      <w:r w:rsidR="0003167C" w:rsidRPr="00AB50F9">
        <w:rPr>
          <w:rFonts w:eastAsia="Calibri"/>
          <w:lang w:val="en-NZ"/>
        </w:rPr>
        <w:t xml:space="preserve"> in a hungry season </w:t>
      </w:r>
      <w:r w:rsidR="00CF0F05" w:rsidRPr="00AB50F9">
        <w:rPr>
          <w:rFonts w:eastAsia="Calibri"/>
          <w:lang w:val="en-NZ"/>
        </w:rPr>
        <w:t>(that is assumed to be for</w:t>
      </w:r>
      <w:r w:rsidR="00DE66EF" w:rsidRPr="00AB50F9">
        <w:rPr>
          <w:rFonts w:eastAsia="Calibri"/>
          <w:lang w:val="en-NZ"/>
        </w:rPr>
        <w:t xml:space="preserve"> three months) </w:t>
      </w:r>
      <w:r w:rsidR="0003167C" w:rsidRPr="00AB50F9">
        <w:rPr>
          <w:rFonts w:eastAsia="Calibri"/>
          <w:lang w:val="en-NZ"/>
        </w:rPr>
        <w:t xml:space="preserve">when diets </w:t>
      </w:r>
      <w:r w:rsidR="00CF0F05" w:rsidRPr="00AB50F9">
        <w:rPr>
          <w:rFonts w:eastAsia="Calibri"/>
          <w:lang w:val="en-NZ"/>
        </w:rPr>
        <w:t>are constrained</w:t>
      </w:r>
      <w:r w:rsidR="0003167C" w:rsidRPr="00AB50F9">
        <w:rPr>
          <w:rFonts w:eastAsia="Calibri"/>
          <w:lang w:val="en-NZ"/>
        </w:rPr>
        <w:t>.</w:t>
      </w:r>
      <w:r w:rsidR="0003167C" w:rsidRPr="00AB50F9">
        <w:rPr>
          <w:rStyle w:val="FootnoteReference"/>
          <w:rFonts w:eastAsia="Calibri"/>
          <w:lang w:val="en-NZ"/>
        </w:rPr>
        <w:footnoteReference w:id="8"/>
      </w:r>
      <w:r w:rsidR="00142220" w:rsidRPr="00AB50F9">
        <w:rPr>
          <w:rFonts w:eastAsia="Calibri"/>
          <w:lang w:val="en-NZ"/>
        </w:rPr>
        <w:t xml:space="preserve"> The</w:t>
      </w:r>
      <w:r w:rsidR="00CF0F05" w:rsidRPr="00AB50F9">
        <w:rPr>
          <w:rFonts w:eastAsia="Calibri"/>
          <w:lang w:val="en-NZ"/>
        </w:rPr>
        <w:t xml:space="preserve"> correction factor </w:t>
      </w:r>
      <w:r w:rsidR="004E0D09" w:rsidRPr="00AB50F9">
        <w:rPr>
          <w:rFonts w:eastAsia="Calibri"/>
          <w:lang w:val="en-NZ"/>
        </w:rPr>
        <w:t xml:space="preserve">in equation (5) </w:t>
      </w:r>
      <w:r w:rsidR="00CF0F05" w:rsidRPr="00AB50F9">
        <w:rPr>
          <w:rFonts w:eastAsia="Calibri"/>
          <w:lang w:val="en-NZ"/>
        </w:rPr>
        <w:t>to</w:t>
      </w:r>
      <w:r w:rsidR="00C56936" w:rsidRPr="00AB50F9">
        <w:rPr>
          <w:rFonts w:eastAsia="Calibri"/>
          <w:lang w:val="en-NZ"/>
        </w:rPr>
        <w:t xml:space="preserve"> </w:t>
      </w:r>
      <w:r w:rsidR="00F41537" w:rsidRPr="00AB50F9">
        <w:rPr>
          <w:rFonts w:eastAsia="Calibri"/>
          <w:lang w:val="en-NZ"/>
        </w:rPr>
        <w:t xml:space="preserve">apply to </w:t>
      </w:r>
      <w:r w:rsidR="00142220" w:rsidRPr="00AB50F9">
        <w:rPr>
          <w:rFonts w:eastAsia="Calibri"/>
          <w:lang w:val="en-NZ"/>
        </w:rPr>
        <w:t xml:space="preserve">the variance of an </w:t>
      </w:r>
      <w:r w:rsidR="00CF0F05" w:rsidRPr="00AB50F9">
        <w:rPr>
          <w:rFonts w:eastAsia="Calibri"/>
          <w:lang w:val="en-NZ"/>
        </w:rPr>
        <w:t xml:space="preserve">extrapolation </w:t>
      </w:r>
      <w:r w:rsidR="00142220" w:rsidRPr="00AB50F9">
        <w:rPr>
          <w:rFonts w:eastAsia="Calibri"/>
          <w:lang w:val="en-NZ"/>
        </w:rPr>
        <w:t xml:space="preserve">from a </w:t>
      </w:r>
      <w:r w:rsidR="00F41537" w:rsidRPr="00AB50F9">
        <w:rPr>
          <w:rFonts w:eastAsia="Calibri"/>
          <w:lang w:val="en-NZ"/>
        </w:rPr>
        <w:t>one-</w:t>
      </w:r>
      <w:r w:rsidR="00142220" w:rsidRPr="00AB50F9">
        <w:rPr>
          <w:rFonts w:eastAsia="Calibri"/>
          <w:lang w:val="en-NZ"/>
        </w:rPr>
        <w:t>month reference period</w:t>
      </w:r>
      <w:r w:rsidR="001E3813">
        <w:rPr>
          <w:rFonts w:eastAsia="Calibri"/>
          <w:lang w:val="en-NZ"/>
        </w:rPr>
        <w:t>,</w:t>
      </w:r>
      <w:r w:rsidR="00142220" w:rsidRPr="00AB50F9">
        <w:rPr>
          <w:rFonts w:eastAsia="Calibri"/>
          <w:lang w:val="en-NZ"/>
        </w:rPr>
        <w:t xml:space="preserve"> </w:t>
      </w:r>
      <w:r w:rsidR="00F41537" w:rsidRPr="00AB50F9">
        <w:rPr>
          <w:rFonts w:eastAsia="Calibri"/>
          <w:lang w:val="en-NZ"/>
        </w:rPr>
        <w:t xml:space="preserve">so that it </w:t>
      </w:r>
      <w:r w:rsidR="00CF0F05" w:rsidRPr="00AB50F9">
        <w:rPr>
          <w:rFonts w:eastAsia="Calibri"/>
          <w:lang w:val="en-NZ"/>
        </w:rPr>
        <w:t>match</w:t>
      </w:r>
      <w:r w:rsidR="00F41537" w:rsidRPr="00AB50F9">
        <w:rPr>
          <w:rFonts w:eastAsia="Calibri"/>
          <w:lang w:val="en-NZ"/>
        </w:rPr>
        <w:t>es</w:t>
      </w:r>
      <w:r w:rsidR="00CF0F05" w:rsidRPr="00AB50F9">
        <w:rPr>
          <w:rFonts w:eastAsia="Calibri"/>
          <w:lang w:val="en-NZ"/>
        </w:rPr>
        <w:t xml:space="preserve"> the variance if households were observed for a year</w:t>
      </w:r>
      <w:r w:rsidR="001E3813">
        <w:rPr>
          <w:rFonts w:eastAsia="Calibri"/>
          <w:lang w:val="en-NZ"/>
        </w:rPr>
        <w:t>,</w:t>
      </w:r>
      <w:r w:rsidR="00CF0F05" w:rsidRPr="00AB50F9">
        <w:rPr>
          <w:rFonts w:eastAsia="Calibri"/>
          <w:lang w:val="en-NZ"/>
        </w:rPr>
        <w:t xml:space="preserve"> would need to be adjusted by six percent to account for this unequal dispersion of calories across </w:t>
      </w:r>
      <w:r w:rsidR="00CF0F05" w:rsidRPr="00AB50F9">
        <w:rPr>
          <w:rFonts w:eastAsia="Calibri"/>
          <w:lang w:val="en-NZ"/>
        </w:rPr>
        <w:lastRenderedPageBreak/>
        <w:t>months</w:t>
      </w:r>
      <w:r w:rsidR="00142220" w:rsidRPr="00AB50F9">
        <w:rPr>
          <w:rFonts w:eastAsia="Calibri"/>
          <w:lang w:val="en-NZ"/>
        </w:rPr>
        <w:t>. This</w:t>
      </w:r>
      <w:r w:rsidR="008C1453" w:rsidRPr="00AB50F9">
        <w:rPr>
          <w:rFonts w:eastAsia="Calibri"/>
          <w:lang w:val="en-NZ"/>
        </w:rPr>
        <w:t xml:space="preserve"> is only a small adjustment compared to the size of the overall correction factor</w:t>
      </w:r>
      <w:r w:rsidR="00142220" w:rsidRPr="00AB50F9">
        <w:rPr>
          <w:rFonts w:eastAsia="Calibri"/>
          <w:lang w:val="en-NZ"/>
        </w:rPr>
        <w:t xml:space="preserve"> and so this complication</w:t>
      </w:r>
      <w:r w:rsidR="00B508FB">
        <w:rPr>
          <w:rFonts w:eastAsia="Calibri"/>
          <w:lang w:val="en-NZ"/>
        </w:rPr>
        <w:t>,</w:t>
      </w:r>
      <w:r w:rsidR="001E3813">
        <w:rPr>
          <w:rFonts w:eastAsia="Calibri"/>
          <w:lang w:val="en-NZ"/>
        </w:rPr>
        <w:t xml:space="preserve"> due to</w:t>
      </w:r>
      <w:r w:rsidR="00142220" w:rsidRPr="00AB50F9">
        <w:rPr>
          <w:position w:val="-12"/>
          <w:lang w:val="en-NZ"/>
        </w:rPr>
        <w:object w:dxaOrig="800" w:dyaOrig="360">
          <v:shape id="_x0000_i1050" type="#_x0000_t75" style="width:39.6pt;height:18pt" o:ole="">
            <v:imagedata r:id="rId55" o:title=""/>
          </v:shape>
          <o:OLEObject Type="Embed" ProgID="Equation.3" ShapeID="_x0000_i1050" DrawAspect="Content" ObjectID="_1532244027" r:id="rId56"/>
        </w:object>
      </w:r>
      <w:r w:rsidR="00B508FB">
        <w:rPr>
          <w:lang w:val="en-NZ"/>
        </w:rPr>
        <w:t xml:space="preserve">, </w:t>
      </w:r>
      <w:r w:rsidR="00142220" w:rsidRPr="00AB50F9">
        <w:rPr>
          <w:lang w:val="en-NZ"/>
        </w:rPr>
        <w:t>is not considered further.</w:t>
      </w:r>
    </w:p>
    <w:p w:rsidR="00AB50F9" w:rsidRPr="00B508FB" w:rsidRDefault="00AB50F9" w:rsidP="00681293">
      <w:pPr>
        <w:spacing w:line="300" w:lineRule="auto"/>
        <w:jc w:val="both"/>
        <w:rPr>
          <w:rFonts w:eastAsia="Calibri"/>
          <w:sz w:val="20"/>
          <w:szCs w:val="20"/>
          <w:lang w:val="en-NZ"/>
        </w:rPr>
      </w:pPr>
    </w:p>
    <w:p w:rsidR="0003167C" w:rsidRPr="00AB50F9" w:rsidRDefault="008D6260" w:rsidP="00E55E03">
      <w:pPr>
        <w:spacing w:line="300" w:lineRule="auto"/>
        <w:jc w:val="center"/>
        <w:rPr>
          <w:rFonts w:eastAsia="Calibri"/>
        </w:rPr>
      </w:pPr>
      <w:r w:rsidRPr="00AB50F9">
        <w:rPr>
          <w:rFonts w:eastAsia="Calibri"/>
          <w:noProof/>
          <w:lang w:val="en-NZ" w:eastAsia="en-NZ"/>
        </w:rPr>
        <w:drawing>
          <wp:inline distT="0" distB="0" distL="0" distR="0" wp14:anchorId="04072D3A" wp14:editId="225EBFA5">
            <wp:extent cx="4478384" cy="329278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32269" cy="3332402"/>
                    </a:xfrm>
                    <a:prstGeom prst="rect">
                      <a:avLst/>
                    </a:prstGeom>
                    <a:noFill/>
                    <a:ln>
                      <a:noFill/>
                    </a:ln>
                  </pic:spPr>
                </pic:pic>
              </a:graphicData>
            </a:graphic>
          </wp:inline>
        </w:drawing>
      </w:r>
    </w:p>
    <w:p w:rsidR="00E55E03" w:rsidRDefault="000C49C0" w:rsidP="00E55E03">
      <w:pPr>
        <w:spacing w:line="240" w:lineRule="auto"/>
        <w:jc w:val="center"/>
        <w:rPr>
          <w:rFonts w:eastAsia="Calibri"/>
          <w:b/>
          <w:sz w:val="22"/>
          <w:szCs w:val="22"/>
        </w:rPr>
      </w:pPr>
      <w:r w:rsidRPr="00670302">
        <w:rPr>
          <w:rFonts w:eastAsia="Calibri"/>
          <w:b/>
          <w:sz w:val="22"/>
          <w:szCs w:val="22"/>
        </w:rPr>
        <w:t>Figure 2:</w:t>
      </w:r>
      <w:r w:rsidR="008C1453" w:rsidRPr="00670302">
        <w:rPr>
          <w:rFonts w:eastAsia="Calibri"/>
          <w:b/>
          <w:sz w:val="22"/>
          <w:szCs w:val="22"/>
        </w:rPr>
        <w:t xml:space="preserve"> Variance of Monthly Calories (or naïvely annualized)</w:t>
      </w:r>
    </w:p>
    <w:p w:rsidR="000C49C0" w:rsidRPr="00670302" w:rsidRDefault="008C1453" w:rsidP="00E55E03">
      <w:pPr>
        <w:spacing w:line="240" w:lineRule="auto"/>
        <w:jc w:val="center"/>
        <w:rPr>
          <w:rFonts w:eastAsia="Calibri"/>
          <w:b/>
          <w:sz w:val="22"/>
          <w:szCs w:val="22"/>
        </w:rPr>
      </w:pPr>
      <w:r w:rsidRPr="00670302">
        <w:rPr>
          <w:rFonts w:eastAsia="Calibri"/>
          <w:b/>
          <w:sz w:val="22"/>
          <w:szCs w:val="22"/>
        </w:rPr>
        <w:t>Relative to Annual Variance</w:t>
      </w:r>
    </w:p>
    <w:p w:rsidR="00AB50F9" w:rsidRDefault="00AB50F9" w:rsidP="00681293">
      <w:pPr>
        <w:spacing w:line="300" w:lineRule="auto"/>
        <w:ind w:firstLine="720"/>
        <w:jc w:val="both"/>
        <w:rPr>
          <w:rFonts w:eastAsia="Calibri"/>
        </w:rPr>
      </w:pPr>
    </w:p>
    <w:p w:rsidR="00D060BC" w:rsidRDefault="00D060BC" w:rsidP="00681293">
      <w:pPr>
        <w:spacing w:line="300" w:lineRule="auto"/>
        <w:ind w:firstLine="720"/>
        <w:jc w:val="both"/>
        <w:rPr>
          <w:rFonts w:eastAsia="Calibri"/>
        </w:rPr>
      </w:pPr>
      <w:r w:rsidRPr="00AB50F9">
        <w:rPr>
          <w:rFonts w:eastAsia="Calibri"/>
        </w:rPr>
        <w:t>The fact that the adjustment in Figure 2 for possible seasonal differences in the degree of</w:t>
      </w:r>
      <w:r w:rsidRPr="00AB50F9">
        <w:rPr>
          <w:rFonts w:eastAsia="Calibri"/>
          <w:lang w:val="en-NZ"/>
        </w:rPr>
        <w:t xml:space="preserve"> dispersion across households</w:t>
      </w:r>
      <w:r w:rsidRPr="00AB50F9">
        <w:rPr>
          <w:rFonts w:eastAsia="Calibri"/>
        </w:rPr>
        <w:t xml:space="preserve"> has such a small effect, compared with the effect of incomplete smoothing </w:t>
      </w:r>
      <w:r w:rsidRPr="00AB50F9">
        <w:rPr>
          <w:rFonts w:eastAsia="Calibri"/>
          <w:position w:val="-10"/>
        </w:rPr>
        <w:object w:dxaOrig="740" w:dyaOrig="320">
          <v:shape id="_x0000_i1051" type="#_x0000_t75" style="width:37.2pt;height:15.6pt" o:ole="">
            <v:imagedata r:id="rId58" o:title=""/>
          </v:shape>
          <o:OLEObject Type="Embed" ProgID="Equation.3" ShapeID="_x0000_i1051" DrawAspect="Content" ObjectID="_1532244028" r:id="rId59"/>
        </w:object>
      </w:r>
      <w:r w:rsidR="00142220" w:rsidRPr="00AB50F9">
        <w:rPr>
          <w:rFonts w:eastAsia="Calibri"/>
        </w:rPr>
        <w:t xml:space="preserve"> suggests</w:t>
      </w:r>
      <w:r w:rsidRPr="00AB50F9">
        <w:rPr>
          <w:rFonts w:eastAsia="Calibri"/>
        </w:rPr>
        <w:t xml:space="preserve"> that there may be a misunderstanding in the literature. Other studies have noted that surveys with short observation periods have higher variance, but they attribute this to seasonality, as seen in this quotation from FAO researchers (emphasis added):</w:t>
      </w:r>
    </w:p>
    <w:p w:rsidR="00AB50F9" w:rsidRPr="00B508FB" w:rsidRDefault="00AB50F9" w:rsidP="00681293">
      <w:pPr>
        <w:spacing w:line="300" w:lineRule="auto"/>
        <w:ind w:firstLine="720"/>
        <w:jc w:val="both"/>
        <w:rPr>
          <w:rFonts w:eastAsia="Calibri"/>
          <w:sz w:val="16"/>
          <w:szCs w:val="16"/>
        </w:rPr>
      </w:pPr>
    </w:p>
    <w:p w:rsidR="00FE7B7D" w:rsidRPr="00FA1998" w:rsidRDefault="009178F0" w:rsidP="00B508FB">
      <w:pPr>
        <w:spacing w:line="300" w:lineRule="auto"/>
        <w:ind w:left="709" w:right="713"/>
        <w:jc w:val="both"/>
        <w:rPr>
          <w:rFonts w:eastAsia="Calibri"/>
          <w:sz w:val="22"/>
          <w:szCs w:val="22"/>
          <w:lang w:val="en-NZ"/>
        </w:rPr>
      </w:pPr>
      <w:r w:rsidRPr="00FA1998">
        <w:rPr>
          <w:rFonts w:eastAsia="Calibri"/>
          <w:sz w:val="22"/>
          <w:szCs w:val="22"/>
          <w:lang w:val="en-NZ"/>
        </w:rPr>
        <w:t>'</w:t>
      </w:r>
      <w:r w:rsidR="00FE7B7D" w:rsidRPr="00FA1998">
        <w:rPr>
          <w:rFonts w:eastAsia="Calibri"/>
          <w:sz w:val="22"/>
          <w:szCs w:val="22"/>
          <w:lang w:val="en-NZ"/>
        </w:rPr>
        <w:t xml:space="preserve">Usually, the observation is limited to the amount of food consumed over a very short period of time (a day or a week) in order to reduce problems associated with recollection. While evenly spreading the various survey rounds over the year can help improving the estimate of the mean consumption, it induces additional variance in the data to the extent that food consumption </w:t>
      </w:r>
      <w:r w:rsidR="003D75DD" w:rsidRPr="00FA1998">
        <w:rPr>
          <w:rFonts w:eastAsia="Calibri"/>
          <w:sz w:val="22"/>
          <w:szCs w:val="22"/>
          <w:u w:val="single"/>
          <w:lang w:val="en-NZ"/>
        </w:rPr>
        <w:t>varies</w:t>
      </w:r>
      <w:r w:rsidR="00FE7B7D" w:rsidRPr="00FA1998">
        <w:rPr>
          <w:rFonts w:eastAsia="Calibri"/>
          <w:sz w:val="22"/>
          <w:szCs w:val="22"/>
          <w:u w:val="single"/>
          <w:lang w:val="en-NZ"/>
        </w:rPr>
        <w:t xml:space="preserve"> systematically across seasons</w:t>
      </w:r>
      <w:r w:rsidRPr="00FA1998">
        <w:rPr>
          <w:rFonts w:eastAsia="Calibri"/>
          <w:sz w:val="22"/>
          <w:szCs w:val="22"/>
          <w:lang w:val="en-NZ"/>
        </w:rPr>
        <w:t>'</w:t>
      </w:r>
      <w:r w:rsidR="00670302" w:rsidRPr="00FA1998">
        <w:rPr>
          <w:rFonts w:eastAsia="Calibri"/>
          <w:sz w:val="22"/>
          <w:szCs w:val="22"/>
          <w:lang w:val="en-NZ"/>
        </w:rPr>
        <w:t xml:space="preserve"> (</w:t>
      </w:r>
      <w:proofErr w:type="spellStart"/>
      <w:r w:rsidR="00670302" w:rsidRPr="00FA1998">
        <w:rPr>
          <w:rFonts w:eastAsia="Calibri"/>
          <w:sz w:val="22"/>
          <w:szCs w:val="22"/>
          <w:lang w:val="en-NZ"/>
        </w:rPr>
        <w:t>Cafiero</w:t>
      </w:r>
      <w:proofErr w:type="spellEnd"/>
      <w:r w:rsidR="00670302" w:rsidRPr="00FA1998">
        <w:rPr>
          <w:rFonts w:eastAsia="Calibri"/>
          <w:sz w:val="22"/>
          <w:szCs w:val="22"/>
          <w:lang w:val="en-NZ"/>
        </w:rPr>
        <w:t xml:space="preserve"> and </w:t>
      </w:r>
      <w:proofErr w:type="spellStart"/>
      <w:r w:rsidR="00670302" w:rsidRPr="00FA1998">
        <w:rPr>
          <w:rFonts w:eastAsia="Calibri"/>
          <w:sz w:val="22"/>
          <w:szCs w:val="22"/>
          <w:lang w:val="en-NZ"/>
        </w:rPr>
        <w:t>Gennari</w:t>
      </w:r>
      <w:proofErr w:type="spellEnd"/>
      <w:r w:rsidR="00073FC4" w:rsidRPr="00FA1998">
        <w:rPr>
          <w:rFonts w:eastAsia="Calibri"/>
          <w:sz w:val="22"/>
          <w:szCs w:val="22"/>
          <w:lang w:val="en-NZ"/>
        </w:rPr>
        <w:t xml:space="preserve"> </w:t>
      </w:r>
      <w:r w:rsidR="00E55E03">
        <w:rPr>
          <w:rFonts w:eastAsia="Calibri"/>
          <w:sz w:val="22"/>
          <w:szCs w:val="22"/>
          <w:lang w:val="en-NZ"/>
        </w:rPr>
        <w:br/>
      </w:r>
      <w:r w:rsidR="00073FC4" w:rsidRPr="00FA1998">
        <w:rPr>
          <w:rFonts w:eastAsia="Calibri"/>
          <w:sz w:val="22"/>
          <w:szCs w:val="22"/>
          <w:lang w:val="en-NZ"/>
        </w:rPr>
        <w:t>2011, p.9</w:t>
      </w:r>
      <w:r w:rsidR="00FE7B7D" w:rsidRPr="00FA1998">
        <w:rPr>
          <w:rFonts w:eastAsia="Calibri"/>
          <w:sz w:val="22"/>
          <w:szCs w:val="22"/>
          <w:lang w:val="en-NZ"/>
        </w:rPr>
        <w:t>)</w:t>
      </w:r>
      <w:r w:rsidR="00B508FB">
        <w:rPr>
          <w:rFonts w:eastAsia="Calibri"/>
          <w:sz w:val="22"/>
          <w:szCs w:val="22"/>
          <w:lang w:val="en-NZ"/>
        </w:rPr>
        <w:t>.</w:t>
      </w:r>
    </w:p>
    <w:p w:rsidR="00AB50F9" w:rsidRPr="00B508FB" w:rsidRDefault="00AB50F9" w:rsidP="00681293">
      <w:pPr>
        <w:spacing w:line="300" w:lineRule="auto"/>
        <w:jc w:val="both"/>
        <w:rPr>
          <w:rFonts w:eastAsia="Calibri"/>
          <w:sz w:val="16"/>
          <w:szCs w:val="16"/>
        </w:rPr>
      </w:pPr>
    </w:p>
    <w:p w:rsidR="00706A51" w:rsidRDefault="00AB50F9" w:rsidP="00681293">
      <w:pPr>
        <w:spacing w:line="300" w:lineRule="auto"/>
        <w:jc w:val="both"/>
        <w:rPr>
          <w:rFonts w:eastAsia="Calibri"/>
        </w:rPr>
      </w:pPr>
      <w:r>
        <w:rPr>
          <w:rFonts w:eastAsia="Calibri"/>
        </w:rPr>
        <w:tab/>
      </w:r>
      <w:r w:rsidR="00FE7B7D" w:rsidRPr="00AB50F9">
        <w:rPr>
          <w:rFonts w:eastAsia="Calibri"/>
        </w:rPr>
        <w:t xml:space="preserve">In fact, systematic </w:t>
      </w:r>
      <w:r w:rsidR="009529FE" w:rsidRPr="00AB50F9">
        <w:rPr>
          <w:rFonts w:eastAsia="Calibri"/>
        </w:rPr>
        <w:t>variation across seasons is just</w:t>
      </w:r>
      <w:r w:rsidR="00FE7B7D" w:rsidRPr="00AB50F9">
        <w:rPr>
          <w:rFonts w:eastAsia="Calibri"/>
        </w:rPr>
        <w:t xml:space="preserve"> </w:t>
      </w:r>
      <w:r w:rsidR="00D060BC" w:rsidRPr="00AB50F9">
        <w:rPr>
          <w:rFonts w:eastAsia="Calibri"/>
        </w:rPr>
        <w:t>one, quite possibly minor</w:t>
      </w:r>
      <w:r w:rsidR="009529FE" w:rsidRPr="00AB50F9">
        <w:rPr>
          <w:rFonts w:eastAsia="Calibri"/>
        </w:rPr>
        <w:t xml:space="preserve">, </w:t>
      </w:r>
      <w:r w:rsidR="00142220" w:rsidRPr="00AB50F9">
        <w:rPr>
          <w:rFonts w:eastAsia="Calibri"/>
        </w:rPr>
        <w:t xml:space="preserve">reason </w:t>
      </w:r>
      <w:r w:rsidR="00F41537" w:rsidRPr="00AB50F9">
        <w:rPr>
          <w:rFonts w:eastAsia="Calibri"/>
        </w:rPr>
        <w:t>why</w:t>
      </w:r>
      <w:r w:rsidR="00FE7B7D" w:rsidRPr="00AB50F9">
        <w:rPr>
          <w:rFonts w:eastAsia="Calibri"/>
        </w:rPr>
        <w:t xml:space="preserve"> </w:t>
      </w:r>
      <w:r w:rsidR="00142220" w:rsidRPr="00AB50F9">
        <w:rPr>
          <w:rFonts w:eastAsia="Calibri"/>
        </w:rPr>
        <w:t xml:space="preserve">the </w:t>
      </w:r>
      <w:r w:rsidR="00FE7B7D" w:rsidRPr="00AB50F9">
        <w:rPr>
          <w:rFonts w:eastAsia="Calibri"/>
        </w:rPr>
        <w:t>variance</w:t>
      </w:r>
      <w:r w:rsidR="00D060BC" w:rsidRPr="00AB50F9">
        <w:rPr>
          <w:rFonts w:eastAsia="Calibri"/>
        </w:rPr>
        <w:t xml:space="preserve"> </w:t>
      </w:r>
      <w:r w:rsidR="00142220" w:rsidRPr="00AB50F9">
        <w:rPr>
          <w:rFonts w:eastAsia="Calibri"/>
        </w:rPr>
        <w:t xml:space="preserve">from </w:t>
      </w:r>
      <w:r w:rsidR="00D060BC" w:rsidRPr="00AB50F9">
        <w:rPr>
          <w:rFonts w:eastAsia="Calibri"/>
        </w:rPr>
        <w:t>surveys with short reference periods</w:t>
      </w:r>
      <w:r w:rsidR="009529FE" w:rsidRPr="00AB50F9">
        <w:rPr>
          <w:rFonts w:eastAsia="Calibri"/>
        </w:rPr>
        <w:t xml:space="preserve"> </w:t>
      </w:r>
      <w:r w:rsidR="00F41537" w:rsidRPr="00AB50F9">
        <w:rPr>
          <w:rFonts w:eastAsia="Calibri"/>
        </w:rPr>
        <w:t>will overstate</w:t>
      </w:r>
      <w:r w:rsidR="009529FE" w:rsidRPr="00AB50F9">
        <w:rPr>
          <w:rFonts w:eastAsia="Calibri"/>
        </w:rPr>
        <w:t xml:space="preserve"> the annual variance</w:t>
      </w:r>
      <w:r w:rsidR="00D060BC" w:rsidRPr="00AB50F9">
        <w:rPr>
          <w:rFonts w:eastAsia="Calibri"/>
        </w:rPr>
        <w:t>. The</w:t>
      </w:r>
      <w:r w:rsidR="00FE7B7D" w:rsidRPr="00AB50F9">
        <w:rPr>
          <w:rFonts w:eastAsia="Calibri"/>
        </w:rPr>
        <w:t xml:space="preserve"> fluctuations </w:t>
      </w:r>
      <w:r w:rsidR="00D060BC" w:rsidRPr="00AB50F9">
        <w:rPr>
          <w:rFonts w:eastAsia="Calibri"/>
        </w:rPr>
        <w:t xml:space="preserve">in calories for the same household over time may be due to </w:t>
      </w:r>
      <w:r w:rsidR="00FE7B7D" w:rsidRPr="00AB50F9">
        <w:rPr>
          <w:rFonts w:eastAsia="Calibri"/>
        </w:rPr>
        <w:t xml:space="preserve">many </w:t>
      </w:r>
      <w:r w:rsidR="00D060BC" w:rsidRPr="00AB50F9">
        <w:rPr>
          <w:rFonts w:eastAsia="Calibri"/>
        </w:rPr>
        <w:t>reasons</w:t>
      </w:r>
      <w:r w:rsidR="00FE7B7D" w:rsidRPr="00AB50F9">
        <w:rPr>
          <w:rFonts w:eastAsia="Calibri"/>
        </w:rPr>
        <w:t xml:space="preserve">, </w:t>
      </w:r>
      <w:r w:rsidR="00245EB3" w:rsidRPr="00AB50F9">
        <w:rPr>
          <w:rFonts w:eastAsia="Calibri"/>
        </w:rPr>
        <w:t>including</w:t>
      </w:r>
      <w:r w:rsidR="00FE7B7D" w:rsidRPr="00AB50F9">
        <w:rPr>
          <w:rFonts w:eastAsia="Calibri"/>
        </w:rPr>
        <w:t xml:space="preserve"> demographic shocks</w:t>
      </w:r>
      <w:r w:rsidR="00D060BC" w:rsidRPr="00AB50F9">
        <w:rPr>
          <w:rFonts w:eastAsia="Calibri"/>
        </w:rPr>
        <w:t xml:space="preserve"> from changes in household composition</w:t>
      </w:r>
      <w:r w:rsidR="00FE7B7D" w:rsidRPr="00AB50F9">
        <w:rPr>
          <w:rFonts w:eastAsia="Calibri"/>
        </w:rPr>
        <w:t>, income shocks, price shocks, and changes in food availability</w:t>
      </w:r>
      <w:r w:rsidR="00C56936" w:rsidRPr="00AB50F9">
        <w:rPr>
          <w:rFonts w:eastAsia="Calibri"/>
        </w:rPr>
        <w:t>, whether seasonally or with other periodicity</w:t>
      </w:r>
      <w:r w:rsidR="00FE7B7D" w:rsidRPr="00AB50F9">
        <w:rPr>
          <w:rFonts w:eastAsia="Calibri"/>
        </w:rPr>
        <w:t>.</w:t>
      </w:r>
      <w:r w:rsidR="00142220" w:rsidRPr="00AB50F9">
        <w:rPr>
          <w:rFonts w:eastAsia="Calibri"/>
        </w:rPr>
        <w:t xml:space="preserve"> </w:t>
      </w:r>
    </w:p>
    <w:p w:rsidR="006B4947" w:rsidRDefault="00C56936" w:rsidP="00681293">
      <w:pPr>
        <w:spacing w:line="300" w:lineRule="auto"/>
        <w:ind w:firstLine="720"/>
        <w:jc w:val="both"/>
        <w:rPr>
          <w:rFonts w:eastAsia="Calibri"/>
        </w:rPr>
      </w:pPr>
      <w:r w:rsidRPr="00AB50F9">
        <w:rPr>
          <w:rFonts w:eastAsia="Calibri"/>
        </w:rPr>
        <w:lastRenderedPageBreak/>
        <w:t>Consistent with this claim of a misunderstanding in the literature, i</w:t>
      </w:r>
      <w:r w:rsidR="00142220" w:rsidRPr="00AB50F9">
        <w:rPr>
          <w:rFonts w:eastAsia="Calibri"/>
        </w:rPr>
        <w:t>n the results reported below</w:t>
      </w:r>
      <w:r w:rsidRPr="00AB50F9">
        <w:rPr>
          <w:rFonts w:eastAsia="Calibri"/>
        </w:rPr>
        <w:t>,</w:t>
      </w:r>
      <w:r w:rsidR="00142220" w:rsidRPr="00AB50F9">
        <w:rPr>
          <w:rFonts w:eastAsia="Calibri"/>
        </w:rPr>
        <w:t xml:space="preserve"> the </w:t>
      </w:r>
      <w:r w:rsidR="00620F1F" w:rsidRPr="00AB50F9">
        <w:rPr>
          <w:rFonts w:eastAsia="Calibri"/>
        </w:rPr>
        <w:t>intra-year</w:t>
      </w:r>
      <w:r w:rsidRPr="00AB50F9">
        <w:rPr>
          <w:rFonts w:eastAsia="Calibri"/>
        </w:rPr>
        <w:t xml:space="preserve"> </w:t>
      </w:r>
      <w:r w:rsidR="00142220" w:rsidRPr="00AB50F9">
        <w:rPr>
          <w:rFonts w:eastAsia="Calibri"/>
        </w:rPr>
        <w:t xml:space="preserve">correlation in per capita calories is lower for urban households than </w:t>
      </w:r>
      <w:r w:rsidRPr="00AB50F9">
        <w:rPr>
          <w:rFonts w:eastAsia="Calibri"/>
        </w:rPr>
        <w:t xml:space="preserve">it is </w:t>
      </w:r>
      <w:r w:rsidR="00947E26" w:rsidRPr="00AB50F9">
        <w:rPr>
          <w:rFonts w:eastAsia="Calibri"/>
        </w:rPr>
        <w:t>for rural households</w:t>
      </w:r>
      <w:r w:rsidR="00620F1F" w:rsidRPr="00AB50F9">
        <w:rPr>
          <w:rFonts w:eastAsia="Calibri"/>
        </w:rPr>
        <w:t>; yet country folk are</w:t>
      </w:r>
      <w:r w:rsidRPr="00AB50F9">
        <w:rPr>
          <w:rFonts w:eastAsia="Calibri"/>
        </w:rPr>
        <w:t xml:space="preserve"> </w:t>
      </w:r>
      <w:r w:rsidR="004E0D09" w:rsidRPr="00AB50F9">
        <w:rPr>
          <w:rFonts w:eastAsia="Calibri"/>
        </w:rPr>
        <w:t xml:space="preserve">more </w:t>
      </w:r>
      <w:r w:rsidRPr="00AB50F9">
        <w:rPr>
          <w:rFonts w:eastAsia="Calibri"/>
        </w:rPr>
        <w:t xml:space="preserve">at the mercy of </w:t>
      </w:r>
      <w:r w:rsidR="00142220" w:rsidRPr="00AB50F9">
        <w:rPr>
          <w:rFonts w:eastAsia="Calibri"/>
        </w:rPr>
        <w:t>seasonal fluctuations.</w:t>
      </w:r>
      <w:r w:rsidR="004635EC" w:rsidRPr="00AB50F9">
        <w:rPr>
          <w:rFonts w:eastAsia="Calibri"/>
        </w:rPr>
        <w:t xml:space="preserve"> U</w:t>
      </w:r>
      <w:r w:rsidR="00706A51" w:rsidRPr="00AB50F9">
        <w:rPr>
          <w:rFonts w:eastAsia="Calibri"/>
        </w:rPr>
        <w:t>rban</w:t>
      </w:r>
      <w:r w:rsidR="00947E26" w:rsidRPr="00AB50F9">
        <w:rPr>
          <w:rFonts w:eastAsia="Calibri"/>
        </w:rPr>
        <w:t xml:space="preserve"> dwellers</w:t>
      </w:r>
      <w:r w:rsidR="00706A51" w:rsidRPr="00AB50F9">
        <w:rPr>
          <w:rFonts w:eastAsia="Calibri"/>
        </w:rPr>
        <w:t xml:space="preserve"> have greater instability in </w:t>
      </w:r>
      <w:r w:rsidR="00947E26" w:rsidRPr="00AB50F9">
        <w:rPr>
          <w:rFonts w:eastAsia="Calibri"/>
        </w:rPr>
        <w:t xml:space="preserve">their </w:t>
      </w:r>
      <w:r w:rsidR="00706A51" w:rsidRPr="00AB50F9">
        <w:rPr>
          <w:rFonts w:eastAsia="Calibri"/>
        </w:rPr>
        <w:t xml:space="preserve">household size, most probably </w:t>
      </w:r>
      <w:r w:rsidR="004E0D09" w:rsidRPr="00AB50F9">
        <w:rPr>
          <w:rFonts w:eastAsia="Calibri"/>
        </w:rPr>
        <w:t xml:space="preserve">from hosting </w:t>
      </w:r>
      <w:r w:rsidR="00706A51" w:rsidRPr="00AB50F9">
        <w:rPr>
          <w:rFonts w:eastAsia="Calibri"/>
        </w:rPr>
        <w:t>rural relatives</w:t>
      </w:r>
      <w:r w:rsidR="00947E26" w:rsidRPr="00AB50F9">
        <w:rPr>
          <w:rFonts w:eastAsia="Calibri"/>
        </w:rPr>
        <w:t xml:space="preserve"> for extended visits</w:t>
      </w:r>
      <w:r w:rsidR="00706A51" w:rsidRPr="00AB50F9">
        <w:rPr>
          <w:rFonts w:eastAsia="Calibri"/>
        </w:rPr>
        <w:t xml:space="preserve">, yet this type of fluctuation </w:t>
      </w:r>
      <w:r w:rsidR="004E0D09" w:rsidRPr="00AB50F9">
        <w:rPr>
          <w:rFonts w:eastAsia="Calibri"/>
        </w:rPr>
        <w:t xml:space="preserve">and its effect on diets </w:t>
      </w:r>
      <w:r w:rsidR="00706A51" w:rsidRPr="00AB50F9">
        <w:rPr>
          <w:rFonts w:eastAsia="Calibri"/>
        </w:rPr>
        <w:t>is rarely considered in the literature.</w:t>
      </w:r>
      <w:r w:rsidR="00947E26" w:rsidRPr="00AB50F9">
        <w:rPr>
          <w:rStyle w:val="FootnoteReference"/>
          <w:rFonts w:eastAsia="Calibri"/>
        </w:rPr>
        <w:footnoteReference w:id="9"/>
      </w:r>
      <w:r w:rsidR="004E0D09" w:rsidRPr="00AB50F9">
        <w:rPr>
          <w:rFonts w:eastAsia="Calibri"/>
        </w:rPr>
        <w:t xml:space="preserve"> The </w:t>
      </w:r>
      <w:r w:rsidR="00706A51" w:rsidRPr="00AB50F9">
        <w:rPr>
          <w:rFonts w:eastAsia="Calibri"/>
        </w:rPr>
        <w:t xml:space="preserve">emphasis on seasonality </w:t>
      </w:r>
      <w:r w:rsidR="00947E26" w:rsidRPr="00AB50F9">
        <w:rPr>
          <w:rFonts w:eastAsia="Calibri"/>
        </w:rPr>
        <w:t>direct</w:t>
      </w:r>
      <w:r w:rsidR="00706A51" w:rsidRPr="00AB50F9">
        <w:rPr>
          <w:rFonts w:eastAsia="Calibri"/>
        </w:rPr>
        <w:t xml:space="preserve">s attention towards survey designs </w:t>
      </w:r>
      <w:r w:rsidR="00947E26" w:rsidRPr="00AB50F9">
        <w:rPr>
          <w:rFonts w:eastAsia="Calibri"/>
        </w:rPr>
        <w:t xml:space="preserve">where </w:t>
      </w:r>
      <w:r w:rsidR="00706A51" w:rsidRPr="00AB50F9">
        <w:rPr>
          <w:rFonts w:eastAsia="Calibri"/>
        </w:rPr>
        <w:t xml:space="preserve">fieldwork </w:t>
      </w:r>
      <w:r w:rsidR="00947E26" w:rsidRPr="00AB50F9">
        <w:rPr>
          <w:rFonts w:eastAsia="Calibri"/>
        </w:rPr>
        <w:t xml:space="preserve">is staggered </w:t>
      </w:r>
      <w:r w:rsidR="00706A51" w:rsidRPr="00AB50F9">
        <w:rPr>
          <w:rFonts w:eastAsia="Calibri"/>
        </w:rPr>
        <w:t>over 12 months of the year</w:t>
      </w:r>
      <w:r w:rsidR="00947E26" w:rsidRPr="00AB50F9">
        <w:rPr>
          <w:rFonts w:eastAsia="Calibri"/>
        </w:rPr>
        <w:t xml:space="preserve"> but </w:t>
      </w:r>
      <w:r w:rsidR="00646139" w:rsidRPr="00AB50F9">
        <w:rPr>
          <w:rFonts w:eastAsia="Calibri"/>
        </w:rPr>
        <w:t>with each household</w:t>
      </w:r>
      <w:r w:rsidR="004E0D09" w:rsidRPr="00AB50F9">
        <w:rPr>
          <w:rFonts w:eastAsia="Calibri"/>
        </w:rPr>
        <w:t xml:space="preserve"> observed in just one time of the year</w:t>
      </w:r>
      <w:r w:rsidR="005E33FB" w:rsidRPr="00AB50F9">
        <w:rPr>
          <w:rFonts w:eastAsia="Calibri"/>
        </w:rPr>
        <w:t>;</w:t>
      </w:r>
      <w:r w:rsidR="004E0D09" w:rsidRPr="00AB50F9">
        <w:rPr>
          <w:rFonts w:eastAsia="Calibri"/>
        </w:rPr>
        <w:t xml:space="preserve"> </w:t>
      </w:r>
      <w:r w:rsidR="005E33FB" w:rsidRPr="00AB50F9">
        <w:rPr>
          <w:rFonts w:eastAsia="Calibri"/>
        </w:rPr>
        <w:t xml:space="preserve">such </w:t>
      </w:r>
      <w:r w:rsidR="00947E26" w:rsidRPr="00AB50F9">
        <w:rPr>
          <w:rFonts w:eastAsia="Calibri"/>
        </w:rPr>
        <w:t>design</w:t>
      </w:r>
      <w:r w:rsidR="005E33FB" w:rsidRPr="00AB50F9">
        <w:rPr>
          <w:rFonts w:eastAsia="Calibri"/>
        </w:rPr>
        <w:t>s</w:t>
      </w:r>
      <w:r w:rsidR="00947E26" w:rsidRPr="00AB50F9">
        <w:rPr>
          <w:rFonts w:eastAsia="Calibri"/>
        </w:rPr>
        <w:t xml:space="preserve"> cannot </w:t>
      </w:r>
      <w:r w:rsidRPr="00AB50F9">
        <w:rPr>
          <w:rFonts w:eastAsia="Calibri"/>
        </w:rPr>
        <w:t xml:space="preserve">deal with </w:t>
      </w:r>
      <w:r w:rsidR="00706A51" w:rsidRPr="00AB50F9">
        <w:rPr>
          <w:rFonts w:eastAsia="Calibri"/>
        </w:rPr>
        <w:t xml:space="preserve">other sources of fluctuations, </w:t>
      </w:r>
      <w:r w:rsidR="00947E26" w:rsidRPr="00AB50F9">
        <w:rPr>
          <w:rFonts w:eastAsia="Calibri"/>
        </w:rPr>
        <w:t xml:space="preserve">compared with </w:t>
      </w:r>
      <w:r w:rsidRPr="00AB50F9">
        <w:rPr>
          <w:rFonts w:eastAsia="Calibri"/>
        </w:rPr>
        <w:t>what is possible with</w:t>
      </w:r>
      <w:r w:rsidR="00947E26" w:rsidRPr="00AB50F9">
        <w:rPr>
          <w:rFonts w:eastAsia="Calibri"/>
        </w:rPr>
        <w:t xml:space="preserve"> relatively ignored</w:t>
      </w:r>
      <w:r w:rsidR="00A36FE8" w:rsidRPr="00AB50F9">
        <w:rPr>
          <w:rFonts w:eastAsia="Calibri"/>
        </w:rPr>
        <w:t xml:space="preserve"> designs</w:t>
      </w:r>
      <w:r w:rsidR="00947E26" w:rsidRPr="00AB50F9">
        <w:rPr>
          <w:rFonts w:eastAsia="Calibri"/>
        </w:rPr>
        <w:t xml:space="preserve"> </w:t>
      </w:r>
      <w:r w:rsidR="00706A51" w:rsidRPr="00AB50F9">
        <w:rPr>
          <w:rFonts w:eastAsia="Calibri"/>
        </w:rPr>
        <w:t>such as intra-year panels.</w:t>
      </w:r>
    </w:p>
    <w:p w:rsidR="00AB50F9" w:rsidRPr="00AB50F9" w:rsidRDefault="00AB50F9" w:rsidP="00681293">
      <w:pPr>
        <w:spacing w:line="300" w:lineRule="auto"/>
        <w:ind w:firstLine="720"/>
        <w:jc w:val="both"/>
        <w:rPr>
          <w:rFonts w:eastAsia="Calibri"/>
        </w:rPr>
      </w:pPr>
    </w:p>
    <w:p w:rsidR="00210F88" w:rsidRDefault="00525AB5" w:rsidP="00E55E03">
      <w:pPr>
        <w:keepNext/>
        <w:widowControl w:val="0"/>
        <w:tabs>
          <w:tab w:val="left" w:pos="426"/>
        </w:tabs>
        <w:spacing w:line="300" w:lineRule="auto"/>
        <w:jc w:val="both"/>
        <w:rPr>
          <w:rFonts w:eastAsia="Calibri"/>
          <w:b/>
        </w:rPr>
      </w:pPr>
      <w:r w:rsidRPr="00AB50F9">
        <w:rPr>
          <w:rFonts w:eastAsia="Calibri"/>
          <w:b/>
        </w:rPr>
        <w:t>3.</w:t>
      </w:r>
      <w:r w:rsidRPr="00AB50F9">
        <w:rPr>
          <w:rFonts w:eastAsia="Calibri"/>
          <w:b/>
        </w:rPr>
        <w:tab/>
        <w:t>Data and Descriptive Statistics</w:t>
      </w:r>
    </w:p>
    <w:p w:rsidR="00E55E03" w:rsidRPr="00E55E03" w:rsidRDefault="00E55E03" w:rsidP="00681293">
      <w:pPr>
        <w:keepNext/>
        <w:widowControl w:val="0"/>
        <w:spacing w:line="300" w:lineRule="auto"/>
        <w:jc w:val="both"/>
        <w:rPr>
          <w:rFonts w:eastAsia="Calibri"/>
          <w:b/>
          <w:sz w:val="12"/>
          <w:szCs w:val="12"/>
        </w:rPr>
      </w:pPr>
    </w:p>
    <w:p w:rsidR="00210F88" w:rsidRDefault="001F68A8" w:rsidP="00681293">
      <w:pPr>
        <w:spacing w:line="300" w:lineRule="auto"/>
        <w:jc w:val="both"/>
        <w:rPr>
          <w:rFonts w:eastAsia="Calibri"/>
        </w:rPr>
      </w:pPr>
      <w:r w:rsidRPr="00AB50F9">
        <w:rPr>
          <w:rFonts w:eastAsia="Calibri"/>
        </w:rPr>
        <w:t>In order</w:t>
      </w:r>
      <w:r w:rsidR="00210F88" w:rsidRPr="00AB50F9">
        <w:rPr>
          <w:rFonts w:eastAsia="Calibri"/>
        </w:rPr>
        <w:t xml:space="preserve"> to </w:t>
      </w:r>
      <w:r w:rsidR="002E45BF" w:rsidRPr="00AB50F9">
        <w:rPr>
          <w:rFonts w:eastAsia="Calibri"/>
        </w:rPr>
        <w:t xml:space="preserve">illustrate </w:t>
      </w:r>
      <w:r w:rsidR="00210F88" w:rsidRPr="00AB50F9">
        <w:rPr>
          <w:rFonts w:eastAsia="Calibri"/>
        </w:rPr>
        <w:t xml:space="preserve">the method of deriving chronic hunger estimates from </w:t>
      </w:r>
      <w:r w:rsidR="006D3676" w:rsidRPr="00AB50F9">
        <w:rPr>
          <w:rFonts w:eastAsia="Calibri"/>
        </w:rPr>
        <w:t xml:space="preserve">diet snapshots </w:t>
      </w:r>
      <w:r w:rsidRPr="00AB50F9">
        <w:rPr>
          <w:rFonts w:eastAsia="Calibri"/>
        </w:rPr>
        <w:t xml:space="preserve">I use </w:t>
      </w:r>
      <w:r w:rsidR="00210F88" w:rsidRPr="00AB50F9">
        <w:rPr>
          <w:rFonts w:eastAsia="Calibri"/>
        </w:rPr>
        <w:t xml:space="preserve">the Integrated Household Living Conditions Assessment (IHLCA) survey </w:t>
      </w:r>
      <w:r w:rsidR="006D3676" w:rsidRPr="00AB50F9">
        <w:rPr>
          <w:rFonts w:eastAsia="Calibri"/>
        </w:rPr>
        <w:t>from</w:t>
      </w:r>
      <w:r w:rsidR="00210F88" w:rsidRPr="00AB50F9">
        <w:rPr>
          <w:rFonts w:eastAsia="Calibri"/>
        </w:rPr>
        <w:t xml:space="preserve"> Myanmar. This nationwide survey of </w:t>
      </w:r>
      <w:r w:rsidR="006D3676" w:rsidRPr="00AB50F9">
        <w:rPr>
          <w:rFonts w:eastAsia="Calibri"/>
        </w:rPr>
        <w:t>over 18,00</w:t>
      </w:r>
      <w:r w:rsidR="00210F88" w:rsidRPr="00AB50F9">
        <w:rPr>
          <w:rFonts w:eastAsia="Calibri"/>
        </w:rPr>
        <w:t>0 households</w:t>
      </w:r>
      <w:r w:rsidR="00C8501C" w:rsidRPr="00AB50F9">
        <w:rPr>
          <w:rFonts w:eastAsia="Calibri"/>
        </w:rPr>
        <w:t xml:space="preserve"> </w:t>
      </w:r>
      <w:r w:rsidR="00541BD4" w:rsidRPr="00AB50F9">
        <w:rPr>
          <w:rFonts w:eastAsia="Calibri"/>
        </w:rPr>
        <w:t xml:space="preserve">collected </w:t>
      </w:r>
      <w:r w:rsidR="006D3676" w:rsidRPr="00AB50F9">
        <w:rPr>
          <w:rFonts w:eastAsia="Calibri"/>
        </w:rPr>
        <w:t xml:space="preserve">the first round of data </w:t>
      </w:r>
      <w:r w:rsidR="00210F88" w:rsidRPr="00AB50F9">
        <w:rPr>
          <w:rFonts w:eastAsia="Calibri"/>
        </w:rPr>
        <w:t xml:space="preserve">in December 2009 and January 2010, </w:t>
      </w:r>
      <w:r w:rsidR="006D3676" w:rsidRPr="00AB50F9">
        <w:rPr>
          <w:rFonts w:eastAsia="Calibri"/>
        </w:rPr>
        <w:t xml:space="preserve">and the second round </w:t>
      </w:r>
      <w:r w:rsidR="00210F88" w:rsidRPr="00AB50F9">
        <w:rPr>
          <w:rFonts w:eastAsia="Calibri"/>
        </w:rPr>
        <w:t>in May 2010 when all households were revisited.</w:t>
      </w:r>
      <w:r w:rsidR="006D3676" w:rsidRPr="00AB50F9">
        <w:rPr>
          <w:rStyle w:val="FootnoteReference"/>
          <w:rFonts w:eastAsia="Calibri"/>
        </w:rPr>
        <w:footnoteReference w:id="10"/>
      </w:r>
      <w:r w:rsidRPr="00AB50F9">
        <w:rPr>
          <w:rFonts w:eastAsia="Calibri"/>
        </w:rPr>
        <w:t xml:space="preserve"> </w:t>
      </w:r>
      <w:r w:rsidR="00C8501C" w:rsidRPr="00AB50F9">
        <w:rPr>
          <w:rFonts w:eastAsia="Calibri"/>
        </w:rPr>
        <w:t xml:space="preserve">It is a </w:t>
      </w:r>
      <w:r w:rsidR="002E45BF" w:rsidRPr="00AB50F9">
        <w:rPr>
          <w:rFonts w:eastAsia="Calibri"/>
        </w:rPr>
        <w:t>multi</w:t>
      </w:r>
      <w:r w:rsidR="002E45BF" w:rsidRPr="00AB50F9">
        <w:rPr>
          <w:rFonts w:eastAsia="Calibri"/>
        </w:rPr>
        <w:noBreakHyphen/>
        <w:t xml:space="preserve">topic </w:t>
      </w:r>
      <w:r w:rsidR="00C8501C" w:rsidRPr="00AB50F9">
        <w:rPr>
          <w:rFonts w:eastAsia="Calibri"/>
        </w:rPr>
        <w:t>survey</w:t>
      </w:r>
      <w:r w:rsidRPr="00AB50F9">
        <w:rPr>
          <w:rFonts w:eastAsia="Calibri"/>
        </w:rPr>
        <w:t xml:space="preserve"> with a </w:t>
      </w:r>
      <w:r w:rsidR="002E45BF" w:rsidRPr="00AB50F9">
        <w:rPr>
          <w:rFonts w:eastAsia="Calibri"/>
        </w:rPr>
        <w:t xml:space="preserve">consumption expenditure module </w:t>
      </w:r>
      <w:r w:rsidR="00C8501C" w:rsidRPr="00AB50F9">
        <w:rPr>
          <w:rFonts w:eastAsia="Calibri"/>
        </w:rPr>
        <w:t xml:space="preserve">that uses </w:t>
      </w:r>
      <w:r w:rsidR="002E45BF" w:rsidRPr="00AB50F9">
        <w:rPr>
          <w:rFonts w:eastAsia="Calibri"/>
        </w:rPr>
        <w:t xml:space="preserve">the recall method. In comparison </w:t>
      </w:r>
      <w:r w:rsidRPr="00AB50F9">
        <w:rPr>
          <w:rFonts w:eastAsia="Calibri"/>
        </w:rPr>
        <w:t xml:space="preserve">to </w:t>
      </w:r>
      <w:r w:rsidR="002E45BF" w:rsidRPr="00AB50F9">
        <w:rPr>
          <w:rFonts w:eastAsia="Calibri"/>
        </w:rPr>
        <w:t xml:space="preserve">many multi-topic surveys, such as the Living Standards Surveys of the World Bank, the IHLCA consumption recall has a much longer list of food groups. Specifically, 228 foods </w:t>
      </w:r>
      <w:r w:rsidR="00F27D3C" w:rsidRPr="00AB50F9">
        <w:rPr>
          <w:rFonts w:eastAsia="Calibri"/>
        </w:rPr>
        <w:t>wer</w:t>
      </w:r>
      <w:r w:rsidRPr="00AB50F9">
        <w:rPr>
          <w:rFonts w:eastAsia="Calibri"/>
        </w:rPr>
        <w:t xml:space="preserve">e </w:t>
      </w:r>
      <w:r w:rsidR="002E45BF" w:rsidRPr="00AB50F9">
        <w:rPr>
          <w:rFonts w:eastAsia="Calibri"/>
        </w:rPr>
        <w:t xml:space="preserve">covered, divided into two groups; </w:t>
      </w:r>
      <w:r w:rsidR="00F27D3C" w:rsidRPr="00AB50F9">
        <w:rPr>
          <w:rFonts w:eastAsia="Calibri"/>
        </w:rPr>
        <w:t xml:space="preserve">for </w:t>
      </w:r>
      <w:r w:rsidR="002E45BF" w:rsidRPr="00AB50F9">
        <w:rPr>
          <w:rFonts w:eastAsia="Calibri"/>
        </w:rPr>
        <w:t>46</w:t>
      </w:r>
      <w:r w:rsidR="00F27D3C" w:rsidRPr="00AB50F9">
        <w:rPr>
          <w:rFonts w:eastAsia="Calibri"/>
        </w:rPr>
        <w:t> </w:t>
      </w:r>
      <w:r w:rsidR="002E45BF" w:rsidRPr="00AB50F9">
        <w:rPr>
          <w:rFonts w:eastAsia="Calibri"/>
        </w:rPr>
        <w:t>major staples and calorie-sources a one month recall</w:t>
      </w:r>
      <w:r w:rsidR="00F27D3C" w:rsidRPr="00AB50F9">
        <w:rPr>
          <w:rFonts w:eastAsia="Calibri"/>
        </w:rPr>
        <w:t xml:space="preserve"> was used</w:t>
      </w:r>
      <w:r w:rsidR="002E45BF" w:rsidRPr="00AB50F9">
        <w:rPr>
          <w:rFonts w:eastAsia="Calibri"/>
        </w:rPr>
        <w:t xml:space="preserve">, </w:t>
      </w:r>
      <w:r w:rsidR="00F27D3C" w:rsidRPr="00AB50F9">
        <w:rPr>
          <w:rFonts w:eastAsia="Calibri"/>
        </w:rPr>
        <w:t xml:space="preserve">while for </w:t>
      </w:r>
      <w:r w:rsidRPr="00AB50F9">
        <w:rPr>
          <w:rFonts w:eastAsia="Calibri"/>
        </w:rPr>
        <w:t>a further 182 foods a one-week recall</w:t>
      </w:r>
      <w:r w:rsidR="00C8501C" w:rsidRPr="00AB50F9">
        <w:rPr>
          <w:rFonts w:eastAsia="Calibri"/>
        </w:rPr>
        <w:t xml:space="preserve"> </w:t>
      </w:r>
      <w:r w:rsidR="00F27D3C" w:rsidRPr="00AB50F9">
        <w:rPr>
          <w:rFonts w:eastAsia="Calibri"/>
        </w:rPr>
        <w:t xml:space="preserve">was used </w:t>
      </w:r>
      <w:r w:rsidR="00C8501C" w:rsidRPr="00AB50F9">
        <w:rPr>
          <w:rFonts w:eastAsia="Calibri"/>
        </w:rPr>
        <w:t>(Table 1)</w:t>
      </w:r>
      <w:r w:rsidRPr="00AB50F9">
        <w:rPr>
          <w:rFonts w:eastAsia="Calibri"/>
        </w:rPr>
        <w:t xml:space="preserve">. </w:t>
      </w:r>
      <w:r w:rsidR="00F27D3C" w:rsidRPr="00AB50F9">
        <w:rPr>
          <w:rFonts w:eastAsia="Calibri"/>
        </w:rPr>
        <w:t>T</w:t>
      </w:r>
      <w:r w:rsidR="00C8501C" w:rsidRPr="00AB50F9">
        <w:rPr>
          <w:rFonts w:eastAsia="Calibri"/>
        </w:rPr>
        <w:t>hese other foods are</w:t>
      </w:r>
      <w:r w:rsidR="00F27D3C" w:rsidRPr="00AB50F9">
        <w:rPr>
          <w:rFonts w:eastAsia="Calibri"/>
        </w:rPr>
        <w:t xml:space="preserve"> less important calorie sources </w:t>
      </w:r>
      <w:r w:rsidR="00E66999" w:rsidRPr="00AB50F9">
        <w:rPr>
          <w:rFonts w:eastAsia="Calibri"/>
        </w:rPr>
        <w:t>(contributing just 26</w:t>
      </w:r>
      <w:r w:rsidR="006D3676" w:rsidRPr="00AB50F9">
        <w:rPr>
          <w:rFonts w:eastAsia="Calibri"/>
        </w:rPr>
        <w:t xml:space="preserve"> percent of the total) </w:t>
      </w:r>
      <w:r w:rsidR="00F27D3C" w:rsidRPr="00AB50F9">
        <w:rPr>
          <w:rFonts w:eastAsia="Calibri"/>
        </w:rPr>
        <w:t>so</w:t>
      </w:r>
      <w:r w:rsidR="00C8501C" w:rsidRPr="00AB50F9">
        <w:rPr>
          <w:rFonts w:eastAsia="Calibri"/>
        </w:rPr>
        <w:t xml:space="preserve"> the one-week recall </w:t>
      </w:r>
      <w:r w:rsidR="00F27D3C" w:rsidRPr="00AB50F9">
        <w:rPr>
          <w:rFonts w:eastAsia="Calibri"/>
        </w:rPr>
        <w:t xml:space="preserve">data </w:t>
      </w:r>
      <w:r w:rsidR="00C8501C" w:rsidRPr="00AB50F9">
        <w:rPr>
          <w:rFonts w:eastAsia="Calibri"/>
        </w:rPr>
        <w:t>ar</w:t>
      </w:r>
      <w:r w:rsidR="00932791" w:rsidRPr="00AB50F9">
        <w:rPr>
          <w:rFonts w:eastAsia="Calibri"/>
        </w:rPr>
        <w:t>e extrapolated to one month totals</w:t>
      </w:r>
      <w:r w:rsidR="0090283B" w:rsidRPr="00AB50F9">
        <w:rPr>
          <w:rFonts w:eastAsia="Calibri"/>
        </w:rPr>
        <w:t>;</w:t>
      </w:r>
      <w:r w:rsidR="00F27D3C" w:rsidRPr="00AB50F9">
        <w:rPr>
          <w:rFonts w:eastAsia="Calibri"/>
        </w:rPr>
        <w:t xml:space="preserve"> </w:t>
      </w:r>
      <w:r w:rsidR="0090283B" w:rsidRPr="00AB50F9">
        <w:rPr>
          <w:rFonts w:eastAsia="Calibri"/>
        </w:rPr>
        <w:t xml:space="preserve">this also was </w:t>
      </w:r>
      <w:r w:rsidR="00F27D3C" w:rsidRPr="00AB50F9">
        <w:rPr>
          <w:rFonts w:eastAsia="Calibri"/>
        </w:rPr>
        <w:t>the approach used in the official report on the IHLCA data</w:t>
      </w:r>
      <w:r w:rsidR="0090283B" w:rsidRPr="00AB50F9">
        <w:rPr>
          <w:rFonts w:eastAsia="Calibri"/>
        </w:rPr>
        <w:t>,</w:t>
      </w:r>
      <w:r w:rsidR="00F27D3C" w:rsidRPr="00AB50F9">
        <w:rPr>
          <w:rFonts w:eastAsia="Calibri"/>
        </w:rPr>
        <w:t xml:space="preserve"> </w:t>
      </w:r>
      <w:r w:rsidR="0090283B" w:rsidRPr="00AB50F9">
        <w:rPr>
          <w:rFonts w:eastAsia="Calibri"/>
        </w:rPr>
        <w:t xml:space="preserve">with </w:t>
      </w:r>
      <w:r w:rsidR="00F27D3C" w:rsidRPr="00AB50F9">
        <w:rPr>
          <w:rFonts w:eastAsia="Calibri"/>
        </w:rPr>
        <w:t xml:space="preserve">the constructed monthly data for each of the two rounds of the survey </w:t>
      </w:r>
      <w:r w:rsidR="0090283B" w:rsidRPr="00AB50F9">
        <w:rPr>
          <w:rFonts w:eastAsia="Calibri"/>
        </w:rPr>
        <w:t xml:space="preserve">then </w:t>
      </w:r>
      <w:r w:rsidR="00F27D3C" w:rsidRPr="00AB50F9">
        <w:rPr>
          <w:rFonts w:eastAsia="Calibri"/>
        </w:rPr>
        <w:t xml:space="preserve">multiplied by six and added together to give </w:t>
      </w:r>
      <w:r w:rsidR="00A648FF" w:rsidRPr="00AB50F9">
        <w:rPr>
          <w:rFonts w:eastAsia="Calibri"/>
        </w:rPr>
        <w:t xml:space="preserve">(naïve) </w:t>
      </w:r>
      <w:r w:rsidR="00F27D3C" w:rsidRPr="00AB50F9">
        <w:rPr>
          <w:rFonts w:eastAsia="Calibri"/>
        </w:rPr>
        <w:t>annual estimates</w:t>
      </w:r>
      <w:r w:rsidR="00932791" w:rsidRPr="00AB50F9">
        <w:rPr>
          <w:rFonts w:eastAsia="Calibri"/>
        </w:rPr>
        <w:t>.</w:t>
      </w:r>
      <w:r w:rsidR="00932791" w:rsidRPr="00AB50F9">
        <w:rPr>
          <w:rStyle w:val="FootnoteReference"/>
          <w:rFonts w:eastAsia="Calibri"/>
        </w:rPr>
        <w:footnoteReference w:id="11"/>
      </w:r>
    </w:p>
    <w:p w:rsidR="00B508FB" w:rsidRDefault="00B508FB" w:rsidP="00681293">
      <w:pPr>
        <w:spacing w:line="300" w:lineRule="auto"/>
        <w:jc w:val="both"/>
        <w:rPr>
          <w:rFonts w:eastAsia="Calibri"/>
        </w:rPr>
      </w:pPr>
    </w:p>
    <w:tbl>
      <w:tblPr>
        <w:tblW w:w="9140" w:type="dxa"/>
        <w:tblInd w:w="93" w:type="dxa"/>
        <w:tblLook w:val="04A0" w:firstRow="1" w:lastRow="0" w:firstColumn="1" w:lastColumn="0" w:noHBand="0" w:noVBand="1"/>
      </w:tblPr>
      <w:tblGrid>
        <w:gridCol w:w="1902"/>
        <w:gridCol w:w="2284"/>
        <w:gridCol w:w="271"/>
        <w:gridCol w:w="1901"/>
        <w:gridCol w:w="2954"/>
      </w:tblGrid>
      <w:tr w:rsidR="00B616E7" w:rsidRPr="00B616E7" w:rsidTr="00B616E7">
        <w:trPr>
          <w:trHeight w:val="399"/>
        </w:trPr>
        <w:tc>
          <w:tcPr>
            <w:tcW w:w="9140" w:type="dxa"/>
            <w:gridSpan w:val="5"/>
            <w:tcBorders>
              <w:top w:val="nil"/>
              <w:left w:val="nil"/>
              <w:bottom w:val="single" w:sz="4" w:space="0" w:color="auto"/>
              <w:right w:val="nil"/>
            </w:tcBorders>
            <w:shd w:val="clear" w:color="auto" w:fill="auto"/>
            <w:noWrap/>
            <w:vAlign w:val="center"/>
            <w:hideMark/>
          </w:tcPr>
          <w:p w:rsidR="00B616E7" w:rsidRPr="00B616E7" w:rsidRDefault="00B616E7" w:rsidP="00B616E7">
            <w:pPr>
              <w:spacing w:line="240" w:lineRule="auto"/>
              <w:jc w:val="center"/>
              <w:rPr>
                <w:b/>
                <w:color w:val="000000"/>
                <w:sz w:val="22"/>
                <w:szCs w:val="22"/>
                <w:lang w:val="en-NZ" w:eastAsia="en-NZ"/>
              </w:rPr>
            </w:pPr>
            <w:r w:rsidRPr="00B616E7">
              <w:rPr>
                <w:b/>
                <w:color w:val="000000"/>
                <w:sz w:val="22"/>
                <w:szCs w:val="22"/>
                <w:lang w:val="en-NZ" w:eastAsia="en-NZ"/>
              </w:rPr>
              <w:lastRenderedPageBreak/>
              <w:t>Table 1: Structure of the IHLCA Food Quantity Recall Questionnaire</w:t>
            </w:r>
          </w:p>
        </w:tc>
      </w:tr>
      <w:tr w:rsidR="00B616E7" w:rsidRPr="00B616E7" w:rsidTr="00B616E7">
        <w:trPr>
          <w:trHeight w:val="399"/>
        </w:trPr>
        <w:tc>
          <w:tcPr>
            <w:tcW w:w="4186" w:type="dxa"/>
            <w:gridSpan w:val="2"/>
            <w:tcBorders>
              <w:top w:val="nil"/>
              <w:left w:val="nil"/>
              <w:bottom w:val="nil"/>
              <w:right w:val="nil"/>
            </w:tcBorders>
            <w:shd w:val="clear" w:color="auto" w:fill="auto"/>
            <w:noWrap/>
            <w:vAlign w:val="center"/>
            <w:hideMark/>
          </w:tcPr>
          <w:p w:rsidR="00B616E7" w:rsidRPr="00B616E7" w:rsidRDefault="00B616E7" w:rsidP="00B616E7">
            <w:pPr>
              <w:spacing w:line="240" w:lineRule="auto"/>
              <w:jc w:val="center"/>
              <w:rPr>
                <w:color w:val="000000"/>
                <w:sz w:val="22"/>
                <w:szCs w:val="22"/>
                <w:u w:val="single"/>
                <w:lang w:val="en-NZ" w:eastAsia="en-NZ"/>
              </w:rPr>
            </w:pPr>
            <w:r w:rsidRPr="00B616E7">
              <w:rPr>
                <w:color w:val="000000"/>
                <w:sz w:val="22"/>
                <w:szCs w:val="22"/>
                <w:u w:val="single"/>
                <w:lang w:val="en-NZ" w:eastAsia="en-NZ"/>
              </w:rPr>
              <w:t>Quantity Consumed in Last 30 Days</w:t>
            </w:r>
          </w:p>
        </w:tc>
        <w:tc>
          <w:tcPr>
            <w:tcW w:w="99" w:type="dxa"/>
            <w:tcBorders>
              <w:top w:val="nil"/>
              <w:left w:val="nil"/>
              <w:bottom w:val="nil"/>
              <w:right w:val="nil"/>
            </w:tcBorders>
            <w:shd w:val="clear" w:color="auto" w:fill="auto"/>
            <w:noWrap/>
            <w:vAlign w:val="center"/>
            <w:hideMark/>
          </w:tcPr>
          <w:p w:rsidR="00B616E7" w:rsidRPr="00B616E7" w:rsidRDefault="00B616E7" w:rsidP="00B616E7">
            <w:pPr>
              <w:spacing w:line="240" w:lineRule="auto"/>
              <w:rPr>
                <w:color w:val="000000"/>
                <w:sz w:val="22"/>
                <w:szCs w:val="22"/>
                <w:u w:val="single"/>
                <w:lang w:val="en-NZ" w:eastAsia="en-NZ"/>
              </w:rPr>
            </w:pPr>
          </w:p>
        </w:tc>
        <w:tc>
          <w:tcPr>
            <w:tcW w:w="4855" w:type="dxa"/>
            <w:gridSpan w:val="2"/>
            <w:tcBorders>
              <w:top w:val="nil"/>
              <w:left w:val="nil"/>
              <w:bottom w:val="nil"/>
              <w:right w:val="nil"/>
            </w:tcBorders>
            <w:shd w:val="clear" w:color="auto" w:fill="auto"/>
            <w:noWrap/>
            <w:vAlign w:val="center"/>
            <w:hideMark/>
          </w:tcPr>
          <w:p w:rsidR="00B616E7" w:rsidRPr="00B616E7" w:rsidRDefault="00B616E7" w:rsidP="00B616E7">
            <w:pPr>
              <w:spacing w:line="240" w:lineRule="auto"/>
              <w:jc w:val="center"/>
              <w:rPr>
                <w:color w:val="000000"/>
                <w:sz w:val="22"/>
                <w:szCs w:val="22"/>
                <w:u w:val="single"/>
                <w:lang w:val="en-NZ" w:eastAsia="en-NZ"/>
              </w:rPr>
            </w:pPr>
            <w:r w:rsidRPr="00B616E7">
              <w:rPr>
                <w:color w:val="000000"/>
                <w:sz w:val="22"/>
                <w:szCs w:val="22"/>
                <w:u w:val="single"/>
                <w:lang w:val="en-NZ" w:eastAsia="en-NZ"/>
              </w:rPr>
              <w:t>Quantity Consumed in Last 7 Days</w:t>
            </w:r>
          </w:p>
        </w:tc>
      </w:tr>
      <w:tr w:rsidR="00B616E7" w:rsidRPr="00B616E7" w:rsidTr="00B616E7">
        <w:trPr>
          <w:trHeight w:val="399"/>
        </w:trPr>
        <w:tc>
          <w:tcPr>
            <w:tcW w:w="1902" w:type="dxa"/>
            <w:tcBorders>
              <w:top w:val="nil"/>
              <w:left w:val="nil"/>
              <w:bottom w:val="single" w:sz="4" w:space="0" w:color="auto"/>
              <w:right w:val="nil"/>
            </w:tcBorders>
            <w:shd w:val="clear" w:color="auto" w:fill="auto"/>
            <w:noWrap/>
            <w:vAlign w:val="center"/>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Number of items</w:t>
            </w:r>
          </w:p>
        </w:tc>
        <w:tc>
          <w:tcPr>
            <w:tcW w:w="2284" w:type="dxa"/>
            <w:tcBorders>
              <w:top w:val="nil"/>
              <w:left w:val="nil"/>
              <w:bottom w:val="single" w:sz="4" w:space="0" w:color="auto"/>
              <w:right w:val="nil"/>
            </w:tcBorders>
            <w:shd w:val="clear" w:color="auto" w:fill="auto"/>
            <w:noWrap/>
            <w:vAlign w:val="center"/>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Broad food category</w:t>
            </w:r>
          </w:p>
        </w:tc>
        <w:tc>
          <w:tcPr>
            <w:tcW w:w="99" w:type="dxa"/>
            <w:tcBorders>
              <w:top w:val="nil"/>
              <w:left w:val="nil"/>
              <w:bottom w:val="nil"/>
              <w:right w:val="nil"/>
            </w:tcBorders>
            <w:shd w:val="clear" w:color="auto" w:fill="auto"/>
            <w:noWrap/>
            <w:vAlign w:val="center"/>
            <w:hideMark/>
          </w:tcPr>
          <w:p w:rsidR="00B616E7" w:rsidRPr="00B616E7" w:rsidRDefault="00B616E7" w:rsidP="00B616E7">
            <w:pPr>
              <w:spacing w:line="240" w:lineRule="auto"/>
              <w:rPr>
                <w:color w:val="000000"/>
                <w:sz w:val="22"/>
                <w:szCs w:val="22"/>
                <w:lang w:val="en-NZ" w:eastAsia="en-NZ"/>
              </w:rPr>
            </w:pPr>
          </w:p>
        </w:tc>
        <w:tc>
          <w:tcPr>
            <w:tcW w:w="1901" w:type="dxa"/>
            <w:tcBorders>
              <w:top w:val="nil"/>
              <w:left w:val="nil"/>
              <w:bottom w:val="single" w:sz="4" w:space="0" w:color="auto"/>
              <w:right w:val="nil"/>
            </w:tcBorders>
            <w:shd w:val="clear" w:color="auto" w:fill="auto"/>
            <w:noWrap/>
            <w:vAlign w:val="center"/>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Number of items</w:t>
            </w:r>
          </w:p>
        </w:tc>
        <w:tc>
          <w:tcPr>
            <w:tcW w:w="2954" w:type="dxa"/>
            <w:tcBorders>
              <w:top w:val="nil"/>
              <w:left w:val="nil"/>
              <w:bottom w:val="single" w:sz="4" w:space="0" w:color="auto"/>
              <w:right w:val="nil"/>
            </w:tcBorders>
            <w:shd w:val="clear" w:color="auto" w:fill="auto"/>
            <w:noWrap/>
            <w:vAlign w:val="center"/>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Broad food category</w:t>
            </w:r>
          </w:p>
        </w:tc>
      </w:tr>
      <w:tr w:rsidR="00B616E7" w:rsidRPr="00B616E7" w:rsidTr="00B616E7">
        <w:trPr>
          <w:trHeight w:val="360"/>
        </w:trPr>
        <w:tc>
          <w:tcPr>
            <w:tcW w:w="1902" w:type="dxa"/>
            <w:tcBorders>
              <w:top w:val="nil"/>
              <w:left w:val="nil"/>
              <w:bottom w:val="nil"/>
              <w:right w:val="nil"/>
            </w:tcBorders>
            <w:shd w:val="clear" w:color="auto" w:fill="auto"/>
            <w:noWrap/>
            <w:vAlign w:val="bottom"/>
            <w:hideMark/>
          </w:tcPr>
          <w:p w:rsidR="00B616E7" w:rsidRPr="00B616E7" w:rsidRDefault="00B616E7" w:rsidP="00B616E7">
            <w:pPr>
              <w:spacing w:line="240" w:lineRule="auto"/>
              <w:jc w:val="center"/>
              <w:rPr>
                <w:color w:val="000000"/>
                <w:sz w:val="22"/>
                <w:szCs w:val="22"/>
                <w:lang w:val="en-NZ" w:eastAsia="en-NZ"/>
              </w:rPr>
            </w:pPr>
            <w:r w:rsidRPr="00B616E7">
              <w:rPr>
                <w:color w:val="000000"/>
                <w:sz w:val="22"/>
                <w:szCs w:val="22"/>
                <w:lang w:val="en-NZ" w:eastAsia="en-NZ"/>
              </w:rPr>
              <w:t>6</w:t>
            </w:r>
          </w:p>
        </w:tc>
        <w:tc>
          <w:tcPr>
            <w:tcW w:w="2284"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Rice</w:t>
            </w:r>
          </w:p>
        </w:tc>
        <w:tc>
          <w:tcPr>
            <w:tcW w:w="99"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1901" w:type="dxa"/>
            <w:tcBorders>
              <w:top w:val="nil"/>
              <w:left w:val="nil"/>
              <w:bottom w:val="nil"/>
              <w:right w:val="nil"/>
            </w:tcBorders>
            <w:shd w:val="clear" w:color="auto" w:fill="auto"/>
            <w:noWrap/>
            <w:vAlign w:val="center"/>
            <w:hideMark/>
          </w:tcPr>
          <w:p w:rsidR="00B616E7" w:rsidRPr="00B616E7" w:rsidRDefault="00B616E7" w:rsidP="00B616E7">
            <w:pPr>
              <w:spacing w:line="240" w:lineRule="auto"/>
              <w:jc w:val="center"/>
              <w:rPr>
                <w:color w:val="000000"/>
                <w:sz w:val="22"/>
                <w:szCs w:val="22"/>
                <w:lang w:val="en-NZ" w:eastAsia="en-NZ"/>
              </w:rPr>
            </w:pPr>
            <w:r w:rsidRPr="00B616E7">
              <w:rPr>
                <w:color w:val="000000"/>
                <w:sz w:val="22"/>
                <w:szCs w:val="22"/>
                <w:lang w:val="en-NZ" w:eastAsia="en-NZ"/>
              </w:rPr>
              <w:t>16</w:t>
            </w:r>
          </w:p>
        </w:tc>
        <w:tc>
          <w:tcPr>
            <w:tcW w:w="2954" w:type="dxa"/>
            <w:tcBorders>
              <w:top w:val="nil"/>
              <w:left w:val="nil"/>
              <w:bottom w:val="nil"/>
              <w:right w:val="nil"/>
            </w:tcBorders>
            <w:shd w:val="clear" w:color="auto" w:fill="auto"/>
            <w:noWrap/>
            <w:vAlign w:val="center"/>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Pulses, nuts and seeds</w:t>
            </w:r>
          </w:p>
        </w:tc>
      </w:tr>
      <w:tr w:rsidR="00B616E7" w:rsidRPr="00B616E7" w:rsidTr="00B616E7">
        <w:trPr>
          <w:trHeight w:val="360"/>
        </w:trPr>
        <w:tc>
          <w:tcPr>
            <w:tcW w:w="1902" w:type="dxa"/>
            <w:tcBorders>
              <w:top w:val="nil"/>
              <w:left w:val="nil"/>
              <w:bottom w:val="nil"/>
              <w:right w:val="nil"/>
            </w:tcBorders>
            <w:shd w:val="clear" w:color="auto" w:fill="auto"/>
            <w:noWrap/>
            <w:vAlign w:val="bottom"/>
            <w:hideMark/>
          </w:tcPr>
          <w:p w:rsidR="00B616E7" w:rsidRPr="00B616E7" w:rsidRDefault="00B616E7" w:rsidP="00B616E7">
            <w:pPr>
              <w:spacing w:line="240" w:lineRule="auto"/>
              <w:jc w:val="center"/>
              <w:rPr>
                <w:color w:val="000000"/>
                <w:sz w:val="22"/>
                <w:szCs w:val="22"/>
                <w:lang w:val="en-NZ" w:eastAsia="en-NZ"/>
              </w:rPr>
            </w:pPr>
            <w:r w:rsidRPr="00B616E7">
              <w:rPr>
                <w:color w:val="000000"/>
                <w:sz w:val="22"/>
                <w:szCs w:val="22"/>
                <w:lang w:val="en-NZ" w:eastAsia="en-NZ"/>
              </w:rPr>
              <w:t>7</w:t>
            </w:r>
          </w:p>
        </w:tc>
        <w:tc>
          <w:tcPr>
            <w:tcW w:w="2284"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Other cereals</w:t>
            </w:r>
          </w:p>
        </w:tc>
        <w:tc>
          <w:tcPr>
            <w:tcW w:w="99"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1901" w:type="dxa"/>
            <w:tcBorders>
              <w:top w:val="nil"/>
              <w:left w:val="nil"/>
              <w:bottom w:val="nil"/>
              <w:right w:val="nil"/>
            </w:tcBorders>
            <w:shd w:val="clear" w:color="auto" w:fill="auto"/>
            <w:noWrap/>
            <w:vAlign w:val="center"/>
            <w:hideMark/>
          </w:tcPr>
          <w:p w:rsidR="00B616E7" w:rsidRPr="00B616E7" w:rsidRDefault="00B616E7" w:rsidP="00B616E7">
            <w:pPr>
              <w:spacing w:line="240" w:lineRule="auto"/>
              <w:jc w:val="center"/>
              <w:rPr>
                <w:color w:val="000000"/>
                <w:sz w:val="22"/>
                <w:szCs w:val="22"/>
                <w:lang w:val="en-NZ" w:eastAsia="en-NZ"/>
              </w:rPr>
            </w:pPr>
            <w:r w:rsidRPr="00B616E7">
              <w:rPr>
                <w:color w:val="000000"/>
                <w:sz w:val="22"/>
                <w:szCs w:val="22"/>
                <w:lang w:val="en-NZ" w:eastAsia="en-NZ"/>
              </w:rPr>
              <w:t>11</w:t>
            </w:r>
          </w:p>
        </w:tc>
        <w:tc>
          <w:tcPr>
            <w:tcW w:w="2954" w:type="dxa"/>
            <w:tcBorders>
              <w:top w:val="nil"/>
              <w:left w:val="nil"/>
              <w:bottom w:val="nil"/>
              <w:right w:val="nil"/>
            </w:tcBorders>
            <w:shd w:val="clear" w:color="auto" w:fill="auto"/>
            <w:noWrap/>
            <w:vAlign w:val="center"/>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Meat and dairy</w:t>
            </w:r>
          </w:p>
        </w:tc>
      </w:tr>
      <w:tr w:rsidR="00B616E7" w:rsidRPr="00B616E7" w:rsidTr="00B616E7">
        <w:trPr>
          <w:trHeight w:val="360"/>
        </w:trPr>
        <w:tc>
          <w:tcPr>
            <w:tcW w:w="1902" w:type="dxa"/>
            <w:tcBorders>
              <w:top w:val="nil"/>
              <w:left w:val="nil"/>
              <w:bottom w:val="nil"/>
              <w:right w:val="nil"/>
            </w:tcBorders>
            <w:shd w:val="clear" w:color="auto" w:fill="auto"/>
            <w:noWrap/>
            <w:vAlign w:val="bottom"/>
            <w:hideMark/>
          </w:tcPr>
          <w:p w:rsidR="00B616E7" w:rsidRPr="00B616E7" w:rsidRDefault="00B616E7" w:rsidP="00B616E7">
            <w:pPr>
              <w:spacing w:line="240" w:lineRule="auto"/>
              <w:jc w:val="center"/>
              <w:rPr>
                <w:color w:val="000000"/>
                <w:sz w:val="22"/>
                <w:szCs w:val="22"/>
                <w:lang w:val="en-NZ" w:eastAsia="en-NZ"/>
              </w:rPr>
            </w:pPr>
            <w:r w:rsidRPr="00B616E7">
              <w:rPr>
                <w:color w:val="000000"/>
                <w:sz w:val="22"/>
                <w:szCs w:val="22"/>
                <w:lang w:val="en-NZ" w:eastAsia="en-NZ"/>
              </w:rPr>
              <w:t>10</w:t>
            </w:r>
          </w:p>
        </w:tc>
        <w:tc>
          <w:tcPr>
            <w:tcW w:w="2284"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Oils and fats</w:t>
            </w:r>
          </w:p>
        </w:tc>
        <w:tc>
          <w:tcPr>
            <w:tcW w:w="99"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1901" w:type="dxa"/>
            <w:tcBorders>
              <w:top w:val="nil"/>
              <w:left w:val="nil"/>
              <w:bottom w:val="nil"/>
              <w:right w:val="nil"/>
            </w:tcBorders>
            <w:shd w:val="clear" w:color="auto" w:fill="auto"/>
            <w:noWrap/>
            <w:vAlign w:val="center"/>
            <w:hideMark/>
          </w:tcPr>
          <w:p w:rsidR="00B616E7" w:rsidRPr="00B616E7" w:rsidRDefault="00B616E7" w:rsidP="00B616E7">
            <w:pPr>
              <w:spacing w:line="240" w:lineRule="auto"/>
              <w:jc w:val="center"/>
              <w:rPr>
                <w:color w:val="000000"/>
                <w:sz w:val="22"/>
                <w:szCs w:val="22"/>
                <w:lang w:val="en-NZ" w:eastAsia="en-NZ"/>
              </w:rPr>
            </w:pPr>
            <w:r w:rsidRPr="00B616E7">
              <w:rPr>
                <w:color w:val="000000"/>
                <w:sz w:val="22"/>
                <w:szCs w:val="22"/>
                <w:lang w:val="en-NZ" w:eastAsia="en-NZ"/>
              </w:rPr>
              <w:t>37</w:t>
            </w:r>
          </w:p>
        </w:tc>
        <w:tc>
          <w:tcPr>
            <w:tcW w:w="2954" w:type="dxa"/>
            <w:tcBorders>
              <w:top w:val="nil"/>
              <w:left w:val="nil"/>
              <w:bottom w:val="nil"/>
              <w:right w:val="nil"/>
            </w:tcBorders>
            <w:shd w:val="clear" w:color="auto" w:fill="auto"/>
            <w:noWrap/>
            <w:vAlign w:val="center"/>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Fish and seafood</w:t>
            </w:r>
          </w:p>
        </w:tc>
      </w:tr>
      <w:tr w:rsidR="00B616E7" w:rsidRPr="00B616E7" w:rsidTr="00B616E7">
        <w:trPr>
          <w:trHeight w:val="360"/>
        </w:trPr>
        <w:tc>
          <w:tcPr>
            <w:tcW w:w="1902" w:type="dxa"/>
            <w:tcBorders>
              <w:top w:val="nil"/>
              <w:left w:val="nil"/>
              <w:bottom w:val="nil"/>
              <w:right w:val="nil"/>
            </w:tcBorders>
            <w:shd w:val="clear" w:color="auto" w:fill="auto"/>
            <w:noWrap/>
            <w:vAlign w:val="bottom"/>
            <w:hideMark/>
          </w:tcPr>
          <w:p w:rsidR="00B616E7" w:rsidRPr="00B616E7" w:rsidRDefault="00B616E7" w:rsidP="00B616E7">
            <w:pPr>
              <w:spacing w:line="240" w:lineRule="auto"/>
              <w:jc w:val="center"/>
              <w:rPr>
                <w:color w:val="000000"/>
                <w:sz w:val="22"/>
                <w:szCs w:val="22"/>
                <w:lang w:val="en-NZ" w:eastAsia="en-NZ"/>
              </w:rPr>
            </w:pPr>
            <w:r w:rsidRPr="00B616E7">
              <w:rPr>
                <w:color w:val="000000"/>
                <w:sz w:val="22"/>
                <w:szCs w:val="22"/>
                <w:lang w:val="en-NZ" w:eastAsia="en-NZ"/>
              </w:rPr>
              <w:t>5</w:t>
            </w:r>
          </w:p>
        </w:tc>
        <w:tc>
          <w:tcPr>
            <w:tcW w:w="2284"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Dairy</w:t>
            </w:r>
          </w:p>
        </w:tc>
        <w:tc>
          <w:tcPr>
            <w:tcW w:w="99"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1901" w:type="dxa"/>
            <w:tcBorders>
              <w:top w:val="nil"/>
              <w:left w:val="nil"/>
              <w:bottom w:val="nil"/>
              <w:right w:val="nil"/>
            </w:tcBorders>
            <w:shd w:val="clear" w:color="auto" w:fill="auto"/>
            <w:noWrap/>
            <w:vAlign w:val="center"/>
            <w:hideMark/>
          </w:tcPr>
          <w:p w:rsidR="00B616E7" w:rsidRPr="00B616E7" w:rsidRDefault="00B616E7" w:rsidP="00B616E7">
            <w:pPr>
              <w:spacing w:line="240" w:lineRule="auto"/>
              <w:jc w:val="center"/>
              <w:rPr>
                <w:color w:val="000000"/>
                <w:sz w:val="22"/>
                <w:szCs w:val="22"/>
                <w:lang w:val="en-NZ" w:eastAsia="en-NZ"/>
              </w:rPr>
            </w:pPr>
            <w:r w:rsidRPr="00B616E7">
              <w:rPr>
                <w:color w:val="000000"/>
                <w:sz w:val="22"/>
                <w:szCs w:val="22"/>
                <w:lang w:val="en-NZ" w:eastAsia="en-NZ"/>
              </w:rPr>
              <w:t>11</w:t>
            </w:r>
          </w:p>
        </w:tc>
        <w:tc>
          <w:tcPr>
            <w:tcW w:w="2954" w:type="dxa"/>
            <w:tcBorders>
              <w:top w:val="nil"/>
              <w:left w:val="nil"/>
              <w:bottom w:val="nil"/>
              <w:right w:val="nil"/>
            </w:tcBorders>
            <w:shd w:val="clear" w:color="auto" w:fill="auto"/>
            <w:noWrap/>
            <w:vAlign w:val="center"/>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Roots and tubers</w:t>
            </w:r>
          </w:p>
        </w:tc>
      </w:tr>
      <w:tr w:rsidR="00B616E7" w:rsidRPr="00B616E7" w:rsidTr="00B616E7">
        <w:trPr>
          <w:trHeight w:val="360"/>
        </w:trPr>
        <w:tc>
          <w:tcPr>
            <w:tcW w:w="1902" w:type="dxa"/>
            <w:tcBorders>
              <w:top w:val="nil"/>
              <w:left w:val="nil"/>
              <w:bottom w:val="nil"/>
              <w:right w:val="nil"/>
            </w:tcBorders>
            <w:shd w:val="clear" w:color="auto" w:fill="auto"/>
            <w:noWrap/>
            <w:vAlign w:val="bottom"/>
            <w:hideMark/>
          </w:tcPr>
          <w:p w:rsidR="00B616E7" w:rsidRPr="00B616E7" w:rsidRDefault="00B616E7" w:rsidP="00B616E7">
            <w:pPr>
              <w:spacing w:line="240" w:lineRule="auto"/>
              <w:jc w:val="center"/>
              <w:rPr>
                <w:color w:val="000000"/>
                <w:sz w:val="22"/>
                <w:szCs w:val="22"/>
                <w:lang w:val="en-NZ" w:eastAsia="en-NZ"/>
              </w:rPr>
            </w:pPr>
            <w:r w:rsidRPr="00B616E7">
              <w:rPr>
                <w:color w:val="000000"/>
                <w:sz w:val="22"/>
                <w:szCs w:val="22"/>
                <w:lang w:val="en-NZ" w:eastAsia="en-NZ"/>
              </w:rPr>
              <w:t>18</w:t>
            </w:r>
          </w:p>
        </w:tc>
        <w:tc>
          <w:tcPr>
            <w:tcW w:w="2284"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Other foods</w:t>
            </w:r>
          </w:p>
        </w:tc>
        <w:tc>
          <w:tcPr>
            <w:tcW w:w="99"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1901" w:type="dxa"/>
            <w:tcBorders>
              <w:top w:val="nil"/>
              <w:left w:val="nil"/>
              <w:bottom w:val="nil"/>
              <w:right w:val="nil"/>
            </w:tcBorders>
            <w:shd w:val="clear" w:color="auto" w:fill="auto"/>
            <w:noWrap/>
            <w:vAlign w:val="center"/>
            <w:hideMark/>
          </w:tcPr>
          <w:p w:rsidR="00B616E7" w:rsidRPr="00B616E7" w:rsidRDefault="00B616E7" w:rsidP="00B616E7">
            <w:pPr>
              <w:spacing w:line="240" w:lineRule="auto"/>
              <w:jc w:val="center"/>
              <w:rPr>
                <w:color w:val="000000"/>
                <w:sz w:val="22"/>
                <w:szCs w:val="22"/>
                <w:lang w:val="en-NZ" w:eastAsia="en-NZ"/>
              </w:rPr>
            </w:pPr>
            <w:r w:rsidRPr="00B616E7">
              <w:rPr>
                <w:color w:val="000000"/>
                <w:sz w:val="22"/>
                <w:szCs w:val="22"/>
                <w:lang w:val="en-NZ" w:eastAsia="en-NZ"/>
              </w:rPr>
              <w:t>31</w:t>
            </w:r>
          </w:p>
        </w:tc>
        <w:tc>
          <w:tcPr>
            <w:tcW w:w="2954" w:type="dxa"/>
            <w:tcBorders>
              <w:top w:val="nil"/>
              <w:left w:val="nil"/>
              <w:bottom w:val="nil"/>
              <w:right w:val="nil"/>
            </w:tcBorders>
            <w:shd w:val="clear" w:color="auto" w:fill="auto"/>
            <w:noWrap/>
            <w:vAlign w:val="center"/>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Vegetables</w:t>
            </w:r>
          </w:p>
        </w:tc>
      </w:tr>
      <w:tr w:rsidR="00B616E7" w:rsidRPr="00B616E7" w:rsidTr="00B616E7">
        <w:trPr>
          <w:trHeight w:val="360"/>
        </w:trPr>
        <w:tc>
          <w:tcPr>
            <w:tcW w:w="1902"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2284"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99"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1901" w:type="dxa"/>
            <w:tcBorders>
              <w:top w:val="nil"/>
              <w:left w:val="nil"/>
              <w:bottom w:val="nil"/>
              <w:right w:val="nil"/>
            </w:tcBorders>
            <w:shd w:val="clear" w:color="auto" w:fill="auto"/>
            <w:noWrap/>
            <w:vAlign w:val="center"/>
            <w:hideMark/>
          </w:tcPr>
          <w:p w:rsidR="00B616E7" w:rsidRPr="00B616E7" w:rsidRDefault="00B616E7" w:rsidP="00B616E7">
            <w:pPr>
              <w:spacing w:line="240" w:lineRule="auto"/>
              <w:jc w:val="center"/>
              <w:rPr>
                <w:color w:val="000000"/>
                <w:sz w:val="22"/>
                <w:szCs w:val="22"/>
                <w:lang w:val="en-NZ" w:eastAsia="en-NZ"/>
              </w:rPr>
            </w:pPr>
            <w:r w:rsidRPr="00B616E7">
              <w:rPr>
                <w:color w:val="000000"/>
                <w:sz w:val="22"/>
                <w:szCs w:val="22"/>
                <w:lang w:val="en-NZ" w:eastAsia="en-NZ"/>
              </w:rPr>
              <w:t>21</w:t>
            </w:r>
          </w:p>
        </w:tc>
        <w:tc>
          <w:tcPr>
            <w:tcW w:w="2954" w:type="dxa"/>
            <w:tcBorders>
              <w:top w:val="nil"/>
              <w:left w:val="nil"/>
              <w:bottom w:val="nil"/>
              <w:right w:val="nil"/>
            </w:tcBorders>
            <w:shd w:val="clear" w:color="auto" w:fill="auto"/>
            <w:noWrap/>
            <w:vAlign w:val="center"/>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Fruits</w:t>
            </w:r>
          </w:p>
        </w:tc>
      </w:tr>
      <w:tr w:rsidR="00B616E7" w:rsidRPr="00B616E7" w:rsidTr="00B616E7">
        <w:trPr>
          <w:trHeight w:val="360"/>
        </w:trPr>
        <w:tc>
          <w:tcPr>
            <w:tcW w:w="1902"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2284"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99"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1901" w:type="dxa"/>
            <w:tcBorders>
              <w:top w:val="nil"/>
              <w:left w:val="nil"/>
              <w:bottom w:val="nil"/>
              <w:right w:val="nil"/>
            </w:tcBorders>
            <w:shd w:val="clear" w:color="auto" w:fill="auto"/>
            <w:noWrap/>
            <w:vAlign w:val="center"/>
            <w:hideMark/>
          </w:tcPr>
          <w:p w:rsidR="00B616E7" w:rsidRPr="00B616E7" w:rsidRDefault="00B616E7" w:rsidP="00B616E7">
            <w:pPr>
              <w:spacing w:line="240" w:lineRule="auto"/>
              <w:jc w:val="center"/>
              <w:rPr>
                <w:color w:val="000000"/>
                <w:sz w:val="22"/>
                <w:szCs w:val="22"/>
                <w:lang w:val="en-NZ" w:eastAsia="en-NZ"/>
              </w:rPr>
            </w:pPr>
            <w:r w:rsidRPr="00B616E7">
              <w:rPr>
                <w:color w:val="000000"/>
                <w:sz w:val="22"/>
                <w:szCs w:val="22"/>
                <w:lang w:val="en-NZ" w:eastAsia="en-NZ"/>
              </w:rPr>
              <w:t>14</w:t>
            </w:r>
          </w:p>
        </w:tc>
        <w:tc>
          <w:tcPr>
            <w:tcW w:w="2954" w:type="dxa"/>
            <w:tcBorders>
              <w:top w:val="nil"/>
              <w:left w:val="nil"/>
              <w:bottom w:val="nil"/>
              <w:right w:val="nil"/>
            </w:tcBorders>
            <w:shd w:val="clear" w:color="auto" w:fill="auto"/>
            <w:noWrap/>
            <w:vAlign w:val="center"/>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Spices and condiments</w:t>
            </w:r>
          </w:p>
        </w:tc>
      </w:tr>
      <w:tr w:rsidR="00B616E7" w:rsidRPr="00B616E7" w:rsidTr="00B616E7">
        <w:trPr>
          <w:trHeight w:val="360"/>
        </w:trPr>
        <w:tc>
          <w:tcPr>
            <w:tcW w:w="1902"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2284"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99"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1901" w:type="dxa"/>
            <w:tcBorders>
              <w:top w:val="nil"/>
              <w:left w:val="nil"/>
              <w:bottom w:val="nil"/>
              <w:right w:val="nil"/>
            </w:tcBorders>
            <w:shd w:val="clear" w:color="auto" w:fill="auto"/>
            <w:noWrap/>
            <w:vAlign w:val="center"/>
            <w:hideMark/>
          </w:tcPr>
          <w:p w:rsidR="00B616E7" w:rsidRPr="00B616E7" w:rsidRDefault="00B616E7" w:rsidP="00B616E7">
            <w:pPr>
              <w:spacing w:line="240" w:lineRule="auto"/>
              <w:jc w:val="center"/>
              <w:rPr>
                <w:color w:val="000000"/>
                <w:sz w:val="22"/>
                <w:szCs w:val="22"/>
                <w:lang w:val="en-NZ" w:eastAsia="en-NZ"/>
              </w:rPr>
            </w:pPr>
            <w:r w:rsidRPr="00B616E7">
              <w:rPr>
                <w:color w:val="000000"/>
                <w:sz w:val="22"/>
                <w:szCs w:val="22"/>
                <w:lang w:val="en-NZ" w:eastAsia="en-NZ"/>
              </w:rPr>
              <w:t>12</w:t>
            </w:r>
          </w:p>
        </w:tc>
        <w:tc>
          <w:tcPr>
            <w:tcW w:w="2954" w:type="dxa"/>
            <w:tcBorders>
              <w:top w:val="nil"/>
              <w:left w:val="nil"/>
              <w:bottom w:val="nil"/>
              <w:right w:val="nil"/>
            </w:tcBorders>
            <w:shd w:val="clear" w:color="auto" w:fill="auto"/>
            <w:noWrap/>
            <w:vAlign w:val="center"/>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Other foods</w:t>
            </w:r>
          </w:p>
        </w:tc>
      </w:tr>
      <w:tr w:rsidR="00B616E7" w:rsidRPr="00B616E7" w:rsidTr="00B616E7">
        <w:trPr>
          <w:trHeight w:val="360"/>
        </w:trPr>
        <w:tc>
          <w:tcPr>
            <w:tcW w:w="1902"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2284"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99" w:type="dxa"/>
            <w:tcBorders>
              <w:top w:val="nil"/>
              <w:left w:val="nil"/>
              <w:bottom w:val="nil"/>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p>
        </w:tc>
        <w:tc>
          <w:tcPr>
            <w:tcW w:w="1901" w:type="dxa"/>
            <w:tcBorders>
              <w:top w:val="nil"/>
              <w:left w:val="nil"/>
              <w:bottom w:val="nil"/>
              <w:right w:val="nil"/>
            </w:tcBorders>
            <w:shd w:val="clear" w:color="auto" w:fill="auto"/>
            <w:noWrap/>
            <w:vAlign w:val="center"/>
            <w:hideMark/>
          </w:tcPr>
          <w:p w:rsidR="00B616E7" w:rsidRPr="00B616E7" w:rsidRDefault="00B616E7" w:rsidP="00B616E7">
            <w:pPr>
              <w:spacing w:line="240" w:lineRule="auto"/>
              <w:jc w:val="center"/>
              <w:rPr>
                <w:color w:val="000000"/>
                <w:sz w:val="22"/>
                <w:szCs w:val="22"/>
                <w:lang w:val="en-NZ" w:eastAsia="en-NZ"/>
              </w:rPr>
            </w:pPr>
            <w:r w:rsidRPr="00B616E7">
              <w:rPr>
                <w:color w:val="000000"/>
                <w:sz w:val="22"/>
                <w:szCs w:val="22"/>
                <w:lang w:val="en-NZ" w:eastAsia="en-NZ"/>
              </w:rPr>
              <w:t>5</w:t>
            </w:r>
          </w:p>
        </w:tc>
        <w:tc>
          <w:tcPr>
            <w:tcW w:w="2954" w:type="dxa"/>
            <w:tcBorders>
              <w:top w:val="nil"/>
              <w:left w:val="nil"/>
              <w:bottom w:val="nil"/>
              <w:right w:val="nil"/>
            </w:tcBorders>
            <w:shd w:val="clear" w:color="auto" w:fill="auto"/>
            <w:noWrap/>
            <w:vAlign w:val="center"/>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Alcohol</w:t>
            </w:r>
          </w:p>
        </w:tc>
      </w:tr>
      <w:tr w:rsidR="00B616E7" w:rsidRPr="00B616E7" w:rsidTr="00B616E7">
        <w:trPr>
          <w:trHeight w:val="360"/>
        </w:trPr>
        <w:tc>
          <w:tcPr>
            <w:tcW w:w="1902" w:type="dxa"/>
            <w:tcBorders>
              <w:top w:val="nil"/>
              <w:left w:val="nil"/>
              <w:bottom w:val="single" w:sz="4" w:space="0" w:color="auto"/>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 </w:t>
            </w:r>
          </w:p>
        </w:tc>
        <w:tc>
          <w:tcPr>
            <w:tcW w:w="2284" w:type="dxa"/>
            <w:tcBorders>
              <w:top w:val="nil"/>
              <w:left w:val="nil"/>
              <w:bottom w:val="single" w:sz="4" w:space="0" w:color="auto"/>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 </w:t>
            </w:r>
          </w:p>
        </w:tc>
        <w:tc>
          <w:tcPr>
            <w:tcW w:w="99" w:type="dxa"/>
            <w:tcBorders>
              <w:top w:val="nil"/>
              <w:left w:val="nil"/>
              <w:bottom w:val="single" w:sz="4" w:space="0" w:color="auto"/>
              <w:right w:val="nil"/>
            </w:tcBorders>
            <w:shd w:val="clear" w:color="auto" w:fill="auto"/>
            <w:noWrap/>
            <w:vAlign w:val="bottom"/>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 </w:t>
            </w:r>
          </w:p>
        </w:tc>
        <w:tc>
          <w:tcPr>
            <w:tcW w:w="1901" w:type="dxa"/>
            <w:tcBorders>
              <w:top w:val="nil"/>
              <w:left w:val="nil"/>
              <w:bottom w:val="single" w:sz="4" w:space="0" w:color="auto"/>
              <w:right w:val="nil"/>
            </w:tcBorders>
            <w:shd w:val="clear" w:color="auto" w:fill="auto"/>
            <w:noWrap/>
            <w:vAlign w:val="center"/>
            <w:hideMark/>
          </w:tcPr>
          <w:p w:rsidR="00B616E7" w:rsidRPr="00B616E7" w:rsidRDefault="00B616E7" w:rsidP="00B616E7">
            <w:pPr>
              <w:spacing w:line="240" w:lineRule="auto"/>
              <w:jc w:val="center"/>
              <w:rPr>
                <w:color w:val="000000"/>
                <w:sz w:val="22"/>
                <w:szCs w:val="22"/>
                <w:lang w:val="en-NZ" w:eastAsia="en-NZ"/>
              </w:rPr>
            </w:pPr>
            <w:r w:rsidRPr="00B616E7">
              <w:rPr>
                <w:color w:val="000000"/>
                <w:sz w:val="22"/>
                <w:szCs w:val="22"/>
                <w:lang w:val="en-NZ" w:eastAsia="en-NZ"/>
              </w:rPr>
              <w:t>24</w:t>
            </w:r>
          </w:p>
        </w:tc>
        <w:tc>
          <w:tcPr>
            <w:tcW w:w="2954" w:type="dxa"/>
            <w:tcBorders>
              <w:top w:val="nil"/>
              <w:left w:val="nil"/>
              <w:bottom w:val="single" w:sz="4" w:space="0" w:color="auto"/>
              <w:right w:val="nil"/>
            </w:tcBorders>
            <w:shd w:val="clear" w:color="auto" w:fill="auto"/>
            <w:noWrap/>
            <w:vAlign w:val="center"/>
            <w:hideMark/>
          </w:tcPr>
          <w:p w:rsidR="00B616E7" w:rsidRPr="00B616E7" w:rsidRDefault="00B616E7" w:rsidP="00B616E7">
            <w:pPr>
              <w:spacing w:line="240" w:lineRule="auto"/>
              <w:rPr>
                <w:color w:val="000000"/>
                <w:sz w:val="22"/>
                <w:szCs w:val="22"/>
                <w:lang w:val="en-NZ" w:eastAsia="en-NZ"/>
              </w:rPr>
            </w:pPr>
            <w:r w:rsidRPr="00B616E7">
              <w:rPr>
                <w:color w:val="000000"/>
                <w:sz w:val="22"/>
                <w:szCs w:val="22"/>
                <w:lang w:val="en-NZ" w:eastAsia="en-NZ"/>
              </w:rPr>
              <w:t>Meals outside the home</w:t>
            </w:r>
          </w:p>
        </w:tc>
      </w:tr>
    </w:tbl>
    <w:p w:rsidR="00B616E7" w:rsidRDefault="0090283B" w:rsidP="00681293">
      <w:pPr>
        <w:spacing w:line="300" w:lineRule="auto"/>
        <w:jc w:val="both"/>
        <w:rPr>
          <w:rFonts w:eastAsia="Calibri"/>
        </w:rPr>
      </w:pPr>
      <w:r w:rsidRPr="00AB50F9">
        <w:rPr>
          <w:rFonts w:eastAsia="Calibri"/>
        </w:rPr>
        <w:tab/>
      </w:r>
    </w:p>
    <w:p w:rsidR="00400046" w:rsidRDefault="00400046" w:rsidP="00681293">
      <w:pPr>
        <w:spacing w:line="300" w:lineRule="auto"/>
        <w:jc w:val="both"/>
        <w:rPr>
          <w:rFonts w:eastAsia="Calibri"/>
        </w:rPr>
      </w:pPr>
    </w:p>
    <w:p w:rsidR="00F27D3C" w:rsidRDefault="00B616E7" w:rsidP="00681293">
      <w:pPr>
        <w:spacing w:line="300" w:lineRule="auto"/>
        <w:jc w:val="both"/>
        <w:rPr>
          <w:rFonts w:eastAsia="Calibri"/>
        </w:rPr>
      </w:pPr>
      <w:r>
        <w:rPr>
          <w:rFonts w:eastAsia="Calibri"/>
        </w:rPr>
        <w:tab/>
      </w:r>
      <w:r w:rsidR="0090283B" w:rsidRPr="00AB50F9">
        <w:rPr>
          <w:rFonts w:eastAsia="Calibri"/>
        </w:rPr>
        <w:t>In addition to the number of food grou</w:t>
      </w:r>
      <w:r w:rsidR="002317EA" w:rsidRPr="00AB50F9">
        <w:rPr>
          <w:rFonts w:eastAsia="Calibri"/>
        </w:rPr>
        <w:t>ps, three other features make the</w:t>
      </w:r>
      <w:r w:rsidR="00565590" w:rsidRPr="00AB50F9">
        <w:rPr>
          <w:rFonts w:eastAsia="Calibri"/>
        </w:rPr>
        <w:t xml:space="preserve"> IHLCA survey </w:t>
      </w:r>
      <w:r w:rsidR="009D078B" w:rsidRPr="00AB50F9">
        <w:rPr>
          <w:rFonts w:eastAsia="Calibri"/>
        </w:rPr>
        <w:t xml:space="preserve">a useful </w:t>
      </w:r>
      <w:r w:rsidR="0090283B" w:rsidRPr="00AB50F9">
        <w:rPr>
          <w:rFonts w:eastAsia="Calibri"/>
        </w:rPr>
        <w:t>HCES for measuring hunger.</w:t>
      </w:r>
      <w:r w:rsidR="004E0D09" w:rsidRPr="00AB50F9">
        <w:rPr>
          <w:rFonts w:eastAsia="Calibri"/>
        </w:rPr>
        <w:t xml:space="preserve"> T</w:t>
      </w:r>
      <w:r w:rsidR="00565590" w:rsidRPr="00AB50F9">
        <w:rPr>
          <w:rFonts w:eastAsia="Calibri"/>
        </w:rPr>
        <w:t xml:space="preserve">he survey questions </w:t>
      </w:r>
      <w:r w:rsidR="002317EA" w:rsidRPr="00AB50F9">
        <w:rPr>
          <w:rFonts w:eastAsia="Calibri"/>
        </w:rPr>
        <w:t>focus</w:t>
      </w:r>
      <w:r w:rsidR="00565590" w:rsidRPr="00AB50F9">
        <w:rPr>
          <w:rFonts w:eastAsia="Calibri"/>
        </w:rPr>
        <w:t xml:space="preserve"> on consumption rather than on acquisitions (which do not equal co</w:t>
      </w:r>
      <w:r w:rsidR="00541BD4" w:rsidRPr="00AB50F9">
        <w:rPr>
          <w:rFonts w:eastAsia="Calibri"/>
        </w:rPr>
        <w:t>nsumption because of storage</w:t>
      </w:r>
      <w:r w:rsidR="00565590" w:rsidRPr="00AB50F9">
        <w:rPr>
          <w:rFonts w:eastAsia="Calibri"/>
        </w:rPr>
        <w:t xml:space="preserve"> and other leakages).</w:t>
      </w:r>
      <w:r w:rsidR="004E0D09" w:rsidRPr="00AB50F9">
        <w:rPr>
          <w:rFonts w:eastAsia="Calibri"/>
        </w:rPr>
        <w:t xml:space="preserve"> F</w:t>
      </w:r>
      <w:r w:rsidR="00565590" w:rsidRPr="00AB50F9">
        <w:rPr>
          <w:rFonts w:eastAsia="Calibri"/>
        </w:rPr>
        <w:t xml:space="preserve">ood and beverages consumed outside of the home are covered in great detail, with 24 categories just for </w:t>
      </w:r>
      <w:r w:rsidR="004E0D09" w:rsidRPr="00AB50F9">
        <w:rPr>
          <w:rFonts w:eastAsia="Calibri"/>
        </w:rPr>
        <w:t>these. Finally</w:t>
      </w:r>
      <w:r w:rsidR="00565590" w:rsidRPr="00AB50F9">
        <w:rPr>
          <w:rFonts w:eastAsia="Calibri"/>
        </w:rPr>
        <w:t xml:space="preserve">, for all food categories, including those consumed out of the home, the survey asks about quantities consumed, and uses </w:t>
      </w:r>
      <w:r w:rsidR="002317EA" w:rsidRPr="00AB50F9">
        <w:rPr>
          <w:rFonts w:eastAsia="Calibri"/>
        </w:rPr>
        <w:t xml:space="preserve">the </w:t>
      </w:r>
      <w:r w:rsidR="00565590" w:rsidRPr="00AB50F9">
        <w:rPr>
          <w:rFonts w:eastAsia="Calibri"/>
        </w:rPr>
        <w:t>most natural</w:t>
      </w:r>
      <w:r w:rsidR="00CB682A" w:rsidRPr="00AB50F9">
        <w:rPr>
          <w:rFonts w:eastAsia="Calibri"/>
        </w:rPr>
        <w:t xml:space="preserve"> local</w:t>
      </w:r>
      <w:r w:rsidR="00565590" w:rsidRPr="00AB50F9">
        <w:rPr>
          <w:rFonts w:eastAsia="Calibri"/>
        </w:rPr>
        <w:t xml:space="preserve"> </w:t>
      </w:r>
      <w:r w:rsidR="002317EA" w:rsidRPr="00AB50F9">
        <w:rPr>
          <w:rFonts w:eastAsia="Calibri"/>
        </w:rPr>
        <w:t xml:space="preserve">units </w:t>
      </w:r>
      <w:r w:rsidR="00565590" w:rsidRPr="00AB50F9">
        <w:rPr>
          <w:rFonts w:eastAsia="Calibri"/>
        </w:rPr>
        <w:t xml:space="preserve">for each </w:t>
      </w:r>
      <w:r w:rsidR="002317EA" w:rsidRPr="00AB50F9">
        <w:rPr>
          <w:rFonts w:eastAsia="Calibri"/>
        </w:rPr>
        <w:t>type</w:t>
      </w:r>
      <w:r w:rsidR="00A36FE8" w:rsidRPr="00AB50F9">
        <w:rPr>
          <w:rFonts w:eastAsia="Calibri"/>
        </w:rPr>
        <w:t xml:space="preserve"> of food</w:t>
      </w:r>
      <w:r w:rsidR="00CD6710" w:rsidRPr="00AB50F9">
        <w:rPr>
          <w:rFonts w:eastAsia="Calibri"/>
        </w:rPr>
        <w:t xml:space="preserve"> (</w:t>
      </w:r>
      <w:r w:rsidR="004E0D09" w:rsidRPr="00AB50F9">
        <w:rPr>
          <w:rFonts w:eastAsia="Calibri"/>
        </w:rPr>
        <w:t xml:space="preserve">with </w:t>
      </w:r>
      <w:r w:rsidR="00CB682A" w:rsidRPr="00AB50F9">
        <w:rPr>
          <w:rFonts w:eastAsia="Calibri"/>
        </w:rPr>
        <w:t xml:space="preserve">metric-equivalent conversion </w:t>
      </w:r>
      <w:r w:rsidR="00565590" w:rsidRPr="00AB50F9">
        <w:rPr>
          <w:rFonts w:eastAsia="Calibri"/>
        </w:rPr>
        <w:t xml:space="preserve">done post-interview at the survey processing stage). Consequently there should be more confidence in the </w:t>
      </w:r>
      <w:r w:rsidR="00C56936" w:rsidRPr="00AB50F9">
        <w:rPr>
          <w:rFonts w:eastAsia="Calibri"/>
        </w:rPr>
        <w:t xml:space="preserve">food quantity and </w:t>
      </w:r>
      <w:r w:rsidR="00565590" w:rsidRPr="00AB50F9">
        <w:rPr>
          <w:rFonts w:eastAsia="Calibri"/>
        </w:rPr>
        <w:t>calorie da</w:t>
      </w:r>
      <w:r w:rsidR="004635EC" w:rsidRPr="00AB50F9">
        <w:rPr>
          <w:rFonts w:eastAsia="Calibri"/>
        </w:rPr>
        <w:t>ta from the IHLCA survey than f</w:t>
      </w:r>
      <w:r w:rsidR="00565590" w:rsidRPr="00AB50F9">
        <w:rPr>
          <w:rFonts w:eastAsia="Calibri"/>
        </w:rPr>
        <w:t>r</w:t>
      </w:r>
      <w:r w:rsidR="004635EC" w:rsidRPr="00AB50F9">
        <w:rPr>
          <w:rFonts w:eastAsia="Calibri"/>
        </w:rPr>
        <w:t>om</w:t>
      </w:r>
      <w:r w:rsidR="00565590" w:rsidRPr="00AB50F9">
        <w:rPr>
          <w:rFonts w:eastAsia="Calibri"/>
        </w:rPr>
        <w:t xml:space="preserve"> many other HCES </w:t>
      </w:r>
      <w:r w:rsidR="00A36FE8" w:rsidRPr="00AB50F9">
        <w:rPr>
          <w:rFonts w:eastAsia="Calibri"/>
        </w:rPr>
        <w:t xml:space="preserve">that </w:t>
      </w:r>
      <w:r w:rsidR="00565590" w:rsidRPr="00AB50F9">
        <w:rPr>
          <w:rFonts w:eastAsia="Calibri"/>
        </w:rPr>
        <w:t xml:space="preserve">are less </w:t>
      </w:r>
      <w:r w:rsidR="00A36FE8" w:rsidRPr="00AB50F9">
        <w:rPr>
          <w:rFonts w:eastAsia="Calibri"/>
        </w:rPr>
        <w:t xml:space="preserve">suited to </w:t>
      </w:r>
      <w:r w:rsidR="00565590" w:rsidRPr="00AB50F9">
        <w:rPr>
          <w:rFonts w:eastAsia="Calibri"/>
        </w:rPr>
        <w:t>nutritional analyses.</w:t>
      </w:r>
    </w:p>
    <w:p w:rsidR="00AB50F9" w:rsidRPr="00AB50F9" w:rsidRDefault="00AB50F9" w:rsidP="00681293">
      <w:pPr>
        <w:spacing w:line="300" w:lineRule="auto"/>
        <w:jc w:val="both"/>
        <w:rPr>
          <w:rFonts w:eastAsia="Calibri"/>
        </w:rPr>
      </w:pPr>
    </w:p>
    <w:p w:rsidR="00F80092" w:rsidRDefault="00C56936" w:rsidP="00681293">
      <w:pPr>
        <w:spacing w:line="300" w:lineRule="auto"/>
        <w:jc w:val="both"/>
        <w:rPr>
          <w:rFonts w:eastAsia="Calibri"/>
        </w:rPr>
      </w:pPr>
      <w:r w:rsidRPr="00AB50F9">
        <w:rPr>
          <w:rFonts w:eastAsia="Calibri"/>
        </w:rPr>
        <w:tab/>
      </w:r>
      <w:r w:rsidR="002317EA" w:rsidRPr="00AB50F9">
        <w:rPr>
          <w:rFonts w:eastAsia="Calibri"/>
        </w:rPr>
        <w:t>D</w:t>
      </w:r>
      <w:r w:rsidRPr="00AB50F9">
        <w:rPr>
          <w:rFonts w:eastAsia="Calibri"/>
        </w:rPr>
        <w:t xml:space="preserve">escriptive statistics from the </w:t>
      </w:r>
      <w:r w:rsidR="002317EA" w:rsidRPr="00AB50F9">
        <w:rPr>
          <w:rFonts w:eastAsia="Calibri"/>
        </w:rPr>
        <w:t xml:space="preserve">two rounds of the </w:t>
      </w:r>
      <w:r w:rsidRPr="00AB50F9">
        <w:rPr>
          <w:rFonts w:eastAsia="Calibri"/>
        </w:rPr>
        <w:t>survey</w:t>
      </w:r>
      <w:r w:rsidR="002317EA" w:rsidRPr="00AB50F9">
        <w:rPr>
          <w:rFonts w:eastAsia="Calibri"/>
        </w:rPr>
        <w:t>, and the correlations between data in each round for the same household,</w:t>
      </w:r>
      <w:r w:rsidRPr="00AB50F9">
        <w:rPr>
          <w:rFonts w:eastAsia="Calibri"/>
        </w:rPr>
        <w:t xml:space="preserve"> are reported in Table 2.</w:t>
      </w:r>
      <w:r w:rsidR="008C1925" w:rsidRPr="00AB50F9">
        <w:rPr>
          <w:rFonts w:eastAsia="Calibri"/>
        </w:rPr>
        <w:t xml:space="preserve"> The </w:t>
      </w:r>
      <w:r w:rsidR="00B342C9" w:rsidRPr="00AB50F9">
        <w:rPr>
          <w:rFonts w:eastAsia="Calibri"/>
        </w:rPr>
        <w:t>survey show</w:t>
      </w:r>
      <w:r w:rsidR="008C1925" w:rsidRPr="00AB50F9">
        <w:rPr>
          <w:rFonts w:eastAsia="Calibri"/>
        </w:rPr>
        <w:t xml:space="preserve">s dietary energy averages 2600 calories per person per day. This average is about two percent higher in round 1 (December/January), during the main paddy harvest. The variance across households in the May </w:t>
      </w:r>
      <w:r w:rsidR="00CD6710" w:rsidRPr="00AB50F9">
        <w:rPr>
          <w:rFonts w:eastAsia="Calibri"/>
        </w:rPr>
        <w:t xml:space="preserve">survey round </w:t>
      </w:r>
      <w:r w:rsidR="008C1925" w:rsidRPr="00AB50F9">
        <w:rPr>
          <w:rFonts w:eastAsia="Calibri"/>
        </w:rPr>
        <w:t xml:space="preserve">is three-quarters </w:t>
      </w:r>
      <w:r w:rsidR="00B342C9" w:rsidRPr="00AB50F9">
        <w:rPr>
          <w:rFonts w:eastAsia="Calibri"/>
        </w:rPr>
        <w:t xml:space="preserve">that of </w:t>
      </w:r>
      <w:r w:rsidR="008C1925" w:rsidRPr="00AB50F9">
        <w:rPr>
          <w:rFonts w:eastAsia="Calibri"/>
        </w:rPr>
        <w:t>the main harvest period, which is consistent with the argument made by</w:t>
      </w:r>
      <w:r w:rsidR="008C1925" w:rsidRPr="00AB50F9">
        <w:rPr>
          <w:lang w:val="en-NZ"/>
        </w:rPr>
        <w:t xml:space="preserve"> </w:t>
      </w:r>
      <w:r w:rsidR="008C1925" w:rsidRPr="00AB50F9">
        <w:rPr>
          <w:rFonts w:eastAsia="Calibri"/>
          <w:lang w:val="en-NZ"/>
        </w:rPr>
        <w:t xml:space="preserve">Behrman </w:t>
      </w:r>
      <w:r w:rsidR="008E3D3A">
        <w:rPr>
          <w:rFonts w:eastAsia="Calibri"/>
          <w:i/>
          <w:lang w:val="en-NZ"/>
        </w:rPr>
        <w:t>et al.</w:t>
      </w:r>
      <w:r w:rsidR="008C1925" w:rsidRPr="00AB50F9">
        <w:rPr>
          <w:rFonts w:eastAsia="Calibri"/>
          <w:lang w:val="en-NZ"/>
        </w:rPr>
        <w:t xml:space="preserve"> </w:t>
      </w:r>
      <w:r w:rsidR="00DC4BED" w:rsidRPr="00AB50F9">
        <w:rPr>
          <w:rFonts w:eastAsia="Calibri"/>
          <w:lang w:val="en-NZ"/>
        </w:rPr>
        <w:t>(</w:t>
      </w:r>
      <w:r w:rsidR="008C1925" w:rsidRPr="00AB50F9">
        <w:rPr>
          <w:rFonts w:eastAsia="Calibri"/>
          <w:lang w:val="en-NZ"/>
        </w:rPr>
        <w:t>1997</w:t>
      </w:r>
      <w:r w:rsidR="00DC4BED" w:rsidRPr="00AB50F9">
        <w:rPr>
          <w:rFonts w:eastAsia="Calibri"/>
          <w:lang w:val="en-NZ"/>
        </w:rPr>
        <w:t>) that heterogeneous dietary preferences are more easily expressed in tim</w:t>
      </w:r>
      <w:r w:rsidR="00CB682A" w:rsidRPr="00AB50F9">
        <w:rPr>
          <w:rFonts w:eastAsia="Calibri"/>
          <w:lang w:val="en-NZ"/>
        </w:rPr>
        <w:t>es of plenty than in lean season</w:t>
      </w:r>
      <w:r w:rsidR="00DC4BED" w:rsidRPr="00AB50F9">
        <w:rPr>
          <w:rFonts w:eastAsia="Calibri"/>
          <w:lang w:val="en-NZ"/>
        </w:rPr>
        <w:t>s</w:t>
      </w:r>
      <w:r w:rsidR="008C1925" w:rsidRPr="00AB50F9">
        <w:rPr>
          <w:rFonts w:eastAsia="Calibri"/>
        </w:rPr>
        <w:t>.</w:t>
      </w:r>
    </w:p>
    <w:p w:rsidR="00AB50F9" w:rsidRPr="00AB50F9" w:rsidRDefault="00AB50F9" w:rsidP="00681293">
      <w:pPr>
        <w:spacing w:line="300" w:lineRule="auto"/>
        <w:jc w:val="both"/>
        <w:rPr>
          <w:rFonts w:eastAsia="Calibri"/>
        </w:rPr>
      </w:pPr>
    </w:p>
    <w:p w:rsidR="002D2E9E" w:rsidRDefault="002D2E9E">
      <w:pPr>
        <w:spacing w:after="200" w:line="276" w:lineRule="auto"/>
        <w:rPr>
          <w:bCs/>
        </w:rPr>
      </w:pPr>
      <w:r>
        <w:rPr>
          <w:bCs/>
        </w:rPr>
        <w:br w:type="page"/>
      </w:r>
    </w:p>
    <w:tbl>
      <w:tblPr>
        <w:tblW w:w="10845" w:type="dxa"/>
        <w:tblInd w:w="-459" w:type="dxa"/>
        <w:tblLook w:val="04A0" w:firstRow="1" w:lastRow="0" w:firstColumn="1" w:lastColumn="0" w:noHBand="0" w:noVBand="1"/>
      </w:tblPr>
      <w:tblGrid>
        <w:gridCol w:w="4835"/>
        <w:gridCol w:w="914"/>
        <w:gridCol w:w="1015"/>
        <w:gridCol w:w="271"/>
        <w:gridCol w:w="914"/>
        <w:gridCol w:w="1015"/>
        <w:gridCol w:w="1886"/>
      </w:tblGrid>
      <w:tr w:rsidR="002D2E9E" w:rsidRPr="002D2E9E" w:rsidTr="00136E69">
        <w:trPr>
          <w:trHeight w:val="348"/>
        </w:trPr>
        <w:tc>
          <w:tcPr>
            <w:tcW w:w="10845" w:type="dxa"/>
            <w:gridSpan w:val="7"/>
            <w:tcBorders>
              <w:top w:val="nil"/>
              <w:left w:val="nil"/>
              <w:bottom w:val="single" w:sz="4" w:space="0" w:color="auto"/>
              <w:right w:val="nil"/>
            </w:tcBorders>
            <w:shd w:val="clear" w:color="auto" w:fill="auto"/>
            <w:noWrap/>
            <w:hideMark/>
          </w:tcPr>
          <w:p w:rsidR="00D26C31" w:rsidRDefault="002D2E9E" w:rsidP="002D2E9E">
            <w:pPr>
              <w:spacing w:line="240" w:lineRule="auto"/>
              <w:jc w:val="center"/>
              <w:rPr>
                <w:b/>
                <w:color w:val="000000"/>
                <w:sz w:val="22"/>
                <w:szCs w:val="22"/>
                <w:lang w:val="en-NZ" w:eastAsia="en-NZ"/>
              </w:rPr>
            </w:pPr>
            <w:r w:rsidRPr="002D2E9E">
              <w:rPr>
                <w:b/>
                <w:color w:val="000000"/>
                <w:sz w:val="22"/>
                <w:szCs w:val="22"/>
                <w:lang w:val="en-NZ" w:eastAsia="en-NZ"/>
              </w:rPr>
              <w:lastRenderedPageBreak/>
              <w:t>Table 2: Descriptive Statistics and Intra-Yea</w:t>
            </w:r>
            <w:r w:rsidR="00D26C31">
              <w:rPr>
                <w:b/>
                <w:color w:val="000000"/>
                <w:sz w:val="22"/>
                <w:szCs w:val="22"/>
                <w:lang w:val="en-NZ" w:eastAsia="en-NZ"/>
              </w:rPr>
              <w:t>r Correlations in IHLCA Survey</w:t>
            </w:r>
          </w:p>
          <w:p w:rsidR="002D2E9E" w:rsidRPr="002D2E9E" w:rsidRDefault="002D2E9E" w:rsidP="008E1BBF">
            <w:pPr>
              <w:spacing w:after="80" w:line="240" w:lineRule="auto"/>
              <w:jc w:val="center"/>
              <w:rPr>
                <w:b/>
                <w:color w:val="000000"/>
                <w:sz w:val="22"/>
                <w:szCs w:val="22"/>
                <w:lang w:val="en-NZ" w:eastAsia="en-NZ"/>
              </w:rPr>
            </w:pPr>
            <w:r w:rsidRPr="002D2E9E">
              <w:rPr>
                <w:b/>
                <w:color w:val="000000"/>
                <w:sz w:val="22"/>
                <w:szCs w:val="22"/>
                <w:lang w:val="en-NZ" w:eastAsia="en-NZ"/>
              </w:rPr>
              <w:t>Myanmar 2009-</w:t>
            </w:r>
            <w:r w:rsidR="00D26C31">
              <w:rPr>
                <w:b/>
                <w:color w:val="000000"/>
                <w:sz w:val="22"/>
                <w:szCs w:val="22"/>
                <w:lang w:val="en-NZ" w:eastAsia="en-NZ"/>
              </w:rPr>
              <w:t>20</w:t>
            </w:r>
            <w:r w:rsidRPr="002D2E9E">
              <w:rPr>
                <w:b/>
                <w:color w:val="000000"/>
                <w:sz w:val="22"/>
                <w:szCs w:val="22"/>
                <w:lang w:val="en-NZ" w:eastAsia="en-NZ"/>
              </w:rPr>
              <w:t>10</w:t>
            </w:r>
          </w:p>
        </w:tc>
      </w:tr>
      <w:tr w:rsidR="002D2E9E" w:rsidRPr="002D2E9E" w:rsidTr="00136E69">
        <w:trPr>
          <w:trHeight w:val="324"/>
        </w:trPr>
        <w:tc>
          <w:tcPr>
            <w:tcW w:w="4835" w:type="dxa"/>
            <w:tcBorders>
              <w:top w:val="nil"/>
              <w:left w:val="nil"/>
              <w:bottom w:val="nil"/>
              <w:right w:val="nil"/>
            </w:tcBorders>
            <w:shd w:val="clear" w:color="auto" w:fill="auto"/>
            <w:noWrap/>
            <w:vAlign w:val="bottom"/>
            <w:hideMark/>
          </w:tcPr>
          <w:p w:rsidR="002D2E9E" w:rsidRPr="002D2E9E" w:rsidRDefault="002D2E9E" w:rsidP="00CC0A73">
            <w:pPr>
              <w:spacing w:after="80" w:line="240" w:lineRule="auto"/>
              <w:rPr>
                <w:color w:val="000000"/>
                <w:sz w:val="22"/>
                <w:szCs w:val="22"/>
                <w:lang w:val="en-NZ" w:eastAsia="en-NZ"/>
              </w:rPr>
            </w:pPr>
          </w:p>
        </w:tc>
        <w:tc>
          <w:tcPr>
            <w:tcW w:w="1929" w:type="dxa"/>
            <w:gridSpan w:val="2"/>
            <w:tcBorders>
              <w:top w:val="nil"/>
              <w:left w:val="nil"/>
              <w:bottom w:val="nil"/>
              <w:right w:val="nil"/>
            </w:tcBorders>
            <w:shd w:val="clear" w:color="auto" w:fill="auto"/>
            <w:noWrap/>
            <w:vAlign w:val="bottom"/>
            <w:hideMark/>
          </w:tcPr>
          <w:p w:rsidR="002D2E9E" w:rsidRPr="002D2E9E" w:rsidRDefault="002D2E9E" w:rsidP="00CC0A73">
            <w:pPr>
              <w:spacing w:before="80" w:after="80" w:line="240" w:lineRule="auto"/>
              <w:jc w:val="right"/>
              <w:rPr>
                <w:color w:val="000000"/>
                <w:sz w:val="22"/>
                <w:szCs w:val="22"/>
                <w:u w:val="single"/>
                <w:lang w:val="en-NZ" w:eastAsia="en-NZ"/>
              </w:rPr>
            </w:pPr>
            <w:r w:rsidRPr="002D2E9E">
              <w:rPr>
                <w:color w:val="000000"/>
                <w:sz w:val="22"/>
                <w:szCs w:val="22"/>
                <w:u w:val="single"/>
                <w:lang w:val="en-NZ" w:eastAsia="en-NZ"/>
              </w:rPr>
              <w:t>Round 1 (Dec-Jan)</w:t>
            </w:r>
          </w:p>
        </w:tc>
        <w:tc>
          <w:tcPr>
            <w:tcW w:w="266" w:type="dxa"/>
            <w:tcBorders>
              <w:top w:val="nil"/>
              <w:left w:val="nil"/>
              <w:bottom w:val="nil"/>
              <w:right w:val="nil"/>
            </w:tcBorders>
            <w:shd w:val="clear" w:color="auto" w:fill="auto"/>
            <w:noWrap/>
            <w:vAlign w:val="bottom"/>
            <w:hideMark/>
          </w:tcPr>
          <w:p w:rsidR="002D2E9E" w:rsidRPr="002D2E9E" w:rsidRDefault="002D2E9E" w:rsidP="00CC0A73">
            <w:pPr>
              <w:spacing w:before="80" w:after="80" w:line="240" w:lineRule="auto"/>
              <w:jc w:val="right"/>
              <w:rPr>
                <w:color w:val="000000"/>
                <w:sz w:val="22"/>
                <w:szCs w:val="22"/>
                <w:u w:val="single"/>
                <w:lang w:val="en-NZ" w:eastAsia="en-NZ"/>
              </w:rPr>
            </w:pPr>
          </w:p>
        </w:tc>
        <w:tc>
          <w:tcPr>
            <w:tcW w:w="1929" w:type="dxa"/>
            <w:gridSpan w:val="2"/>
            <w:tcBorders>
              <w:top w:val="nil"/>
              <w:left w:val="nil"/>
              <w:bottom w:val="nil"/>
              <w:right w:val="nil"/>
            </w:tcBorders>
            <w:shd w:val="clear" w:color="auto" w:fill="auto"/>
            <w:noWrap/>
            <w:vAlign w:val="bottom"/>
            <w:hideMark/>
          </w:tcPr>
          <w:p w:rsidR="002D2E9E" w:rsidRPr="002D2E9E" w:rsidRDefault="002D2E9E" w:rsidP="00CC0A73">
            <w:pPr>
              <w:spacing w:before="80" w:after="80" w:line="240" w:lineRule="auto"/>
              <w:jc w:val="right"/>
              <w:rPr>
                <w:color w:val="000000"/>
                <w:sz w:val="22"/>
                <w:szCs w:val="22"/>
                <w:u w:val="single"/>
                <w:lang w:val="en-NZ" w:eastAsia="en-NZ"/>
              </w:rPr>
            </w:pPr>
            <w:r w:rsidRPr="002D2E9E">
              <w:rPr>
                <w:color w:val="000000"/>
                <w:sz w:val="22"/>
                <w:szCs w:val="22"/>
                <w:u w:val="single"/>
                <w:lang w:val="en-NZ" w:eastAsia="en-NZ"/>
              </w:rPr>
              <w:t>Round 2 (May)</w:t>
            </w:r>
          </w:p>
        </w:tc>
        <w:tc>
          <w:tcPr>
            <w:tcW w:w="1886" w:type="dxa"/>
            <w:vMerge w:val="restart"/>
            <w:tcBorders>
              <w:top w:val="nil"/>
              <w:left w:val="nil"/>
              <w:bottom w:val="single" w:sz="4" w:space="0" w:color="000000"/>
              <w:right w:val="nil"/>
            </w:tcBorders>
            <w:shd w:val="clear" w:color="auto" w:fill="auto"/>
            <w:vAlign w:val="bottom"/>
            <w:hideMark/>
          </w:tcPr>
          <w:p w:rsidR="002D2E9E" w:rsidRPr="002D2E9E" w:rsidRDefault="002D2E9E" w:rsidP="00CC0A73">
            <w:pPr>
              <w:spacing w:after="80" w:line="240" w:lineRule="auto"/>
              <w:jc w:val="center"/>
              <w:rPr>
                <w:color w:val="000000"/>
                <w:sz w:val="22"/>
                <w:szCs w:val="22"/>
                <w:lang w:val="en-NZ" w:eastAsia="en-NZ"/>
              </w:rPr>
            </w:pPr>
            <w:r w:rsidRPr="002D2E9E">
              <w:rPr>
                <w:color w:val="000000"/>
                <w:sz w:val="22"/>
                <w:szCs w:val="22"/>
                <w:lang w:val="en-NZ" w:eastAsia="en-NZ"/>
              </w:rPr>
              <w:t>Correlation between rounds</w:t>
            </w:r>
          </w:p>
        </w:tc>
      </w:tr>
      <w:tr w:rsidR="002D2E9E" w:rsidRPr="002D2E9E" w:rsidTr="00136E69">
        <w:trPr>
          <w:trHeight w:val="312"/>
        </w:trPr>
        <w:tc>
          <w:tcPr>
            <w:tcW w:w="4835" w:type="dxa"/>
            <w:tcBorders>
              <w:top w:val="nil"/>
              <w:left w:val="nil"/>
              <w:bottom w:val="single" w:sz="4" w:space="0" w:color="auto"/>
              <w:right w:val="nil"/>
            </w:tcBorders>
            <w:shd w:val="clear" w:color="auto" w:fill="auto"/>
            <w:noWrap/>
            <w:vAlign w:val="bottom"/>
            <w:hideMark/>
          </w:tcPr>
          <w:p w:rsidR="002D2E9E" w:rsidRPr="002D2E9E" w:rsidRDefault="002D2E9E" w:rsidP="00FA2111">
            <w:pPr>
              <w:spacing w:after="80" w:line="240" w:lineRule="auto"/>
              <w:jc w:val="center"/>
              <w:rPr>
                <w:color w:val="000000"/>
                <w:sz w:val="22"/>
                <w:szCs w:val="22"/>
                <w:lang w:val="en-NZ" w:eastAsia="en-NZ"/>
              </w:rPr>
            </w:pPr>
            <w:r w:rsidRPr="002D2E9E">
              <w:rPr>
                <w:color w:val="000000"/>
                <w:sz w:val="22"/>
                <w:szCs w:val="22"/>
                <w:lang w:val="en-NZ" w:eastAsia="en-NZ"/>
              </w:rPr>
              <w:t>Variable</w:t>
            </w:r>
          </w:p>
        </w:tc>
        <w:tc>
          <w:tcPr>
            <w:tcW w:w="914" w:type="dxa"/>
            <w:tcBorders>
              <w:top w:val="nil"/>
              <w:left w:val="nil"/>
              <w:bottom w:val="single" w:sz="4" w:space="0" w:color="auto"/>
              <w:right w:val="nil"/>
            </w:tcBorders>
            <w:shd w:val="clear" w:color="auto" w:fill="auto"/>
            <w:noWrap/>
            <w:vAlign w:val="bottom"/>
            <w:hideMark/>
          </w:tcPr>
          <w:p w:rsidR="002D2E9E" w:rsidRPr="002D2E9E" w:rsidRDefault="002D2E9E" w:rsidP="00CC0A73">
            <w:pPr>
              <w:spacing w:after="80" w:line="240" w:lineRule="auto"/>
              <w:jc w:val="right"/>
              <w:rPr>
                <w:color w:val="000000"/>
                <w:sz w:val="22"/>
                <w:szCs w:val="22"/>
                <w:lang w:val="en-NZ" w:eastAsia="en-NZ"/>
              </w:rPr>
            </w:pPr>
            <w:r w:rsidRPr="002D2E9E">
              <w:rPr>
                <w:color w:val="000000"/>
                <w:sz w:val="22"/>
                <w:szCs w:val="22"/>
                <w:lang w:val="en-NZ" w:eastAsia="en-NZ"/>
              </w:rPr>
              <w:t>Mean</w:t>
            </w:r>
          </w:p>
        </w:tc>
        <w:tc>
          <w:tcPr>
            <w:tcW w:w="1015" w:type="dxa"/>
            <w:tcBorders>
              <w:top w:val="nil"/>
              <w:left w:val="nil"/>
              <w:bottom w:val="single" w:sz="4" w:space="0" w:color="auto"/>
              <w:right w:val="nil"/>
            </w:tcBorders>
            <w:shd w:val="clear" w:color="auto" w:fill="auto"/>
            <w:noWrap/>
            <w:vAlign w:val="bottom"/>
            <w:hideMark/>
          </w:tcPr>
          <w:p w:rsidR="002D2E9E" w:rsidRPr="002D2E9E" w:rsidRDefault="002D2E9E" w:rsidP="00CC0A73">
            <w:pPr>
              <w:spacing w:after="80" w:line="240" w:lineRule="auto"/>
              <w:jc w:val="right"/>
              <w:rPr>
                <w:color w:val="000000"/>
                <w:sz w:val="22"/>
                <w:szCs w:val="22"/>
                <w:lang w:val="en-NZ" w:eastAsia="en-NZ"/>
              </w:rPr>
            </w:pPr>
            <w:proofErr w:type="spellStart"/>
            <w:r w:rsidRPr="002D2E9E">
              <w:rPr>
                <w:color w:val="000000"/>
                <w:sz w:val="22"/>
                <w:szCs w:val="22"/>
                <w:lang w:val="en-NZ" w:eastAsia="en-NZ"/>
              </w:rPr>
              <w:t>Std</w:t>
            </w:r>
            <w:proofErr w:type="spellEnd"/>
            <w:r w:rsidRPr="002D2E9E">
              <w:rPr>
                <w:color w:val="000000"/>
                <w:sz w:val="22"/>
                <w:szCs w:val="22"/>
                <w:lang w:val="en-NZ" w:eastAsia="en-NZ"/>
              </w:rPr>
              <w:t xml:space="preserve"> Dev</w:t>
            </w:r>
          </w:p>
        </w:tc>
        <w:tc>
          <w:tcPr>
            <w:tcW w:w="266" w:type="dxa"/>
            <w:tcBorders>
              <w:top w:val="nil"/>
              <w:left w:val="nil"/>
              <w:bottom w:val="single" w:sz="4" w:space="0" w:color="auto"/>
              <w:right w:val="nil"/>
            </w:tcBorders>
            <w:shd w:val="clear" w:color="auto" w:fill="auto"/>
            <w:noWrap/>
            <w:vAlign w:val="bottom"/>
            <w:hideMark/>
          </w:tcPr>
          <w:p w:rsidR="002D2E9E" w:rsidRPr="002D2E9E" w:rsidRDefault="002D2E9E" w:rsidP="00CC0A73">
            <w:pPr>
              <w:spacing w:after="80" w:line="240" w:lineRule="auto"/>
              <w:jc w:val="right"/>
              <w:rPr>
                <w:color w:val="000000"/>
                <w:sz w:val="22"/>
                <w:szCs w:val="22"/>
                <w:lang w:val="en-NZ" w:eastAsia="en-NZ"/>
              </w:rPr>
            </w:pPr>
            <w:r w:rsidRPr="002D2E9E">
              <w:rPr>
                <w:color w:val="000000"/>
                <w:sz w:val="22"/>
                <w:szCs w:val="22"/>
                <w:lang w:val="en-NZ" w:eastAsia="en-NZ"/>
              </w:rPr>
              <w:t> </w:t>
            </w:r>
          </w:p>
        </w:tc>
        <w:tc>
          <w:tcPr>
            <w:tcW w:w="914" w:type="dxa"/>
            <w:tcBorders>
              <w:top w:val="nil"/>
              <w:left w:val="nil"/>
              <w:bottom w:val="single" w:sz="4" w:space="0" w:color="auto"/>
              <w:right w:val="nil"/>
            </w:tcBorders>
            <w:shd w:val="clear" w:color="auto" w:fill="auto"/>
            <w:noWrap/>
            <w:vAlign w:val="bottom"/>
            <w:hideMark/>
          </w:tcPr>
          <w:p w:rsidR="002D2E9E" w:rsidRPr="002D2E9E" w:rsidRDefault="002D2E9E" w:rsidP="00CC0A73">
            <w:pPr>
              <w:spacing w:after="80" w:line="240" w:lineRule="auto"/>
              <w:jc w:val="right"/>
              <w:rPr>
                <w:color w:val="000000"/>
                <w:sz w:val="22"/>
                <w:szCs w:val="22"/>
                <w:lang w:val="en-NZ" w:eastAsia="en-NZ"/>
              </w:rPr>
            </w:pPr>
            <w:r w:rsidRPr="002D2E9E">
              <w:rPr>
                <w:color w:val="000000"/>
                <w:sz w:val="22"/>
                <w:szCs w:val="22"/>
                <w:lang w:val="en-NZ" w:eastAsia="en-NZ"/>
              </w:rPr>
              <w:t>Mean</w:t>
            </w:r>
          </w:p>
        </w:tc>
        <w:tc>
          <w:tcPr>
            <w:tcW w:w="1015" w:type="dxa"/>
            <w:tcBorders>
              <w:top w:val="nil"/>
              <w:left w:val="nil"/>
              <w:bottom w:val="single" w:sz="4" w:space="0" w:color="auto"/>
              <w:right w:val="nil"/>
            </w:tcBorders>
            <w:shd w:val="clear" w:color="auto" w:fill="auto"/>
            <w:noWrap/>
            <w:vAlign w:val="bottom"/>
            <w:hideMark/>
          </w:tcPr>
          <w:p w:rsidR="002D2E9E" w:rsidRPr="002D2E9E" w:rsidRDefault="002D2E9E" w:rsidP="00CC0A73">
            <w:pPr>
              <w:spacing w:after="80" w:line="240" w:lineRule="auto"/>
              <w:jc w:val="right"/>
              <w:rPr>
                <w:color w:val="000000"/>
                <w:sz w:val="22"/>
                <w:szCs w:val="22"/>
                <w:lang w:val="en-NZ" w:eastAsia="en-NZ"/>
              </w:rPr>
            </w:pPr>
            <w:proofErr w:type="spellStart"/>
            <w:r w:rsidRPr="002D2E9E">
              <w:rPr>
                <w:color w:val="000000"/>
                <w:sz w:val="22"/>
                <w:szCs w:val="22"/>
                <w:lang w:val="en-NZ" w:eastAsia="en-NZ"/>
              </w:rPr>
              <w:t>Std</w:t>
            </w:r>
            <w:proofErr w:type="spellEnd"/>
            <w:r w:rsidRPr="002D2E9E">
              <w:rPr>
                <w:color w:val="000000"/>
                <w:sz w:val="22"/>
                <w:szCs w:val="22"/>
                <w:lang w:val="en-NZ" w:eastAsia="en-NZ"/>
              </w:rPr>
              <w:t xml:space="preserve"> Dev</w:t>
            </w:r>
          </w:p>
        </w:tc>
        <w:tc>
          <w:tcPr>
            <w:tcW w:w="1886" w:type="dxa"/>
            <w:vMerge/>
            <w:tcBorders>
              <w:top w:val="nil"/>
              <w:left w:val="nil"/>
              <w:bottom w:val="single" w:sz="4" w:space="0" w:color="000000"/>
              <w:right w:val="nil"/>
            </w:tcBorders>
            <w:vAlign w:val="center"/>
            <w:hideMark/>
          </w:tcPr>
          <w:p w:rsidR="002D2E9E" w:rsidRPr="002D2E9E" w:rsidRDefault="002D2E9E" w:rsidP="00CC0A73">
            <w:pPr>
              <w:spacing w:after="80" w:line="240" w:lineRule="auto"/>
              <w:rPr>
                <w:color w:val="000000"/>
                <w:sz w:val="22"/>
                <w:szCs w:val="22"/>
                <w:lang w:val="en-NZ" w:eastAsia="en-NZ"/>
              </w:rPr>
            </w:pPr>
          </w:p>
        </w:tc>
      </w:tr>
      <w:tr w:rsidR="002D2E9E" w:rsidRPr="002D2E9E" w:rsidTr="00136E69">
        <w:trPr>
          <w:trHeight w:val="360"/>
        </w:trPr>
        <w:tc>
          <w:tcPr>
            <w:tcW w:w="4835" w:type="dxa"/>
            <w:tcBorders>
              <w:top w:val="nil"/>
              <w:left w:val="nil"/>
              <w:bottom w:val="nil"/>
              <w:right w:val="nil"/>
            </w:tcBorders>
            <w:shd w:val="clear" w:color="auto" w:fill="auto"/>
            <w:noWrap/>
            <w:vAlign w:val="center"/>
            <w:hideMark/>
          </w:tcPr>
          <w:p w:rsidR="002D2E9E" w:rsidRPr="002D2E9E" w:rsidRDefault="002D2E9E" w:rsidP="002D2E9E">
            <w:pPr>
              <w:spacing w:line="240" w:lineRule="auto"/>
              <w:rPr>
                <w:color w:val="000000"/>
                <w:sz w:val="22"/>
                <w:szCs w:val="22"/>
                <w:lang w:val="en-NZ" w:eastAsia="en-NZ"/>
              </w:rPr>
            </w:pPr>
          </w:p>
        </w:tc>
        <w:tc>
          <w:tcPr>
            <w:tcW w:w="6010" w:type="dxa"/>
            <w:gridSpan w:val="6"/>
            <w:tcBorders>
              <w:top w:val="single" w:sz="4" w:space="0" w:color="auto"/>
              <w:left w:val="nil"/>
              <w:bottom w:val="nil"/>
              <w:right w:val="nil"/>
            </w:tcBorders>
            <w:shd w:val="clear" w:color="auto" w:fill="auto"/>
            <w:noWrap/>
            <w:vAlign w:val="center"/>
            <w:hideMark/>
          </w:tcPr>
          <w:p w:rsidR="00B508FB" w:rsidRDefault="00B508FB" w:rsidP="002D2E9E">
            <w:pPr>
              <w:spacing w:line="240" w:lineRule="auto"/>
              <w:jc w:val="center"/>
              <w:rPr>
                <w:color w:val="000000"/>
                <w:sz w:val="22"/>
                <w:szCs w:val="22"/>
                <w:lang w:val="en-NZ" w:eastAsia="en-NZ"/>
              </w:rPr>
            </w:pPr>
          </w:p>
          <w:p w:rsid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------------------------National level (n=18274)------------------------</w:t>
            </w:r>
          </w:p>
          <w:p w:rsidR="00F61D41" w:rsidRPr="00F61D41" w:rsidRDefault="00F61D41" w:rsidP="002D2E9E">
            <w:pPr>
              <w:spacing w:line="240" w:lineRule="auto"/>
              <w:jc w:val="center"/>
              <w:rPr>
                <w:color w:val="000000"/>
                <w:sz w:val="10"/>
                <w:szCs w:val="10"/>
                <w:lang w:val="en-NZ" w:eastAsia="en-NZ"/>
              </w:rPr>
            </w:pP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Monthly calories per household (thousands)</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378.18</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184.24</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371.93</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168.99</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0.68</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Household size</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5.01</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2.18</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4.99</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2.16</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0.92</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Calories per person per day</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2616</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949</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2576</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821</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0.45</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Age of household head</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53.21</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13.80</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53.40</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13.72</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0.95</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Household head is female (=1, else 0)</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0.20</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0.40</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0.21</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0.41</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0.90</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Household head is married (=1, else 0)</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0.74</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0.44</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0.73</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0.45</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0.88</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Years of education of household head</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6.27</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3.98</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6.27</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3.98</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0.86</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roofErr w:type="spellStart"/>
            <w:r w:rsidRPr="002D2E9E">
              <w:rPr>
                <w:color w:val="000000"/>
                <w:sz w:val="22"/>
                <w:szCs w:val="22"/>
                <w:lang w:val="en-NZ" w:eastAsia="en-NZ"/>
              </w:rPr>
              <w:t>H'hold</w:t>
            </w:r>
            <w:proofErr w:type="spellEnd"/>
            <w:r w:rsidRPr="002D2E9E">
              <w:rPr>
                <w:color w:val="000000"/>
                <w:sz w:val="22"/>
                <w:szCs w:val="22"/>
                <w:lang w:val="en-NZ" w:eastAsia="en-NZ"/>
              </w:rPr>
              <w:t xml:space="preserve"> head mother tongue is Myanmar (=1, else 0)</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0.78</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0.41</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0.78</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0.41</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0.91</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Household head is Buddhist (=1, else 0)</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0.90</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0.31</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0.90</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0.31</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0.96</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Household head is a farmer (=1, else 0)</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0.42</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0.49</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0.40</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0.49</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0.73</w:t>
            </w:r>
          </w:p>
        </w:tc>
      </w:tr>
      <w:tr w:rsidR="002D2E9E" w:rsidRPr="002D2E9E" w:rsidTr="00136E69">
        <w:trPr>
          <w:trHeight w:val="120"/>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p>
        </w:tc>
      </w:tr>
      <w:tr w:rsidR="002D2E9E" w:rsidRPr="002D2E9E" w:rsidTr="00136E69">
        <w:trPr>
          <w:trHeight w:val="360"/>
        </w:trPr>
        <w:tc>
          <w:tcPr>
            <w:tcW w:w="4835" w:type="dxa"/>
            <w:tcBorders>
              <w:top w:val="nil"/>
              <w:left w:val="nil"/>
              <w:bottom w:val="nil"/>
              <w:right w:val="nil"/>
            </w:tcBorders>
            <w:shd w:val="clear" w:color="auto" w:fill="auto"/>
            <w:noWrap/>
            <w:vAlign w:val="center"/>
            <w:hideMark/>
          </w:tcPr>
          <w:p w:rsidR="002D2E9E" w:rsidRPr="002D2E9E" w:rsidRDefault="002D2E9E" w:rsidP="002D2E9E">
            <w:pPr>
              <w:spacing w:line="240" w:lineRule="auto"/>
              <w:rPr>
                <w:color w:val="000000"/>
                <w:sz w:val="22"/>
                <w:szCs w:val="22"/>
                <w:lang w:val="en-NZ" w:eastAsia="en-NZ"/>
              </w:rPr>
            </w:pPr>
          </w:p>
        </w:tc>
        <w:tc>
          <w:tcPr>
            <w:tcW w:w="6010" w:type="dxa"/>
            <w:gridSpan w:val="6"/>
            <w:tcBorders>
              <w:top w:val="nil"/>
              <w:left w:val="nil"/>
              <w:bottom w:val="nil"/>
              <w:right w:val="nil"/>
            </w:tcBorders>
            <w:shd w:val="clear" w:color="auto" w:fill="auto"/>
            <w:noWrap/>
            <w:vAlign w:val="center"/>
            <w:hideMark/>
          </w:tcPr>
          <w:p w:rsidR="00B508FB" w:rsidRDefault="00B508FB" w:rsidP="002D2E9E">
            <w:pPr>
              <w:spacing w:line="240" w:lineRule="auto"/>
              <w:jc w:val="center"/>
              <w:rPr>
                <w:color w:val="000000"/>
                <w:sz w:val="22"/>
                <w:szCs w:val="22"/>
                <w:lang w:val="en-NZ" w:eastAsia="en-NZ"/>
              </w:rPr>
            </w:pPr>
          </w:p>
          <w:p w:rsidR="002D2E9E" w:rsidRDefault="002D2E9E" w:rsidP="00F61D41">
            <w:pPr>
              <w:spacing w:line="240" w:lineRule="auto"/>
              <w:jc w:val="center"/>
              <w:rPr>
                <w:color w:val="000000"/>
                <w:sz w:val="22"/>
                <w:szCs w:val="22"/>
                <w:lang w:val="en-NZ" w:eastAsia="en-NZ"/>
              </w:rPr>
            </w:pPr>
            <w:r w:rsidRPr="002D2E9E">
              <w:rPr>
                <w:color w:val="000000"/>
                <w:sz w:val="22"/>
                <w:szCs w:val="22"/>
                <w:lang w:val="en-NZ" w:eastAsia="en-NZ"/>
              </w:rPr>
              <w:t>------------------------Rural areas only (n=12863)----------------------</w:t>
            </w:r>
          </w:p>
          <w:p w:rsidR="00F61D41" w:rsidRPr="00F61D41" w:rsidRDefault="00F61D41" w:rsidP="00F61D41">
            <w:pPr>
              <w:spacing w:line="240" w:lineRule="auto"/>
              <w:jc w:val="center"/>
              <w:rPr>
                <w:color w:val="000000"/>
                <w:sz w:val="10"/>
                <w:szCs w:val="10"/>
                <w:lang w:val="en-NZ" w:eastAsia="en-NZ"/>
              </w:rPr>
            </w:pP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Monthly calories per household (thousands)</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400.62</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190.37</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393.29</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172.22</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0.68</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Household size</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5.05</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2.15</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5.03</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2.14</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0.93</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Calories per person per day</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2741</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950</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2696</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813</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0.44</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Age of household head</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52.14</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13.76</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52.33</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13.68</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0.95</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Household head is female (=1, else 0)</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0.18</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0.39</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0.19</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0.39</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0.91</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Household head is married (=1, else 0)</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0.77</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0.42</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0.75</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0.43</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0.87</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Years of education of household head</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5.39</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3.45</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5.39</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3.45</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0.82</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roofErr w:type="spellStart"/>
            <w:r w:rsidRPr="002D2E9E">
              <w:rPr>
                <w:color w:val="000000"/>
                <w:sz w:val="22"/>
                <w:szCs w:val="22"/>
                <w:lang w:val="en-NZ" w:eastAsia="en-NZ"/>
              </w:rPr>
              <w:t>H'hold</w:t>
            </w:r>
            <w:proofErr w:type="spellEnd"/>
            <w:r w:rsidRPr="002D2E9E">
              <w:rPr>
                <w:color w:val="000000"/>
                <w:sz w:val="22"/>
                <w:szCs w:val="22"/>
                <w:lang w:val="en-NZ" w:eastAsia="en-NZ"/>
              </w:rPr>
              <w:t xml:space="preserve"> head mother tongue is Myanmar (=1, else 0)</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0.76</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0.42</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0.77</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0.42</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0.93</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Household head is Buddhist (=1, else 0)</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0.91</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0.29</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0.91</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0.29</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0.97</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Household head is a farmer (=1, else 0)</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0.54</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0.50</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0.52</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0.50</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0.67</w:t>
            </w:r>
          </w:p>
        </w:tc>
      </w:tr>
      <w:tr w:rsidR="002D2E9E" w:rsidRPr="002D2E9E" w:rsidTr="00136E69">
        <w:trPr>
          <w:trHeight w:val="120"/>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p>
        </w:tc>
      </w:tr>
      <w:tr w:rsidR="002D2E9E" w:rsidRPr="002D2E9E" w:rsidTr="00136E69">
        <w:trPr>
          <w:trHeight w:val="360"/>
        </w:trPr>
        <w:tc>
          <w:tcPr>
            <w:tcW w:w="4835" w:type="dxa"/>
            <w:tcBorders>
              <w:top w:val="nil"/>
              <w:left w:val="nil"/>
              <w:bottom w:val="nil"/>
              <w:right w:val="nil"/>
            </w:tcBorders>
            <w:shd w:val="clear" w:color="auto" w:fill="auto"/>
            <w:noWrap/>
            <w:vAlign w:val="center"/>
            <w:hideMark/>
          </w:tcPr>
          <w:p w:rsidR="002D2E9E" w:rsidRPr="002D2E9E" w:rsidRDefault="002D2E9E" w:rsidP="002D2E9E">
            <w:pPr>
              <w:spacing w:line="240" w:lineRule="auto"/>
              <w:rPr>
                <w:color w:val="000000"/>
                <w:sz w:val="22"/>
                <w:szCs w:val="22"/>
                <w:lang w:val="en-NZ" w:eastAsia="en-NZ"/>
              </w:rPr>
            </w:pPr>
          </w:p>
        </w:tc>
        <w:tc>
          <w:tcPr>
            <w:tcW w:w="6010" w:type="dxa"/>
            <w:gridSpan w:val="6"/>
            <w:tcBorders>
              <w:top w:val="nil"/>
              <w:left w:val="nil"/>
              <w:bottom w:val="nil"/>
              <w:right w:val="nil"/>
            </w:tcBorders>
            <w:shd w:val="clear" w:color="auto" w:fill="auto"/>
            <w:noWrap/>
            <w:vAlign w:val="center"/>
            <w:hideMark/>
          </w:tcPr>
          <w:p w:rsidR="00B508FB" w:rsidRDefault="00B508FB" w:rsidP="002D2E9E">
            <w:pPr>
              <w:spacing w:line="240" w:lineRule="auto"/>
              <w:jc w:val="center"/>
              <w:rPr>
                <w:color w:val="000000"/>
                <w:sz w:val="22"/>
                <w:szCs w:val="22"/>
                <w:lang w:val="en-NZ" w:eastAsia="en-NZ"/>
              </w:rPr>
            </w:pPr>
          </w:p>
          <w:p w:rsidR="002D2E9E" w:rsidRDefault="002D2E9E" w:rsidP="00F61D41">
            <w:pPr>
              <w:spacing w:line="240" w:lineRule="auto"/>
              <w:jc w:val="center"/>
              <w:rPr>
                <w:color w:val="000000"/>
                <w:sz w:val="22"/>
                <w:szCs w:val="22"/>
                <w:lang w:val="en-NZ" w:eastAsia="en-NZ"/>
              </w:rPr>
            </w:pPr>
            <w:r w:rsidRPr="002D2E9E">
              <w:rPr>
                <w:color w:val="000000"/>
                <w:sz w:val="22"/>
                <w:szCs w:val="22"/>
                <w:lang w:val="en-NZ" w:eastAsia="en-NZ"/>
              </w:rPr>
              <w:t>------------------------Urban areas only (n=5411)----------------------</w:t>
            </w:r>
          </w:p>
          <w:p w:rsidR="00F61D41" w:rsidRPr="00F61D41" w:rsidRDefault="00F61D41" w:rsidP="00F61D41">
            <w:pPr>
              <w:spacing w:line="240" w:lineRule="auto"/>
              <w:jc w:val="center"/>
              <w:rPr>
                <w:color w:val="000000"/>
                <w:sz w:val="10"/>
                <w:szCs w:val="10"/>
                <w:lang w:val="en-NZ" w:eastAsia="en-NZ"/>
              </w:rPr>
            </w:pP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Monthly calories per household (thousands)</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316.18</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149.59</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312.91</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144.11</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0.61</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Household size</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4.90</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2.26</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4.87</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2.22</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0.89</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Calories per person per day</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2270</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857</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2245</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752</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0.38</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Age of household head</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56.17</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13.48</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56.33</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13.39</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0.94</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Household head is female (=1, else 0)</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0.26</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0.44</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0.27</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0.44</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0.89</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Household head is married (=1, else 0)</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0.67</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0.47</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0.66</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0.47</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0.88</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Years of education of household head</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8.67</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4.35</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8.67</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4.35</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0.87</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roofErr w:type="spellStart"/>
            <w:r w:rsidRPr="002D2E9E">
              <w:rPr>
                <w:color w:val="000000"/>
                <w:sz w:val="22"/>
                <w:szCs w:val="22"/>
                <w:lang w:val="en-NZ" w:eastAsia="en-NZ"/>
              </w:rPr>
              <w:t>H'hold</w:t>
            </w:r>
            <w:proofErr w:type="spellEnd"/>
            <w:r w:rsidRPr="002D2E9E">
              <w:rPr>
                <w:color w:val="000000"/>
                <w:sz w:val="22"/>
                <w:szCs w:val="22"/>
                <w:lang w:val="en-NZ" w:eastAsia="en-NZ"/>
              </w:rPr>
              <w:t xml:space="preserve"> head mother tongue is Myanmar (=1, else 0)</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0.84</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0.37</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0.84</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0.37</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0.82</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Household head is Buddhist (=1, else 0)</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0.87</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0.34</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0.87</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0.34</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0.96</w:t>
            </w:r>
          </w:p>
        </w:tc>
      </w:tr>
      <w:tr w:rsidR="002D2E9E" w:rsidRPr="002D2E9E" w:rsidTr="00136E69">
        <w:trPr>
          <w:trHeight w:val="288"/>
        </w:trPr>
        <w:tc>
          <w:tcPr>
            <w:tcW w:w="483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Household head is a farmer (=1, else 0)</w:t>
            </w: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0.06</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0.24</w:t>
            </w:r>
          </w:p>
        </w:tc>
        <w:tc>
          <w:tcPr>
            <w:tcW w:w="26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p>
        </w:tc>
        <w:tc>
          <w:tcPr>
            <w:tcW w:w="914"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0.06</w:t>
            </w:r>
          </w:p>
        </w:tc>
        <w:tc>
          <w:tcPr>
            <w:tcW w:w="1015"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right"/>
              <w:rPr>
                <w:color w:val="000000"/>
                <w:sz w:val="22"/>
                <w:szCs w:val="22"/>
                <w:lang w:val="en-NZ" w:eastAsia="en-NZ"/>
              </w:rPr>
            </w:pPr>
            <w:r w:rsidRPr="002D2E9E">
              <w:rPr>
                <w:color w:val="000000"/>
                <w:sz w:val="22"/>
                <w:szCs w:val="22"/>
                <w:lang w:val="en-NZ" w:eastAsia="en-NZ"/>
              </w:rPr>
              <w:t>0.23</w:t>
            </w:r>
          </w:p>
        </w:tc>
        <w:tc>
          <w:tcPr>
            <w:tcW w:w="1886" w:type="dxa"/>
            <w:tcBorders>
              <w:top w:val="nil"/>
              <w:left w:val="nil"/>
              <w:bottom w:val="nil"/>
              <w:right w:val="nil"/>
            </w:tcBorders>
            <w:shd w:val="clear" w:color="auto" w:fill="auto"/>
            <w:noWrap/>
            <w:vAlign w:val="bottom"/>
            <w:hideMark/>
          </w:tcPr>
          <w:p w:rsidR="002D2E9E" w:rsidRPr="002D2E9E" w:rsidRDefault="002D2E9E" w:rsidP="002D2E9E">
            <w:pPr>
              <w:spacing w:line="240" w:lineRule="auto"/>
              <w:jc w:val="center"/>
              <w:rPr>
                <w:color w:val="000000"/>
                <w:sz w:val="22"/>
                <w:szCs w:val="22"/>
                <w:lang w:val="en-NZ" w:eastAsia="en-NZ"/>
              </w:rPr>
            </w:pPr>
            <w:r w:rsidRPr="002D2E9E">
              <w:rPr>
                <w:color w:val="000000"/>
                <w:sz w:val="22"/>
                <w:szCs w:val="22"/>
                <w:lang w:val="en-NZ" w:eastAsia="en-NZ"/>
              </w:rPr>
              <w:t>0.70</w:t>
            </w:r>
          </w:p>
        </w:tc>
      </w:tr>
      <w:tr w:rsidR="002D2E9E" w:rsidRPr="002D2E9E" w:rsidTr="00136E69">
        <w:trPr>
          <w:trHeight w:val="108"/>
        </w:trPr>
        <w:tc>
          <w:tcPr>
            <w:tcW w:w="4835" w:type="dxa"/>
            <w:tcBorders>
              <w:top w:val="nil"/>
              <w:left w:val="nil"/>
              <w:bottom w:val="single" w:sz="4" w:space="0" w:color="auto"/>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 </w:t>
            </w:r>
          </w:p>
        </w:tc>
        <w:tc>
          <w:tcPr>
            <w:tcW w:w="914" w:type="dxa"/>
            <w:tcBorders>
              <w:top w:val="nil"/>
              <w:left w:val="nil"/>
              <w:bottom w:val="single" w:sz="4" w:space="0" w:color="auto"/>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 </w:t>
            </w:r>
          </w:p>
        </w:tc>
        <w:tc>
          <w:tcPr>
            <w:tcW w:w="1015" w:type="dxa"/>
            <w:tcBorders>
              <w:top w:val="nil"/>
              <w:left w:val="nil"/>
              <w:bottom w:val="single" w:sz="4" w:space="0" w:color="auto"/>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 </w:t>
            </w:r>
          </w:p>
        </w:tc>
        <w:tc>
          <w:tcPr>
            <w:tcW w:w="266" w:type="dxa"/>
            <w:tcBorders>
              <w:top w:val="nil"/>
              <w:left w:val="nil"/>
              <w:bottom w:val="single" w:sz="4" w:space="0" w:color="auto"/>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 </w:t>
            </w:r>
          </w:p>
        </w:tc>
        <w:tc>
          <w:tcPr>
            <w:tcW w:w="914" w:type="dxa"/>
            <w:tcBorders>
              <w:top w:val="nil"/>
              <w:left w:val="nil"/>
              <w:bottom w:val="single" w:sz="4" w:space="0" w:color="auto"/>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 </w:t>
            </w:r>
          </w:p>
        </w:tc>
        <w:tc>
          <w:tcPr>
            <w:tcW w:w="1015" w:type="dxa"/>
            <w:tcBorders>
              <w:top w:val="nil"/>
              <w:left w:val="nil"/>
              <w:bottom w:val="single" w:sz="4" w:space="0" w:color="auto"/>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 </w:t>
            </w:r>
          </w:p>
        </w:tc>
        <w:tc>
          <w:tcPr>
            <w:tcW w:w="1886" w:type="dxa"/>
            <w:tcBorders>
              <w:top w:val="nil"/>
              <w:left w:val="nil"/>
              <w:bottom w:val="single" w:sz="4" w:space="0" w:color="auto"/>
              <w:right w:val="nil"/>
            </w:tcBorders>
            <w:shd w:val="clear" w:color="auto" w:fill="auto"/>
            <w:noWrap/>
            <w:vAlign w:val="bottom"/>
            <w:hideMark/>
          </w:tcPr>
          <w:p w:rsidR="002D2E9E" w:rsidRPr="002D2E9E" w:rsidRDefault="002D2E9E" w:rsidP="002D2E9E">
            <w:pPr>
              <w:spacing w:line="240" w:lineRule="auto"/>
              <w:rPr>
                <w:color w:val="000000"/>
                <w:sz w:val="22"/>
                <w:szCs w:val="22"/>
                <w:lang w:val="en-NZ" w:eastAsia="en-NZ"/>
              </w:rPr>
            </w:pPr>
            <w:r w:rsidRPr="002D2E9E">
              <w:rPr>
                <w:color w:val="000000"/>
                <w:sz w:val="22"/>
                <w:szCs w:val="22"/>
                <w:lang w:val="en-NZ" w:eastAsia="en-NZ"/>
              </w:rPr>
              <w:t> </w:t>
            </w:r>
          </w:p>
        </w:tc>
      </w:tr>
    </w:tbl>
    <w:p w:rsidR="00AB50F9" w:rsidRPr="00AB50F9" w:rsidRDefault="00AB50F9" w:rsidP="00681293">
      <w:pPr>
        <w:spacing w:line="300" w:lineRule="auto"/>
        <w:jc w:val="both"/>
        <w:rPr>
          <w:bCs/>
        </w:rPr>
      </w:pPr>
    </w:p>
    <w:p w:rsidR="00627822" w:rsidRDefault="00B342C9" w:rsidP="00681293">
      <w:pPr>
        <w:spacing w:line="300" w:lineRule="auto"/>
        <w:jc w:val="both"/>
        <w:rPr>
          <w:bCs/>
        </w:rPr>
      </w:pPr>
      <w:r w:rsidRPr="00AB50F9">
        <w:rPr>
          <w:bCs/>
        </w:rPr>
        <w:lastRenderedPageBreak/>
        <w:tab/>
      </w:r>
      <w:bookmarkStart w:id="0" w:name="_GoBack"/>
      <w:bookmarkEnd w:id="0"/>
      <w:r w:rsidRPr="00AB50F9">
        <w:rPr>
          <w:rFonts w:eastAsia="Calibri"/>
          <w:lang w:val="en-NZ"/>
        </w:rPr>
        <w:t>While the sample average dietary energy is similar between the two rounds, at the level of each household there</w:t>
      </w:r>
      <w:r w:rsidRPr="00AB50F9">
        <w:rPr>
          <w:bCs/>
        </w:rPr>
        <w:t xml:space="preserve"> </w:t>
      </w:r>
      <w:r w:rsidR="007D5F6B" w:rsidRPr="00AB50F9">
        <w:rPr>
          <w:bCs/>
        </w:rPr>
        <w:t xml:space="preserve">is </w:t>
      </w:r>
      <w:r w:rsidRPr="00AB50F9">
        <w:rPr>
          <w:bCs/>
        </w:rPr>
        <w:t xml:space="preserve">a lot of </w:t>
      </w:r>
      <w:r w:rsidR="007D5F6B" w:rsidRPr="00AB50F9">
        <w:rPr>
          <w:bCs/>
        </w:rPr>
        <w:t xml:space="preserve">intra-year </w:t>
      </w:r>
      <w:r w:rsidRPr="00AB50F9">
        <w:rPr>
          <w:bCs/>
        </w:rPr>
        <w:t xml:space="preserve">volatility. The correlation in total </w:t>
      </w:r>
      <w:r w:rsidR="007D5F6B" w:rsidRPr="00AB50F9">
        <w:rPr>
          <w:bCs/>
        </w:rPr>
        <w:t xml:space="preserve">monthly </w:t>
      </w:r>
      <w:r w:rsidRPr="00AB50F9">
        <w:rPr>
          <w:bCs/>
        </w:rPr>
        <w:t>calories per household is only 0.68, and in per capita daily calories is only 0.45. These correlations are well below the va</w:t>
      </w:r>
      <w:r w:rsidR="00541BD4" w:rsidRPr="00AB50F9">
        <w:rPr>
          <w:bCs/>
        </w:rPr>
        <w:t>lue of 1.0 that is assumed if</w:t>
      </w:r>
      <w:r w:rsidRPr="00AB50F9">
        <w:rPr>
          <w:bCs/>
        </w:rPr>
        <w:t xml:space="preserve"> data from snapshot surveys are extrapolated to annual totals.</w:t>
      </w:r>
      <w:r w:rsidR="007D5F6B" w:rsidRPr="00AB50F9">
        <w:rPr>
          <w:bCs/>
        </w:rPr>
        <w:t xml:space="preserve"> These low correlations also suggest that the basis of the FAO approach, of trying to measure habitual dietary energy consumption, may be misplaced; outcomes with autocorrelation of just 0.45 can hardly be considered habitual. Two other features of these calorie correlations are notable; they are lower in per capita terms than in household total terms because household size also fluctuates over time, and they are lower in urban areas than in rural areas. Both of these features </w:t>
      </w:r>
      <w:r w:rsidR="00627822" w:rsidRPr="00AB50F9">
        <w:rPr>
          <w:bCs/>
        </w:rPr>
        <w:t>suggest that intra-year volatility of calories is not just due to seasonality, which would be expected to more affect rural households and more affect total calories. Instead, demographic shocks and other sources of volatility may be more important than seasonality.</w:t>
      </w:r>
    </w:p>
    <w:p w:rsidR="00AB50F9" w:rsidRPr="00AB50F9" w:rsidRDefault="00AB50F9" w:rsidP="00681293">
      <w:pPr>
        <w:spacing w:line="300" w:lineRule="auto"/>
        <w:jc w:val="both"/>
        <w:rPr>
          <w:bCs/>
        </w:rPr>
      </w:pPr>
    </w:p>
    <w:p w:rsidR="00DA3FE4" w:rsidRDefault="00627822" w:rsidP="00681293">
      <w:pPr>
        <w:spacing w:line="300" w:lineRule="auto"/>
        <w:jc w:val="both"/>
        <w:rPr>
          <w:lang w:val="en-NZ"/>
        </w:rPr>
      </w:pPr>
      <w:r w:rsidRPr="00AB50F9">
        <w:rPr>
          <w:bCs/>
        </w:rPr>
        <w:tab/>
        <w:t xml:space="preserve">The </w:t>
      </w:r>
      <w:r w:rsidR="00621B41" w:rsidRPr="00AB50F9">
        <w:rPr>
          <w:bCs/>
        </w:rPr>
        <w:t xml:space="preserve">correlations for the </w:t>
      </w:r>
      <w:r w:rsidRPr="00AB50F9">
        <w:rPr>
          <w:bCs/>
        </w:rPr>
        <w:t xml:space="preserve">other household characteristics described in Table 2 </w:t>
      </w:r>
      <w:r w:rsidR="00621B41" w:rsidRPr="00AB50F9">
        <w:rPr>
          <w:bCs/>
        </w:rPr>
        <w:t xml:space="preserve">fit well with what is known about the reliability of survey data. For example, Fuller (1987) </w:t>
      </w:r>
      <w:r w:rsidR="00621B41" w:rsidRPr="00AB50F9">
        <w:rPr>
          <w:lang w:val="en-NZ"/>
        </w:rPr>
        <w:t xml:space="preserve">reports reliability ratios </w:t>
      </w:r>
      <w:r w:rsidR="00621B41" w:rsidRPr="00AB50F9">
        <w:t>(the share of measured variation due to variation in the true but unobserved data)</w:t>
      </w:r>
      <w:r w:rsidR="00621B41" w:rsidRPr="00AB50F9">
        <w:rPr>
          <w:lang w:val="en-NZ"/>
        </w:rPr>
        <w:t xml:space="preserve"> based on repeated interview studies for age and gender that are greater than 0.95,</w:t>
      </w:r>
      <w:r w:rsidR="001F4C39" w:rsidRPr="00AB50F9">
        <w:rPr>
          <w:lang w:val="en-NZ"/>
        </w:rPr>
        <w:t xml:space="preserve"> for</w:t>
      </w:r>
      <w:r w:rsidR="00621B41" w:rsidRPr="00AB50F9">
        <w:rPr>
          <w:lang w:val="en-NZ"/>
        </w:rPr>
        <w:t xml:space="preserve"> education</w:t>
      </w:r>
      <w:r w:rsidR="001F4C39" w:rsidRPr="00AB50F9">
        <w:rPr>
          <w:lang w:val="en-NZ"/>
        </w:rPr>
        <w:t xml:space="preserve"> it is 0.88</w:t>
      </w:r>
      <w:r w:rsidR="00621B41" w:rsidRPr="00AB50F9">
        <w:rPr>
          <w:lang w:val="en-NZ"/>
        </w:rPr>
        <w:t>, and for unemployment</w:t>
      </w:r>
      <w:r w:rsidR="001F4C39" w:rsidRPr="00AB50F9">
        <w:rPr>
          <w:lang w:val="en-NZ"/>
        </w:rPr>
        <w:t xml:space="preserve"> it is 0.77</w:t>
      </w:r>
      <w:r w:rsidR="00621B41" w:rsidRPr="00AB50F9">
        <w:rPr>
          <w:lang w:val="en-NZ"/>
        </w:rPr>
        <w:t xml:space="preserve">. Gibson and Kim (2013) </w:t>
      </w:r>
      <w:r w:rsidR="00A648FF" w:rsidRPr="00AB50F9">
        <w:rPr>
          <w:lang w:val="en-NZ"/>
        </w:rPr>
        <w:t>estimate</w:t>
      </w:r>
      <w:r w:rsidR="00CB682A" w:rsidRPr="00AB50F9">
        <w:rPr>
          <w:lang w:val="en-NZ"/>
        </w:rPr>
        <w:t xml:space="preserve"> </w:t>
      </w:r>
      <w:r w:rsidR="00621B41" w:rsidRPr="00AB50F9">
        <w:rPr>
          <w:lang w:val="en-NZ"/>
        </w:rPr>
        <w:t>reliability ratios for household expenditures of 0.51 and for adult school years of 0.86.</w:t>
      </w:r>
      <w:r w:rsidR="00E72A89" w:rsidRPr="00AB50F9">
        <w:rPr>
          <w:lang w:val="en-NZ"/>
        </w:rPr>
        <w:t xml:space="preserve"> In the IHLCA data, the age, gender, religion and mother tongue of the household he</w:t>
      </w:r>
      <w:r w:rsidR="00CB682A" w:rsidRPr="00AB50F9">
        <w:rPr>
          <w:lang w:val="en-NZ"/>
        </w:rPr>
        <w:t xml:space="preserve">ad have correlations across </w:t>
      </w:r>
      <w:r w:rsidR="00E72A89" w:rsidRPr="00AB50F9">
        <w:rPr>
          <w:lang w:val="en-NZ"/>
        </w:rPr>
        <w:t xml:space="preserve">repeat visits </w:t>
      </w:r>
      <w:r w:rsidR="00CB682A" w:rsidRPr="00AB50F9">
        <w:rPr>
          <w:lang w:val="en-NZ"/>
        </w:rPr>
        <w:t>ranging</w:t>
      </w:r>
      <w:r w:rsidR="00E72A89" w:rsidRPr="00AB50F9">
        <w:rPr>
          <w:lang w:val="en-NZ"/>
        </w:rPr>
        <w:t xml:space="preserve"> from 0.90 to 0.96</w:t>
      </w:r>
      <w:r w:rsidR="00CB682A" w:rsidRPr="00AB50F9">
        <w:rPr>
          <w:lang w:val="en-NZ"/>
        </w:rPr>
        <w:t xml:space="preserve"> (mean</w:t>
      </w:r>
      <w:r w:rsidR="00E72A89" w:rsidRPr="00AB50F9">
        <w:rPr>
          <w:lang w:val="en-NZ"/>
        </w:rPr>
        <w:t xml:space="preserve"> </w:t>
      </w:r>
      <w:r w:rsidR="00CB682A" w:rsidRPr="00AB50F9">
        <w:rPr>
          <w:lang w:val="en-NZ"/>
        </w:rPr>
        <w:t xml:space="preserve">of </w:t>
      </w:r>
      <w:r w:rsidR="00E72A89" w:rsidRPr="00AB50F9">
        <w:rPr>
          <w:lang w:val="en-NZ"/>
        </w:rPr>
        <w:t>0.93</w:t>
      </w:r>
      <w:r w:rsidR="00CB682A" w:rsidRPr="00AB50F9">
        <w:rPr>
          <w:lang w:val="en-NZ"/>
        </w:rPr>
        <w:t>)</w:t>
      </w:r>
      <w:r w:rsidR="00E72A89" w:rsidRPr="00AB50F9">
        <w:rPr>
          <w:lang w:val="en-NZ"/>
        </w:rPr>
        <w:t xml:space="preserve">, </w:t>
      </w:r>
      <w:r w:rsidR="00241309" w:rsidRPr="00AB50F9">
        <w:rPr>
          <w:lang w:val="en-NZ"/>
        </w:rPr>
        <w:t xml:space="preserve">the years of schooling of the household head has a correlation of 0.86, and occupational data (whether the household head </w:t>
      </w:r>
      <w:r w:rsidR="00096F32" w:rsidRPr="00AB50F9">
        <w:rPr>
          <w:lang w:val="en-NZ"/>
        </w:rPr>
        <w:t xml:space="preserve">worked as </w:t>
      </w:r>
      <w:r w:rsidR="00241309" w:rsidRPr="00AB50F9">
        <w:rPr>
          <w:lang w:val="en-NZ"/>
        </w:rPr>
        <w:t>a farmer</w:t>
      </w:r>
      <w:r w:rsidR="00CB682A" w:rsidRPr="00AB50F9">
        <w:rPr>
          <w:lang w:val="en-NZ"/>
        </w:rPr>
        <w:t xml:space="preserve"> in the last seven</w:t>
      </w:r>
      <w:r w:rsidR="00096F32" w:rsidRPr="00AB50F9">
        <w:rPr>
          <w:lang w:val="en-NZ"/>
        </w:rPr>
        <w:t xml:space="preserve"> days</w:t>
      </w:r>
      <w:r w:rsidR="00241309" w:rsidRPr="00AB50F9">
        <w:rPr>
          <w:lang w:val="en-NZ"/>
        </w:rPr>
        <w:t>) has a correlation of 0.73.</w:t>
      </w:r>
      <w:r w:rsidR="00BC075C" w:rsidRPr="00AB50F9">
        <w:rPr>
          <w:lang w:val="en-NZ"/>
        </w:rPr>
        <w:t xml:space="preserve"> In contrast to the stability of demographic characteristics, calories exhibit much greater intra-year volatility</w:t>
      </w:r>
      <w:r w:rsidR="00CB682A" w:rsidRPr="00AB50F9">
        <w:rPr>
          <w:lang w:val="en-NZ"/>
        </w:rPr>
        <w:t xml:space="preserve">. This supports </w:t>
      </w:r>
      <w:r w:rsidR="00BC075C" w:rsidRPr="00AB50F9">
        <w:rPr>
          <w:lang w:val="en-NZ"/>
        </w:rPr>
        <w:t xml:space="preserve">the finding of </w:t>
      </w:r>
      <w:r w:rsidR="00241309" w:rsidRPr="00AB50F9">
        <w:rPr>
          <w:lang w:val="en-NZ"/>
        </w:rPr>
        <w:t>McKenzie</w:t>
      </w:r>
      <w:r w:rsidR="00BC075C" w:rsidRPr="00AB50F9">
        <w:rPr>
          <w:lang w:val="en-NZ"/>
        </w:rPr>
        <w:t xml:space="preserve"> (2012) that many</w:t>
      </w:r>
      <w:r w:rsidR="00CB682A" w:rsidRPr="00AB50F9">
        <w:rPr>
          <w:lang w:val="en-NZ"/>
        </w:rPr>
        <w:t xml:space="preserve"> </w:t>
      </w:r>
      <w:r w:rsidR="001F4C39" w:rsidRPr="00AB50F9">
        <w:rPr>
          <w:lang w:val="en-NZ"/>
        </w:rPr>
        <w:t>economic outcomes, such as</w:t>
      </w:r>
      <w:r w:rsidR="00A648FF" w:rsidRPr="00AB50F9">
        <w:rPr>
          <w:lang w:val="en-NZ"/>
        </w:rPr>
        <w:t xml:space="preserve"> incomes and</w:t>
      </w:r>
      <w:r w:rsidR="00CB682A" w:rsidRPr="00AB50F9">
        <w:rPr>
          <w:lang w:val="en-NZ"/>
        </w:rPr>
        <w:t xml:space="preserve"> </w:t>
      </w:r>
      <w:r w:rsidR="00BC075C" w:rsidRPr="00AB50F9">
        <w:rPr>
          <w:lang w:val="en-NZ"/>
        </w:rPr>
        <w:t>expenditures</w:t>
      </w:r>
      <w:r w:rsidR="00CB682A" w:rsidRPr="00AB50F9">
        <w:rPr>
          <w:lang w:val="en-NZ"/>
        </w:rPr>
        <w:t xml:space="preserve">, </w:t>
      </w:r>
      <w:r w:rsidR="00BC075C" w:rsidRPr="00AB50F9">
        <w:rPr>
          <w:lang w:val="en-NZ"/>
        </w:rPr>
        <w:t>ha</w:t>
      </w:r>
      <w:r w:rsidR="00541BD4" w:rsidRPr="00AB50F9">
        <w:rPr>
          <w:lang w:val="en-NZ"/>
        </w:rPr>
        <w:t>ve low autocorrelations. F</w:t>
      </w:r>
      <w:r w:rsidR="00BC075C" w:rsidRPr="00AB50F9">
        <w:rPr>
          <w:lang w:val="en-NZ"/>
        </w:rPr>
        <w:t>or such outcomes</w:t>
      </w:r>
      <w:r w:rsidR="00541BD4" w:rsidRPr="00AB50F9">
        <w:rPr>
          <w:lang w:val="en-NZ"/>
        </w:rPr>
        <w:t>,</w:t>
      </w:r>
      <w:r w:rsidR="00BC075C" w:rsidRPr="00AB50F9">
        <w:rPr>
          <w:lang w:val="en-NZ"/>
        </w:rPr>
        <w:t xml:space="preserve"> it is useful to take multiple measurements over time</w:t>
      </w:r>
      <w:r w:rsidR="00541BD4" w:rsidRPr="00AB50F9">
        <w:rPr>
          <w:lang w:val="en-NZ"/>
        </w:rPr>
        <w:t>,</w:t>
      </w:r>
      <w:r w:rsidR="00BC075C" w:rsidRPr="00AB50F9">
        <w:rPr>
          <w:lang w:val="en-NZ"/>
        </w:rPr>
        <w:t xml:space="preserve"> since snapshots will be </w:t>
      </w:r>
      <w:r w:rsidR="00A36FE8" w:rsidRPr="00AB50F9">
        <w:rPr>
          <w:lang w:val="en-NZ"/>
        </w:rPr>
        <w:t xml:space="preserve">a </w:t>
      </w:r>
      <w:r w:rsidR="00BC075C" w:rsidRPr="00AB50F9">
        <w:rPr>
          <w:lang w:val="en-NZ"/>
        </w:rPr>
        <w:t>misleading picture of the usual position of the household.</w:t>
      </w:r>
    </w:p>
    <w:p w:rsidR="00AB50F9" w:rsidRPr="00AB50F9" w:rsidRDefault="00AB50F9" w:rsidP="00681293">
      <w:pPr>
        <w:spacing w:line="300" w:lineRule="auto"/>
        <w:jc w:val="both"/>
        <w:rPr>
          <w:lang w:val="en-NZ"/>
        </w:rPr>
      </w:pPr>
    </w:p>
    <w:p w:rsidR="00DA3FE4" w:rsidRDefault="00DA3FE4" w:rsidP="00670302">
      <w:pPr>
        <w:tabs>
          <w:tab w:val="left" w:pos="284"/>
        </w:tabs>
        <w:spacing w:line="300" w:lineRule="auto"/>
        <w:jc w:val="both"/>
        <w:rPr>
          <w:b/>
          <w:bCs/>
        </w:rPr>
      </w:pPr>
      <w:r w:rsidRPr="00AB50F9">
        <w:rPr>
          <w:b/>
          <w:bCs/>
        </w:rPr>
        <w:t>4.</w:t>
      </w:r>
      <w:r w:rsidRPr="00AB50F9">
        <w:rPr>
          <w:b/>
          <w:bCs/>
        </w:rPr>
        <w:tab/>
        <w:t xml:space="preserve">Results </w:t>
      </w:r>
    </w:p>
    <w:p w:rsidR="008E3D3A" w:rsidRPr="008E3D3A" w:rsidRDefault="008E3D3A" w:rsidP="00670302">
      <w:pPr>
        <w:tabs>
          <w:tab w:val="left" w:pos="284"/>
        </w:tabs>
        <w:spacing w:line="300" w:lineRule="auto"/>
        <w:jc w:val="both"/>
        <w:rPr>
          <w:b/>
          <w:bCs/>
          <w:sz w:val="12"/>
          <w:szCs w:val="12"/>
        </w:rPr>
      </w:pPr>
    </w:p>
    <w:p w:rsidR="006B6760" w:rsidRDefault="00804D66" w:rsidP="00681293">
      <w:pPr>
        <w:spacing w:line="300" w:lineRule="auto"/>
        <w:jc w:val="both"/>
        <w:rPr>
          <w:bCs/>
        </w:rPr>
      </w:pPr>
      <w:r w:rsidRPr="00AB50F9">
        <w:rPr>
          <w:bCs/>
        </w:rPr>
        <w:t xml:space="preserve">The estimates of per person daily calories from each survey round are annualized in two ways: a naïve extrapolation that multiplies estimates from each round by six and then adds them, and a corrected extrapolation using equation (5), which is based on the intra-year correlation of 0.45. A single daily energy requirement of 2000 calories is used </w:t>
      </w:r>
      <w:r w:rsidR="004A37CB" w:rsidRPr="00AB50F9">
        <w:rPr>
          <w:bCs/>
        </w:rPr>
        <w:t xml:space="preserve">because tailoring requirements to the demographic composition of each household would give no </w:t>
      </w:r>
      <w:r w:rsidRPr="00AB50F9">
        <w:rPr>
          <w:bCs/>
        </w:rPr>
        <w:t>further insight</w:t>
      </w:r>
      <w:r w:rsidR="004A37CB" w:rsidRPr="00AB50F9">
        <w:rPr>
          <w:bCs/>
        </w:rPr>
        <w:t>s</w:t>
      </w:r>
      <w:r w:rsidRPr="00AB50F9">
        <w:rPr>
          <w:bCs/>
        </w:rPr>
        <w:t xml:space="preserve"> about intra-year volatility.</w:t>
      </w:r>
      <w:r w:rsidR="00CB682A" w:rsidRPr="00AB50F9">
        <w:rPr>
          <w:bCs/>
        </w:rPr>
        <w:t xml:space="preserve"> With</w:t>
      </w:r>
      <w:r w:rsidRPr="00AB50F9">
        <w:rPr>
          <w:bCs/>
        </w:rPr>
        <w:t xml:space="preserve"> the naïve extrapolation, 22 percent of households, containing 26 percent of the population, have dietary energy below the 2000 calorie threshold. </w:t>
      </w:r>
      <w:r w:rsidR="00F92E26" w:rsidRPr="00AB50F9">
        <w:rPr>
          <w:bCs/>
        </w:rPr>
        <w:t xml:space="preserve">If the analysis is recast in </w:t>
      </w:r>
      <w:r w:rsidR="00F92E26" w:rsidRPr="00AB50F9">
        <w:rPr>
          <w:bCs/>
        </w:rPr>
        <w:lastRenderedPageBreak/>
        <w:t xml:space="preserve">terms of monthly </w:t>
      </w:r>
      <w:r w:rsidR="00CB682A" w:rsidRPr="00AB50F9">
        <w:rPr>
          <w:bCs/>
        </w:rPr>
        <w:t>reference periods the estimated prevalence of hunger would be the same, since annualizing data by naïve extrap</w:t>
      </w:r>
      <w:r w:rsidR="00541BD4" w:rsidRPr="00AB50F9">
        <w:rPr>
          <w:bCs/>
        </w:rPr>
        <w:t>olation reproduces the volatility</w:t>
      </w:r>
      <w:r w:rsidR="00CB682A" w:rsidRPr="00AB50F9">
        <w:rPr>
          <w:bCs/>
        </w:rPr>
        <w:t xml:space="preserve"> in short reference period data.</w:t>
      </w:r>
    </w:p>
    <w:p w:rsidR="00AB50F9" w:rsidRPr="00AB50F9" w:rsidRDefault="00AB50F9" w:rsidP="00681293">
      <w:pPr>
        <w:spacing w:line="300" w:lineRule="auto"/>
        <w:jc w:val="both"/>
        <w:rPr>
          <w:bCs/>
        </w:rPr>
      </w:pPr>
    </w:p>
    <w:p w:rsidR="00A36FE8" w:rsidRDefault="006B6760" w:rsidP="00681293">
      <w:pPr>
        <w:spacing w:line="300" w:lineRule="auto"/>
        <w:jc w:val="both"/>
        <w:rPr>
          <w:bCs/>
        </w:rPr>
      </w:pPr>
      <w:r w:rsidRPr="00AB50F9">
        <w:rPr>
          <w:bCs/>
        </w:rPr>
        <w:tab/>
        <w:t>In contrast, the corrected extrapolation</w:t>
      </w:r>
      <w:r w:rsidR="00614213" w:rsidRPr="00AB50F9">
        <w:rPr>
          <w:bCs/>
        </w:rPr>
        <w:t>,</w:t>
      </w:r>
      <w:r w:rsidRPr="00AB50F9">
        <w:rPr>
          <w:bCs/>
        </w:rPr>
        <w:t xml:space="preserve"> which uses the empirically estimated </w:t>
      </w:r>
      <w:r w:rsidR="00614213" w:rsidRPr="00AB50F9">
        <w:rPr>
          <w:bCs/>
          <w:position w:val="-8"/>
        </w:rPr>
        <w:object w:dxaOrig="900" w:dyaOrig="300">
          <v:shape id="_x0000_i1052" type="#_x0000_t75" style="width:45.6pt;height:15.6pt" o:ole="">
            <v:imagedata r:id="rId60" o:title=""/>
          </v:shape>
          <o:OLEObject Type="Embed" ProgID="Equation.3" ShapeID="_x0000_i1052" DrawAspect="Content" ObjectID="_1532244029" r:id="rId61"/>
        </w:object>
      </w:r>
      <w:r w:rsidRPr="00AB50F9">
        <w:rPr>
          <w:bCs/>
        </w:rPr>
        <w:t>shows that just 14 percent of the population is below the 2000 calories threshold.</w:t>
      </w:r>
      <w:r w:rsidR="00A36FE8" w:rsidRPr="00AB50F9">
        <w:rPr>
          <w:bCs/>
        </w:rPr>
        <w:t xml:space="preserve"> This reduction in the estimated prevalence of chronic hunger is because the corrected extrapolation has lower variance, </w:t>
      </w:r>
      <w:r w:rsidR="00541BD4" w:rsidRPr="00AB50F9">
        <w:rPr>
          <w:bCs/>
        </w:rPr>
        <w:t xml:space="preserve">with a </w:t>
      </w:r>
      <w:proofErr w:type="spellStart"/>
      <w:r w:rsidR="00541BD4" w:rsidRPr="00AB50F9">
        <w:rPr>
          <w:bCs/>
        </w:rPr>
        <w:t>CoV</w:t>
      </w:r>
      <w:proofErr w:type="spellEnd"/>
      <w:r w:rsidR="00541BD4" w:rsidRPr="00AB50F9">
        <w:rPr>
          <w:bCs/>
        </w:rPr>
        <w:t xml:space="preserve"> of 0.20 compared to</w:t>
      </w:r>
      <w:r w:rsidR="00A36FE8" w:rsidRPr="00AB50F9">
        <w:rPr>
          <w:bCs/>
        </w:rPr>
        <w:t xml:space="preserve"> 0.28 under naïve extrapolation. The distribution of the naïve and corrected extrapolation estimates are presented in Figure 3.</w:t>
      </w:r>
    </w:p>
    <w:p w:rsidR="00592E71" w:rsidRPr="00AB50F9" w:rsidRDefault="00592E71" w:rsidP="00681293">
      <w:pPr>
        <w:spacing w:line="300" w:lineRule="auto"/>
        <w:jc w:val="both"/>
        <w:rPr>
          <w:bCs/>
        </w:rPr>
      </w:pPr>
    </w:p>
    <w:p w:rsidR="00A36FE8" w:rsidRPr="00AB50F9" w:rsidRDefault="005E4454" w:rsidP="008E3D3A">
      <w:pPr>
        <w:spacing w:line="300" w:lineRule="auto"/>
        <w:jc w:val="center"/>
        <w:rPr>
          <w:bCs/>
        </w:rPr>
      </w:pPr>
      <w:r w:rsidRPr="00AB50F9">
        <w:rPr>
          <w:bCs/>
          <w:noProof/>
          <w:lang w:val="en-NZ" w:eastAsia="en-NZ"/>
        </w:rPr>
        <w:drawing>
          <wp:inline distT="0" distB="0" distL="0" distR="0" wp14:anchorId="7AACA53A" wp14:editId="4C4BAC2A">
            <wp:extent cx="4717133" cy="34305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3.tif"/>
                    <pic:cNvPicPr/>
                  </pic:nvPicPr>
                  <pic:blipFill>
                    <a:blip r:embed="rId62" cstate="print">
                      <a:extLst>
                        <a:ext uri="{28A0092B-C50C-407E-A947-70E740481C1C}">
                          <a14:useLocalDpi xmlns:a14="http://schemas.microsoft.com/office/drawing/2010/main" val="0"/>
                        </a:ext>
                      </a:extLst>
                    </a:blip>
                    <a:stretch>
                      <a:fillRect/>
                    </a:stretch>
                  </pic:blipFill>
                  <pic:spPr>
                    <a:xfrm>
                      <a:off x="0" y="0"/>
                      <a:ext cx="4757944" cy="3460184"/>
                    </a:xfrm>
                    <a:prstGeom prst="rect">
                      <a:avLst/>
                    </a:prstGeom>
                  </pic:spPr>
                </pic:pic>
              </a:graphicData>
            </a:graphic>
          </wp:inline>
        </w:drawing>
      </w:r>
    </w:p>
    <w:p w:rsidR="008E3D3A" w:rsidRDefault="00A36FE8" w:rsidP="008E3D3A">
      <w:pPr>
        <w:spacing w:line="240" w:lineRule="auto"/>
        <w:jc w:val="center"/>
        <w:rPr>
          <w:b/>
          <w:bCs/>
          <w:sz w:val="22"/>
          <w:szCs w:val="22"/>
        </w:rPr>
      </w:pPr>
      <w:r w:rsidRPr="00670302">
        <w:rPr>
          <w:b/>
          <w:bCs/>
          <w:sz w:val="22"/>
          <w:szCs w:val="22"/>
        </w:rPr>
        <w:t>Figure 3: Chronic Hunger Overstated by Naïve Extrapolation</w:t>
      </w:r>
    </w:p>
    <w:p w:rsidR="00A36FE8" w:rsidRPr="00670302" w:rsidRDefault="00B508FB" w:rsidP="008E3D3A">
      <w:pPr>
        <w:spacing w:line="240" w:lineRule="auto"/>
        <w:jc w:val="center"/>
        <w:rPr>
          <w:b/>
          <w:bCs/>
          <w:sz w:val="22"/>
          <w:szCs w:val="22"/>
        </w:rPr>
      </w:pPr>
      <w:proofErr w:type="gramStart"/>
      <w:r>
        <w:rPr>
          <w:b/>
          <w:bCs/>
          <w:sz w:val="22"/>
          <w:szCs w:val="22"/>
        </w:rPr>
        <w:t>from</w:t>
      </w:r>
      <w:proofErr w:type="gramEnd"/>
      <w:r>
        <w:rPr>
          <w:b/>
          <w:bCs/>
          <w:sz w:val="22"/>
          <w:szCs w:val="22"/>
        </w:rPr>
        <w:t xml:space="preserve"> Monthly </w:t>
      </w:r>
      <w:r w:rsidR="00A36FE8" w:rsidRPr="00670302">
        <w:rPr>
          <w:b/>
          <w:bCs/>
          <w:sz w:val="22"/>
          <w:szCs w:val="22"/>
        </w:rPr>
        <w:t>Calories to Annual</w:t>
      </w:r>
    </w:p>
    <w:p w:rsidR="00AB50F9" w:rsidRDefault="00881FB7" w:rsidP="00681293">
      <w:pPr>
        <w:spacing w:line="300" w:lineRule="auto"/>
        <w:jc w:val="both"/>
        <w:rPr>
          <w:b/>
          <w:bCs/>
        </w:rPr>
      </w:pPr>
      <w:r w:rsidRPr="00AB50F9">
        <w:rPr>
          <w:b/>
          <w:bCs/>
        </w:rPr>
        <w:tab/>
      </w:r>
    </w:p>
    <w:p w:rsidR="00FB412A" w:rsidRDefault="00AB50F9" w:rsidP="00681293">
      <w:pPr>
        <w:spacing w:line="300" w:lineRule="auto"/>
        <w:jc w:val="both"/>
        <w:rPr>
          <w:bCs/>
        </w:rPr>
      </w:pPr>
      <w:r>
        <w:rPr>
          <w:b/>
          <w:bCs/>
        </w:rPr>
        <w:tab/>
      </w:r>
      <w:r w:rsidR="00881FB7" w:rsidRPr="00AB50F9">
        <w:rPr>
          <w:bCs/>
        </w:rPr>
        <w:t xml:space="preserve">Since naïve extrapolation is equivalent to using the monthly data, Figure 3 also shows why bottom-up survey-based approaches </w:t>
      </w:r>
      <w:r w:rsidR="00264956" w:rsidRPr="00AB50F9">
        <w:rPr>
          <w:bCs/>
        </w:rPr>
        <w:t>to measuring hunger from diet</w:t>
      </w:r>
      <w:r w:rsidR="00881FB7" w:rsidRPr="00AB50F9">
        <w:rPr>
          <w:bCs/>
        </w:rPr>
        <w:t xml:space="preserve"> snapshots will </w:t>
      </w:r>
      <w:r w:rsidR="00541BD4" w:rsidRPr="00AB50F9">
        <w:rPr>
          <w:bCs/>
        </w:rPr>
        <w:t xml:space="preserve">not </w:t>
      </w:r>
      <w:r w:rsidR="00881FB7" w:rsidRPr="00AB50F9">
        <w:rPr>
          <w:bCs/>
        </w:rPr>
        <w:t xml:space="preserve">meet top-down FAO estimates based on distributing </w:t>
      </w:r>
      <w:r w:rsidR="00264956" w:rsidRPr="00AB50F9">
        <w:rPr>
          <w:bCs/>
        </w:rPr>
        <w:t xml:space="preserve">annual average </w:t>
      </w:r>
      <w:r w:rsidR="00881FB7" w:rsidRPr="00AB50F9">
        <w:rPr>
          <w:bCs/>
        </w:rPr>
        <w:t>dietary energy from food balance sheets</w:t>
      </w:r>
      <w:r w:rsidR="00264956" w:rsidRPr="00AB50F9">
        <w:rPr>
          <w:bCs/>
        </w:rPr>
        <w:t xml:space="preserve"> across the population</w:t>
      </w:r>
      <w:r w:rsidR="00881FB7" w:rsidRPr="00AB50F9">
        <w:rPr>
          <w:bCs/>
        </w:rPr>
        <w:t xml:space="preserve">. The bottom-up survey approach would estimate that 26 percent of </w:t>
      </w:r>
      <w:r w:rsidR="00264956" w:rsidRPr="00AB50F9">
        <w:rPr>
          <w:bCs/>
        </w:rPr>
        <w:t xml:space="preserve">people </w:t>
      </w:r>
      <w:r w:rsidR="00881FB7" w:rsidRPr="00AB50F9">
        <w:rPr>
          <w:bCs/>
        </w:rPr>
        <w:t>in Myanmar are hun</w:t>
      </w:r>
      <w:r w:rsidR="00541BD4" w:rsidRPr="00AB50F9">
        <w:rPr>
          <w:bCs/>
        </w:rPr>
        <w:t>gry while the FAO approach would</w:t>
      </w:r>
      <w:r w:rsidR="00FB412A" w:rsidRPr="00AB50F9">
        <w:rPr>
          <w:bCs/>
        </w:rPr>
        <w:t xml:space="preserve"> estimate </w:t>
      </w:r>
      <w:r w:rsidR="00264956" w:rsidRPr="00AB50F9">
        <w:rPr>
          <w:bCs/>
        </w:rPr>
        <w:t xml:space="preserve">that </w:t>
      </w:r>
      <w:r w:rsidR="00FB412A" w:rsidRPr="00AB50F9">
        <w:rPr>
          <w:bCs/>
        </w:rPr>
        <w:t>just</w:t>
      </w:r>
      <w:r w:rsidR="00264956" w:rsidRPr="00AB50F9">
        <w:rPr>
          <w:bCs/>
        </w:rPr>
        <w:t xml:space="preserve"> 14 percent are</w:t>
      </w:r>
      <w:r w:rsidR="00881FB7" w:rsidRPr="00AB50F9">
        <w:rPr>
          <w:bCs/>
        </w:rPr>
        <w:t xml:space="preserve"> hungry, </w:t>
      </w:r>
      <w:r w:rsidR="00541BD4" w:rsidRPr="00AB50F9">
        <w:rPr>
          <w:bCs/>
        </w:rPr>
        <w:t xml:space="preserve">as long as </w:t>
      </w:r>
      <w:r w:rsidR="00881FB7" w:rsidRPr="00AB50F9">
        <w:rPr>
          <w:bCs/>
        </w:rPr>
        <w:t xml:space="preserve">the steps </w:t>
      </w:r>
      <w:r w:rsidR="00541BD4" w:rsidRPr="00AB50F9">
        <w:rPr>
          <w:bCs/>
        </w:rPr>
        <w:t xml:space="preserve">that </w:t>
      </w:r>
      <w:r w:rsidR="00881FB7" w:rsidRPr="00AB50F9">
        <w:rPr>
          <w:bCs/>
        </w:rPr>
        <w:t xml:space="preserve">the FAO use to dampen the excess variability </w:t>
      </w:r>
      <w:r w:rsidR="00541BD4" w:rsidRPr="00AB50F9">
        <w:rPr>
          <w:bCs/>
        </w:rPr>
        <w:t xml:space="preserve">in </w:t>
      </w:r>
      <w:r w:rsidR="008C2166" w:rsidRPr="00AB50F9">
        <w:rPr>
          <w:bCs/>
        </w:rPr>
        <w:t xml:space="preserve">short reference period </w:t>
      </w:r>
      <w:r w:rsidR="00541BD4" w:rsidRPr="00AB50F9">
        <w:rPr>
          <w:bCs/>
        </w:rPr>
        <w:t xml:space="preserve">survey data </w:t>
      </w:r>
      <w:r w:rsidR="00FB412A" w:rsidRPr="00AB50F9">
        <w:rPr>
          <w:bCs/>
        </w:rPr>
        <w:t xml:space="preserve">give </w:t>
      </w:r>
      <w:r w:rsidR="00541BD4" w:rsidRPr="00AB50F9">
        <w:rPr>
          <w:bCs/>
        </w:rPr>
        <w:t xml:space="preserve">the </w:t>
      </w:r>
      <w:r w:rsidR="00FB412A" w:rsidRPr="00AB50F9">
        <w:rPr>
          <w:bCs/>
        </w:rPr>
        <w:t xml:space="preserve">same </w:t>
      </w:r>
      <w:proofErr w:type="spellStart"/>
      <w:r w:rsidR="00541BD4" w:rsidRPr="00AB50F9">
        <w:rPr>
          <w:bCs/>
        </w:rPr>
        <w:t>CoV</w:t>
      </w:r>
      <w:proofErr w:type="spellEnd"/>
      <w:r w:rsidR="00541BD4" w:rsidRPr="00AB50F9">
        <w:rPr>
          <w:bCs/>
        </w:rPr>
        <w:t xml:space="preserve"> </w:t>
      </w:r>
      <w:r w:rsidR="00264956" w:rsidRPr="00AB50F9">
        <w:rPr>
          <w:bCs/>
        </w:rPr>
        <w:t xml:space="preserve">as </w:t>
      </w:r>
      <w:r w:rsidR="00620F1F" w:rsidRPr="00AB50F9">
        <w:rPr>
          <w:bCs/>
        </w:rPr>
        <w:t xml:space="preserve">what </w:t>
      </w:r>
      <w:r w:rsidR="00605C54" w:rsidRPr="00AB50F9">
        <w:rPr>
          <w:bCs/>
        </w:rPr>
        <w:t>the corrected extrapolation</w:t>
      </w:r>
      <w:r w:rsidR="003931F6" w:rsidRPr="00AB50F9">
        <w:rPr>
          <w:bCs/>
        </w:rPr>
        <w:t xml:space="preserve"> used here</w:t>
      </w:r>
      <w:r w:rsidR="00620F1F" w:rsidRPr="00AB50F9">
        <w:rPr>
          <w:bCs/>
        </w:rPr>
        <w:t xml:space="preserve"> gives</w:t>
      </w:r>
      <w:r w:rsidR="00605C54" w:rsidRPr="00AB50F9">
        <w:rPr>
          <w:bCs/>
        </w:rPr>
        <w:t xml:space="preserve">. </w:t>
      </w:r>
      <w:r w:rsidR="00881FB7" w:rsidRPr="00AB50F9">
        <w:rPr>
          <w:bCs/>
        </w:rPr>
        <w:t xml:space="preserve">In other words, </w:t>
      </w:r>
      <w:r w:rsidR="00A648FF" w:rsidRPr="00AB50F9">
        <w:rPr>
          <w:bCs/>
        </w:rPr>
        <w:t>with a</w:t>
      </w:r>
      <w:r w:rsidR="00605C54" w:rsidRPr="00AB50F9">
        <w:rPr>
          <w:bCs/>
        </w:rPr>
        <w:t xml:space="preserve"> </w:t>
      </w:r>
      <w:r w:rsidR="00A648FF" w:rsidRPr="00AB50F9">
        <w:rPr>
          <w:bCs/>
        </w:rPr>
        <w:t>snapshot survey one</w:t>
      </w:r>
      <w:r w:rsidR="00881FB7" w:rsidRPr="00AB50F9">
        <w:rPr>
          <w:bCs/>
        </w:rPr>
        <w:t xml:space="preserve"> would </w:t>
      </w:r>
      <w:r w:rsidR="00264956" w:rsidRPr="00AB50F9">
        <w:rPr>
          <w:bCs/>
        </w:rPr>
        <w:t xml:space="preserve">be likely to </w:t>
      </w:r>
      <w:r w:rsidR="00881FB7" w:rsidRPr="00AB50F9">
        <w:rPr>
          <w:bCs/>
        </w:rPr>
        <w:t>overstate the chronic hunger rate by almost 90 percent</w:t>
      </w:r>
      <w:r w:rsidR="00605C54" w:rsidRPr="00AB50F9">
        <w:rPr>
          <w:bCs/>
        </w:rPr>
        <w:t xml:space="preserve"> in this setting</w:t>
      </w:r>
      <w:r w:rsidR="00FB412A" w:rsidRPr="00AB50F9">
        <w:rPr>
          <w:bCs/>
        </w:rPr>
        <w:t xml:space="preserve"> (irrespective of whether one uses the original monthly data or naïvely extrapolates to annual calorie totals)</w:t>
      </w:r>
      <w:r w:rsidR="00881FB7" w:rsidRPr="00AB50F9">
        <w:rPr>
          <w:bCs/>
        </w:rPr>
        <w:t>.</w:t>
      </w:r>
      <w:r w:rsidR="00A648FF" w:rsidRPr="00AB50F9">
        <w:rPr>
          <w:bCs/>
        </w:rPr>
        <w:t xml:space="preserve"> </w:t>
      </w:r>
    </w:p>
    <w:p w:rsidR="00605C54" w:rsidRDefault="00605C54" w:rsidP="00681293">
      <w:pPr>
        <w:spacing w:line="300" w:lineRule="auto"/>
        <w:ind w:firstLine="720"/>
        <w:jc w:val="both"/>
        <w:rPr>
          <w:bCs/>
        </w:rPr>
      </w:pPr>
      <w:r w:rsidRPr="00AB50F9">
        <w:rPr>
          <w:bCs/>
        </w:rPr>
        <w:lastRenderedPageBreak/>
        <w:t>The 12 percentage point gap between the</w:t>
      </w:r>
      <w:r w:rsidR="00264956" w:rsidRPr="00AB50F9">
        <w:rPr>
          <w:bCs/>
        </w:rPr>
        <w:t>se</w:t>
      </w:r>
      <w:r w:rsidRPr="00AB50F9">
        <w:rPr>
          <w:bCs/>
        </w:rPr>
        <w:t xml:space="preserve"> </w:t>
      </w:r>
      <w:r w:rsidR="00A648FF" w:rsidRPr="00AB50F9">
        <w:rPr>
          <w:bCs/>
        </w:rPr>
        <w:t xml:space="preserve">two estimates of the </w:t>
      </w:r>
      <w:r w:rsidRPr="00AB50F9">
        <w:rPr>
          <w:bCs/>
        </w:rPr>
        <w:t xml:space="preserve">hunger rate represents the transitory component of hunger. Thus, </w:t>
      </w:r>
      <w:r w:rsidR="003931F6" w:rsidRPr="00AB50F9">
        <w:rPr>
          <w:bCs/>
        </w:rPr>
        <w:t xml:space="preserve">when hunger in </w:t>
      </w:r>
      <w:r w:rsidRPr="00AB50F9">
        <w:rPr>
          <w:bCs/>
        </w:rPr>
        <w:t xml:space="preserve">Myanmar </w:t>
      </w:r>
      <w:r w:rsidR="003931F6" w:rsidRPr="00AB50F9">
        <w:rPr>
          <w:bCs/>
        </w:rPr>
        <w:t xml:space="preserve">is observed </w:t>
      </w:r>
      <w:r w:rsidR="00A648FF" w:rsidRPr="00AB50F9">
        <w:rPr>
          <w:bCs/>
        </w:rPr>
        <w:t xml:space="preserve">with a </w:t>
      </w:r>
      <w:r w:rsidR="00264956" w:rsidRPr="00AB50F9">
        <w:rPr>
          <w:bCs/>
        </w:rPr>
        <w:t xml:space="preserve">survey using a </w:t>
      </w:r>
      <w:r w:rsidR="00A648FF" w:rsidRPr="00AB50F9">
        <w:rPr>
          <w:bCs/>
        </w:rPr>
        <w:t>monthly reference period</w:t>
      </w:r>
      <w:r w:rsidR="003931F6" w:rsidRPr="00AB50F9">
        <w:rPr>
          <w:bCs/>
        </w:rPr>
        <w:t xml:space="preserve">, almost half of that measured hunger would be </w:t>
      </w:r>
      <w:r w:rsidRPr="00AB50F9">
        <w:rPr>
          <w:bCs/>
        </w:rPr>
        <w:t>transitory</w:t>
      </w:r>
      <w:r w:rsidR="00FB412A" w:rsidRPr="00AB50F9">
        <w:rPr>
          <w:bCs/>
        </w:rPr>
        <w:t>.</w:t>
      </w:r>
      <w:r w:rsidR="003931F6" w:rsidRPr="00AB50F9">
        <w:rPr>
          <w:bCs/>
        </w:rPr>
        <w:t xml:space="preserve"> With such a large </w:t>
      </w:r>
      <w:r w:rsidR="00264956" w:rsidRPr="00AB50F9">
        <w:rPr>
          <w:bCs/>
        </w:rPr>
        <w:t>transitory component, it seems wrong of</w:t>
      </w:r>
      <w:r w:rsidR="00A648FF" w:rsidRPr="00AB50F9">
        <w:rPr>
          <w:bCs/>
        </w:rPr>
        <w:t xml:space="preserve"> the FAO approach</w:t>
      </w:r>
      <w:r w:rsidR="00264956" w:rsidRPr="00AB50F9">
        <w:rPr>
          <w:bCs/>
        </w:rPr>
        <w:t xml:space="preserve"> to ignore</w:t>
      </w:r>
      <w:r w:rsidR="00A648FF" w:rsidRPr="00AB50F9">
        <w:rPr>
          <w:bCs/>
        </w:rPr>
        <w:t xml:space="preserve"> this important component of suffering</w:t>
      </w:r>
      <w:r w:rsidR="00FB412A" w:rsidRPr="00AB50F9">
        <w:rPr>
          <w:bCs/>
        </w:rPr>
        <w:t xml:space="preserve"> by focusing </w:t>
      </w:r>
      <w:r w:rsidR="003931F6" w:rsidRPr="00AB50F9">
        <w:rPr>
          <w:bCs/>
        </w:rPr>
        <w:t xml:space="preserve">so much attention </w:t>
      </w:r>
      <w:r w:rsidR="00FB412A" w:rsidRPr="00AB50F9">
        <w:rPr>
          <w:bCs/>
        </w:rPr>
        <w:t>on a definition of hunger based on a year</w:t>
      </w:r>
      <w:r w:rsidR="00264956" w:rsidRPr="00AB50F9">
        <w:rPr>
          <w:bCs/>
        </w:rPr>
        <w:t xml:space="preserve">. Moreover, this </w:t>
      </w:r>
      <w:r w:rsidR="00FB412A" w:rsidRPr="00AB50F9">
        <w:rPr>
          <w:bCs/>
        </w:rPr>
        <w:t xml:space="preserve">transitory hunger </w:t>
      </w:r>
      <w:r w:rsidR="00264956" w:rsidRPr="00AB50F9">
        <w:rPr>
          <w:bCs/>
        </w:rPr>
        <w:t xml:space="preserve">may be </w:t>
      </w:r>
      <w:r w:rsidR="003931F6" w:rsidRPr="00AB50F9">
        <w:rPr>
          <w:bCs/>
        </w:rPr>
        <w:t xml:space="preserve">geographically </w:t>
      </w:r>
      <w:r w:rsidR="00264956" w:rsidRPr="00AB50F9">
        <w:rPr>
          <w:bCs/>
        </w:rPr>
        <w:t xml:space="preserve">widespread, since both urban and rural households </w:t>
      </w:r>
      <w:r w:rsidR="008C2166" w:rsidRPr="00AB50F9">
        <w:rPr>
          <w:bCs/>
        </w:rPr>
        <w:t xml:space="preserve">seem to </w:t>
      </w:r>
      <w:r w:rsidR="00264956" w:rsidRPr="00AB50F9">
        <w:rPr>
          <w:bCs/>
        </w:rPr>
        <w:t>have large intra-year fluctuations in calories.</w:t>
      </w:r>
    </w:p>
    <w:p w:rsidR="00AB50F9" w:rsidRPr="00AB50F9" w:rsidRDefault="00AB50F9" w:rsidP="00681293">
      <w:pPr>
        <w:spacing w:line="300" w:lineRule="auto"/>
        <w:ind w:firstLine="720"/>
        <w:jc w:val="both"/>
        <w:rPr>
          <w:bCs/>
        </w:rPr>
      </w:pPr>
    </w:p>
    <w:p w:rsidR="00A648FF" w:rsidRDefault="00A648FF" w:rsidP="008E3D3A">
      <w:pPr>
        <w:tabs>
          <w:tab w:val="left" w:pos="567"/>
        </w:tabs>
        <w:spacing w:line="300" w:lineRule="auto"/>
        <w:jc w:val="both"/>
        <w:rPr>
          <w:b/>
          <w:bCs/>
        </w:rPr>
      </w:pPr>
      <w:r w:rsidRPr="00B21606">
        <w:rPr>
          <w:b/>
          <w:bCs/>
        </w:rPr>
        <w:t>4.1</w:t>
      </w:r>
      <w:r w:rsidRPr="00B21606">
        <w:rPr>
          <w:b/>
          <w:bCs/>
        </w:rPr>
        <w:tab/>
        <w:t>Sub-national Analyses</w:t>
      </w:r>
    </w:p>
    <w:p w:rsidR="00B508FB" w:rsidRPr="00B508FB" w:rsidRDefault="00B508FB" w:rsidP="008E3D3A">
      <w:pPr>
        <w:tabs>
          <w:tab w:val="left" w:pos="567"/>
        </w:tabs>
        <w:spacing w:line="300" w:lineRule="auto"/>
        <w:jc w:val="both"/>
        <w:rPr>
          <w:b/>
          <w:bCs/>
          <w:sz w:val="8"/>
          <w:szCs w:val="8"/>
        </w:rPr>
      </w:pPr>
    </w:p>
    <w:p w:rsidR="00EC7EA8" w:rsidRDefault="008C2166" w:rsidP="00681293">
      <w:pPr>
        <w:spacing w:line="300" w:lineRule="auto"/>
        <w:jc w:val="both"/>
        <w:rPr>
          <w:bCs/>
        </w:rPr>
      </w:pPr>
      <w:r w:rsidRPr="00AB50F9">
        <w:rPr>
          <w:bCs/>
        </w:rPr>
        <w:t xml:space="preserve">The literature </w:t>
      </w:r>
      <w:r w:rsidR="00B17F80" w:rsidRPr="00AB50F9">
        <w:rPr>
          <w:bCs/>
        </w:rPr>
        <w:t>on splitting</w:t>
      </w:r>
      <w:r w:rsidR="00DA5FF6" w:rsidRPr="00AB50F9">
        <w:rPr>
          <w:bCs/>
        </w:rPr>
        <w:t xml:space="preserve"> observed shortfalls in living standards into chronic and transient parts ignores hunger. The loss of understanding due to this lacuna is worsened by the hunger literature attributing intra-year fluctuations to </w:t>
      </w:r>
      <w:r w:rsidR="00264956" w:rsidRPr="00AB50F9">
        <w:rPr>
          <w:bCs/>
        </w:rPr>
        <w:t xml:space="preserve">seasonality </w:t>
      </w:r>
      <w:r w:rsidR="00DA5FF6" w:rsidRPr="00AB50F9">
        <w:rPr>
          <w:bCs/>
        </w:rPr>
        <w:t xml:space="preserve">rather than to other constraints on the ability of consumers to smooth calories over time. In order to demonstrate how misplaced the attention to seasonality has been, two sub-national analyses are conducted here. The first </w:t>
      </w:r>
      <w:r w:rsidR="003931F6" w:rsidRPr="00AB50F9">
        <w:rPr>
          <w:bCs/>
        </w:rPr>
        <w:t xml:space="preserve">looks at </w:t>
      </w:r>
      <w:r w:rsidR="00DA5FF6" w:rsidRPr="00AB50F9">
        <w:rPr>
          <w:bCs/>
        </w:rPr>
        <w:t xml:space="preserve">intra-year correlations in calories across </w:t>
      </w:r>
      <w:r w:rsidR="00B17F80" w:rsidRPr="00AB50F9">
        <w:rPr>
          <w:bCs/>
        </w:rPr>
        <w:t xml:space="preserve">four </w:t>
      </w:r>
      <w:r w:rsidR="00DA5FF6" w:rsidRPr="00AB50F9">
        <w:rPr>
          <w:bCs/>
        </w:rPr>
        <w:t>different agro-ecological zones of Myanmar</w:t>
      </w:r>
      <w:r w:rsidR="00B17F80" w:rsidRPr="00AB50F9">
        <w:rPr>
          <w:bCs/>
        </w:rPr>
        <w:t xml:space="preserve">: </w:t>
      </w:r>
      <w:r w:rsidR="00627FAE" w:rsidRPr="00AB50F9">
        <w:rPr>
          <w:bCs/>
        </w:rPr>
        <w:t>Delta, Coastal, Dry</w:t>
      </w:r>
      <w:r w:rsidR="00EC7EA8" w:rsidRPr="00AB50F9">
        <w:rPr>
          <w:bCs/>
        </w:rPr>
        <w:t xml:space="preserve"> Zone, and Hills</w:t>
      </w:r>
      <w:r w:rsidR="004E0D09" w:rsidRPr="00AB50F9">
        <w:rPr>
          <w:bCs/>
        </w:rPr>
        <w:t>.</w:t>
      </w:r>
      <w:r w:rsidR="00EC7EA8" w:rsidRPr="00AB50F9">
        <w:rPr>
          <w:bCs/>
        </w:rPr>
        <w:t xml:space="preserve"> Figure 4</w:t>
      </w:r>
      <w:r w:rsidR="00627FAE" w:rsidRPr="00AB50F9">
        <w:rPr>
          <w:bCs/>
        </w:rPr>
        <w:t xml:space="preserve"> </w:t>
      </w:r>
      <w:r w:rsidR="004E0D09" w:rsidRPr="00AB50F9">
        <w:rPr>
          <w:bCs/>
        </w:rPr>
        <w:t xml:space="preserve">maps the </w:t>
      </w:r>
      <w:r w:rsidR="00627FAE" w:rsidRPr="00AB50F9">
        <w:rPr>
          <w:bCs/>
        </w:rPr>
        <w:t xml:space="preserve">States and Divisions </w:t>
      </w:r>
      <w:r w:rsidR="004E0D09" w:rsidRPr="00AB50F9">
        <w:rPr>
          <w:bCs/>
        </w:rPr>
        <w:t>of Myanmar into these zones</w:t>
      </w:r>
      <w:r w:rsidR="001F4C39" w:rsidRPr="00AB50F9">
        <w:rPr>
          <w:bCs/>
        </w:rPr>
        <w:t>.</w:t>
      </w:r>
      <w:r w:rsidR="003931F6" w:rsidRPr="00AB50F9">
        <w:rPr>
          <w:bCs/>
        </w:rPr>
        <w:t xml:space="preserve"> </w:t>
      </w:r>
      <w:r w:rsidR="001F4C39" w:rsidRPr="00AB50F9">
        <w:rPr>
          <w:bCs/>
        </w:rPr>
        <w:t>T</w:t>
      </w:r>
      <w:r w:rsidR="003931F6" w:rsidRPr="00AB50F9">
        <w:rPr>
          <w:bCs/>
        </w:rPr>
        <w:t xml:space="preserve">he </w:t>
      </w:r>
      <w:r w:rsidR="004E0D09" w:rsidRPr="00AB50F9">
        <w:rPr>
          <w:bCs/>
        </w:rPr>
        <w:t xml:space="preserve">focus </w:t>
      </w:r>
      <w:r w:rsidR="003931F6" w:rsidRPr="00AB50F9">
        <w:rPr>
          <w:bCs/>
        </w:rPr>
        <w:t xml:space="preserve">is especially </w:t>
      </w:r>
      <w:r w:rsidR="004E0D09" w:rsidRPr="00AB50F9">
        <w:rPr>
          <w:bCs/>
        </w:rPr>
        <w:t xml:space="preserve">on the </w:t>
      </w:r>
      <w:r w:rsidR="00EC7EA8" w:rsidRPr="00AB50F9">
        <w:rPr>
          <w:bCs/>
        </w:rPr>
        <w:t>Dry Zone</w:t>
      </w:r>
      <w:r w:rsidR="001F4C39" w:rsidRPr="00AB50F9">
        <w:rPr>
          <w:bCs/>
        </w:rPr>
        <w:t xml:space="preserve">; </w:t>
      </w:r>
      <w:r w:rsidR="00EC7EA8" w:rsidRPr="00AB50F9">
        <w:rPr>
          <w:bCs/>
        </w:rPr>
        <w:t xml:space="preserve">a large low-lying region with a semi-arid climate, situated between two higher regions, the Shan plateau to the East and the </w:t>
      </w:r>
      <w:r w:rsidR="004E0D09" w:rsidRPr="00AB50F9">
        <w:rPr>
          <w:bCs/>
        </w:rPr>
        <w:t xml:space="preserve">Chin Hills and </w:t>
      </w:r>
      <w:r w:rsidR="00EC7EA8" w:rsidRPr="00AB50F9">
        <w:rPr>
          <w:bCs/>
        </w:rPr>
        <w:t xml:space="preserve">Rakhine </w:t>
      </w:r>
      <w:proofErr w:type="spellStart"/>
      <w:r w:rsidR="00EC7EA8" w:rsidRPr="00AB50F9">
        <w:rPr>
          <w:bCs/>
        </w:rPr>
        <w:t>Yoma</w:t>
      </w:r>
      <w:proofErr w:type="spellEnd"/>
      <w:r w:rsidR="00EC7EA8" w:rsidRPr="00AB50F9">
        <w:rPr>
          <w:bCs/>
        </w:rPr>
        <w:t xml:space="preserve"> to the west</w:t>
      </w:r>
      <w:r w:rsidR="00025E27" w:rsidRPr="00AB50F9">
        <w:rPr>
          <w:bCs/>
        </w:rPr>
        <w:t xml:space="preserve">. The </w:t>
      </w:r>
      <w:r w:rsidR="004E0D09" w:rsidRPr="00AB50F9">
        <w:rPr>
          <w:bCs/>
        </w:rPr>
        <w:t xml:space="preserve">elevated western area </w:t>
      </w:r>
      <w:r w:rsidR="00025E27" w:rsidRPr="00AB50F9">
        <w:rPr>
          <w:bCs/>
        </w:rPr>
        <w:t>acts a</w:t>
      </w:r>
      <w:r w:rsidR="003931F6" w:rsidRPr="00AB50F9">
        <w:rPr>
          <w:bCs/>
        </w:rPr>
        <w:t xml:space="preserve">s </w:t>
      </w:r>
      <w:r w:rsidR="00EC7EA8" w:rsidRPr="00AB50F9">
        <w:rPr>
          <w:bCs/>
        </w:rPr>
        <w:t>a barrier between central Myanmar and the Indian subcontinent, c</w:t>
      </w:r>
      <w:r w:rsidR="004635EC" w:rsidRPr="00AB50F9">
        <w:rPr>
          <w:bCs/>
        </w:rPr>
        <w:t xml:space="preserve">ausing a rain shadow effect on </w:t>
      </w:r>
      <w:r w:rsidR="004E0D09" w:rsidRPr="00AB50F9">
        <w:rPr>
          <w:bCs/>
        </w:rPr>
        <w:t>the Dry Zone</w:t>
      </w:r>
      <w:r w:rsidR="00EC7EA8" w:rsidRPr="00AB50F9">
        <w:rPr>
          <w:bCs/>
        </w:rPr>
        <w:t>.</w:t>
      </w:r>
      <w:r w:rsidR="003931F6" w:rsidRPr="00AB50F9">
        <w:rPr>
          <w:bCs/>
        </w:rPr>
        <w:t xml:space="preserve"> Thus</w:t>
      </w:r>
      <w:r w:rsidR="004E0D09" w:rsidRPr="00AB50F9">
        <w:rPr>
          <w:bCs/>
        </w:rPr>
        <w:t xml:space="preserve">, the Dry Zone is the sort </w:t>
      </w:r>
      <w:r w:rsidR="00025E27" w:rsidRPr="00AB50F9">
        <w:rPr>
          <w:bCs/>
        </w:rPr>
        <w:t>of area where seasonality may</w:t>
      </w:r>
      <w:r w:rsidR="004E0D09" w:rsidRPr="00AB50F9">
        <w:rPr>
          <w:bCs/>
        </w:rPr>
        <w:t xml:space="preserve"> be quite pronounced, especially compared to the Delta zone which has the biggest irrigated area in Myanmar.</w:t>
      </w:r>
    </w:p>
    <w:p w:rsidR="008E3D3A" w:rsidRDefault="008E3D3A" w:rsidP="00681293">
      <w:pPr>
        <w:spacing w:line="300" w:lineRule="auto"/>
        <w:jc w:val="both"/>
        <w:rPr>
          <w:bCs/>
        </w:rPr>
      </w:pPr>
    </w:p>
    <w:p w:rsidR="008E3D3A" w:rsidRDefault="008E3D3A" w:rsidP="008E3D3A">
      <w:pPr>
        <w:spacing w:line="300" w:lineRule="auto"/>
        <w:jc w:val="both"/>
        <w:rPr>
          <w:bCs/>
        </w:rPr>
      </w:pPr>
      <w:r>
        <w:rPr>
          <w:bCs/>
        </w:rPr>
        <w:tab/>
      </w:r>
      <w:r w:rsidRPr="00AB50F9">
        <w:rPr>
          <w:bCs/>
        </w:rPr>
        <w:t>Yet despite the greater seasonality in the Dry Zone, the intra-year volatility in calories in that zone is no higher than it is in the largely irrigated Delta zone. Table 3 reports two sets of correlations between per capita daily calories in round 1 and round 2. The first are Pearson correlation coefficients, which the corrected extrapolation method in equation (5) relies upon. For the rural and urban areas of the Dry Zone these are 0.42 and 0.39, compared to 0.41 and 0.35 for the Delta. The second set of values are Spearman correlation coefficients for the rank of each household in the per capita calorie distribution in each round of the IHLCA survey; since these rank correlations are much smaller than one they show the reshuffling that happens between rounds. The values are, again, almost the same, at 0.43 in the Delta and 0.42 and 0.44 in rural and urban areas of the Dry Zone.  Since the Delta and the Dry Zone should differ in their degree of seasonality, the similar intra-year instability in calories suggests that it is other factors that limit the ability of households to smooth dietary energy over the months of the year.</w:t>
      </w:r>
    </w:p>
    <w:p w:rsidR="008E3D3A" w:rsidRDefault="008E3D3A" w:rsidP="008E3D3A">
      <w:pPr>
        <w:spacing w:line="300" w:lineRule="auto"/>
        <w:jc w:val="both"/>
        <w:rPr>
          <w:bCs/>
        </w:rPr>
      </w:pPr>
    </w:p>
    <w:p w:rsidR="008E3D3A" w:rsidRDefault="008E3D3A" w:rsidP="008E3D3A">
      <w:pPr>
        <w:spacing w:line="300" w:lineRule="auto"/>
        <w:jc w:val="both"/>
        <w:rPr>
          <w:bCs/>
        </w:rPr>
      </w:pPr>
      <w:r>
        <w:rPr>
          <w:bCs/>
        </w:rPr>
        <w:lastRenderedPageBreak/>
        <w:tab/>
      </w:r>
      <w:r w:rsidRPr="00AB50F9">
        <w:rPr>
          <w:bCs/>
        </w:rPr>
        <w:t xml:space="preserve">The second sub-national analysis considers characteristics of households that may be associated with intra-year instability of dietary energy. The results of two regressions are shown in Table 4, where the dependent variable is the absolute change in per capita calories between each survey round, relative to the combined-rounds mean for each household. This measure of intra-year variability at the household level is unrelated to whether the household head was a farmer (the explanatory characteristics are averaged across rounds) yet farm households would be expected to be more at risk of seasonality than others. Instead, households whose head is more educated have statistically significantly higher fluctuations in calories over time (although this effect becomes insignificant once agro-ecological zones and urbanity </w:t>
      </w:r>
      <w:proofErr w:type="gramStart"/>
      <w:r w:rsidRPr="00AB50F9">
        <w:rPr>
          <w:bCs/>
        </w:rPr>
        <w:t>are</w:t>
      </w:r>
      <w:proofErr w:type="gramEnd"/>
      <w:r w:rsidRPr="00AB50F9">
        <w:rPr>
          <w:bCs/>
        </w:rPr>
        <w:t xml:space="preserve"> controlled for). It is also apparent that minority households, in terms of either not having Myanmar as a mother tongue or not being Buddhist, experience significantly greater intra-year variability in calories than do other households. </w:t>
      </w:r>
    </w:p>
    <w:p w:rsidR="008E3D3A" w:rsidRDefault="008E3D3A" w:rsidP="008E3D3A">
      <w:pPr>
        <w:spacing w:line="300" w:lineRule="auto"/>
        <w:jc w:val="both"/>
        <w:rPr>
          <w:bCs/>
        </w:rPr>
      </w:pPr>
    </w:p>
    <w:p w:rsidR="00627FAE" w:rsidRPr="00AB50F9" w:rsidRDefault="00627FAE" w:rsidP="00670302">
      <w:pPr>
        <w:spacing w:line="300" w:lineRule="auto"/>
        <w:jc w:val="center"/>
        <w:rPr>
          <w:rFonts w:eastAsia="SimSun"/>
        </w:rPr>
      </w:pPr>
      <w:r w:rsidRPr="00AB50F9">
        <w:rPr>
          <w:rFonts w:eastAsia="SimSun"/>
          <w:noProof/>
          <w:lang w:val="en-NZ" w:eastAsia="en-NZ"/>
        </w:rPr>
        <w:drawing>
          <wp:inline distT="0" distB="0" distL="0" distR="0" wp14:anchorId="0E18981C" wp14:editId="60901D45">
            <wp:extent cx="3610994" cy="5119255"/>
            <wp:effectExtent l="0" t="0" r="8890" b="5715"/>
            <wp:docPr id="5" name="Picture 1" descr="MyanmarEcoz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Ecozones.jpg"/>
                    <pic:cNvPicPr/>
                  </pic:nvPicPr>
                  <pic:blipFill>
                    <a:blip r:embed="rId63" cstate="print"/>
                    <a:srcRect l="1904" t="1684" r="1904" b="1684"/>
                    <a:stretch>
                      <a:fillRect/>
                    </a:stretch>
                  </pic:blipFill>
                  <pic:spPr>
                    <a:xfrm>
                      <a:off x="0" y="0"/>
                      <a:ext cx="3609592" cy="5117268"/>
                    </a:xfrm>
                    <a:prstGeom prst="rect">
                      <a:avLst/>
                    </a:prstGeom>
                  </pic:spPr>
                </pic:pic>
              </a:graphicData>
            </a:graphic>
          </wp:inline>
        </w:drawing>
      </w:r>
    </w:p>
    <w:p w:rsidR="00627FAE" w:rsidRPr="00AB50F9" w:rsidRDefault="00627FAE" w:rsidP="00B508FB">
      <w:pPr>
        <w:spacing w:line="240" w:lineRule="auto"/>
        <w:jc w:val="center"/>
        <w:rPr>
          <w:rFonts w:eastAsia="SimSun"/>
          <w:b/>
          <w:sz w:val="22"/>
          <w:szCs w:val="22"/>
          <w:lang w:val="en-NZ"/>
        </w:rPr>
      </w:pPr>
      <w:r w:rsidRPr="00AB50F9">
        <w:rPr>
          <w:rFonts w:eastAsia="SimSun"/>
          <w:b/>
          <w:sz w:val="22"/>
          <w:szCs w:val="22"/>
          <w:lang w:val="en-NZ"/>
        </w:rPr>
        <w:t>Figure 4: The Agro-Ecological Zones of Myanmar</w:t>
      </w:r>
    </w:p>
    <w:tbl>
      <w:tblPr>
        <w:tblW w:w="7304" w:type="dxa"/>
        <w:jc w:val="center"/>
        <w:tblInd w:w="93" w:type="dxa"/>
        <w:tblLook w:val="04A0" w:firstRow="1" w:lastRow="0" w:firstColumn="1" w:lastColumn="0" w:noHBand="0" w:noVBand="1"/>
      </w:tblPr>
      <w:tblGrid>
        <w:gridCol w:w="1959"/>
        <w:gridCol w:w="1167"/>
        <w:gridCol w:w="1370"/>
        <w:gridCol w:w="271"/>
        <w:gridCol w:w="1167"/>
        <w:gridCol w:w="1370"/>
      </w:tblGrid>
      <w:tr w:rsidR="008E78CF" w:rsidRPr="008E78CF" w:rsidTr="007A22FE">
        <w:trPr>
          <w:trHeight w:val="321"/>
          <w:jc w:val="center"/>
        </w:trPr>
        <w:tc>
          <w:tcPr>
            <w:tcW w:w="7304" w:type="dxa"/>
            <w:gridSpan w:val="6"/>
            <w:tcBorders>
              <w:top w:val="nil"/>
              <w:left w:val="nil"/>
              <w:bottom w:val="single" w:sz="4" w:space="0" w:color="auto"/>
              <w:right w:val="nil"/>
            </w:tcBorders>
            <w:shd w:val="clear" w:color="auto" w:fill="auto"/>
            <w:noWrap/>
            <w:vAlign w:val="center"/>
            <w:hideMark/>
          </w:tcPr>
          <w:p w:rsidR="00BA6C20" w:rsidRDefault="008E78CF" w:rsidP="00BA6C20">
            <w:pPr>
              <w:spacing w:line="240" w:lineRule="auto"/>
              <w:jc w:val="center"/>
              <w:rPr>
                <w:b/>
                <w:color w:val="000000"/>
                <w:sz w:val="22"/>
                <w:szCs w:val="22"/>
                <w:lang w:val="en-NZ" w:eastAsia="en-NZ"/>
              </w:rPr>
            </w:pPr>
            <w:r w:rsidRPr="008E78CF">
              <w:rPr>
                <w:b/>
                <w:color w:val="000000"/>
                <w:sz w:val="22"/>
                <w:szCs w:val="22"/>
                <w:lang w:val="en-NZ" w:eastAsia="en-NZ"/>
              </w:rPr>
              <w:lastRenderedPageBreak/>
              <w:t xml:space="preserve">Table 3: Correlations Between Survey Rounds </w:t>
            </w:r>
          </w:p>
          <w:p w:rsidR="008E78CF" w:rsidRPr="008E78CF" w:rsidRDefault="008E78CF" w:rsidP="00BA6C20">
            <w:pPr>
              <w:spacing w:line="240" w:lineRule="auto"/>
              <w:jc w:val="center"/>
              <w:rPr>
                <w:b/>
                <w:color w:val="000000"/>
                <w:sz w:val="22"/>
                <w:szCs w:val="22"/>
                <w:lang w:val="en-NZ" w:eastAsia="en-NZ"/>
              </w:rPr>
            </w:pPr>
            <w:r w:rsidRPr="008E78CF">
              <w:rPr>
                <w:b/>
                <w:color w:val="000000"/>
                <w:sz w:val="22"/>
                <w:szCs w:val="22"/>
                <w:lang w:val="en-NZ" w:eastAsia="en-NZ"/>
              </w:rPr>
              <w:t>for Per Person Daily Calories</w:t>
            </w:r>
          </w:p>
        </w:tc>
      </w:tr>
      <w:tr w:rsidR="008E78CF" w:rsidRPr="008E78CF" w:rsidTr="007A22FE">
        <w:trPr>
          <w:trHeight w:val="321"/>
          <w:jc w:val="center"/>
        </w:trPr>
        <w:tc>
          <w:tcPr>
            <w:tcW w:w="1959" w:type="dxa"/>
            <w:tcBorders>
              <w:top w:val="nil"/>
              <w:left w:val="nil"/>
              <w:bottom w:val="nil"/>
              <w:right w:val="nil"/>
            </w:tcBorders>
            <w:shd w:val="clear" w:color="auto" w:fill="auto"/>
            <w:noWrap/>
            <w:vAlign w:val="center"/>
            <w:hideMark/>
          </w:tcPr>
          <w:p w:rsidR="008E78CF" w:rsidRPr="008E78CF" w:rsidRDefault="008E78CF" w:rsidP="008E78CF">
            <w:pPr>
              <w:spacing w:line="240" w:lineRule="auto"/>
              <w:rPr>
                <w:color w:val="000000"/>
                <w:sz w:val="22"/>
                <w:szCs w:val="22"/>
                <w:lang w:val="en-NZ" w:eastAsia="en-NZ"/>
              </w:rPr>
            </w:pPr>
          </w:p>
        </w:tc>
        <w:tc>
          <w:tcPr>
            <w:tcW w:w="2537" w:type="dxa"/>
            <w:gridSpan w:val="2"/>
            <w:tcBorders>
              <w:top w:val="nil"/>
              <w:left w:val="nil"/>
              <w:bottom w:val="nil"/>
              <w:right w:val="nil"/>
            </w:tcBorders>
            <w:shd w:val="clear" w:color="auto" w:fill="auto"/>
            <w:noWrap/>
            <w:vAlign w:val="center"/>
            <w:hideMark/>
          </w:tcPr>
          <w:p w:rsidR="00BA6C20" w:rsidRDefault="008E78CF" w:rsidP="008E78CF">
            <w:pPr>
              <w:spacing w:line="240" w:lineRule="auto"/>
              <w:jc w:val="center"/>
              <w:rPr>
                <w:color w:val="000000"/>
                <w:sz w:val="22"/>
                <w:szCs w:val="22"/>
                <w:lang w:val="en-NZ" w:eastAsia="en-NZ"/>
              </w:rPr>
            </w:pPr>
            <w:r w:rsidRPr="008E78CF">
              <w:rPr>
                <w:color w:val="000000"/>
                <w:sz w:val="22"/>
                <w:szCs w:val="22"/>
                <w:lang w:val="en-NZ" w:eastAsia="en-NZ"/>
              </w:rPr>
              <w:t xml:space="preserve">Pearson </w:t>
            </w:r>
          </w:p>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(product-moment)</w:t>
            </w:r>
          </w:p>
        </w:tc>
        <w:tc>
          <w:tcPr>
            <w:tcW w:w="271" w:type="dxa"/>
            <w:tcBorders>
              <w:top w:val="nil"/>
              <w:left w:val="nil"/>
              <w:bottom w:val="nil"/>
              <w:right w:val="nil"/>
            </w:tcBorders>
            <w:shd w:val="clear" w:color="auto" w:fill="auto"/>
            <w:noWrap/>
            <w:vAlign w:val="center"/>
            <w:hideMark/>
          </w:tcPr>
          <w:p w:rsidR="008E78CF" w:rsidRPr="008E78CF" w:rsidRDefault="008E78CF" w:rsidP="008E78CF">
            <w:pPr>
              <w:spacing w:line="240" w:lineRule="auto"/>
              <w:rPr>
                <w:color w:val="000000"/>
                <w:sz w:val="22"/>
                <w:szCs w:val="22"/>
                <w:lang w:val="en-NZ" w:eastAsia="en-NZ"/>
              </w:rPr>
            </w:pPr>
          </w:p>
        </w:tc>
        <w:tc>
          <w:tcPr>
            <w:tcW w:w="2537" w:type="dxa"/>
            <w:gridSpan w:val="2"/>
            <w:tcBorders>
              <w:top w:val="nil"/>
              <w:left w:val="nil"/>
              <w:bottom w:val="nil"/>
              <w:right w:val="nil"/>
            </w:tcBorders>
            <w:shd w:val="clear" w:color="auto" w:fill="auto"/>
            <w:noWrap/>
            <w:vAlign w:val="center"/>
            <w:hideMark/>
          </w:tcPr>
          <w:p w:rsidR="00BA6C20" w:rsidRDefault="008E78CF" w:rsidP="008E78CF">
            <w:pPr>
              <w:spacing w:line="240" w:lineRule="auto"/>
              <w:jc w:val="center"/>
              <w:rPr>
                <w:color w:val="000000"/>
                <w:sz w:val="22"/>
                <w:szCs w:val="22"/>
                <w:lang w:val="en-NZ" w:eastAsia="en-NZ"/>
              </w:rPr>
            </w:pPr>
            <w:r w:rsidRPr="008E78CF">
              <w:rPr>
                <w:color w:val="000000"/>
                <w:sz w:val="22"/>
                <w:szCs w:val="22"/>
                <w:lang w:val="en-NZ" w:eastAsia="en-NZ"/>
              </w:rPr>
              <w:t xml:space="preserve">Spearman </w:t>
            </w:r>
          </w:p>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(rank)</w:t>
            </w:r>
          </w:p>
        </w:tc>
      </w:tr>
      <w:tr w:rsidR="008E78CF" w:rsidRPr="008E78CF" w:rsidTr="007A22FE">
        <w:trPr>
          <w:trHeight w:val="321"/>
          <w:jc w:val="center"/>
        </w:trPr>
        <w:tc>
          <w:tcPr>
            <w:tcW w:w="1959" w:type="dxa"/>
            <w:tcBorders>
              <w:top w:val="nil"/>
              <w:left w:val="nil"/>
              <w:bottom w:val="single" w:sz="4" w:space="0" w:color="auto"/>
              <w:right w:val="nil"/>
            </w:tcBorders>
            <w:shd w:val="clear" w:color="auto" w:fill="auto"/>
            <w:noWrap/>
            <w:vAlign w:val="center"/>
            <w:hideMark/>
          </w:tcPr>
          <w:p w:rsidR="008E78CF" w:rsidRPr="008E78CF" w:rsidRDefault="008E78CF" w:rsidP="008E78CF">
            <w:pPr>
              <w:spacing w:line="240" w:lineRule="auto"/>
              <w:rPr>
                <w:color w:val="000000"/>
                <w:sz w:val="22"/>
                <w:szCs w:val="22"/>
                <w:lang w:val="en-NZ" w:eastAsia="en-NZ"/>
              </w:rPr>
            </w:pPr>
            <w:r w:rsidRPr="008E78CF">
              <w:rPr>
                <w:color w:val="000000"/>
                <w:sz w:val="22"/>
                <w:szCs w:val="22"/>
                <w:lang w:val="en-NZ" w:eastAsia="en-NZ"/>
              </w:rPr>
              <w:t> </w:t>
            </w:r>
          </w:p>
        </w:tc>
        <w:tc>
          <w:tcPr>
            <w:tcW w:w="1167" w:type="dxa"/>
            <w:tcBorders>
              <w:top w:val="nil"/>
              <w:left w:val="nil"/>
              <w:bottom w:val="single" w:sz="4" w:space="0" w:color="auto"/>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Rural</w:t>
            </w:r>
          </w:p>
        </w:tc>
        <w:tc>
          <w:tcPr>
            <w:tcW w:w="1370" w:type="dxa"/>
            <w:tcBorders>
              <w:top w:val="nil"/>
              <w:left w:val="nil"/>
              <w:bottom w:val="single" w:sz="4" w:space="0" w:color="auto"/>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Urban</w:t>
            </w:r>
          </w:p>
        </w:tc>
        <w:tc>
          <w:tcPr>
            <w:tcW w:w="271" w:type="dxa"/>
            <w:tcBorders>
              <w:top w:val="nil"/>
              <w:left w:val="nil"/>
              <w:bottom w:val="single" w:sz="4" w:space="0" w:color="auto"/>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 </w:t>
            </w:r>
          </w:p>
        </w:tc>
        <w:tc>
          <w:tcPr>
            <w:tcW w:w="1167" w:type="dxa"/>
            <w:tcBorders>
              <w:top w:val="nil"/>
              <w:left w:val="nil"/>
              <w:bottom w:val="single" w:sz="4" w:space="0" w:color="auto"/>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Rural</w:t>
            </w:r>
          </w:p>
        </w:tc>
        <w:tc>
          <w:tcPr>
            <w:tcW w:w="1370" w:type="dxa"/>
            <w:tcBorders>
              <w:top w:val="nil"/>
              <w:left w:val="nil"/>
              <w:bottom w:val="single" w:sz="4" w:space="0" w:color="auto"/>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Urban</w:t>
            </w:r>
          </w:p>
        </w:tc>
      </w:tr>
      <w:tr w:rsidR="008E78CF" w:rsidRPr="008E78CF" w:rsidTr="007A22FE">
        <w:trPr>
          <w:trHeight w:val="321"/>
          <w:jc w:val="center"/>
        </w:trPr>
        <w:tc>
          <w:tcPr>
            <w:tcW w:w="1959" w:type="dxa"/>
            <w:tcBorders>
              <w:top w:val="nil"/>
              <w:left w:val="nil"/>
              <w:bottom w:val="nil"/>
              <w:right w:val="nil"/>
            </w:tcBorders>
            <w:shd w:val="clear" w:color="auto" w:fill="auto"/>
            <w:noWrap/>
            <w:vAlign w:val="center"/>
            <w:hideMark/>
          </w:tcPr>
          <w:p w:rsidR="008E78CF" w:rsidRPr="008E78CF" w:rsidRDefault="008E78CF" w:rsidP="008E78CF">
            <w:pPr>
              <w:spacing w:line="240" w:lineRule="auto"/>
              <w:rPr>
                <w:color w:val="000000"/>
                <w:sz w:val="22"/>
                <w:szCs w:val="22"/>
                <w:lang w:val="en-NZ" w:eastAsia="en-NZ"/>
              </w:rPr>
            </w:pPr>
            <w:r w:rsidRPr="008E78CF">
              <w:rPr>
                <w:color w:val="000000"/>
                <w:sz w:val="22"/>
                <w:szCs w:val="22"/>
                <w:lang w:val="en-NZ" w:eastAsia="en-NZ"/>
              </w:rPr>
              <w:t>Hills</w:t>
            </w:r>
          </w:p>
        </w:tc>
        <w:tc>
          <w:tcPr>
            <w:tcW w:w="1167" w:type="dxa"/>
            <w:tcBorders>
              <w:top w:val="nil"/>
              <w:left w:val="nil"/>
              <w:bottom w:val="nil"/>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0.44</w:t>
            </w:r>
          </w:p>
        </w:tc>
        <w:tc>
          <w:tcPr>
            <w:tcW w:w="1370" w:type="dxa"/>
            <w:tcBorders>
              <w:top w:val="nil"/>
              <w:left w:val="nil"/>
              <w:bottom w:val="nil"/>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0.48</w:t>
            </w:r>
          </w:p>
        </w:tc>
        <w:tc>
          <w:tcPr>
            <w:tcW w:w="271" w:type="dxa"/>
            <w:tcBorders>
              <w:top w:val="nil"/>
              <w:left w:val="nil"/>
              <w:bottom w:val="nil"/>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p>
        </w:tc>
        <w:tc>
          <w:tcPr>
            <w:tcW w:w="1167" w:type="dxa"/>
            <w:tcBorders>
              <w:top w:val="nil"/>
              <w:left w:val="nil"/>
              <w:bottom w:val="nil"/>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0.46</w:t>
            </w:r>
          </w:p>
        </w:tc>
        <w:tc>
          <w:tcPr>
            <w:tcW w:w="1370" w:type="dxa"/>
            <w:tcBorders>
              <w:top w:val="nil"/>
              <w:left w:val="nil"/>
              <w:bottom w:val="nil"/>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0.44</w:t>
            </w:r>
          </w:p>
        </w:tc>
      </w:tr>
      <w:tr w:rsidR="008E78CF" w:rsidRPr="008E78CF" w:rsidTr="007A22FE">
        <w:trPr>
          <w:trHeight w:val="321"/>
          <w:jc w:val="center"/>
        </w:trPr>
        <w:tc>
          <w:tcPr>
            <w:tcW w:w="1959" w:type="dxa"/>
            <w:tcBorders>
              <w:top w:val="nil"/>
              <w:left w:val="nil"/>
              <w:bottom w:val="nil"/>
              <w:right w:val="nil"/>
            </w:tcBorders>
            <w:shd w:val="clear" w:color="auto" w:fill="auto"/>
            <w:noWrap/>
            <w:vAlign w:val="center"/>
            <w:hideMark/>
          </w:tcPr>
          <w:p w:rsidR="008E78CF" w:rsidRPr="008E78CF" w:rsidRDefault="008E78CF" w:rsidP="008E78CF">
            <w:pPr>
              <w:spacing w:line="240" w:lineRule="auto"/>
              <w:rPr>
                <w:color w:val="000000"/>
                <w:sz w:val="22"/>
                <w:szCs w:val="22"/>
                <w:lang w:val="en-NZ" w:eastAsia="en-NZ"/>
              </w:rPr>
            </w:pPr>
            <w:r w:rsidRPr="008E78CF">
              <w:rPr>
                <w:color w:val="000000"/>
                <w:sz w:val="22"/>
                <w:szCs w:val="22"/>
                <w:lang w:val="en-NZ" w:eastAsia="en-NZ"/>
              </w:rPr>
              <w:t>Dry Zone</w:t>
            </w:r>
          </w:p>
        </w:tc>
        <w:tc>
          <w:tcPr>
            <w:tcW w:w="1167" w:type="dxa"/>
            <w:tcBorders>
              <w:top w:val="nil"/>
              <w:left w:val="nil"/>
              <w:bottom w:val="nil"/>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0.42</w:t>
            </w:r>
          </w:p>
        </w:tc>
        <w:tc>
          <w:tcPr>
            <w:tcW w:w="1370" w:type="dxa"/>
            <w:tcBorders>
              <w:top w:val="nil"/>
              <w:left w:val="nil"/>
              <w:bottom w:val="nil"/>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0.39</w:t>
            </w:r>
          </w:p>
        </w:tc>
        <w:tc>
          <w:tcPr>
            <w:tcW w:w="271" w:type="dxa"/>
            <w:tcBorders>
              <w:top w:val="nil"/>
              <w:left w:val="nil"/>
              <w:bottom w:val="nil"/>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p>
        </w:tc>
        <w:tc>
          <w:tcPr>
            <w:tcW w:w="1167" w:type="dxa"/>
            <w:tcBorders>
              <w:top w:val="nil"/>
              <w:left w:val="nil"/>
              <w:bottom w:val="nil"/>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0.42</w:t>
            </w:r>
          </w:p>
        </w:tc>
        <w:tc>
          <w:tcPr>
            <w:tcW w:w="1370" w:type="dxa"/>
            <w:tcBorders>
              <w:top w:val="nil"/>
              <w:left w:val="nil"/>
              <w:bottom w:val="nil"/>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0.44</w:t>
            </w:r>
          </w:p>
        </w:tc>
      </w:tr>
      <w:tr w:rsidR="008E78CF" w:rsidRPr="008E78CF" w:rsidTr="007A22FE">
        <w:trPr>
          <w:trHeight w:val="321"/>
          <w:jc w:val="center"/>
        </w:trPr>
        <w:tc>
          <w:tcPr>
            <w:tcW w:w="1959" w:type="dxa"/>
            <w:tcBorders>
              <w:top w:val="nil"/>
              <w:left w:val="nil"/>
              <w:bottom w:val="nil"/>
              <w:right w:val="nil"/>
            </w:tcBorders>
            <w:shd w:val="clear" w:color="auto" w:fill="auto"/>
            <w:noWrap/>
            <w:vAlign w:val="center"/>
            <w:hideMark/>
          </w:tcPr>
          <w:p w:rsidR="008E78CF" w:rsidRPr="008E78CF" w:rsidRDefault="008E78CF" w:rsidP="008E78CF">
            <w:pPr>
              <w:spacing w:line="240" w:lineRule="auto"/>
              <w:rPr>
                <w:color w:val="000000"/>
                <w:sz w:val="22"/>
                <w:szCs w:val="22"/>
                <w:lang w:val="en-NZ" w:eastAsia="en-NZ"/>
              </w:rPr>
            </w:pPr>
            <w:r w:rsidRPr="008E78CF">
              <w:rPr>
                <w:color w:val="000000"/>
                <w:sz w:val="22"/>
                <w:szCs w:val="22"/>
                <w:lang w:val="en-NZ" w:eastAsia="en-NZ"/>
              </w:rPr>
              <w:t>Coastal</w:t>
            </w:r>
          </w:p>
        </w:tc>
        <w:tc>
          <w:tcPr>
            <w:tcW w:w="1167" w:type="dxa"/>
            <w:tcBorders>
              <w:top w:val="nil"/>
              <w:left w:val="nil"/>
              <w:bottom w:val="nil"/>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0.35</w:t>
            </w:r>
          </w:p>
        </w:tc>
        <w:tc>
          <w:tcPr>
            <w:tcW w:w="1370" w:type="dxa"/>
            <w:tcBorders>
              <w:top w:val="nil"/>
              <w:left w:val="nil"/>
              <w:bottom w:val="nil"/>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0.18</w:t>
            </w:r>
          </w:p>
        </w:tc>
        <w:tc>
          <w:tcPr>
            <w:tcW w:w="271" w:type="dxa"/>
            <w:tcBorders>
              <w:top w:val="nil"/>
              <w:left w:val="nil"/>
              <w:bottom w:val="nil"/>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p>
        </w:tc>
        <w:tc>
          <w:tcPr>
            <w:tcW w:w="1167" w:type="dxa"/>
            <w:tcBorders>
              <w:top w:val="nil"/>
              <w:left w:val="nil"/>
              <w:bottom w:val="nil"/>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0.39</w:t>
            </w:r>
          </w:p>
        </w:tc>
        <w:tc>
          <w:tcPr>
            <w:tcW w:w="1370" w:type="dxa"/>
            <w:tcBorders>
              <w:top w:val="nil"/>
              <w:left w:val="nil"/>
              <w:bottom w:val="nil"/>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0.37</w:t>
            </w:r>
          </w:p>
        </w:tc>
      </w:tr>
      <w:tr w:rsidR="008E78CF" w:rsidRPr="008E78CF" w:rsidTr="007A22FE">
        <w:trPr>
          <w:trHeight w:val="321"/>
          <w:jc w:val="center"/>
        </w:trPr>
        <w:tc>
          <w:tcPr>
            <w:tcW w:w="1959" w:type="dxa"/>
            <w:tcBorders>
              <w:top w:val="nil"/>
              <w:left w:val="nil"/>
              <w:bottom w:val="single" w:sz="4" w:space="0" w:color="auto"/>
              <w:right w:val="nil"/>
            </w:tcBorders>
            <w:shd w:val="clear" w:color="auto" w:fill="auto"/>
            <w:noWrap/>
            <w:vAlign w:val="center"/>
            <w:hideMark/>
          </w:tcPr>
          <w:p w:rsidR="008E78CF" w:rsidRPr="008E78CF" w:rsidRDefault="008E78CF" w:rsidP="008E78CF">
            <w:pPr>
              <w:spacing w:line="240" w:lineRule="auto"/>
              <w:rPr>
                <w:color w:val="000000"/>
                <w:sz w:val="22"/>
                <w:szCs w:val="22"/>
                <w:lang w:val="en-NZ" w:eastAsia="en-NZ"/>
              </w:rPr>
            </w:pPr>
            <w:r w:rsidRPr="008E78CF">
              <w:rPr>
                <w:color w:val="000000"/>
                <w:sz w:val="22"/>
                <w:szCs w:val="22"/>
                <w:lang w:val="en-NZ" w:eastAsia="en-NZ"/>
              </w:rPr>
              <w:t>Delta</w:t>
            </w:r>
          </w:p>
        </w:tc>
        <w:tc>
          <w:tcPr>
            <w:tcW w:w="1167" w:type="dxa"/>
            <w:tcBorders>
              <w:top w:val="nil"/>
              <w:left w:val="nil"/>
              <w:bottom w:val="single" w:sz="4" w:space="0" w:color="auto"/>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0.41</w:t>
            </w:r>
          </w:p>
        </w:tc>
        <w:tc>
          <w:tcPr>
            <w:tcW w:w="1370" w:type="dxa"/>
            <w:tcBorders>
              <w:top w:val="nil"/>
              <w:left w:val="nil"/>
              <w:bottom w:val="single" w:sz="4" w:space="0" w:color="auto"/>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0.35</w:t>
            </w:r>
          </w:p>
        </w:tc>
        <w:tc>
          <w:tcPr>
            <w:tcW w:w="271" w:type="dxa"/>
            <w:tcBorders>
              <w:top w:val="nil"/>
              <w:left w:val="nil"/>
              <w:bottom w:val="single" w:sz="4" w:space="0" w:color="auto"/>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 </w:t>
            </w:r>
          </w:p>
        </w:tc>
        <w:tc>
          <w:tcPr>
            <w:tcW w:w="1167" w:type="dxa"/>
            <w:tcBorders>
              <w:top w:val="nil"/>
              <w:left w:val="nil"/>
              <w:bottom w:val="single" w:sz="4" w:space="0" w:color="auto"/>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0.43</w:t>
            </w:r>
          </w:p>
        </w:tc>
        <w:tc>
          <w:tcPr>
            <w:tcW w:w="1370" w:type="dxa"/>
            <w:tcBorders>
              <w:top w:val="nil"/>
              <w:left w:val="nil"/>
              <w:bottom w:val="single" w:sz="4" w:space="0" w:color="auto"/>
              <w:right w:val="nil"/>
            </w:tcBorders>
            <w:shd w:val="clear" w:color="auto" w:fill="auto"/>
            <w:noWrap/>
            <w:vAlign w:val="center"/>
            <w:hideMark/>
          </w:tcPr>
          <w:p w:rsidR="008E78CF" w:rsidRPr="008E78CF" w:rsidRDefault="008E78CF" w:rsidP="008E78CF">
            <w:pPr>
              <w:spacing w:line="240" w:lineRule="auto"/>
              <w:jc w:val="center"/>
              <w:rPr>
                <w:color w:val="000000"/>
                <w:sz w:val="22"/>
                <w:szCs w:val="22"/>
                <w:lang w:val="en-NZ" w:eastAsia="en-NZ"/>
              </w:rPr>
            </w:pPr>
            <w:r w:rsidRPr="008E78CF">
              <w:rPr>
                <w:color w:val="000000"/>
                <w:sz w:val="22"/>
                <w:szCs w:val="22"/>
                <w:lang w:val="en-NZ" w:eastAsia="en-NZ"/>
              </w:rPr>
              <w:t>0.43</w:t>
            </w:r>
          </w:p>
        </w:tc>
      </w:tr>
    </w:tbl>
    <w:p w:rsidR="00AB50F9" w:rsidRDefault="00AB50F9" w:rsidP="00681293">
      <w:pPr>
        <w:spacing w:line="300" w:lineRule="auto"/>
        <w:jc w:val="both"/>
        <w:rPr>
          <w:bCs/>
        </w:rPr>
      </w:pPr>
    </w:p>
    <w:p w:rsidR="00AB50F9" w:rsidRPr="00AB50F9" w:rsidRDefault="00D807DF" w:rsidP="00681293">
      <w:pPr>
        <w:spacing w:line="300" w:lineRule="auto"/>
        <w:jc w:val="both"/>
        <w:rPr>
          <w:bCs/>
        </w:rPr>
      </w:pPr>
      <w:r w:rsidRPr="00AB50F9">
        <w:rPr>
          <w:bCs/>
        </w:rPr>
        <w:tab/>
      </w:r>
    </w:p>
    <w:tbl>
      <w:tblPr>
        <w:tblW w:w="10984" w:type="dxa"/>
        <w:tblInd w:w="-601" w:type="dxa"/>
        <w:tblLook w:val="04A0" w:firstRow="1" w:lastRow="0" w:firstColumn="1" w:lastColumn="0" w:noHBand="0" w:noVBand="1"/>
      </w:tblPr>
      <w:tblGrid>
        <w:gridCol w:w="5671"/>
        <w:gridCol w:w="1437"/>
        <w:gridCol w:w="1107"/>
        <w:gridCol w:w="271"/>
        <w:gridCol w:w="1281"/>
        <w:gridCol w:w="1107"/>
        <w:gridCol w:w="110"/>
      </w:tblGrid>
      <w:tr w:rsidR="00394C0B" w:rsidRPr="00394C0B" w:rsidTr="00394C0B">
        <w:trPr>
          <w:trHeight w:val="348"/>
        </w:trPr>
        <w:tc>
          <w:tcPr>
            <w:tcW w:w="10984" w:type="dxa"/>
            <w:gridSpan w:val="7"/>
            <w:tcBorders>
              <w:top w:val="nil"/>
              <w:left w:val="nil"/>
              <w:bottom w:val="single" w:sz="4" w:space="0" w:color="auto"/>
              <w:right w:val="nil"/>
            </w:tcBorders>
            <w:shd w:val="clear" w:color="auto" w:fill="auto"/>
            <w:noWrap/>
            <w:hideMark/>
          </w:tcPr>
          <w:p w:rsidR="007170D2" w:rsidRDefault="00394C0B" w:rsidP="00394C0B">
            <w:pPr>
              <w:spacing w:line="240" w:lineRule="auto"/>
              <w:jc w:val="center"/>
              <w:rPr>
                <w:b/>
                <w:color w:val="000000"/>
                <w:sz w:val="22"/>
                <w:szCs w:val="22"/>
                <w:lang w:val="en-NZ" w:eastAsia="en-NZ"/>
              </w:rPr>
            </w:pPr>
            <w:r w:rsidRPr="00394C0B">
              <w:rPr>
                <w:b/>
                <w:color w:val="000000"/>
                <w:sz w:val="22"/>
                <w:szCs w:val="22"/>
                <w:lang w:val="en-NZ" w:eastAsia="en-NZ"/>
              </w:rPr>
              <w:t xml:space="preserve">Table 4: Associations Between Household Characteristics </w:t>
            </w:r>
          </w:p>
          <w:p w:rsidR="00394C0B" w:rsidRPr="00394C0B" w:rsidRDefault="00394C0B" w:rsidP="007170D2">
            <w:pPr>
              <w:spacing w:after="80" w:line="240" w:lineRule="auto"/>
              <w:jc w:val="center"/>
              <w:rPr>
                <w:b/>
                <w:color w:val="000000"/>
                <w:sz w:val="22"/>
                <w:szCs w:val="22"/>
                <w:lang w:val="en-NZ" w:eastAsia="en-NZ"/>
              </w:rPr>
            </w:pPr>
            <w:r w:rsidRPr="00394C0B">
              <w:rPr>
                <w:b/>
                <w:color w:val="000000"/>
                <w:sz w:val="22"/>
                <w:szCs w:val="22"/>
                <w:lang w:val="en-NZ" w:eastAsia="en-NZ"/>
              </w:rPr>
              <w:t>and Intra-Year Calorie Variability</w:t>
            </w:r>
          </w:p>
        </w:tc>
      </w:tr>
      <w:tr w:rsidR="00394C0B" w:rsidRPr="00394C0B" w:rsidTr="001E3813">
        <w:trPr>
          <w:gridAfter w:val="1"/>
          <w:wAfter w:w="110" w:type="dxa"/>
          <w:trHeight w:val="324"/>
        </w:trPr>
        <w:tc>
          <w:tcPr>
            <w:tcW w:w="5671" w:type="dxa"/>
            <w:tcBorders>
              <w:top w:val="nil"/>
              <w:left w:val="nil"/>
              <w:bottom w:val="nil"/>
              <w:right w:val="nil"/>
            </w:tcBorders>
            <w:shd w:val="clear" w:color="auto" w:fill="auto"/>
            <w:noWrap/>
            <w:vAlign w:val="bottom"/>
            <w:hideMark/>
          </w:tcPr>
          <w:p w:rsidR="00394C0B" w:rsidRPr="00394C0B" w:rsidRDefault="007170D2" w:rsidP="007170D2">
            <w:pPr>
              <w:spacing w:before="80" w:line="240" w:lineRule="auto"/>
              <w:ind w:right="856"/>
              <w:jc w:val="center"/>
              <w:rPr>
                <w:color w:val="000000"/>
                <w:sz w:val="22"/>
                <w:szCs w:val="22"/>
                <w:lang w:val="en-NZ" w:eastAsia="en-NZ"/>
              </w:rPr>
            </w:pPr>
            <w:r>
              <w:rPr>
                <w:color w:val="000000"/>
                <w:sz w:val="22"/>
                <w:szCs w:val="22"/>
                <w:lang w:val="en-NZ" w:eastAsia="en-NZ"/>
              </w:rPr>
              <w:t>Explanatory</w:t>
            </w:r>
          </w:p>
        </w:tc>
        <w:tc>
          <w:tcPr>
            <w:tcW w:w="2544" w:type="dxa"/>
            <w:gridSpan w:val="2"/>
            <w:tcBorders>
              <w:top w:val="nil"/>
              <w:left w:val="nil"/>
              <w:bottom w:val="nil"/>
              <w:right w:val="nil"/>
            </w:tcBorders>
            <w:shd w:val="clear" w:color="auto" w:fill="auto"/>
            <w:noWrap/>
            <w:vAlign w:val="bottom"/>
            <w:hideMark/>
          </w:tcPr>
          <w:p w:rsidR="00394C0B" w:rsidRPr="00394C0B" w:rsidRDefault="00394C0B" w:rsidP="007170D2">
            <w:pPr>
              <w:spacing w:before="80" w:line="240" w:lineRule="auto"/>
              <w:jc w:val="right"/>
              <w:rPr>
                <w:color w:val="000000"/>
                <w:sz w:val="22"/>
                <w:szCs w:val="22"/>
                <w:u w:val="single"/>
                <w:lang w:val="en-NZ" w:eastAsia="en-NZ"/>
              </w:rPr>
            </w:pPr>
            <w:r w:rsidRPr="00394C0B">
              <w:rPr>
                <w:color w:val="000000"/>
                <w:sz w:val="22"/>
                <w:szCs w:val="22"/>
                <w:u w:val="single"/>
                <w:lang w:val="en-NZ" w:eastAsia="en-NZ"/>
              </w:rPr>
              <w:t>No Area Fixed Effects</w:t>
            </w:r>
          </w:p>
        </w:tc>
        <w:tc>
          <w:tcPr>
            <w:tcW w:w="271" w:type="dxa"/>
            <w:tcBorders>
              <w:top w:val="nil"/>
              <w:left w:val="nil"/>
              <w:bottom w:val="nil"/>
              <w:right w:val="nil"/>
            </w:tcBorders>
            <w:shd w:val="clear" w:color="auto" w:fill="auto"/>
            <w:noWrap/>
            <w:vAlign w:val="bottom"/>
            <w:hideMark/>
          </w:tcPr>
          <w:p w:rsidR="00394C0B" w:rsidRPr="00394C0B" w:rsidRDefault="00394C0B" w:rsidP="007170D2">
            <w:pPr>
              <w:spacing w:before="80" w:line="240" w:lineRule="auto"/>
              <w:jc w:val="right"/>
              <w:rPr>
                <w:color w:val="000000"/>
                <w:sz w:val="22"/>
                <w:szCs w:val="22"/>
                <w:u w:val="single"/>
                <w:lang w:val="en-NZ" w:eastAsia="en-NZ"/>
              </w:rPr>
            </w:pPr>
          </w:p>
        </w:tc>
        <w:tc>
          <w:tcPr>
            <w:tcW w:w="2388" w:type="dxa"/>
            <w:gridSpan w:val="2"/>
            <w:tcBorders>
              <w:top w:val="nil"/>
              <w:left w:val="nil"/>
              <w:bottom w:val="nil"/>
              <w:right w:val="nil"/>
            </w:tcBorders>
            <w:shd w:val="clear" w:color="auto" w:fill="auto"/>
            <w:noWrap/>
            <w:vAlign w:val="bottom"/>
            <w:hideMark/>
          </w:tcPr>
          <w:p w:rsidR="00394C0B" w:rsidRPr="00394C0B" w:rsidRDefault="00394C0B" w:rsidP="007170D2">
            <w:pPr>
              <w:spacing w:before="80" w:line="240" w:lineRule="auto"/>
              <w:jc w:val="right"/>
              <w:rPr>
                <w:color w:val="000000"/>
                <w:sz w:val="22"/>
                <w:szCs w:val="22"/>
                <w:u w:val="single"/>
                <w:lang w:val="en-NZ" w:eastAsia="en-NZ"/>
              </w:rPr>
            </w:pPr>
            <w:r w:rsidRPr="00394C0B">
              <w:rPr>
                <w:color w:val="000000"/>
                <w:sz w:val="22"/>
                <w:szCs w:val="22"/>
                <w:u w:val="single"/>
                <w:lang w:val="en-NZ" w:eastAsia="en-NZ"/>
              </w:rPr>
              <w:t>With Area Fixed Effects</w:t>
            </w:r>
          </w:p>
        </w:tc>
      </w:tr>
      <w:tr w:rsidR="00394C0B" w:rsidRPr="00394C0B" w:rsidTr="001E3813">
        <w:trPr>
          <w:gridAfter w:val="1"/>
          <w:wAfter w:w="110" w:type="dxa"/>
          <w:trHeight w:val="312"/>
        </w:trPr>
        <w:tc>
          <w:tcPr>
            <w:tcW w:w="5671" w:type="dxa"/>
            <w:tcBorders>
              <w:top w:val="nil"/>
              <w:left w:val="nil"/>
              <w:bottom w:val="single" w:sz="4" w:space="0" w:color="auto"/>
              <w:right w:val="nil"/>
            </w:tcBorders>
            <w:shd w:val="clear" w:color="auto" w:fill="auto"/>
            <w:noWrap/>
            <w:vAlign w:val="bottom"/>
            <w:hideMark/>
          </w:tcPr>
          <w:p w:rsidR="00394C0B" w:rsidRPr="00394C0B" w:rsidRDefault="00394C0B" w:rsidP="007170D2">
            <w:pPr>
              <w:spacing w:after="80" w:line="240" w:lineRule="auto"/>
              <w:ind w:right="856"/>
              <w:jc w:val="center"/>
              <w:rPr>
                <w:color w:val="000000"/>
                <w:sz w:val="22"/>
                <w:szCs w:val="22"/>
                <w:lang w:val="en-NZ" w:eastAsia="en-NZ"/>
              </w:rPr>
            </w:pPr>
            <w:r w:rsidRPr="00394C0B">
              <w:rPr>
                <w:color w:val="000000"/>
                <w:sz w:val="22"/>
                <w:szCs w:val="22"/>
                <w:lang w:val="en-NZ" w:eastAsia="en-NZ"/>
              </w:rPr>
              <w:t>Variables</w:t>
            </w:r>
          </w:p>
        </w:tc>
        <w:tc>
          <w:tcPr>
            <w:tcW w:w="1437" w:type="dxa"/>
            <w:tcBorders>
              <w:top w:val="nil"/>
              <w:left w:val="nil"/>
              <w:bottom w:val="single" w:sz="4" w:space="0" w:color="auto"/>
              <w:right w:val="nil"/>
            </w:tcBorders>
            <w:shd w:val="clear" w:color="auto" w:fill="auto"/>
            <w:noWrap/>
            <w:vAlign w:val="bottom"/>
            <w:hideMark/>
          </w:tcPr>
          <w:p w:rsidR="00394C0B" w:rsidRPr="00394C0B" w:rsidRDefault="00394C0B" w:rsidP="007170D2">
            <w:pPr>
              <w:spacing w:before="80" w:after="80" w:line="240" w:lineRule="auto"/>
              <w:jc w:val="right"/>
              <w:rPr>
                <w:color w:val="000000"/>
                <w:sz w:val="22"/>
                <w:szCs w:val="22"/>
                <w:lang w:val="en-NZ" w:eastAsia="en-NZ"/>
              </w:rPr>
            </w:pPr>
            <w:r w:rsidRPr="00394C0B">
              <w:rPr>
                <w:color w:val="000000"/>
                <w:sz w:val="22"/>
                <w:szCs w:val="22"/>
                <w:lang w:val="en-NZ" w:eastAsia="en-NZ"/>
              </w:rPr>
              <w:t>Coefficient</w:t>
            </w:r>
          </w:p>
        </w:tc>
        <w:tc>
          <w:tcPr>
            <w:tcW w:w="1107" w:type="dxa"/>
            <w:tcBorders>
              <w:top w:val="nil"/>
              <w:left w:val="nil"/>
              <w:bottom w:val="single" w:sz="4" w:space="0" w:color="auto"/>
              <w:right w:val="nil"/>
            </w:tcBorders>
            <w:shd w:val="clear" w:color="auto" w:fill="auto"/>
            <w:noWrap/>
            <w:vAlign w:val="bottom"/>
            <w:hideMark/>
          </w:tcPr>
          <w:p w:rsidR="00394C0B" w:rsidRPr="00394C0B" w:rsidRDefault="00394C0B" w:rsidP="007170D2">
            <w:pPr>
              <w:spacing w:before="80" w:after="80" w:line="240" w:lineRule="auto"/>
              <w:jc w:val="right"/>
              <w:rPr>
                <w:color w:val="000000"/>
                <w:sz w:val="22"/>
                <w:szCs w:val="22"/>
                <w:lang w:val="en-NZ" w:eastAsia="en-NZ"/>
              </w:rPr>
            </w:pPr>
            <w:r w:rsidRPr="00394C0B">
              <w:rPr>
                <w:color w:val="000000"/>
                <w:sz w:val="22"/>
                <w:szCs w:val="22"/>
                <w:lang w:val="en-NZ" w:eastAsia="en-NZ"/>
              </w:rPr>
              <w:t>t-statistic</w:t>
            </w:r>
          </w:p>
        </w:tc>
        <w:tc>
          <w:tcPr>
            <w:tcW w:w="271" w:type="dxa"/>
            <w:tcBorders>
              <w:top w:val="nil"/>
              <w:left w:val="nil"/>
              <w:bottom w:val="single" w:sz="4" w:space="0" w:color="auto"/>
              <w:right w:val="nil"/>
            </w:tcBorders>
            <w:shd w:val="clear" w:color="auto" w:fill="auto"/>
            <w:noWrap/>
            <w:vAlign w:val="bottom"/>
            <w:hideMark/>
          </w:tcPr>
          <w:p w:rsidR="00394C0B" w:rsidRPr="00394C0B" w:rsidRDefault="00394C0B" w:rsidP="007170D2">
            <w:pPr>
              <w:spacing w:before="80" w:after="80" w:line="240" w:lineRule="auto"/>
              <w:jc w:val="right"/>
              <w:rPr>
                <w:color w:val="000000"/>
                <w:sz w:val="22"/>
                <w:szCs w:val="22"/>
                <w:lang w:val="en-NZ" w:eastAsia="en-NZ"/>
              </w:rPr>
            </w:pPr>
            <w:r w:rsidRPr="00394C0B">
              <w:rPr>
                <w:color w:val="000000"/>
                <w:sz w:val="22"/>
                <w:szCs w:val="22"/>
                <w:lang w:val="en-NZ" w:eastAsia="en-NZ"/>
              </w:rPr>
              <w:t> </w:t>
            </w:r>
          </w:p>
        </w:tc>
        <w:tc>
          <w:tcPr>
            <w:tcW w:w="1281" w:type="dxa"/>
            <w:tcBorders>
              <w:top w:val="nil"/>
              <w:left w:val="nil"/>
              <w:bottom w:val="single" w:sz="4" w:space="0" w:color="auto"/>
              <w:right w:val="nil"/>
            </w:tcBorders>
            <w:shd w:val="clear" w:color="auto" w:fill="auto"/>
            <w:noWrap/>
            <w:vAlign w:val="bottom"/>
            <w:hideMark/>
          </w:tcPr>
          <w:p w:rsidR="00394C0B" w:rsidRPr="00394C0B" w:rsidRDefault="00394C0B" w:rsidP="007170D2">
            <w:pPr>
              <w:spacing w:before="80" w:after="80" w:line="240" w:lineRule="auto"/>
              <w:jc w:val="right"/>
              <w:rPr>
                <w:color w:val="000000"/>
                <w:sz w:val="22"/>
                <w:szCs w:val="22"/>
                <w:lang w:val="en-NZ" w:eastAsia="en-NZ"/>
              </w:rPr>
            </w:pPr>
            <w:r w:rsidRPr="00394C0B">
              <w:rPr>
                <w:color w:val="000000"/>
                <w:sz w:val="22"/>
                <w:szCs w:val="22"/>
                <w:lang w:val="en-NZ" w:eastAsia="en-NZ"/>
              </w:rPr>
              <w:t>Coefficient</w:t>
            </w:r>
          </w:p>
        </w:tc>
        <w:tc>
          <w:tcPr>
            <w:tcW w:w="1107" w:type="dxa"/>
            <w:tcBorders>
              <w:top w:val="nil"/>
              <w:left w:val="nil"/>
              <w:bottom w:val="single" w:sz="4" w:space="0" w:color="auto"/>
              <w:right w:val="nil"/>
            </w:tcBorders>
            <w:shd w:val="clear" w:color="auto" w:fill="auto"/>
            <w:noWrap/>
            <w:vAlign w:val="bottom"/>
            <w:hideMark/>
          </w:tcPr>
          <w:p w:rsidR="00394C0B" w:rsidRPr="00394C0B" w:rsidRDefault="00394C0B" w:rsidP="007170D2">
            <w:pPr>
              <w:spacing w:before="80" w:after="80" w:line="240" w:lineRule="auto"/>
              <w:jc w:val="right"/>
              <w:rPr>
                <w:color w:val="000000"/>
                <w:sz w:val="22"/>
                <w:szCs w:val="22"/>
                <w:lang w:val="en-NZ" w:eastAsia="en-NZ"/>
              </w:rPr>
            </w:pPr>
            <w:r w:rsidRPr="00394C0B">
              <w:rPr>
                <w:color w:val="000000"/>
                <w:sz w:val="22"/>
                <w:szCs w:val="22"/>
                <w:lang w:val="en-NZ" w:eastAsia="en-NZ"/>
              </w:rPr>
              <w:t>t-statistic</w:t>
            </w:r>
          </w:p>
        </w:tc>
      </w:tr>
      <w:tr w:rsidR="00394C0B" w:rsidRPr="00394C0B" w:rsidTr="001E3813">
        <w:trPr>
          <w:gridAfter w:val="1"/>
          <w:wAfter w:w="110" w:type="dxa"/>
          <w:trHeight w:val="288"/>
        </w:trPr>
        <w:tc>
          <w:tcPr>
            <w:tcW w:w="5671" w:type="dxa"/>
            <w:tcBorders>
              <w:top w:val="nil"/>
              <w:left w:val="nil"/>
              <w:bottom w:val="nil"/>
              <w:right w:val="nil"/>
            </w:tcBorders>
            <w:shd w:val="clear" w:color="auto" w:fill="auto"/>
            <w:noWrap/>
            <w:vAlign w:val="bottom"/>
            <w:hideMark/>
          </w:tcPr>
          <w:p w:rsidR="00394C0B" w:rsidRPr="00394C0B" w:rsidRDefault="00394C0B" w:rsidP="007170D2">
            <w:pPr>
              <w:spacing w:before="80" w:line="240" w:lineRule="auto"/>
              <w:ind w:right="857"/>
              <w:rPr>
                <w:color w:val="000000"/>
                <w:sz w:val="22"/>
                <w:szCs w:val="22"/>
                <w:lang w:val="en-NZ" w:eastAsia="en-NZ"/>
              </w:rPr>
            </w:pPr>
            <w:r w:rsidRPr="00394C0B">
              <w:rPr>
                <w:color w:val="000000"/>
                <w:sz w:val="22"/>
                <w:szCs w:val="22"/>
                <w:lang w:val="en-NZ" w:eastAsia="en-NZ"/>
              </w:rPr>
              <w:t>Age of household head</w:t>
            </w:r>
          </w:p>
        </w:tc>
        <w:tc>
          <w:tcPr>
            <w:tcW w:w="1437" w:type="dxa"/>
            <w:tcBorders>
              <w:top w:val="nil"/>
              <w:left w:val="nil"/>
              <w:bottom w:val="nil"/>
              <w:right w:val="nil"/>
            </w:tcBorders>
            <w:shd w:val="clear" w:color="auto" w:fill="auto"/>
            <w:noWrap/>
            <w:vAlign w:val="bottom"/>
            <w:hideMark/>
          </w:tcPr>
          <w:p w:rsidR="00394C0B" w:rsidRPr="00394C0B" w:rsidRDefault="00394C0B" w:rsidP="007170D2">
            <w:pPr>
              <w:spacing w:before="80" w:line="240" w:lineRule="auto"/>
              <w:jc w:val="right"/>
              <w:rPr>
                <w:color w:val="000000"/>
                <w:sz w:val="22"/>
                <w:szCs w:val="22"/>
                <w:lang w:val="en-NZ" w:eastAsia="en-NZ"/>
              </w:rPr>
            </w:pPr>
            <w:r w:rsidRPr="00394C0B">
              <w:rPr>
                <w:color w:val="000000"/>
                <w:sz w:val="22"/>
                <w:szCs w:val="22"/>
                <w:lang w:val="en-NZ" w:eastAsia="en-NZ"/>
              </w:rPr>
              <w:t>0.03</w:t>
            </w:r>
          </w:p>
        </w:tc>
        <w:tc>
          <w:tcPr>
            <w:tcW w:w="1107" w:type="dxa"/>
            <w:tcBorders>
              <w:top w:val="nil"/>
              <w:left w:val="nil"/>
              <w:bottom w:val="nil"/>
              <w:right w:val="nil"/>
            </w:tcBorders>
            <w:shd w:val="clear" w:color="auto" w:fill="auto"/>
            <w:noWrap/>
            <w:vAlign w:val="bottom"/>
            <w:hideMark/>
          </w:tcPr>
          <w:p w:rsidR="00394C0B" w:rsidRPr="00394C0B" w:rsidRDefault="00394C0B" w:rsidP="007170D2">
            <w:pPr>
              <w:spacing w:before="80" w:line="240" w:lineRule="auto"/>
              <w:jc w:val="right"/>
              <w:rPr>
                <w:color w:val="000000"/>
                <w:sz w:val="22"/>
                <w:szCs w:val="22"/>
                <w:lang w:val="en-NZ" w:eastAsia="en-NZ"/>
              </w:rPr>
            </w:pPr>
            <w:r w:rsidRPr="00394C0B">
              <w:rPr>
                <w:color w:val="000000"/>
                <w:sz w:val="22"/>
                <w:szCs w:val="22"/>
                <w:lang w:val="en-NZ" w:eastAsia="en-NZ"/>
              </w:rPr>
              <w:t>1.67</w:t>
            </w:r>
          </w:p>
        </w:tc>
        <w:tc>
          <w:tcPr>
            <w:tcW w:w="271" w:type="dxa"/>
            <w:tcBorders>
              <w:top w:val="nil"/>
              <w:left w:val="nil"/>
              <w:bottom w:val="nil"/>
              <w:right w:val="nil"/>
            </w:tcBorders>
            <w:shd w:val="clear" w:color="auto" w:fill="auto"/>
            <w:noWrap/>
            <w:vAlign w:val="bottom"/>
            <w:hideMark/>
          </w:tcPr>
          <w:p w:rsidR="00394C0B" w:rsidRPr="00394C0B" w:rsidRDefault="00394C0B" w:rsidP="007170D2">
            <w:pPr>
              <w:spacing w:before="80" w:line="240" w:lineRule="auto"/>
              <w:rPr>
                <w:color w:val="000000"/>
                <w:sz w:val="22"/>
                <w:szCs w:val="22"/>
                <w:lang w:val="en-NZ" w:eastAsia="en-NZ"/>
              </w:rPr>
            </w:pPr>
          </w:p>
        </w:tc>
        <w:tc>
          <w:tcPr>
            <w:tcW w:w="1281" w:type="dxa"/>
            <w:tcBorders>
              <w:top w:val="nil"/>
              <w:left w:val="nil"/>
              <w:bottom w:val="nil"/>
              <w:right w:val="nil"/>
            </w:tcBorders>
            <w:shd w:val="clear" w:color="auto" w:fill="auto"/>
            <w:noWrap/>
            <w:vAlign w:val="bottom"/>
            <w:hideMark/>
          </w:tcPr>
          <w:p w:rsidR="00394C0B" w:rsidRPr="00394C0B" w:rsidRDefault="00394C0B" w:rsidP="007170D2">
            <w:pPr>
              <w:spacing w:before="80" w:line="240" w:lineRule="auto"/>
              <w:jc w:val="right"/>
              <w:rPr>
                <w:color w:val="000000"/>
                <w:sz w:val="22"/>
                <w:szCs w:val="22"/>
                <w:lang w:val="en-NZ" w:eastAsia="en-NZ"/>
              </w:rPr>
            </w:pPr>
            <w:r w:rsidRPr="00394C0B">
              <w:rPr>
                <w:color w:val="000000"/>
                <w:sz w:val="22"/>
                <w:szCs w:val="22"/>
                <w:lang w:val="en-NZ" w:eastAsia="en-NZ"/>
              </w:rPr>
              <w:t>0.02</w:t>
            </w:r>
          </w:p>
        </w:tc>
        <w:tc>
          <w:tcPr>
            <w:tcW w:w="1107" w:type="dxa"/>
            <w:tcBorders>
              <w:top w:val="nil"/>
              <w:left w:val="nil"/>
              <w:bottom w:val="nil"/>
              <w:right w:val="nil"/>
            </w:tcBorders>
            <w:shd w:val="clear" w:color="auto" w:fill="auto"/>
            <w:noWrap/>
            <w:vAlign w:val="bottom"/>
            <w:hideMark/>
          </w:tcPr>
          <w:p w:rsidR="00394C0B" w:rsidRPr="00394C0B" w:rsidRDefault="00394C0B" w:rsidP="007170D2">
            <w:pPr>
              <w:spacing w:before="80" w:line="240" w:lineRule="auto"/>
              <w:jc w:val="right"/>
              <w:rPr>
                <w:color w:val="000000"/>
                <w:sz w:val="22"/>
                <w:szCs w:val="22"/>
                <w:lang w:val="en-NZ" w:eastAsia="en-NZ"/>
              </w:rPr>
            </w:pPr>
            <w:r w:rsidRPr="00394C0B">
              <w:rPr>
                <w:color w:val="000000"/>
                <w:sz w:val="22"/>
                <w:szCs w:val="22"/>
                <w:lang w:val="en-NZ" w:eastAsia="en-NZ"/>
              </w:rPr>
              <w:t>1.36</w:t>
            </w:r>
          </w:p>
        </w:tc>
      </w:tr>
      <w:tr w:rsidR="00394C0B" w:rsidRPr="00394C0B" w:rsidTr="001E3813">
        <w:trPr>
          <w:gridAfter w:val="1"/>
          <w:wAfter w:w="110" w:type="dxa"/>
          <w:trHeight w:val="288"/>
        </w:trPr>
        <w:tc>
          <w:tcPr>
            <w:tcW w:w="56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r w:rsidRPr="00394C0B">
              <w:rPr>
                <w:color w:val="000000"/>
                <w:sz w:val="22"/>
                <w:szCs w:val="22"/>
                <w:lang w:val="en-NZ" w:eastAsia="en-NZ"/>
              </w:rPr>
              <w:t>Household head is female (=1, else 0)</w:t>
            </w:r>
          </w:p>
        </w:tc>
        <w:tc>
          <w:tcPr>
            <w:tcW w:w="143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-0.67</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-0.75</w:t>
            </w:r>
          </w:p>
        </w:tc>
        <w:tc>
          <w:tcPr>
            <w:tcW w:w="2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28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-0.71</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0.79</w:t>
            </w:r>
          </w:p>
        </w:tc>
      </w:tr>
      <w:tr w:rsidR="00394C0B" w:rsidRPr="00394C0B" w:rsidTr="001E3813">
        <w:trPr>
          <w:gridAfter w:val="1"/>
          <w:wAfter w:w="110" w:type="dxa"/>
          <w:trHeight w:val="288"/>
        </w:trPr>
        <w:tc>
          <w:tcPr>
            <w:tcW w:w="56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r w:rsidRPr="00394C0B">
              <w:rPr>
                <w:color w:val="000000"/>
                <w:sz w:val="22"/>
                <w:szCs w:val="22"/>
                <w:lang w:val="en-NZ" w:eastAsia="en-NZ"/>
              </w:rPr>
              <w:t>Household head is married (=1, else 0)</w:t>
            </w:r>
          </w:p>
        </w:tc>
        <w:tc>
          <w:tcPr>
            <w:tcW w:w="143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-1.91</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-2.28</w:t>
            </w:r>
          </w:p>
        </w:tc>
        <w:tc>
          <w:tcPr>
            <w:tcW w:w="2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28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-2.03</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2.44</w:t>
            </w:r>
          </w:p>
        </w:tc>
      </w:tr>
      <w:tr w:rsidR="00394C0B" w:rsidRPr="00394C0B" w:rsidTr="001E3813">
        <w:trPr>
          <w:gridAfter w:val="1"/>
          <w:wAfter w:w="110" w:type="dxa"/>
          <w:trHeight w:val="288"/>
        </w:trPr>
        <w:tc>
          <w:tcPr>
            <w:tcW w:w="56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r w:rsidRPr="00394C0B">
              <w:rPr>
                <w:color w:val="000000"/>
                <w:sz w:val="22"/>
                <w:szCs w:val="22"/>
                <w:lang w:val="en-NZ" w:eastAsia="en-NZ"/>
              </w:rPr>
              <w:t>Years of education of household head</w:t>
            </w:r>
          </w:p>
        </w:tc>
        <w:tc>
          <w:tcPr>
            <w:tcW w:w="143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0.16</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2.53</w:t>
            </w:r>
          </w:p>
        </w:tc>
        <w:tc>
          <w:tcPr>
            <w:tcW w:w="2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28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0.09</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1.46</w:t>
            </w:r>
          </w:p>
        </w:tc>
      </w:tr>
      <w:tr w:rsidR="00394C0B" w:rsidRPr="00394C0B" w:rsidTr="001E3813">
        <w:trPr>
          <w:gridAfter w:val="1"/>
          <w:wAfter w:w="110" w:type="dxa"/>
          <w:trHeight w:val="288"/>
        </w:trPr>
        <w:tc>
          <w:tcPr>
            <w:tcW w:w="56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proofErr w:type="spellStart"/>
            <w:r w:rsidRPr="00394C0B">
              <w:rPr>
                <w:color w:val="000000"/>
                <w:sz w:val="22"/>
                <w:szCs w:val="22"/>
                <w:lang w:val="en-NZ" w:eastAsia="en-NZ"/>
              </w:rPr>
              <w:t>H'hold</w:t>
            </w:r>
            <w:proofErr w:type="spellEnd"/>
            <w:r w:rsidRPr="00394C0B">
              <w:rPr>
                <w:color w:val="000000"/>
                <w:sz w:val="22"/>
                <w:szCs w:val="22"/>
                <w:lang w:val="en-NZ" w:eastAsia="en-NZ"/>
              </w:rPr>
              <w:t xml:space="preserve"> head mother tongue is Myanmar (=1, else 0)</w:t>
            </w:r>
          </w:p>
        </w:tc>
        <w:tc>
          <w:tcPr>
            <w:tcW w:w="143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-2.52</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-4.09</w:t>
            </w:r>
          </w:p>
        </w:tc>
        <w:tc>
          <w:tcPr>
            <w:tcW w:w="2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28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-1.87</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2.33</w:t>
            </w:r>
          </w:p>
        </w:tc>
      </w:tr>
      <w:tr w:rsidR="00394C0B" w:rsidRPr="00394C0B" w:rsidTr="001E3813">
        <w:trPr>
          <w:gridAfter w:val="1"/>
          <w:wAfter w:w="110" w:type="dxa"/>
          <w:trHeight w:val="288"/>
        </w:trPr>
        <w:tc>
          <w:tcPr>
            <w:tcW w:w="56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r w:rsidRPr="00394C0B">
              <w:rPr>
                <w:color w:val="000000"/>
                <w:sz w:val="22"/>
                <w:szCs w:val="22"/>
                <w:lang w:val="en-NZ" w:eastAsia="en-NZ"/>
              </w:rPr>
              <w:t>Household head is Buddhist (=1, else 0)</w:t>
            </w:r>
          </w:p>
        </w:tc>
        <w:tc>
          <w:tcPr>
            <w:tcW w:w="143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-2.57</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-2.82</w:t>
            </w:r>
          </w:p>
        </w:tc>
        <w:tc>
          <w:tcPr>
            <w:tcW w:w="2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28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-2.70</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2.99</w:t>
            </w:r>
          </w:p>
        </w:tc>
      </w:tr>
      <w:tr w:rsidR="00394C0B" w:rsidRPr="00394C0B" w:rsidTr="001E3813">
        <w:trPr>
          <w:gridAfter w:val="1"/>
          <w:wAfter w:w="110" w:type="dxa"/>
          <w:trHeight w:val="288"/>
        </w:trPr>
        <w:tc>
          <w:tcPr>
            <w:tcW w:w="56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r w:rsidRPr="00394C0B">
              <w:rPr>
                <w:color w:val="000000"/>
                <w:sz w:val="22"/>
                <w:szCs w:val="22"/>
                <w:lang w:val="en-NZ" w:eastAsia="en-NZ"/>
              </w:rPr>
              <w:t>Household head is a farmer (=1, else 0)</w:t>
            </w:r>
          </w:p>
        </w:tc>
        <w:tc>
          <w:tcPr>
            <w:tcW w:w="143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-0.54</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-1.07</w:t>
            </w:r>
          </w:p>
        </w:tc>
        <w:tc>
          <w:tcPr>
            <w:tcW w:w="2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28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0.26</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0.50</w:t>
            </w:r>
          </w:p>
        </w:tc>
      </w:tr>
      <w:tr w:rsidR="00394C0B" w:rsidRPr="00394C0B" w:rsidTr="001E3813">
        <w:trPr>
          <w:gridAfter w:val="1"/>
          <w:wAfter w:w="110" w:type="dxa"/>
          <w:trHeight w:val="120"/>
        </w:trPr>
        <w:tc>
          <w:tcPr>
            <w:tcW w:w="56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p>
        </w:tc>
        <w:tc>
          <w:tcPr>
            <w:tcW w:w="143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2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28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r>
      <w:tr w:rsidR="00394C0B" w:rsidRPr="00394C0B" w:rsidTr="001E3813">
        <w:trPr>
          <w:gridAfter w:val="1"/>
          <w:wAfter w:w="110" w:type="dxa"/>
          <w:trHeight w:val="360"/>
        </w:trPr>
        <w:tc>
          <w:tcPr>
            <w:tcW w:w="5671" w:type="dxa"/>
            <w:tcBorders>
              <w:top w:val="nil"/>
              <w:left w:val="nil"/>
              <w:bottom w:val="nil"/>
              <w:right w:val="nil"/>
            </w:tcBorders>
            <w:shd w:val="clear" w:color="auto" w:fill="auto"/>
            <w:noWrap/>
            <w:vAlign w:val="center"/>
            <w:hideMark/>
          </w:tcPr>
          <w:p w:rsidR="00394C0B" w:rsidRPr="00394C0B" w:rsidRDefault="00394C0B" w:rsidP="00394C0B">
            <w:pPr>
              <w:spacing w:line="240" w:lineRule="auto"/>
              <w:ind w:right="857"/>
              <w:rPr>
                <w:color w:val="000000"/>
                <w:sz w:val="22"/>
                <w:szCs w:val="22"/>
                <w:lang w:val="en-NZ" w:eastAsia="en-NZ"/>
              </w:rPr>
            </w:pPr>
            <w:r w:rsidRPr="00394C0B">
              <w:rPr>
                <w:color w:val="000000"/>
                <w:sz w:val="22"/>
                <w:szCs w:val="22"/>
                <w:lang w:val="en-NZ" w:eastAsia="en-NZ"/>
              </w:rPr>
              <w:t>Agro-ecological zones:</w:t>
            </w:r>
          </w:p>
        </w:tc>
        <w:tc>
          <w:tcPr>
            <w:tcW w:w="5203" w:type="dxa"/>
            <w:gridSpan w:val="5"/>
            <w:tcBorders>
              <w:top w:val="nil"/>
              <w:left w:val="nil"/>
              <w:bottom w:val="nil"/>
              <w:right w:val="nil"/>
            </w:tcBorders>
            <w:shd w:val="clear" w:color="auto" w:fill="auto"/>
            <w:noWrap/>
            <w:vAlign w:val="center"/>
            <w:hideMark/>
          </w:tcPr>
          <w:p w:rsidR="00394C0B" w:rsidRPr="00394C0B" w:rsidRDefault="00394C0B" w:rsidP="00394C0B">
            <w:pPr>
              <w:spacing w:line="240" w:lineRule="auto"/>
              <w:jc w:val="center"/>
              <w:rPr>
                <w:color w:val="000000"/>
                <w:sz w:val="22"/>
                <w:szCs w:val="22"/>
                <w:lang w:val="en-NZ" w:eastAsia="en-NZ"/>
              </w:rPr>
            </w:pPr>
          </w:p>
        </w:tc>
      </w:tr>
      <w:tr w:rsidR="00394C0B" w:rsidRPr="00394C0B" w:rsidTr="001E3813">
        <w:trPr>
          <w:gridAfter w:val="1"/>
          <w:wAfter w:w="110" w:type="dxa"/>
          <w:trHeight w:val="288"/>
        </w:trPr>
        <w:tc>
          <w:tcPr>
            <w:tcW w:w="56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r w:rsidRPr="00394C0B">
              <w:rPr>
                <w:color w:val="000000"/>
                <w:sz w:val="22"/>
                <w:szCs w:val="22"/>
                <w:lang w:val="en-NZ" w:eastAsia="en-NZ"/>
              </w:rPr>
              <w:t xml:space="preserve">   Urban Hills</w:t>
            </w:r>
          </w:p>
        </w:tc>
        <w:tc>
          <w:tcPr>
            <w:tcW w:w="143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2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28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-5.75</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2.61</w:t>
            </w:r>
          </w:p>
        </w:tc>
      </w:tr>
      <w:tr w:rsidR="00394C0B" w:rsidRPr="00394C0B" w:rsidTr="001E3813">
        <w:trPr>
          <w:gridAfter w:val="1"/>
          <w:wAfter w:w="110" w:type="dxa"/>
          <w:trHeight w:val="288"/>
        </w:trPr>
        <w:tc>
          <w:tcPr>
            <w:tcW w:w="56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r w:rsidRPr="00394C0B">
              <w:rPr>
                <w:color w:val="000000"/>
                <w:sz w:val="22"/>
                <w:szCs w:val="22"/>
                <w:lang w:val="en-NZ" w:eastAsia="en-NZ"/>
              </w:rPr>
              <w:t xml:space="preserve">   Rural Hills</w:t>
            </w:r>
          </w:p>
        </w:tc>
        <w:tc>
          <w:tcPr>
            <w:tcW w:w="143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2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28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-9.20</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4.47</w:t>
            </w:r>
          </w:p>
        </w:tc>
      </w:tr>
      <w:tr w:rsidR="00394C0B" w:rsidRPr="00394C0B" w:rsidTr="001E3813">
        <w:trPr>
          <w:gridAfter w:val="1"/>
          <w:wAfter w:w="110" w:type="dxa"/>
          <w:trHeight w:val="288"/>
        </w:trPr>
        <w:tc>
          <w:tcPr>
            <w:tcW w:w="56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r w:rsidRPr="00394C0B">
              <w:rPr>
                <w:color w:val="000000"/>
                <w:sz w:val="22"/>
                <w:szCs w:val="22"/>
                <w:lang w:val="en-NZ" w:eastAsia="en-NZ"/>
              </w:rPr>
              <w:t xml:space="preserve">   Urban Dry Zone</w:t>
            </w:r>
          </w:p>
        </w:tc>
        <w:tc>
          <w:tcPr>
            <w:tcW w:w="143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2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28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-6.99</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3.60</w:t>
            </w:r>
          </w:p>
        </w:tc>
      </w:tr>
      <w:tr w:rsidR="00394C0B" w:rsidRPr="00394C0B" w:rsidTr="001E3813">
        <w:trPr>
          <w:gridAfter w:val="1"/>
          <w:wAfter w:w="110" w:type="dxa"/>
          <w:trHeight w:val="288"/>
        </w:trPr>
        <w:tc>
          <w:tcPr>
            <w:tcW w:w="56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r w:rsidRPr="00394C0B">
              <w:rPr>
                <w:color w:val="000000"/>
                <w:sz w:val="22"/>
                <w:szCs w:val="22"/>
                <w:lang w:val="en-NZ" w:eastAsia="en-NZ"/>
              </w:rPr>
              <w:t xml:space="preserve">   Rural Dry Zone</w:t>
            </w:r>
          </w:p>
        </w:tc>
        <w:tc>
          <w:tcPr>
            <w:tcW w:w="143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2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28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-7.64</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4.06</w:t>
            </w:r>
          </w:p>
        </w:tc>
      </w:tr>
      <w:tr w:rsidR="00394C0B" w:rsidRPr="00394C0B" w:rsidTr="001E3813">
        <w:trPr>
          <w:gridAfter w:val="1"/>
          <w:wAfter w:w="110" w:type="dxa"/>
          <w:trHeight w:val="288"/>
        </w:trPr>
        <w:tc>
          <w:tcPr>
            <w:tcW w:w="56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r w:rsidRPr="00394C0B">
              <w:rPr>
                <w:color w:val="000000"/>
                <w:sz w:val="22"/>
                <w:szCs w:val="22"/>
                <w:lang w:val="en-NZ" w:eastAsia="en-NZ"/>
              </w:rPr>
              <w:t xml:space="preserve">   Rural Coastal</w:t>
            </w:r>
          </w:p>
        </w:tc>
        <w:tc>
          <w:tcPr>
            <w:tcW w:w="143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2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28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-6.16</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3.04</w:t>
            </w:r>
          </w:p>
        </w:tc>
      </w:tr>
      <w:tr w:rsidR="00394C0B" w:rsidRPr="00394C0B" w:rsidTr="001E3813">
        <w:trPr>
          <w:gridAfter w:val="1"/>
          <w:wAfter w:w="110" w:type="dxa"/>
          <w:trHeight w:val="288"/>
        </w:trPr>
        <w:tc>
          <w:tcPr>
            <w:tcW w:w="56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r w:rsidRPr="00394C0B">
              <w:rPr>
                <w:color w:val="000000"/>
                <w:sz w:val="22"/>
                <w:szCs w:val="22"/>
                <w:lang w:val="en-NZ" w:eastAsia="en-NZ"/>
              </w:rPr>
              <w:t xml:space="preserve">   Urban Delta</w:t>
            </w:r>
          </w:p>
        </w:tc>
        <w:tc>
          <w:tcPr>
            <w:tcW w:w="143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2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28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-6.93</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3.41</w:t>
            </w:r>
          </w:p>
        </w:tc>
      </w:tr>
      <w:tr w:rsidR="00394C0B" w:rsidRPr="00394C0B" w:rsidTr="001E3813">
        <w:trPr>
          <w:gridAfter w:val="1"/>
          <w:wAfter w:w="110" w:type="dxa"/>
          <w:trHeight w:val="288"/>
        </w:trPr>
        <w:tc>
          <w:tcPr>
            <w:tcW w:w="56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r w:rsidRPr="00394C0B">
              <w:rPr>
                <w:color w:val="000000"/>
                <w:sz w:val="22"/>
                <w:szCs w:val="22"/>
                <w:lang w:val="en-NZ" w:eastAsia="en-NZ"/>
              </w:rPr>
              <w:t xml:space="preserve">   Rural Delta</w:t>
            </w:r>
          </w:p>
        </w:tc>
        <w:tc>
          <w:tcPr>
            <w:tcW w:w="143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2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28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-8.80</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4.56</w:t>
            </w:r>
          </w:p>
        </w:tc>
      </w:tr>
      <w:tr w:rsidR="00394C0B" w:rsidRPr="00394C0B" w:rsidTr="001E3813">
        <w:trPr>
          <w:gridAfter w:val="1"/>
          <w:wAfter w:w="110" w:type="dxa"/>
          <w:trHeight w:val="288"/>
        </w:trPr>
        <w:tc>
          <w:tcPr>
            <w:tcW w:w="56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r w:rsidRPr="00394C0B">
              <w:rPr>
                <w:color w:val="000000"/>
                <w:sz w:val="22"/>
                <w:szCs w:val="22"/>
                <w:lang w:val="en-NZ" w:eastAsia="en-NZ"/>
              </w:rPr>
              <w:t>Constant</w:t>
            </w:r>
          </w:p>
        </w:tc>
        <w:tc>
          <w:tcPr>
            <w:tcW w:w="143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0.29</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17.59</w:t>
            </w:r>
          </w:p>
        </w:tc>
        <w:tc>
          <w:tcPr>
            <w:tcW w:w="2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128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0.31</w:t>
            </w:r>
          </w:p>
        </w:tc>
        <w:tc>
          <w:tcPr>
            <w:tcW w:w="1107" w:type="dxa"/>
            <w:tcBorders>
              <w:top w:val="nil"/>
              <w:left w:val="nil"/>
              <w:bottom w:val="nil"/>
              <w:right w:val="nil"/>
            </w:tcBorders>
            <w:shd w:val="clear" w:color="auto" w:fill="auto"/>
            <w:noWrap/>
            <w:vAlign w:val="bottom"/>
            <w:hideMark/>
          </w:tcPr>
          <w:p w:rsidR="00394C0B" w:rsidRPr="00394C0B" w:rsidRDefault="00394C0B" w:rsidP="00394C0B">
            <w:pPr>
              <w:spacing w:line="240" w:lineRule="auto"/>
              <w:jc w:val="right"/>
              <w:rPr>
                <w:color w:val="000000"/>
                <w:sz w:val="22"/>
                <w:szCs w:val="22"/>
                <w:lang w:val="en-NZ" w:eastAsia="en-NZ"/>
              </w:rPr>
            </w:pPr>
            <w:r w:rsidRPr="00394C0B">
              <w:rPr>
                <w:color w:val="000000"/>
                <w:sz w:val="22"/>
                <w:szCs w:val="22"/>
                <w:lang w:val="en-NZ" w:eastAsia="en-NZ"/>
              </w:rPr>
              <w:t>16.05</w:t>
            </w:r>
          </w:p>
        </w:tc>
      </w:tr>
      <w:tr w:rsidR="00394C0B" w:rsidRPr="00394C0B" w:rsidTr="001E3813">
        <w:trPr>
          <w:gridAfter w:val="1"/>
          <w:wAfter w:w="110" w:type="dxa"/>
          <w:trHeight w:val="288"/>
        </w:trPr>
        <w:tc>
          <w:tcPr>
            <w:tcW w:w="56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r w:rsidRPr="00394C0B">
              <w:rPr>
                <w:i/>
                <w:iCs/>
                <w:color w:val="000000"/>
                <w:sz w:val="22"/>
                <w:szCs w:val="22"/>
                <w:lang w:val="en-NZ" w:eastAsia="en-NZ"/>
              </w:rPr>
              <w:t>F-</w:t>
            </w:r>
            <w:r w:rsidRPr="00394C0B">
              <w:rPr>
                <w:color w:val="000000"/>
                <w:sz w:val="22"/>
                <w:szCs w:val="22"/>
                <w:lang w:val="en-NZ" w:eastAsia="en-NZ"/>
              </w:rPr>
              <w:t>test (slopes=0)</w:t>
            </w:r>
          </w:p>
        </w:tc>
        <w:tc>
          <w:tcPr>
            <w:tcW w:w="2544" w:type="dxa"/>
            <w:gridSpan w:val="2"/>
            <w:tcBorders>
              <w:top w:val="nil"/>
              <w:left w:val="nil"/>
              <w:bottom w:val="nil"/>
              <w:right w:val="nil"/>
            </w:tcBorders>
            <w:shd w:val="clear" w:color="auto" w:fill="auto"/>
            <w:noWrap/>
            <w:vAlign w:val="bottom"/>
            <w:hideMark/>
          </w:tcPr>
          <w:p w:rsidR="00394C0B" w:rsidRPr="00394C0B" w:rsidRDefault="00394C0B" w:rsidP="00394C0B">
            <w:pPr>
              <w:spacing w:line="240" w:lineRule="auto"/>
              <w:jc w:val="center"/>
              <w:rPr>
                <w:color w:val="000000"/>
                <w:sz w:val="22"/>
                <w:szCs w:val="22"/>
                <w:lang w:val="en-NZ" w:eastAsia="en-NZ"/>
              </w:rPr>
            </w:pPr>
            <w:r w:rsidRPr="00394C0B">
              <w:rPr>
                <w:color w:val="000000"/>
                <w:sz w:val="22"/>
                <w:szCs w:val="22"/>
                <w:lang w:val="en-NZ" w:eastAsia="en-NZ"/>
              </w:rPr>
              <w:t>8.80</w:t>
            </w:r>
          </w:p>
        </w:tc>
        <w:tc>
          <w:tcPr>
            <w:tcW w:w="271" w:type="dxa"/>
            <w:tcBorders>
              <w:top w:val="nil"/>
              <w:left w:val="nil"/>
              <w:bottom w:val="nil"/>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p>
        </w:tc>
        <w:tc>
          <w:tcPr>
            <w:tcW w:w="2388" w:type="dxa"/>
            <w:gridSpan w:val="2"/>
            <w:tcBorders>
              <w:top w:val="nil"/>
              <w:left w:val="nil"/>
              <w:bottom w:val="nil"/>
              <w:right w:val="nil"/>
            </w:tcBorders>
            <w:shd w:val="clear" w:color="auto" w:fill="auto"/>
            <w:noWrap/>
            <w:vAlign w:val="bottom"/>
            <w:hideMark/>
          </w:tcPr>
          <w:p w:rsidR="00394C0B" w:rsidRPr="00394C0B" w:rsidRDefault="00394C0B" w:rsidP="00394C0B">
            <w:pPr>
              <w:spacing w:line="240" w:lineRule="auto"/>
              <w:jc w:val="center"/>
              <w:rPr>
                <w:color w:val="000000"/>
                <w:sz w:val="22"/>
                <w:szCs w:val="22"/>
                <w:lang w:val="en-NZ" w:eastAsia="en-NZ"/>
              </w:rPr>
            </w:pPr>
            <w:r w:rsidRPr="00394C0B">
              <w:rPr>
                <w:color w:val="000000"/>
                <w:sz w:val="22"/>
                <w:szCs w:val="22"/>
                <w:lang w:val="en-NZ" w:eastAsia="en-NZ"/>
              </w:rPr>
              <w:t>6.57</w:t>
            </w:r>
          </w:p>
        </w:tc>
      </w:tr>
      <w:tr w:rsidR="00394C0B" w:rsidRPr="00394C0B" w:rsidTr="001E3813">
        <w:trPr>
          <w:gridAfter w:val="1"/>
          <w:wAfter w:w="110" w:type="dxa"/>
          <w:trHeight w:val="108"/>
        </w:trPr>
        <w:tc>
          <w:tcPr>
            <w:tcW w:w="5671" w:type="dxa"/>
            <w:tcBorders>
              <w:top w:val="nil"/>
              <w:left w:val="nil"/>
              <w:bottom w:val="single" w:sz="4" w:space="0" w:color="auto"/>
              <w:right w:val="nil"/>
            </w:tcBorders>
            <w:shd w:val="clear" w:color="auto" w:fill="auto"/>
            <w:noWrap/>
            <w:vAlign w:val="bottom"/>
            <w:hideMark/>
          </w:tcPr>
          <w:p w:rsidR="00394C0B" w:rsidRPr="00394C0B" w:rsidRDefault="00394C0B" w:rsidP="00394C0B">
            <w:pPr>
              <w:spacing w:line="240" w:lineRule="auto"/>
              <w:ind w:right="857"/>
              <w:rPr>
                <w:color w:val="000000"/>
                <w:sz w:val="22"/>
                <w:szCs w:val="22"/>
                <w:lang w:val="en-NZ" w:eastAsia="en-NZ"/>
              </w:rPr>
            </w:pPr>
            <w:r w:rsidRPr="00394C0B">
              <w:rPr>
                <w:color w:val="000000"/>
                <w:sz w:val="22"/>
                <w:szCs w:val="22"/>
                <w:lang w:val="en-NZ" w:eastAsia="en-NZ"/>
              </w:rPr>
              <w:t> </w:t>
            </w:r>
          </w:p>
        </w:tc>
        <w:tc>
          <w:tcPr>
            <w:tcW w:w="1437" w:type="dxa"/>
            <w:tcBorders>
              <w:top w:val="nil"/>
              <w:left w:val="nil"/>
              <w:bottom w:val="single" w:sz="4" w:space="0" w:color="auto"/>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r w:rsidRPr="00394C0B">
              <w:rPr>
                <w:color w:val="000000"/>
                <w:sz w:val="22"/>
                <w:szCs w:val="22"/>
                <w:lang w:val="en-NZ" w:eastAsia="en-NZ"/>
              </w:rPr>
              <w:t> </w:t>
            </w:r>
          </w:p>
        </w:tc>
        <w:tc>
          <w:tcPr>
            <w:tcW w:w="1107" w:type="dxa"/>
            <w:tcBorders>
              <w:top w:val="nil"/>
              <w:left w:val="nil"/>
              <w:bottom w:val="single" w:sz="4" w:space="0" w:color="auto"/>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r w:rsidRPr="00394C0B">
              <w:rPr>
                <w:color w:val="000000"/>
                <w:sz w:val="22"/>
                <w:szCs w:val="22"/>
                <w:lang w:val="en-NZ" w:eastAsia="en-NZ"/>
              </w:rPr>
              <w:t> </w:t>
            </w:r>
          </w:p>
        </w:tc>
        <w:tc>
          <w:tcPr>
            <w:tcW w:w="271" w:type="dxa"/>
            <w:tcBorders>
              <w:top w:val="nil"/>
              <w:left w:val="nil"/>
              <w:bottom w:val="single" w:sz="4" w:space="0" w:color="auto"/>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r w:rsidRPr="00394C0B">
              <w:rPr>
                <w:color w:val="000000"/>
                <w:sz w:val="22"/>
                <w:szCs w:val="22"/>
                <w:lang w:val="en-NZ" w:eastAsia="en-NZ"/>
              </w:rPr>
              <w:t> </w:t>
            </w:r>
          </w:p>
        </w:tc>
        <w:tc>
          <w:tcPr>
            <w:tcW w:w="1281" w:type="dxa"/>
            <w:tcBorders>
              <w:top w:val="nil"/>
              <w:left w:val="nil"/>
              <w:bottom w:val="single" w:sz="4" w:space="0" w:color="auto"/>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r w:rsidRPr="00394C0B">
              <w:rPr>
                <w:color w:val="000000"/>
                <w:sz w:val="22"/>
                <w:szCs w:val="22"/>
                <w:lang w:val="en-NZ" w:eastAsia="en-NZ"/>
              </w:rPr>
              <w:t> </w:t>
            </w:r>
          </w:p>
        </w:tc>
        <w:tc>
          <w:tcPr>
            <w:tcW w:w="1107" w:type="dxa"/>
            <w:tcBorders>
              <w:top w:val="nil"/>
              <w:left w:val="nil"/>
              <w:bottom w:val="single" w:sz="4" w:space="0" w:color="auto"/>
              <w:right w:val="nil"/>
            </w:tcBorders>
            <w:shd w:val="clear" w:color="auto" w:fill="auto"/>
            <w:noWrap/>
            <w:vAlign w:val="bottom"/>
            <w:hideMark/>
          </w:tcPr>
          <w:p w:rsidR="00394C0B" w:rsidRPr="00394C0B" w:rsidRDefault="00394C0B" w:rsidP="00394C0B">
            <w:pPr>
              <w:spacing w:line="240" w:lineRule="auto"/>
              <w:rPr>
                <w:color w:val="000000"/>
                <w:sz w:val="22"/>
                <w:szCs w:val="22"/>
                <w:lang w:val="en-NZ" w:eastAsia="en-NZ"/>
              </w:rPr>
            </w:pPr>
            <w:r w:rsidRPr="00394C0B">
              <w:rPr>
                <w:color w:val="000000"/>
                <w:sz w:val="22"/>
                <w:szCs w:val="22"/>
                <w:lang w:val="en-NZ" w:eastAsia="en-NZ"/>
              </w:rPr>
              <w:t> </w:t>
            </w:r>
          </w:p>
        </w:tc>
      </w:tr>
      <w:tr w:rsidR="00394C0B" w:rsidRPr="00394C0B" w:rsidTr="00394C0B">
        <w:trPr>
          <w:trHeight w:val="288"/>
        </w:trPr>
        <w:tc>
          <w:tcPr>
            <w:tcW w:w="10984" w:type="dxa"/>
            <w:gridSpan w:val="7"/>
            <w:vMerge w:val="restart"/>
            <w:tcBorders>
              <w:top w:val="single" w:sz="4" w:space="0" w:color="auto"/>
              <w:left w:val="nil"/>
              <w:bottom w:val="nil"/>
              <w:right w:val="nil"/>
            </w:tcBorders>
            <w:shd w:val="clear" w:color="auto" w:fill="auto"/>
            <w:hideMark/>
          </w:tcPr>
          <w:p w:rsidR="00BA6C20" w:rsidRDefault="00394C0B" w:rsidP="007A22FE">
            <w:pPr>
              <w:spacing w:before="80" w:line="240" w:lineRule="auto"/>
              <w:rPr>
                <w:color w:val="000000"/>
                <w:sz w:val="22"/>
                <w:szCs w:val="22"/>
                <w:lang w:val="en-NZ" w:eastAsia="en-NZ"/>
              </w:rPr>
            </w:pPr>
            <w:r w:rsidRPr="00394C0B">
              <w:rPr>
                <w:i/>
                <w:iCs/>
                <w:color w:val="000000"/>
                <w:sz w:val="22"/>
                <w:szCs w:val="22"/>
                <w:lang w:val="en-NZ" w:eastAsia="en-NZ"/>
              </w:rPr>
              <w:t>Notes:</w:t>
            </w:r>
            <w:r w:rsidRPr="00394C0B">
              <w:rPr>
                <w:color w:val="000000"/>
                <w:sz w:val="22"/>
                <w:szCs w:val="22"/>
                <w:lang w:val="en-NZ" w:eastAsia="en-NZ"/>
              </w:rPr>
              <w:t xml:space="preserve"> </w:t>
            </w:r>
          </w:p>
          <w:p w:rsidR="007170D2" w:rsidRPr="007170D2" w:rsidRDefault="00394C0B" w:rsidP="007A22FE">
            <w:pPr>
              <w:spacing w:before="80" w:line="240" w:lineRule="auto"/>
              <w:rPr>
                <w:color w:val="000000"/>
                <w:sz w:val="6"/>
                <w:szCs w:val="6"/>
                <w:lang w:val="en-NZ" w:eastAsia="en-NZ"/>
              </w:rPr>
            </w:pPr>
            <w:r w:rsidRPr="00394C0B">
              <w:rPr>
                <w:color w:val="000000"/>
                <w:sz w:val="22"/>
                <w:szCs w:val="22"/>
                <w:lang w:val="en-NZ" w:eastAsia="en-NZ"/>
              </w:rPr>
              <w:t>Coefficients show the percentage point change in calorie variability (the absolute difference between per capita calories in each round relative to the inter-round average) for a unit change in the explanatory variable.</w:t>
            </w:r>
            <w:r w:rsidRPr="00394C0B">
              <w:rPr>
                <w:color w:val="000000"/>
                <w:sz w:val="22"/>
                <w:szCs w:val="22"/>
                <w:lang w:val="en-NZ" w:eastAsia="en-NZ"/>
              </w:rPr>
              <w:br/>
            </w:r>
          </w:p>
          <w:p w:rsidR="007170D2" w:rsidRPr="007170D2" w:rsidRDefault="00394C0B" w:rsidP="007A22FE">
            <w:pPr>
              <w:spacing w:before="80" w:line="240" w:lineRule="auto"/>
              <w:rPr>
                <w:color w:val="000000"/>
                <w:sz w:val="6"/>
                <w:szCs w:val="6"/>
                <w:lang w:val="en-NZ" w:eastAsia="en-NZ"/>
              </w:rPr>
            </w:pPr>
            <w:r w:rsidRPr="00394C0B">
              <w:rPr>
                <w:color w:val="000000"/>
                <w:sz w:val="22"/>
                <w:szCs w:val="22"/>
                <w:lang w:val="en-NZ" w:eastAsia="en-NZ"/>
              </w:rPr>
              <w:t>The omitted agro-ecological zone is Urban Coastal.</w:t>
            </w:r>
            <w:r w:rsidRPr="00394C0B">
              <w:rPr>
                <w:color w:val="000000"/>
                <w:sz w:val="22"/>
                <w:szCs w:val="22"/>
                <w:lang w:val="en-NZ" w:eastAsia="en-NZ"/>
              </w:rPr>
              <w:br/>
            </w:r>
          </w:p>
          <w:p w:rsidR="00394C0B" w:rsidRPr="00394C0B" w:rsidRDefault="00394C0B" w:rsidP="007A22FE">
            <w:pPr>
              <w:spacing w:before="80" w:line="240" w:lineRule="auto"/>
              <w:rPr>
                <w:i/>
                <w:iCs/>
                <w:color w:val="000000"/>
                <w:sz w:val="22"/>
                <w:szCs w:val="22"/>
                <w:lang w:val="en-NZ" w:eastAsia="en-NZ"/>
              </w:rPr>
            </w:pPr>
            <w:r w:rsidRPr="00394C0B">
              <w:rPr>
                <w:color w:val="000000"/>
                <w:sz w:val="22"/>
                <w:szCs w:val="22"/>
                <w:lang w:val="en-NZ" w:eastAsia="en-NZ"/>
              </w:rPr>
              <w:t xml:space="preserve">The </w:t>
            </w:r>
            <w:r w:rsidRPr="00BA6C20">
              <w:rPr>
                <w:i/>
                <w:color w:val="000000"/>
                <w:sz w:val="22"/>
                <w:szCs w:val="22"/>
                <w:lang w:val="en-NZ" w:eastAsia="en-NZ"/>
              </w:rPr>
              <w:t>t</w:t>
            </w:r>
            <w:r w:rsidRPr="00394C0B">
              <w:rPr>
                <w:color w:val="000000"/>
                <w:sz w:val="22"/>
                <w:szCs w:val="22"/>
                <w:lang w:val="en-NZ" w:eastAsia="en-NZ"/>
              </w:rPr>
              <w:t xml:space="preserve">-statistics are from robust standard errors and the </w:t>
            </w:r>
            <w:r w:rsidRPr="00BA6C20">
              <w:rPr>
                <w:i/>
                <w:color w:val="000000"/>
                <w:sz w:val="22"/>
                <w:szCs w:val="22"/>
                <w:lang w:val="en-NZ" w:eastAsia="en-NZ"/>
              </w:rPr>
              <w:t>F</w:t>
            </w:r>
            <w:r w:rsidRPr="00394C0B">
              <w:rPr>
                <w:color w:val="000000"/>
                <w:sz w:val="22"/>
                <w:szCs w:val="22"/>
                <w:lang w:val="en-NZ" w:eastAsia="en-NZ"/>
              </w:rPr>
              <w:t>-statistics are significant at p&lt;0.01.</w:t>
            </w:r>
          </w:p>
        </w:tc>
      </w:tr>
      <w:tr w:rsidR="00394C0B" w:rsidRPr="00394C0B" w:rsidTr="00394C0B">
        <w:trPr>
          <w:trHeight w:val="288"/>
        </w:trPr>
        <w:tc>
          <w:tcPr>
            <w:tcW w:w="10984" w:type="dxa"/>
            <w:gridSpan w:val="7"/>
            <w:vMerge/>
            <w:tcBorders>
              <w:top w:val="single" w:sz="4" w:space="0" w:color="auto"/>
              <w:left w:val="nil"/>
              <w:bottom w:val="nil"/>
              <w:right w:val="nil"/>
            </w:tcBorders>
            <w:vAlign w:val="center"/>
            <w:hideMark/>
          </w:tcPr>
          <w:p w:rsidR="00394C0B" w:rsidRPr="00394C0B" w:rsidRDefault="00394C0B" w:rsidP="00394C0B">
            <w:pPr>
              <w:spacing w:line="240" w:lineRule="auto"/>
              <w:rPr>
                <w:i/>
                <w:iCs/>
                <w:color w:val="000000"/>
                <w:sz w:val="22"/>
                <w:szCs w:val="22"/>
                <w:lang w:val="en-NZ" w:eastAsia="en-NZ"/>
              </w:rPr>
            </w:pPr>
          </w:p>
        </w:tc>
      </w:tr>
      <w:tr w:rsidR="00394C0B" w:rsidRPr="00394C0B" w:rsidTr="00394C0B">
        <w:trPr>
          <w:trHeight w:val="288"/>
        </w:trPr>
        <w:tc>
          <w:tcPr>
            <w:tcW w:w="10984" w:type="dxa"/>
            <w:gridSpan w:val="7"/>
            <w:vMerge/>
            <w:tcBorders>
              <w:top w:val="single" w:sz="4" w:space="0" w:color="auto"/>
              <w:left w:val="nil"/>
              <w:bottom w:val="nil"/>
              <w:right w:val="nil"/>
            </w:tcBorders>
            <w:vAlign w:val="center"/>
            <w:hideMark/>
          </w:tcPr>
          <w:p w:rsidR="00394C0B" w:rsidRPr="00394C0B" w:rsidRDefault="00394C0B" w:rsidP="00394C0B">
            <w:pPr>
              <w:spacing w:line="240" w:lineRule="auto"/>
              <w:rPr>
                <w:i/>
                <w:iCs/>
                <w:color w:val="000000"/>
                <w:sz w:val="22"/>
                <w:szCs w:val="22"/>
                <w:lang w:val="en-NZ" w:eastAsia="en-NZ"/>
              </w:rPr>
            </w:pPr>
          </w:p>
        </w:tc>
      </w:tr>
      <w:tr w:rsidR="00394C0B" w:rsidRPr="00394C0B" w:rsidTr="00394C0B">
        <w:trPr>
          <w:trHeight w:val="288"/>
        </w:trPr>
        <w:tc>
          <w:tcPr>
            <w:tcW w:w="10984" w:type="dxa"/>
            <w:gridSpan w:val="7"/>
            <w:vMerge/>
            <w:tcBorders>
              <w:top w:val="single" w:sz="4" w:space="0" w:color="auto"/>
              <w:left w:val="nil"/>
              <w:bottom w:val="nil"/>
              <w:right w:val="nil"/>
            </w:tcBorders>
            <w:vAlign w:val="center"/>
            <w:hideMark/>
          </w:tcPr>
          <w:p w:rsidR="00394C0B" w:rsidRPr="00394C0B" w:rsidRDefault="00394C0B" w:rsidP="00394C0B">
            <w:pPr>
              <w:spacing w:line="240" w:lineRule="auto"/>
              <w:rPr>
                <w:i/>
                <w:iCs/>
                <w:color w:val="000000"/>
                <w:sz w:val="22"/>
                <w:szCs w:val="22"/>
                <w:lang w:val="en-NZ" w:eastAsia="en-NZ"/>
              </w:rPr>
            </w:pPr>
          </w:p>
        </w:tc>
      </w:tr>
    </w:tbl>
    <w:p w:rsidR="00AB50F9" w:rsidRPr="00AB50F9" w:rsidRDefault="00AB50F9" w:rsidP="00681293">
      <w:pPr>
        <w:spacing w:line="300" w:lineRule="auto"/>
        <w:jc w:val="both"/>
        <w:rPr>
          <w:bCs/>
        </w:rPr>
      </w:pPr>
    </w:p>
    <w:p w:rsidR="007170D2" w:rsidRDefault="007170D2" w:rsidP="00681293">
      <w:pPr>
        <w:spacing w:line="300" w:lineRule="auto"/>
        <w:ind w:firstLine="720"/>
        <w:jc w:val="both"/>
        <w:rPr>
          <w:bCs/>
        </w:rPr>
      </w:pPr>
    </w:p>
    <w:p w:rsidR="007170D2" w:rsidRDefault="007170D2" w:rsidP="00681293">
      <w:pPr>
        <w:spacing w:line="300" w:lineRule="auto"/>
        <w:ind w:firstLine="720"/>
        <w:jc w:val="both"/>
        <w:rPr>
          <w:bCs/>
        </w:rPr>
      </w:pPr>
    </w:p>
    <w:p w:rsidR="00BC2B31" w:rsidRDefault="00CE6C26" w:rsidP="00681293">
      <w:pPr>
        <w:spacing w:line="300" w:lineRule="auto"/>
        <w:ind w:firstLine="720"/>
        <w:jc w:val="both"/>
        <w:rPr>
          <w:bCs/>
        </w:rPr>
      </w:pPr>
      <w:r w:rsidRPr="00AB50F9">
        <w:rPr>
          <w:bCs/>
        </w:rPr>
        <w:lastRenderedPageBreak/>
        <w:t>The final feature of Table 4 is that</w:t>
      </w:r>
      <w:r w:rsidR="004F3D8E" w:rsidRPr="00AB50F9">
        <w:rPr>
          <w:bCs/>
        </w:rPr>
        <w:t xml:space="preserve"> even after controlling for household characteristics, the </w:t>
      </w:r>
      <w:r w:rsidR="000629B7" w:rsidRPr="00AB50F9">
        <w:rPr>
          <w:bCs/>
        </w:rPr>
        <w:t xml:space="preserve">rural Dry Zone – which </w:t>
      </w:r>
      <w:r w:rsidR="009C32AC" w:rsidRPr="00AB50F9">
        <w:rPr>
          <w:bCs/>
        </w:rPr>
        <w:t xml:space="preserve">is expected to be a </w:t>
      </w:r>
      <w:r w:rsidR="000629B7" w:rsidRPr="00AB50F9">
        <w:rPr>
          <w:bCs/>
        </w:rPr>
        <w:t xml:space="preserve">seasonal environment – has </w:t>
      </w:r>
      <w:r w:rsidR="009C32AC" w:rsidRPr="00AB50F9">
        <w:rPr>
          <w:bCs/>
        </w:rPr>
        <w:t xml:space="preserve">less </w:t>
      </w:r>
      <w:r w:rsidR="000629B7" w:rsidRPr="00AB50F9">
        <w:rPr>
          <w:bCs/>
        </w:rPr>
        <w:t xml:space="preserve">intra-year variation in calories than </w:t>
      </w:r>
      <w:r w:rsidR="005E33FB" w:rsidRPr="00AB50F9">
        <w:rPr>
          <w:bCs/>
        </w:rPr>
        <w:t xml:space="preserve">seen in </w:t>
      </w:r>
      <w:r w:rsidR="000629B7" w:rsidRPr="00AB50F9">
        <w:rPr>
          <w:bCs/>
        </w:rPr>
        <w:t>most other regions.</w:t>
      </w:r>
      <w:r w:rsidR="004C6EA4" w:rsidRPr="00AB50F9">
        <w:rPr>
          <w:bCs/>
        </w:rPr>
        <w:t xml:space="preserve"> </w:t>
      </w:r>
      <w:r w:rsidR="005E33FB" w:rsidRPr="00AB50F9">
        <w:rPr>
          <w:bCs/>
        </w:rPr>
        <w:t>Specifically, only the rural Hills and rural Delta have less intra-year variability, while all urban zones and the rural Coast have greater intra</w:t>
      </w:r>
      <w:r w:rsidR="005E33FB" w:rsidRPr="00AB50F9">
        <w:rPr>
          <w:bCs/>
        </w:rPr>
        <w:noBreakHyphen/>
        <w:t xml:space="preserve">year variability than </w:t>
      </w:r>
      <w:r w:rsidR="006D4C88" w:rsidRPr="00AB50F9">
        <w:rPr>
          <w:bCs/>
        </w:rPr>
        <w:t xml:space="preserve">occurs </w:t>
      </w:r>
      <w:r w:rsidR="005E33FB" w:rsidRPr="00AB50F9">
        <w:rPr>
          <w:bCs/>
        </w:rPr>
        <w:t>in the rural Dry Zone. Evidently, factors other than just seasonality contribute to intra-year fluctuations in dietary energy at the household level.</w:t>
      </w:r>
    </w:p>
    <w:p w:rsidR="00AB50F9" w:rsidRDefault="00AB50F9" w:rsidP="00681293">
      <w:pPr>
        <w:spacing w:line="300" w:lineRule="auto"/>
        <w:ind w:firstLine="720"/>
        <w:jc w:val="both"/>
        <w:rPr>
          <w:bCs/>
        </w:rPr>
      </w:pPr>
    </w:p>
    <w:p w:rsidR="007A22FE" w:rsidRPr="00AB50F9" w:rsidRDefault="007A22FE" w:rsidP="00681293">
      <w:pPr>
        <w:spacing w:line="300" w:lineRule="auto"/>
        <w:ind w:firstLine="720"/>
        <w:jc w:val="both"/>
        <w:rPr>
          <w:bCs/>
        </w:rPr>
      </w:pPr>
    </w:p>
    <w:p w:rsidR="005E33FB" w:rsidRDefault="005E33FB" w:rsidP="00670302">
      <w:pPr>
        <w:tabs>
          <w:tab w:val="left" w:pos="284"/>
        </w:tabs>
        <w:spacing w:line="300" w:lineRule="auto"/>
        <w:jc w:val="both"/>
        <w:rPr>
          <w:b/>
          <w:bCs/>
        </w:rPr>
      </w:pPr>
      <w:r w:rsidRPr="00AB50F9">
        <w:rPr>
          <w:b/>
          <w:bCs/>
        </w:rPr>
        <w:t>5.</w:t>
      </w:r>
      <w:r w:rsidRPr="00AB50F9">
        <w:rPr>
          <w:b/>
          <w:bCs/>
        </w:rPr>
        <w:tab/>
        <w:t>Conclusions</w:t>
      </w:r>
    </w:p>
    <w:p w:rsidR="008E3D3A" w:rsidRPr="008E3D3A" w:rsidRDefault="008E3D3A" w:rsidP="00670302">
      <w:pPr>
        <w:tabs>
          <w:tab w:val="left" w:pos="284"/>
        </w:tabs>
        <w:spacing w:line="300" w:lineRule="auto"/>
        <w:jc w:val="both"/>
        <w:rPr>
          <w:b/>
          <w:bCs/>
          <w:sz w:val="12"/>
          <w:szCs w:val="12"/>
        </w:rPr>
      </w:pPr>
    </w:p>
    <w:p w:rsidR="005E33FB" w:rsidRDefault="00D142D4" w:rsidP="00681293">
      <w:pPr>
        <w:spacing w:line="300" w:lineRule="auto"/>
        <w:jc w:val="both"/>
        <w:rPr>
          <w:bCs/>
        </w:rPr>
      </w:pPr>
      <w:r w:rsidRPr="00AB50F9">
        <w:rPr>
          <w:bCs/>
        </w:rPr>
        <w:t>This study has proposed a</w:t>
      </w:r>
      <w:r w:rsidR="00426C73" w:rsidRPr="00AB50F9">
        <w:rPr>
          <w:bCs/>
        </w:rPr>
        <w:t xml:space="preserve"> new method of deriving chronic hunger estimates from household con</w:t>
      </w:r>
      <w:r w:rsidR="00B75D9A" w:rsidRPr="00AB50F9">
        <w:rPr>
          <w:bCs/>
        </w:rPr>
        <w:t>sumption expenditure surveys</w:t>
      </w:r>
      <w:r w:rsidRPr="00AB50F9">
        <w:rPr>
          <w:bCs/>
        </w:rPr>
        <w:t xml:space="preserve">, which is demonstrated using data from </w:t>
      </w:r>
      <w:r w:rsidR="00426C73" w:rsidRPr="00AB50F9">
        <w:rPr>
          <w:bCs/>
        </w:rPr>
        <w:t xml:space="preserve">Myanmar. The </w:t>
      </w:r>
      <w:r w:rsidR="00AF4D0F" w:rsidRPr="00AB50F9">
        <w:rPr>
          <w:bCs/>
        </w:rPr>
        <w:t xml:space="preserve">study </w:t>
      </w:r>
      <w:r w:rsidR="00B119ED" w:rsidRPr="00AB50F9">
        <w:rPr>
          <w:bCs/>
        </w:rPr>
        <w:t>adds</w:t>
      </w:r>
      <w:r w:rsidR="00AF4D0F" w:rsidRPr="00AB50F9">
        <w:rPr>
          <w:bCs/>
        </w:rPr>
        <w:t xml:space="preserve"> to </w:t>
      </w:r>
      <w:r w:rsidR="00426C73" w:rsidRPr="00AB50F9">
        <w:rPr>
          <w:bCs/>
        </w:rPr>
        <w:t>three distinct literatures: how to measure hunger, how to deploy survey resources, and how to split</w:t>
      </w:r>
      <w:r w:rsidR="00B119ED" w:rsidRPr="00AB50F9">
        <w:rPr>
          <w:bCs/>
        </w:rPr>
        <w:t xml:space="preserve"> </w:t>
      </w:r>
      <w:r w:rsidR="00426C73" w:rsidRPr="00AB50F9">
        <w:rPr>
          <w:bCs/>
        </w:rPr>
        <w:t xml:space="preserve">shortfalls in </w:t>
      </w:r>
      <w:r w:rsidR="002910A8" w:rsidRPr="00AB50F9">
        <w:rPr>
          <w:bCs/>
        </w:rPr>
        <w:t xml:space="preserve">welfare </w:t>
      </w:r>
      <w:r w:rsidR="00426C73" w:rsidRPr="00AB50F9">
        <w:rPr>
          <w:bCs/>
        </w:rPr>
        <w:t xml:space="preserve">into chronic and transient parts. </w:t>
      </w:r>
      <w:r w:rsidR="00E41BCE" w:rsidRPr="00AB50F9">
        <w:rPr>
          <w:bCs/>
        </w:rPr>
        <w:t xml:space="preserve">In terms of measuring hunger, </w:t>
      </w:r>
      <w:r w:rsidRPr="00AB50F9">
        <w:rPr>
          <w:bCs/>
        </w:rPr>
        <w:t xml:space="preserve">both sides of the </w:t>
      </w:r>
      <w:r w:rsidR="00E41BCE" w:rsidRPr="00AB50F9">
        <w:rPr>
          <w:bCs/>
        </w:rPr>
        <w:t>debate</w:t>
      </w:r>
      <w:r w:rsidR="00426C73" w:rsidRPr="00AB50F9">
        <w:rPr>
          <w:bCs/>
        </w:rPr>
        <w:t xml:space="preserve"> </w:t>
      </w:r>
      <w:r w:rsidR="00E41BCE" w:rsidRPr="00AB50F9">
        <w:rPr>
          <w:bCs/>
        </w:rPr>
        <w:t>over</w:t>
      </w:r>
      <w:r w:rsidR="00426C73" w:rsidRPr="00AB50F9">
        <w:rPr>
          <w:bCs/>
        </w:rPr>
        <w:t xml:space="preserve"> FAO global hunger</w:t>
      </w:r>
      <w:r w:rsidR="00B75D9A" w:rsidRPr="00AB50F9">
        <w:rPr>
          <w:bCs/>
        </w:rPr>
        <w:t xml:space="preserve"> estimates </w:t>
      </w:r>
      <w:r w:rsidR="00620F1F" w:rsidRPr="00AB50F9">
        <w:rPr>
          <w:bCs/>
        </w:rPr>
        <w:t>seem to be at</w:t>
      </w:r>
      <w:r w:rsidRPr="00AB50F9">
        <w:rPr>
          <w:bCs/>
        </w:rPr>
        <w:t xml:space="preserve"> </w:t>
      </w:r>
      <w:r w:rsidR="00620F1F" w:rsidRPr="00AB50F9">
        <w:rPr>
          <w:bCs/>
        </w:rPr>
        <w:t>fault</w:t>
      </w:r>
      <w:r w:rsidRPr="00AB50F9">
        <w:rPr>
          <w:bCs/>
        </w:rPr>
        <w:t xml:space="preserve">; the </w:t>
      </w:r>
      <w:r w:rsidR="006D4C88" w:rsidRPr="00AB50F9">
        <w:rPr>
          <w:bCs/>
        </w:rPr>
        <w:t>advocate</w:t>
      </w:r>
      <w:r w:rsidR="00E41BCE" w:rsidRPr="00AB50F9">
        <w:rPr>
          <w:bCs/>
        </w:rPr>
        <w:t>s</w:t>
      </w:r>
      <w:r w:rsidR="00AF4D0F" w:rsidRPr="00AB50F9">
        <w:rPr>
          <w:bCs/>
        </w:rPr>
        <w:t xml:space="preserve"> o</w:t>
      </w:r>
      <w:r w:rsidR="00B119ED" w:rsidRPr="00AB50F9">
        <w:rPr>
          <w:bCs/>
        </w:rPr>
        <w:t>f</w:t>
      </w:r>
      <w:r w:rsidR="006D4C88" w:rsidRPr="00AB50F9">
        <w:rPr>
          <w:bCs/>
        </w:rPr>
        <w:t xml:space="preserve"> bottom-up survey approaches </w:t>
      </w:r>
      <w:r w:rsidR="00620F1F" w:rsidRPr="00AB50F9">
        <w:rPr>
          <w:bCs/>
        </w:rPr>
        <w:t xml:space="preserve">do </w:t>
      </w:r>
      <w:r w:rsidR="00B75D9A" w:rsidRPr="00AB50F9">
        <w:rPr>
          <w:bCs/>
        </w:rPr>
        <w:t xml:space="preserve">not </w:t>
      </w:r>
      <w:r w:rsidR="00620F1F" w:rsidRPr="00AB50F9">
        <w:rPr>
          <w:bCs/>
        </w:rPr>
        <w:t xml:space="preserve">emphasize </w:t>
      </w:r>
      <w:r w:rsidR="00B75D9A" w:rsidRPr="00AB50F9">
        <w:rPr>
          <w:bCs/>
        </w:rPr>
        <w:t xml:space="preserve">that </w:t>
      </w:r>
      <w:r w:rsidR="008152FC" w:rsidRPr="00AB50F9">
        <w:rPr>
          <w:bCs/>
        </w:rPr>
        <w:t xml:space="preserve">snapshot </w:t>
      </w:r>
      <w:r w:rsidR="00B75D9A" w:rsidRPr="00AB50F9">
        <w:rPr>
          <w:bCs/>
        </w:rPr>
        <w:t>survey</w:t>
      </w:r>
      <w:r w:rsidR="008152FC" w:rsidRPr="00AB50F9">
        <w:rPr>
          <w:bCs/>
        </w:rPr>
        <w:t xml:space="preserve">s </w:t>
      </w:r>
      <w:r w:rsidR="00B75D9A" w:rsidRPr="00AB50F9">
        <w:rPr>
          <w:bCs/>
        </w:rPr>
        <w:t xml:space="preserve">overstate variance and </w:t>
      </w:r>
      <w:r w:rsidRPr="00AB50F9">
        <w:rPr>
          <w:bCs/>
        </w:rPr>
        <w:t xml:space="preserve">will </w:t>
      </w:r>
      <w:r w:rsidR="008152FC" w:rsidRPr="00AB50F9">
        <w:rPr>
          <w:bCs/>
        </w:rPr>
        <w:t>exaggerate</w:t>
      </w:r>
      <w:r w:rsidR="00B75D9A" w:rsidRPr="00AB50F9">
        <w:rPr>
          <w:bCs/>
        </w:rPr>
        <w:t xml:space="preserve"> the</w:t>
      </w:r>
      <w:r w:rsidR="008152FC" w:rsidRPr="00AB50F9">
        <w:rPr>
          <w:bCs/>
        </w:rPr>
        <w:t xml:space="preserve"> rate</w:t>
      </w:r>
      <w:r w:rsidRPr="00AB50F9">
        <w:rPr>
          <w:bCs/>
        </w:rPr>
        <w:t xml:space="preserve"> of living beneath </w:t>
      </w:r>
      <w:r w:rsidR="00B75D9A" w:rsidRPr="00AB50F9">
        <w:rPr>
          <w:bCs/>
        </w:rPr>
        <w:t>nutritional cut-off</w:t>
      </w:r>
      <w:r w:rsidRPr="00AB50F9">
        <w:rPr>
          <w:bCs/>
        </w:rPr>
        <w:t>s</w:t>
      </w:r>
      <w:r w:rsidR="00B75D9A" w:rsidRPr="00AB50F9">
        <w:rPr>
          <w:bCs/>
        </w:rPr>
        <w:t xml:space="preserve">, while </w:t>
      </w:r>
      <w:r w:rsidR="00AF4D0F" w:rsidRPr="00AB50F9">
        <w:rPr>
          <w:bCs/>
        </w:rPr>
        <w:t xml:space="preserve">FAO </w:t>
      </w:r>
      <w:r w:rsidRPr="00AB50F9">
        <w:rPr>
          <w:bCs/>
        </w:rPr>
        <w:t xml:space="preserve">advocates focus </w:t>
      </w:r>
      <w:r w:rsidR="00AF4D0F" w:rsidRPr="00AB50F9">
        <w:rPr>
          <w:bCs/>
        </w:rPr>
        <w:t xml:space="preserve">on habitual dietary energy but there is </w:t>
      </w:r>
      <w:r w:rsidR="002910A8" w:rsidRPr="00AB50F9">
        <w:rPr>
          <w:bCs/>
        </w:rPr>
        <w:t xml:space="preserve">little </w:t>
      </w:r>
      <w:r w:rsidR="00AF4D0F" w:rsidRPr="00AB50F9">
        <w:rPr>
          <w:bCs/>
        </w:rPr>
        <w:t xml:space="preserve">habitual </w:t>
      </w:r>
      <w:r w:rsidR="002910A8" w:rsidRPr="00AB50F9">
        <w:rPr>
          <w:bCs/>
        </w:rPr>
        <w:t>in</w:t>
      </w:r>
      <w:r w:rsidR="00AF4D0F" w:rsidRPr="00AB50F9">
        <w:rPr>
          <w:bCs/>
        </w:rPr>
        <w:t xml:space="preserve"> an indicator whose auto-correlation i</w:t>
      </w:r>
      <w:r w:rsidR="006D4C88" w:rsidRPr="00AB50F9">
        <w:rPr>
          <w:bCs/>
        </w:rPr>
        <w:t>s just</w:t>
      </w:r>
      <w:r w:rsidR="00B119ED" w:rsidRPr="00AB50F9">
        <w:rPr>
          <w:bCs/>
        </w:rPr>
        <w:t xml:space="preserve"> 0.45. </w:t>
      </w:r>
      <w:r w:rsidR="006D4C88" w:rsidRPr="00AB50F9">
        <w:rPr>
          <w:bCs/>
        </w:rPr>
        <w:t>Also</w:t>
      </w:r>
      <w:r w:rsidR="00B119ED" w:rsidRPr="00AB50F9">
        <w:rPr>
          <w:bCs/>
        </w:rPr>
        <w:t>,</w:t>
      </w:r>
      <w:r w:rsidR="008152FC" w:rsidRPr="00AB50F9">
        <w:rPr>
          <w:bCs/>
        </w:rPr>
        <w:t xml:space="preserve"> </w:t>
      </w:r>
      <w:r w:rsidR="002910A8" w:rsidRPr="00AB50F9">
        <w:rPr>
          <w:bCs/>
        </w:rPr>
        <w:t xml:space="preserve">proponents of </w:t>
      </w:r>
      <w:r w:rsidR="008152FC" w:rsidRPr="00AB50F9">
        <w:rPr>
          <w:bCs/>
        </w:rPr>
        <w:t xml:space="preserve">both </w:t>
      </w:r>
      <w:r w:rsidR="002910A8" w:rsidRPr="00AB50F9">
        <w:rPr>
          <w:bCs/>
        </w:rPr>
        <w:t>approach</w:t>
      </w:r>
      <w:r w:rsidR="008152FC" w:rsidRPr="00AB50F9">
        <w:rPr>
          <w:bCs/>
        </w:rPr>
        <w:t>es</w:t>
      </w:r>
      <w:r w:rsidR="002910A8" w:rsidRPr="00AB50F9">
        <w:rPr>
          <w:bCs/>
        </w:rPr>
        <w:t xml:space="preserve"> </w:t>
      </w:r>
      <w:r w:rsidR="008152FC" w:rsidRPr="00AB50F9">
        <w:rPr>
          <w:bCs/>
        </w:rPr>
        <w:t xml:space="preserve">use a narrative of seasonality when </w:t>
      </w:r>
      <w:r w:rsidRPr="00AB50F9">
        <w:rPr>
          <w:bCs/>
        </w:rPr>
        <w:t>discuss</w:t>
      </w:r>
      <w:r w:rsidR="008152FC" w:rsidRPr="00AB50F9">
        <w:rPr>
          <w:bCs/>
        </w:rPr>
        <w:t>ing</w:t>
      </w:r>
      <w:r w:rsidRPr="00AB50F9">
        <w:rPr>
          <w:bCs/>
        </w:rPr>
        <w:t xml:space="preserve"> </w:t>
      </w:r>
      <w:r w:rsidR="006D4C88" w:rsidRPr="00AB50F9">
        <w:rPr>
          <w:bCs/>
        </w:rPr>
        <w:t xml:space="preserve">intra-year </w:t>
      </w:r>
      <w:r w:rsidR="008152FC" w:rsidRPr="00AB50F9">
        <w:rPr>
          <w:bCs/>
        </w:rPr>
        <w:t xml:space="preserve">dietary </w:t>
      </w:r>
      <w:r w:rsidR="006D4C88" w:rsidRPr="00AB50F9">
        <w:rPr>
          <w:bCs/>
        </w:rPr>
        <w:t xml:space="preserve">variation, </w:t>
      </w:r>
      <w:r w:rsidR="00AF4D0F" w:rsidRPr="00AB50F9">
        <w:rPr>
          <w:bCs/>
        </w:rPr>
        <w:t>ignoring other constraints o</w:t>
      </w:r>
      <w:r w:rsidR="00646139" w:rsidRPr="00AB50F9">
        <w:rPr>
          <w:bCs/>
        </w:rPr>
        <w:t>n</w:t>
      </w:r>
      <w:r w:rsidR="00AF4D0F" w:rsidRPr="00AB50F9">
        <w:rPr>
          <w:bCs/>
        </w:rPr>
        <w:t xml:space="preserve"> consumers smoothing calories over time. The </w:t>
      </w:r>
      <w:r w:rsidR="006D4C88" w:rsidRPr="00AB50F9">
        <w:rPr>
          <w:bCs/>
        </w:rPr>
        <w:t>result</w:t>
      </w:r>
      <w:r w:rsidR="00AF4D0F" w:rsidRPr="00AB50F9">
        <w:rPr>
          <w:bCs/>
        </w:rPr>
        <w:t xml:space="preserve"> that urban </w:t>
      </w:r>
      <w:r w:rsidR="006D4C88" w:rsidRPr="00AB50F9">
        <w:rPr>
          <w:bCs/>
        </w:rPr>
        <w:t xml:space="preserve">people in Myanmar </w:t>
      </w:r>
      <w:r w:rsidR="00EB50BE" w:rsidRPr="00AB50F9">
        <w:rPr>
          <w:bCs/>
        </w:rPr>
        <w:t>have less smoothed calories</w:t>
      </w:r>
      <w:r w:rsidR="00AF4D0F" w:rsidRPr="00AB50F9">
        <w:rPr>
          <w:bCs/>
        </w:rPr>
        <w:t xml:space="preserve">, and that </w:t>
      </w:r>
      <w:r w:rsidR="00D2022B" w:rsidRPr="00AB50F9">
        <w:rPr>
          <w:bCs/>
        </w:rPr>
        <w:t>the Dry Zone and</w:t>
      </w:r>
      <w:r w:rsidR="00AF4D0F" w:rsidRPr="00AB50F9">
        <w:rPr>
          <w:bCs/>
        </w:rPr>
        <w:t xml:space="preserve"> farm</w:t>
      </w:r>
      <w:r w:rsidR="00EB50BE" w:rsidRPr="00AB50F9">
        <w:rPr>
          <w:bCs/>
        </w:rPr>
        <w:t>ers</w:t>
      </w:r>
      <w:r w:rsidR="00AF4D0F" w:rsidRPr="00AB50F9">
        <w:rPr>
          <w:bCs/>
        </w:rPr>
        <w:t xml:space="preserve"> are no more prone to intra-year calorie fluctuations than are others, </w:t>
      </w:r>
      <w:r w:rsidR="00EB50BE" w:rsidRPr="00AB50F9">
        <w:rPr>
          <w:bCs/>
        </w:rPr>
        <w:t xml:space="preserve">is a counter-example </w:t>
      </w:r>
      <w:r w:rsidR="006D4C88" w:rsidRPr="00AB50F9">
        <w:rPr>
          <w:bCs/>
        </w:rPr>
        <w:t>to</w:t>
      </w:r>
      <w:r w:rsidR="00EB50BE" w:rsidRPr="00AB50F9">
        <w:rPr>
          <w:bCs/>
        </w:rPr>
        <w:t xml:space="preserve"> the (over-) emphasis on seasonality </w:t>
      </w:r>
      <w:r w:rsidR="00500148" w:rsidRPr="00AB50F9">
        <w:rPr>
          <w:bCs/>
        </w:rPr>
        <w:t>in the hunger measurement literature</w:t>
      </w:r>
      <w:r w:rsidR="00D2022B" w:rsidRPr="00AB50F9">
        <w:rPr>
          <w:bCs/>
        </w:rPr>
        <w:t>, and corroborate</w:t>
      </w:r>
      <w:r w:rsidR="00EB50BE" w:rsidRPr="00AB50F9">
        <w:rPr>
          <w:bCs/>
        </w:rPr>
        <w:t xml:space="preserve">s findings of </w:t>
      </w:r>
      <w:r w:rsidR="00500148" w:rsidRPr="00AB50F9">
        <w:rPr>
          <w:bCs/>
        </w:rPr>
        <w:t xml:space="preserve">low auto-correlations </w:t>
      </w:r>
      <w:r w:rsidR="00D2022B" w:rsidRPr="00AB50F9">
        <w:rPr>
          <w:bCs/>
        </w:rPr>
        <w:t xml:space="preserve">in </w:t>
      </w:r>
      <w:r w:rsidR="008152FC" w:rsidRPr="00AB50F9">
        <w:rPr>
          <w:bCs/>
        </w:rPr>
        <w:t xml:space="preserve">other </w:t>
      </w:r>
      <w:r w:rsidR="00D2022B" w:rsidRPr="00AB50F9">
        <w:rPr>
          <w:bCs/>
        </w:rPr>
        <w:t xml:space="preserve">living standards indicators </w:t>
      </w:r>
      <w:r w:rsidR="00500148" w:rsidRPr="00AB50F9">
        <w:rPr>
          <w:bCs/>
        </w:rPr>
        <w:t xml:space="preserve">for urban households </w:t>
      </w:r>
      <w:r w:rsidR="00EB50BE" w:rsidRPr="00AB50F9">
        <w:rPr>
          <w:bCs/>
        </w:rPr>
        <w:t xml:space="preserve">elsewhere (Gibson </w:t>
      </w:r>
      <w:r w:rsidR="00EB50BE" w:rsidRPr="00AB50F9">
        <w:rPr>
          <w:bCs/>
          <w:i/>
        </w:rPr>
        <w:t>et al</w:t>
      </w:r>
      <w:r w:rsidR="00620F1F" w:rsidRPr="00AB50F9">
        <w:rPr>
          <w:bCs/>
        </w:rPr>
        <w:t>.</w:t>
      </w:r>
      <w:r w:rsidR="00EB50BE" w:rsidRPr="00AB50F9">
        <w:rPr>
          <w:bCs/>
        </w:rPr>
        <w:t xml:space="preserve"> 2003</w:t>
      </w:r>
      <w:r w:rsidR="00500148" w:rsidRPr="00AB50F9">
        <w:rPr>
          <w:bCs/>
        </w:rPr>
        <w:t>).</w:t>
      </w:r>
      <w:r w:rsidR="00EB50BE" w:rsidRPr="00AB50F9">
        <w:rPr>
          <w:bCs/>
        </w:rPr>
        <w:t xml:space="preserve"> </w:t>
      </w:r>
    </w:p>
    <w:p w:rsidR="00AB50F9" w:rsidRPr="00AB50F9" w:rsidRDefault="00AB50F9" w:rsidP="00681293">
      <w:pPr>
        <w:spacing w:line="300" w:lineRule="auto"/>
        <w:jc w:val="both"/>
        <w:rPr>
          <w:bCs/>
        </w:rPr>
      </w:pPr>
    </w:p>
    <w:p w:rsidR="003650BD" w:rsidRDefault="00500148" w:rsidP="00681293">
      <w:pPr>
        <w:spacing w:line="300" w:lineRule="auto"/>
        <w:jc w:val="both"/>
        <w:rPr>
          <w:bCs/>
        </w:rPr>
      </w:pPr>
      <w:r w:rsidRPr="00AB50F9">
        <w:rPr>
          <w:bCs/>
        </w:rPr>
        <w:tab/>
      </w:r>
      <w:r w:rsidR="00EB50BE" w:rsidRPr="00AB50F9">
        <w:rPr>
          <w:bCs/>
        </w:rPr>
        <w:t xml:space="preserve">Yet </w:t>
      </w:r>
      <w:r w:rsidR="006D4C88" w:rsidRPr="00AB50F9">
        <w:rPr>
          <w:bCs/>
        </w:rPr>
        <w:t xml:space="preserve">little </w:t>
      </w:r>
      <w:r w:rsidR="00EB50BE" w:rsidRPr="00AB50F9">
        <w:rPr>
          <w:bCs/>
        </w:rPr>
        <w:t>is known about intra-year volatilit</w:t>
      </w:r>
      <w:r w:rsidR="00C472D3" w:rsidRPr="00AB50F9">
        <w:rPr>
          <w:bCs/>
        </w:rPr>
        <w:t xml:space="preserve">y of </w:t>
      </w:r>
      <w:r w:rsidR="00D2022B" w:rsidRPr="00AB50F9">
        <w:rPr>
          <w:bCs/>
        </w:rPr>
        <w:t>living standards</w:t>
      </w:r>
      <w:r w:rsidR="00EB50BE" w:rsidRPr="00AB50F9">
        <w:rPr>
          <w:bCs/>
        </w:rPr>
        <w:t xml:space="preserve"> because of the wasteful way household survey resources are deployed.</w:t>
      </w:r>
      <w:r w:rsidR="006D4C88" w:rsidRPr="00AB50F9">
        <w:rPr>
          <w:bCs/>
        </w:rPr>
        <w:t xml:space="preserve"> </w:t>
      </w:r>
      <w:r w:rsidR="005F3C05" w:rsidRPr="00AB50F9">
        <w:rPr>
          <w:bCs/>
        </w:rPr>
        <w:t xml:space="preserve">Instead of </w:t>
      </w:r>
      <w:r w:rsidR="00C472D3" w:rsidRPr="00AB50F9">
        <w:rPr>
          <w:bCs/>
        </w:rPr>
        <w:t xml:space="preserve">designs that </w:t>
      </w:r>
      <w:r w:rsidR="00620F1F" w:rsidRPr="00AB50F9">
        <w:rPr>
          <w:bCs/>
        </w:rPr>
        <w:t xml:space="preserve">reveal </w:t>
      </w:r>
      <w:r w:rsidR="00C472D3" w:rsidRPr="00AB50F9">
        <w:rPr>
          <w:bCs/>
        </w:rPr>
        <w:t xml:space="preserve">if </w:t>
      </w:r>
      <w:r w:rsidR="005F3C05" w:rsidRPr="00AB50F9">
        <w:rPr>
          <w:bCs/>
        </w:rPr>
        <w:t xml:space="preserve">short-term shocks </w:t>
      </w:r>
      <w:r w:rsidR="00D2022B" w:rsidRPr="00AB50F9">
        <w:rPr>
          <w:bCs/>
        </w:rPr>
        <w:t>during a snapshot survey</w:t>
      </w:r>
      <w:r w:rsidR="005F3C05" w:rsidRPr="00AB50F9">
        <w:rPr>
          <w:bCs/>
        </w:rPr>
        <w:t xml:space="preserve"> are </w:t>
      </w:r>
      <w:r w:rsidR="00620F1F" w:rsidRPr="00AB50F9">
        <w:rPr>
          <w:bCs/>
        </w:rPr>
        <w:t xml:space="preserve">eventually </w:t>
      </w:r>
      <w:r w:rsidR="005F3C05" w:rsidRPr="00AB50F9">
        <w:rPr>
          <w:bCs/>
        </w:rPr>
        <w:t>reversed</w:t>
      </w:r>
      <w:r w:rsidR="00754A50" w:rsidRPr="00AB50F9">
        <w:rPr>
          <w:bCs/>
        </w:rPr>
        <w:t>, most</w:t>
      </w:r>
      <w:r w:rsidR="00D2022B" w:rsidRPr="00AB50F9">
        <w:rPr>
          <w:bCs/>
        </w:rPr>
        <w:t xml:space="preserve"> designs </w:t>
      </w:r>
      <w:r w:rsidR="003650BD" w:rsidRPr="00AB50F9">
        <w:rPr>
          <w:bCs/>
        </w:rPr>
        <w:t xml:space="preserve">have a single, short, observation </w:t>
      </w:r>
      <w:r w:rsidR="004635EC" w:rsidRPr="00AB50F9">
        <w:rPr>
          <w:bCs/>
        </w:rPr>
        <w:t>window</w:t>
      </w:r>
      <w:r w:rsidR="00D2022B" w:rsidRPr="00AB50F9">
        <w:rPr>
          <w:bCs/>
        </w:rPr>
        <w:t xml:space="preserve">, </w:t>
      </w:r>
      <w:r w:rsidR="003650BD" w:rsidRPr="00AB50F9">
        <w:rPr>
          <w:bCs/>
        </w:rPr>
        <w:t xml:space="preserve">where </w:t>
      </w:r>
      <w:r w:rsidR="008152FC" w:rsidRPr="00AB50F9">
        <w:rPr>
          <w:bCs/>
        </w:rPr>
        <w:t xml:space="preserve">measured </w:t>
      </w:r>
      <w:r w:rsidR="00D2022B" w:rsidRPr="00AB50F9">
        <w:rPr>
          <w:bCs/>
        </w:rPr>
        <w:t xml:space="preserve">outcomes </w:t>
      </w:r>
      <w:r w:rsidR="008152FC" w:rsidRPr="00AB50F9">
        <w:rPr>
          <w:bCs/>
        </w:rPr>
        <w:t xml:space="preserve">will be </w:t>
      </w:r>
      <w:r w:rsidR="00D2022B" w:rsidRPr="00AB50F9">
        <w:rPr>
          <w:bCs/>
        </w:rPr>
        <w:t xml:space="preserve">some unknown </w:t>
      </w:r>
      <w:r w:rsidR="00754A50" w:rsidRPr="00AB50F9">
        <w:rPr>
          <w:bCs/>
        </w:rPr>
        <w:t>mix</w:t>
      </w:r>
      <w:r w:rsidR="00D2022B" w:rsidRPr="00AB50F9">
        <w:rPr>
          <w:bCs/>
        </w:rPr>
        <w:t xml:space="preserve"> of chronic and transient </w:t>
      </w:r>
      <w:r w:rsidR="00754A50" w:rsidRPr="00AB50F9">
        <w:rPr>
          <w:bCs/>
        </w:rPr>
        <w:t xml:space="preserve">welfare </w:t>
      </w:r>
      <w:r w:rsidR="00D2022B" w:rsidRPr="00AB50F9">
        <w:rPr>
          <w:bCs/>
        </w:rPr>
        <w:t>components.</w:t>
      </w:r>
      <w:r w:rsidR="00F423C1" w:rsidRPr="00AB50F9">
        <w:rPr>
          <w:bCs/>
        </w:rPr>
        <w:t xml:space="preserve"> A misplaced</w:t>
      </w:r>
      <w:r w:rsidR="00754A50" w:rsidRPr="00AB50F9">
        <w:rPr>
          <w:bCs/>
        </w:rPr>
        <w:t xml:space="preserve"> focus on seasonality may </w:t>
      </w:r>
      <w:r w:rsidR="00620F1F" w:rsidRPr="00AB50F9">
        <w:rPr>
          <w:bCs/>
        </w:rPr>
        <w:t xml:space="preserve">lead to designs that </w:t>
      </w:r>
      <w:r w:rsidR="003650BD" w:rsidRPr="00AB50F9">
        <w:rPr>
          <w:bCs/>
        </w:rPr>
        <w:t>stagger the sample</w:t>
      </w:r>
      <w:r w:rsidR="00D2022B" w:rsidRPr="00AB50F9">
        <w:rPr>
          <w:bCs/>
        </w:rPr>
        <w:t xml:space="preserve"> over the year, so </w:t>
      </w:r>
      <w:r w:rsidR="00754A50" w:rsidRPr="00AB50F9">
        <w:rPr>
          <w:bCs/>
        </w:rPr>
        <w:t xml:space="preserve">that </w:t>
      </w:r>
      <w:r w:rsidR="00D2022B" w:rsidRPr="00AB50F9">
        <w:rPr>
          <w:bCs/>
        </w:rPr>
        <w:t>the mean for a synthetic household can be interpreted in annual terms</w:t>
      </w:r>
      <w:r w:rsidR="00F423C1" w:rsidRPr="00AB50F9">
        <w:rPr>
          <w:bCs/>
        </w:rPr>
        <w:t xml:space="preserve">, but this </w:t>
      </w:r>
      <w:r w:rsidR="00754A50" w:rsidRPr="00AB50F9">
        <w:rPr>
          <w:bCs/>
        </w:rPr>
        <w:t xml:space="preserve">design </w:t>
      </w:r>
      <w:r w:rsidR="00F423C1" w:rsidRPr="00AB50F9">
        <w:rPr>
          <w:bCs/>
        </w:rPr>
        <w:t xml:space="preserve">locks in shocks </w:t>
      </w:r>
      <w:r w:rsidR="003650BD" w:rsidRPr="00AB50F9">
        <w:rPr>
          <w:bCs/>
        </w:rPr>
        <w:t xml:space="preserve">from </w:t>
      </w:r>
      <w:r w:rsidR="00F423C1" w:rsidRPr="00AB50F9">
        <w:rPr>
          <w:bCs/>
        </w:rPr>
        <w:t>the snapshot period as if they occur in each period of the year. For example</w:t>
      </w:r>
      <w:r w:rsidR="00754A50" w:rsidRPr="00AB50F9">
        <w:rPr>
          <w:bCs/>
        </w:rPr>
        <w:t xml:space="preserve">, </w:t>
      </w:r>
      <w:r w:rsidR="003650BD" w:rsidRPr="00AB50F9">
        <w:rPr>
          <w:bCs/>
        </w:rPr>
        <w:t xml:space="preserve">annualizing </w:t>
      </w:r>
      <w:r w:rsidR="00F423C1" w:rsidRPr="00AB50F9">
        <w:rPr>
          <w:bCs/>
        </w:rPr>
        <w:t>a one-month reference period</w:t>
      </w:r>
      <w:r w:rsidR="003650BD" w:rsidRPr="00AB50F9">
        <w:rPr>
          <w:bCs/>
        </w:rPr>
        <w:t xml:space="preserve"> </w:t>
      </w:r>
      <w:r w:rsidR="00754A50" w:rsidRPr="00AB50F9">
        <w:rPr>
          <w:bCs/>
        </w:rPr>
        <w:t xml:space="preserve">by multiplying by 12 </w:t>
      </w:r>
      <w:r w:rsidR="003650BD" w:rsidRPr="00AB50F9">
        <w:rPr>
          <w:bCs/>
        </w:rPr>
        <w:t xml:space="preserve">treats </w:t>
      </w:r>
      <w:r w:rsidR="00F12658" w:rsidRPr="00AB50F9">
        <w:rPr>
          <w:bCs/>
        </w:rPr>
        <w:t>a shock in that month</w:t>
      </w:r>
      <w:r w:rsidR="00754A50" w:rsidRPr="00AB50F9">
        <w:rPr>
          <w:bCs/>
        </w:rPr>
        <w:t xml:space="preserve"> as </w:t>
      </w:r>
      <w:r w:rsidR="004635EC" w:rsidRPr="00AB50F9">
        <w:rPr>
          <w:bCs/>
        </w:rPr>
        <w:t>if it occurs</w:t>
      </w:r>
      <w:r w:rsidR="00F12658" w:rsidRPr="00AB50F9">
        <w:rPr>
          <w:bCs/>
        </w:rPr>
        <w:t xml:space="preserve"> </w:t>
      </w:r>
      <w:r w:rsidR="008152FC" w:rsidRPr="00AB50F9">
        <w:rPr>
          <w:bCs/>
        </w:rPr>
        <w:t>in every</w:t>
      </w:r>
      <w:r w:rsidR="00F12658" w:rsidRPr="00AB50F9">
        <w:rPr>
          <w:bCs/>
        </w:rPr>
        <w:t xml:space="preserve"> </w:t>
      </w:r>
      <w:r w:rsidR="00754A50" w:rsidRPr="00AB50F9">
        <w:rPr>
          <w:bCs/>
        </w:rPr>
        <w:t>month</w:t>
      </w:r>
      <w:r w:rsidR="002910A8" w:rsidRPr="00AB50F9">
        <w:rPr>
          <w:bCs/>
        </w:rPr>
        <w:t xml:space="preserve">. Yet </w:t>
      </w:r>
      <w:r w:rsidR="00F12658" w:rsidRPr="00AB50F9">
        <w:rPr>
          <w:bCs/>
        </w:rPr>
        <w:t xml:space="preserve">with an </w:t>
      </w:r>
      <w:r w:rsidR="00754A50" w:rsidRPr="00AB50F9">
        <w:rPr>
          <w:bCs/>
        </w:rPr>
        <w:t xml:space="preserve">auto-correlation of </w:t>
      </w:r>
      <w:r w:rsidR="00F12658" w:rsidRPr="00AB50F9">
        <w:rPr>
          <w:bCs/>
        </w:rPr>
        <w:t xml:space="preserve">just </w:t>
      </w:r>
      <w:r w:rsidR="00754A50" w:rsidRPr="00AB50F9">
        <w:rPr>
          <w:bCs/>
        </w:rPr>
        <w:t xml:space="preserve">0.45 for per capita </w:t>
      </w:r>
      <w:r w:rsidR="008152FC" w:rsidRPr="00AB50F9">
        <w:rPr>
          <w:bCs/>
        </w:rPr>
        <w:t xml:space="preserve">daily </w:t>
      </w:r>
      <w:r w:rsidR="00754A50" w:rsidRPr="00AB50F9">
        <w:rPr>
          <w:bCs/>
        </w:rPr>
        <w:t xml:space="preserve">calories the </w:t>
      </w:r>
      <w:r w:rsidR="002910A8" w:rsidRPr="00AB50F9">
        <w:rPr>
          <w:bCs/>
        </w:rPr>
        <w:t xml:space="preserve">extrapolation </w:t>
      </w:r>
      <w:r w:rsidR="00754A50" w:rsidRPr="00AB50F9">
        <w:rPr>
          <w:bCs/>
        </w:rPr>
        <w:t xml:space="preserve">factor to scale </w:t>
      </w:r>
      <w:r w:rsidR="002910A8" w:rsidRPr="00AB50F9">
        <w:rPr>
          <w:bCs/>
        </w:rPr>
        <w:t xml:space="preserve">dietary </w:t>
      </w:r>
      <w:r w:rsidR="00754A50" w:rsidRPr="00AB50F9">
        <w:rPr>
          <w:bCs/>
        </w:rPr>
        <w:t xml:space="preserve">shocks up </w:t>
      </w:r>
      <w:r w:rsidR="00F12658" w:rsidRPr="00AB50F9">
        <w:rPr>
          <w:bCs/>
        </w:rPr>
        <w:t xml:space="preserve">from the </w:t>
      </w:r>
      <w:r w:rsidR="008152FC" w:rsidRPr="00AB50F9">
        <w:rPr>
          <w:bCs/>
        </w:rPr>
        <w:t xml:space="preserve">reference </w:t>
      </w:r>
      <w:r w:rsidR="00754A50" w:rsidRPr="00AB50F9">
        <w:rPr>
          <w:bCs/>
        </w:rPr>
        <w:t xml:space="preserve">month to </w:t>
      </w:r>
      <w:r w:rsidR="004635EC" w:rsidRPr="00AB50F9">
        <w:rPr>
          <w:bCs/>
        </w:rPr>
        <w:t xml:space="preserve">a year </w:t>
      </w:r>
      <w:r w:rsidR="00754A50" w:rsidRPr="00AB50F9">
        <w:rPr>
          <w:bCs/>
        </w:rPr>
        <w:t xml:space="preserve">should be just 8.4 since part of the shock is subsequently reversed. </w:t>
      </w:r>
    </w:p>
    <w:p w:rsidR="00AB50F9" w:rsidRPr="00AB50F9" w:rsidRDefault="00AB50F9" w:rsidP="00681293">
      <w:pPr>
        <w:spacing w:line="300" w:lineRule="auto"/>
        <w:jc w:val="both"/>
        <w:rPr>
          <w:bCs/>
        </w:rPr>
      </w:pPr>
    </w:p>
    <w:p w:rsidR="00627FAE" w:rsidRDefault="003650BD" w:rsidP="00681293">
      <w:pPr>
        <w:spacing w:line="300" w:lineRule="auto"/>
        <w:ind w:firstLine="720"/>
        <w:jc w:val="both"/>
        <w:rPr>
          <w:bCs/>
          <w:lang w:val="en-NZ"/>
        </w:rPr>
      </w:pPr>
      <w:r w:rsidRPr="00AB50F9">
        <w:rPr>
          <w:bCs/>
        </w:rPr>
        <w:lastRenderedPageBreak/>
        <w:t xml:space="preserve">It would be helpful if survey evidence </w:t>
      </w:r>
      <w:r w:rsidR="002910A8" w:rsidRPr="00AB50F9">
        <w:rPr>
          <w:bCs/>
        </w:rPr>
        <w:t xml:space="preserve">enabled </w:t>
      </w:r>
      <w:r w:rsidRPr="00AB50F9">
        <w:rPr>
          <w:bCs/>
        </w:rPr>
        <w:t>these intra-year correlations to be more wide</w:t>
      </w:r>
      <w:r w:rsidR="002910A8" w:rsidRPr="00AB50F9">
        <w:rPr>
          <w:bCs/>
        </w:rPr>
        <w:t>ly estimated, and to test if</w:t>
      </w:r>
      <w:r w:rsidRPr="00AB50F9">
        <w:rPr>
          <w:bCs/>
        </w:rPr>
        <w:t xml:space="preserve"> they decay as time elapses. </w:t>
      </w:r>
      <w:r w:rsidR="002910A8" w:rsidRPr="00AB50F9">
        <w:rPr>
          <w:bCs/>
        </w:rPr>
        <w:t>W</w:t>
      </w:r>
      <w:r w:rsidR="00754A50" w:rsidRPr="00AB50F9">
        <w:rPr>
          <w:bCs/>
        </w:rPr>
        <w:t xml:space="preserve">e rarely </w:t>
      </w:r>
      <w:r w:rsidRPr="00AB50F9">
        <w:rPr>
          <w:bCs/>
        </w:rPr>
        <w:t>get this</w:t>
      </w:r>
      <w:r w:rsidR="00754A50" w:rsidRPr="00AB50F9">
        <w:rPr>
          <w:bCs/>
        </w:rPr>
        <w:t xml:space="preserve"> chance because </w:t>
      </w:r>
      <w:r w:rsidR="00F12658" w:rsidRPr="00AB50F9">
        <w:rPr>
          <w:bCs/>
        </w:rPr>
        <w:t xml:space="preserve">intra-year panel surveys are so rare. </w:t>
      </w:r>
      <w:r w:rsidR="002910A8" w:rsidRPr="00AB50F9">
        <w:rPr>
          <w:bCs/>
        </w:rPr>
        <w:t>While</w:t>
      </w:r>
      <w:r w:rsidR="00F12658" w:rsidRPr="00AB50F9">
        <w:rPr>
          <w:bCs/>
        </w:rPr>
        <w:t xml:space="preserve"> </w:t>
      </w:r>
      <w:r w:rsidR="008152FC" w:rsidRPr="00AB50F9">
        <w:rPr>
          <w:bCs/>
        </w:rPr>
        <w:t xml:space="preserve">many </w:t>
      </w:r>
      <w:r w:rsidR="00F12658" w:rsidRPr="00AB50F9">
        <w:rPr>
          <w:bCs/>
        </w:rPr>
        <w:t xml:space="preserve">surveys </w:t>
      </w:r>
      <w:r w:rsidR="002910A8" w:rsidRPr="00AB50F9">
        <w:rPr>
          <w:bCs/>
        </w:rPr>
        <w:t xml:space="preserve">revisit </w:t>
      </w:r>
      <w:r w:rsidR="00F12658" w:rsidRPr="00AB50F9">
        <w:rPr>
          <w:bCs/>
        </w:rPr>
        <w:t>households</w:t>
      </w:r>
      <w:r w:rsidR="008152FC" w:rsidRPr="00AB50F9">
        <w:rPr>
          <w:bCs/>
        </w:rPr>
        <w:t>,</w:t>
      </w:r>
      <w:r w:rsidR="00F12658" w:rsidRPr="00AB50F9">
        <w:rPr>
          <w:bCs/>
        </w:rPr>
        <w:t xml:space="preserve"> </w:t>
      </w:r>
      <w:r w:rsidR="002910A8" w:rsidRPr="00AB50F9">
        <w:rPr>
          <w:bCs/>
        </w:rPr>
        <w:t xml:space="preserve">they </w:t>
      </w:r>
      <w:r w:rsidR="00F12658" w:rsidRPr="00AB50F9">
        <w:rPr>
          <w:bCs/>
        </w:rPr>
        <w:t>are structured in a way that reveal</w:t>
      </w:r>
      <w:r w:rsidR="008152FC" w:rsidRPr="00AB50F9">
        <w:rPr>
          <w:bCs/>
        </w:rPr>
        <w:t>s</w:t>
      </w:r>
      <w:r w:rsidR="00F12658" w:rsidRPr="00AB50F9">
        <w:rPr>
          <w:bCs/>
        </w:rPr>
        <w:t xml:space="preserve"> little about deviations of current living standards from their long-run level.</w:t>
      </w:r>
      <w:r w:rsidR="00754A50" w:rsidRPr="00AB50F9">
        <w:rPr>
          <w:bCs/>
        </w:rPr>
        <w:t xml:space="preserve"> </w:t>
      </w:r>
      <w:r w:rsidR="00C472D3" w:rsidRPr="00AB50F9">
        <w:rPr>
          <w:bCs/>
        </w:rPr>
        <w:t xml:space="preserve">For example, </w:t>
      </w:r>
      <w:r w:rsidR="00646139" w:rsidRPr="00AB50F9">
        <w:rPr>
          <w:bCs/>
        </w:rPr>
        <w:t>the</w:t>
      </w:r>
      <w:r w:rsidR="002910A8" w:rsidRPr="00AB50F9">
        <w:rPr>
          <w:bCs/>
        </w:rPr>
        <w:t xml:space="preserve"> typical diary</w:t>
      </w:r>
      <w:r w:rsidR="002910A8" w:rsidRPr="00AB50F9">
        <w:rPr>
          <w:bCs/>
        </w:rPr>
        <w:noBreakHyphen/>
      </w:r>
      <w:r w:rsidR="00C472D3" w:rsidRPr="00AB50F9">
        <w:rPr>
          <w:bCs/>
        </w:rPr>
        <w:t xml:space="preserve">keeping survey in the </w:t>
      </w:r>
      <w:proofErr w:type="spellStart"/>
      <w:r w:rsidR="00C472D3" w:rsidRPr="00AB50F9">
        <w:rPr>
          <w:bCs/>
        </w:rPr>
        <w:t>Dupriez</w:t>
      </w:r>
      <w:proofErr w:type="spellEnd"/>
      <w:r w:rsidR="00C472D3" w:rsidRPr="00AB50F9">
        <w:rPr>
          <w:bCs/>
        </w:rPr>
        <w:t xml:space="preserve"> </w:t>
      </w:r>
      <w:r w:rsidR="00C472D3" w:rsidRPr="00AB50F9">
        <w:rPr>
          <w:bCs/>
          <w:i/>
        </w:rPr>
        <w:t>et al</w:t>
      </w:r>
      <w:r w:rsidR="00620F1F" w:rsidRPr="00AB50F9">
        <w:rPr>
          <w:bCs/>
        </w:rPr>
        <w:t>.</w:t>
      </w:r>
      <w:r w:rsidR="00C472D3" w:rsidRPr="00AB50F9">
        <w:rPr>
          <w:bCs/>
        </w:rPr>
        <w:t xml:space="preserve"> (2014) sample</w:t>
      </w:r>
      <w:r w:rsidR="002910A8" w:rsidRPr="00AB50F9">
        <w:rPr>
          <w:bCs/>
        </w:rPr>
        <w:t xml:space="preserve"> </w:t>
      </w:r>
      <w:r w:rsidR="008152FC" w:rsidRPr="00AB50F9">
        <w:rPr>
          <w:bCs/>
        </w:rPr>
        <w:t xml:space="preserve">has </w:t>
      </w:r>
      <w:r w:rsidR="00646139" w:rsidRPr="00AB50F9">
        <w:rPr>
          <w:bCs/>
        </w:rPr>
        <w:t xml:space="preserve">the </w:t>
      </w:r>
      <w:r w:rsidR="002910A8" w:rsidRPr="00AB50F9">
        <w:rPr>
          <w:bCs/>
        </w:rPr>
        <w:t>interviewers make</w:t>
      </w:r>
      <w:r w:rsidR="00C472D3" w:rsidRPr="00AB50F9">
        <w:rPr>
          <w:bCs/>
        </w:rPr>
        <w:t xml:space="preserve"> five visits to each household but these are for short, adjacent per</w:t>
      </w:r>
      <w:r w:rsidR="008152FC" w:rsidRPr="00AB50F9">
        <w:rPr>
          <w:bCs/>
        </w:rPr>
        <w:t>iods (such as every second day) so</w:t>
      </w:r>
      <w:r w:rsidR="00C472D3" w:rsidRPr="00AB50F9">
        <w:rPr>
          <w:bCs/>
        </w:rPr>
        <w:t xml:space="preserve"> </w:t>
      </w:r>
      <w:r w:rsidR="002910A8" w:rsidRPr="00AB50F9">
        <w:rPr>
          <w:bCs/>
        </w:rPr>
        <w:t xml:space="preserve">hardly anything </w:t>
      </w:r>
      <w:r w:rsidR="00C472D3" w:rsidRPr="00AB50F9">
        <w:rPr>
          <w:bCs/>
        </w:rPr>
        <w:t xml:space="preserve">new is revealed about the household after about the third visit, compared </w:t>
      </w:r>
      <w:r w:rsidR="00646139" w:rsidRPr="00AB50F9">
        <w:rPr>
          <w:bCs/>
        </w:rPr>
        <w:t xml:space="preserve">to what may be learned </w:t>
      </w:r>
      <w:r w:rsidR="00C472D3" w:rsidRPr="00AB50F9">
        <w:rPr>
          <w:bCs/>
        </w:rPr>
        <w:t>if those revisits had been several months later.</w:t>
      </w:r>
      <w:r w:rsidR="002910A8" w:rsidRPr="00AB50F9">
        <w:rPr>
          <w:bCs/>
        </w:rPr>
        <w:t xml:space="preserve"> These designs ignore the </w:t>
      </w:r>
      <w:r w:rsidR="008152FC" w:rsidRPr="00AB50F9">
        <w:rPr>
          <w:bCs/>
        </w:rPr>
        <w:t xml:space="preserve">point </w:t>
      </w:r>
      <w:r w:rsidR="00646139" w:rsidRPr="00AB50F9">
        <w:rPr>
          <w:bCs/>
        </w:rPr>
        <w:t xml:space="preserve">made by </w:t>
      </w:r>
      <w:r w:rsidR="008152FC" w:rsidRPr="00AB50F9">
        <w:rPr>
          <w:bCs/>
        </w:rPr>
        <w:t>McKenzie (2012)</w:t>
      </w:r>
      <w:r w:rsidR="00646139" w:rsidRPr="00AB50F9">
        <w:rPr>
          <w:bCs/>
        </w:rPr>
        <w:t xml:space="preserve"> </w:t>
      </w:r>
      <w:r w:rsidR="008152FC" w:rsidRPr="00AB50F9">
        <w:rPr>
          <w:bCs/>
        </w:rPr>
        <w:t>that for outcomes with low autocorrelations there is value in</w:t>
      </w:r>
      <w:r w:rsidR="002910A8" w:rsidRPr="00AB50F9">
        <w:rPr>
          <w:bCs/>
        </w:rPr>
        <w:t xml:space="preserve"> </w:t>
      </w:r>
      <w:r w:rsidR="00646139" w:rsidRPr="00AB50F9">
        <w:rPr>
          <w:bCs/>
          <w:lang w:val="en-NZ"/>
        </w:rPr>
        <w:t>multiple measurements over time</w:t>
      </w:r>
      <w:r w:rsidR="002910A8" w:rsidRPr="00AB50F9">
        <w:rPr>
          <w:bCs/>
          <w:lang w:val="en-NZ"/>
        </w:rPr>
        <w:t xml:space="preserve"> since snapshots will be a misleading picture of the usual position.</w:t>
      </w:r>
      <w:r w:rsidR="00141429" w:rsidRPr="00AB50F9">
        <w:rPr>
          <w:bCs/>
          <w:lang w:val="en-NZ"/>
        </w:rPr>
        <w:t xml:space="preserve"> Moreover, surveys with revisits need not be too costly if the main aim </w:t>
      </w:r>
      <w:r w:rsidR="004635EC" w:rsidRPr="00AB50F9">
        <w:rPr>
          <w:bCs/>
          <w:lang w:val="en-NZ"/>
        </w:rPr>
        <w:t xml:space="preserve">of the revisit </w:t>
      </w:r>
      <w:r w:rsidR="00141429" w:rsidRPr="00AB50F9">
        <w:rPr>
          <w:bCs/>
          <w:lang w:val="en-NZ"/>
        </w:rPr>
        <w:t xml:space="preserve">is to estimate </w:t>
      </w:r>
      <w:r w:rsidR="00141429" w:rsidRPr="00AB50F9">
        <w:rPr>
          <w:bCs/>
          <w:position w:val="-4"/>
          <w:lang w:val="en-NZ"/>
        </w:rPr>
        <w:object w:dxaOrig="200" w:dyaOrig="240">
          <v:shape id="_x0000_i1053" type="#_x0000_t75" style="width:9.6pt;height:12pt" o:ole="">
            <v:imagedata r:id="rId64" o:title=""/>
          </v:shape>
          <o:OLEObject Type="Embed" ProgID="Equation.3" ShapeID="_x0000_i1053" DrawAspect="Content" ObjectID="_1532244030" r:id="rId65"/>
        </w:object>
      </w:r>
      <w:r w:rsidR="00141429" w:rsidRPr="00AB50F9">
        <w:rPr>
          <w:bCs/>
          <w:lang w:val="en-NZ"/>
        </w:rPr>
        <w:t xml:space="preserve">for doing a corrected extrapolation (and splitting observed welfare into chronic and transient parts); a </w:t>
      </w:r>
      <w:r w:rsidR="00AE5840" w:rsidRPr="00AB50F9">
        <w:rPr>
          <w:bCs/>
          <w:lang w:val="en-NZ"/>
        </w:rPr>
        <w:t xml:space="preserve">randomly selected subset of </w:t>
      </w:r>
      <w:r w:rsidR="00141429" w:rsidRPr="00AB50F9">
        <w:rPr>
          <w:bCs/>
          <w:lang w:val="en-NZ"/>
        </w:rPr>
        <w:t>survey areas may suffice</w:t>
      </w:r>
      <w:r w:rsidR="00AE5840" w:rsidRPr="00AB50F9">
        <w:rPr>
          <w:bCs/>
          <w:lang w:val="en-NZ"/>
        </w:rPr>
        <w:t xml:space="preserve">, with Gibson (2001) using </w:t>
      </w:r>
      <w:r w:rsidR="00141429" w:rsidRPr="00AB50F9">
        <w:rPr>
          <w:bCs/>
          <w:lang w:val="en-NZ"/>
        </w:rPr>
        <w:t xml:space="preserve">a one-in-seven revisit sample that added about 10 percent to the </w:t>
      </w:r>
      <w:r w:rsidR="004C68AC" w:rsidRPr="00AB50F9">
        <w:rPr>
          <w:bCs/>
          <w:lang w:val="en-NZ"/>
        </w:rPr>
        <w:t xml:space="preserve">fieldwork </w:t>
      </w:r>
      <w:r w:rsidR="00AE5840" w:rsidRPr="00AB50F9">
        <w:rPr>
          <w:bCs/>
          <w:lang w:val="en-NZ"/>
        </w:rPr>
        <w:t>cost for a</w:t>
      </w:r>
      <w:r w:rsidR="00646139" w:rsidRPr="00AB50F9">
        <w:rPr>
          <w:bCs/>
          <w:lang w:val="en-NZ"/>
        </w:rPr>
        <w:t xml:space="preserve"> standard</w:t>
      </w:r>
      <w:r w:rsidR="00141429" w:rsidRPr="00AB50F9">
        <w:rPr>
          <w:bCs/>
          <w:lang w:val="en-NZ"/>
        </w:rPr>
        <w:t xml:space="preserve"> cross-sectional survey design</w:t>
      </w:r>
      <w:r w:rsidR="00646139" w:rsidRPr="00AB50F9">
        <w:rPr>
          <w:bCs/>
          <w:lang w:val="en-NZ"/>
        </w:rPr>
        <w:t xml:space="preserve"> with fieldwork staggered over the year</w:t>
      </w:r>
      <w:r w:rsidR="00141429" w:rsidRPr="00AB50F9">
        <w:rPr>
          <w:bCs/>
          <w:lang w:val="en-NZ"/>
        </w:rPr>
        <w:t>.</w:t>
      </w:r>
    </w:p>
    <w:p w:rsidR="008E3D3A" w:rsidRPr="00AB50F9" w:rsidRDefault="008E3D3A" w:rsidP="00681293">
      <w:pPr>
        <w:spacing w:line="300" w:lineRule="auto"/>
        <w:ind w:firstLine="720"/>
        <w:jc w:val="both"/>
        <w:rPr>
          <w:bCs/>
          <w:lang w:val="en-NZ"/>
        </w:rPr>
      </w:pPr>
    </w:p>
    <w:p w:rsidR="004C68AC" w:rsidRPr="00AB50F9" w:rsidRDefault="00AE5840" w:rsidP="00681293">
      <w:pPr>
        <w:spacing w:line="300" w:lineRule="auto"/>
        <w:ind w:firstLine="720"/>
        <w:jc w:val="both"/>
        <w:rPr>
          <w:bCs/>
        </w:rPr>
      </w:pPr>
      <w:r w:rsidRPr="00AB50F9">
        <w:t>In addition to implications for hunger measurement and survey design,</w:t>
      </w:r>
      <w:r w:rsidR="004C68AC" w:rsidRPr="00AB50F9">
        <w:t xml:space="preserve"> the results here suggest that the </w:t>
      </w:r>
      <w:r w:rsidRPr="00AB50F9">
        <w:rPr>
          <w:bCs/>
        </w:rPr>
        <w:t xml:space="preserve">literature on splitting observed shortfalls in living standards into chronic and transient parts </w:t>
      </w:r>
      <w:r w:rsidR="004C68AC" w:rsidRPr="00AB50F9">
        <w:rPr>
          <w:bCs/>
        </w:rPr>
        <w:t>is deficient in ignoring transitory</w:t>
      </w:r>
      <w:r w:rsidRPr="00AB50F9">
        <w:rPr>
          <w:bCs/>
        </w:rPr>
        <w:t xml:space="preserve"> hunger</w:t>
      </w:r>
      <w:r w:rsidR="004C68AC" w:rsidRPr="00AB50F9">
        <w:rPr>
          <w:bCs/>
        </w:rPr>
        <w:t>. In</w:t>
      </w:r>
      <w:r w:rsidRPr="00AB50F9">
        <w:rPr>
          <w:bCs/>
        </w:rPr>
        <w:t xml:space="preserve"> Myanmar it appears that about half of the observed hunger is transitory, </w:t>
      </w:r>
      <w:r w:rsidR="004C68AC" w:rsidRPr="00AB50F9">
        <w:rPr>
          <w:bCs/>
        </w:rPr>
        <w:t>and if the same holds in other l</w:t>
      </w:r>
      <w:r w:rsidR="00646139" w:rsidRPr="00AB50F9">
        <w:rPr>
          <w:bCs/>
        </w:rPr>
        <w:t>ow-income settings this makes transitory hunger</w:t>
      </w:r>
      <w:r w:rsidR="004C68AC" w:rsidRPr="00AB50F9">
        <w:rPr>
          <w:bCs/>
        </w:rPr>
        <w:t xml:space="preserve"> </w:t>
      </w:r>
      <w:r w:rsidRPr="00AB50F9">
        <w:rPr>
          <w:bCs/>
        </w:rPr>
        <w:t>too large of a problem to ignore.</w:t>
      </w:r>
      <w:r w:rsidR="004C68AC" w:rsidRPr="00AB50F9">
        <w:rPr>
          <w:bCs/>
        </w:rPr>
        <w:t xml:space="preserve"> The appropriate policies for dealing with transitory hunger may be quite different to those for reducing chronic hunger, </w:t>
      </w:r>
      <w:r w:rsidR="00646139" w:rsidRPr="00AB50F9">
        <w:rPr>
          <w:bCs/>
        </w:rPr>
        <w:t>since they will involve</w:t>
      </w:r>
      <w:r w:rsidR="004C68AC" w:rsidRPr="00AB50F9">
        <w:rPr>
          <w:bCs/>
        </w:rPr>
        <w:t xml:space="preserve"> smoothing mechanisms such as insurance and social protection. Moreover the agencies who can best intervene to deal with transitory hunger may not be typical participants in food policy debates, so broadening the focus away from the current emphasis on chronic hunger may require creative approaches to </w:t>
      </w:r>
      <w:r w:rsidR="00646139" w:rsidRPr="00AB50F9">
        <w:rPr>
          <w:bCs/>
        </w:rPr>
        <w:t xml:space="preserve">mitigate </w:t>
      </w:r>
      <w:r w:rsidR="004C68AC" w:rsidRPr="00AB50F9">
        <w:rPr>
          <w:bCs/>
        </w:rPr>
        <w:t xml:space="preserve">this </w:t>
      </w:r>
      <w:r w:rsidR="00646139" w:rsidRPr="00AB50F9">
        <w:rPr>
          <w:bCs/>
        </w:rPr>
        <w:t xml:space="preserve">avoidable </w:t>
      </w:r>
      <w:r w:rsidR="004C68AC" w:rsidRPr="00AB50F9">
        <w:rPr>
          <w:bCs/>
        </w:rPr>
        <w:t>source of misery.</w:t>
      </w:r>
    </w:p>
    <w:p w:rsidR="00947E26" w:rsidRPr="00AB50F9" w:rsidRDefault="00881FB7" w:rsidP="00681293">
      <w:pPr>
        <w:spacing w:line="300" w:lineRule="auto"/>
        <w:jc w:val="both"/>
        <w:rPr>
          <w:b/>
          <w:bCs/>
        </w:rPr>
      </w:pPr>
      <w:r w:rsidRPr="00AB50F9">
        <w:rPr>
          <w:bCs/>
        </w:rPr>
        <w:tab/>
      </w:r>
    </w:p>
    <w:p w:rsidR="00900DAA" w:rsidRPr="00AB50F9" w:rsidRDefault="00900DAA" w:rsidP="00681293">
      <w:pPr>
        <w:widowControl w:val="0"/>
        <w:spacing w:line="300" w:lineRule="auto"/>
        <w:jc w:val="both"/>
        <w:rPr>
          <w:b/>
          <w:bCs/>
        </w:rPr>
      </w:pPr>
      <w:r w:rsidRPr="00AB50F9">
        <w:rPr>
          <w:b/>
          <w:bCs/>
        </w:rPr>
        <w:t>References</w:t>
      </w:r>
    </w:p>
    <w:p w:rsidR="005169D7" w:rsidRPr="00AB50F9" w:rsidRDefault="008F2E8D" w:rsidP="001E3813">
      <w:pPr>
        <w:suppressLineNumbers/>
        <w:spacing w:after="200" w:line="240" w:lineRule="auto"/>
        <w:ind w:left="425" w:hanging="425"/>
        <w:jc w:val="both"/>
        <w:rPr>
          <w:rFonts w:eastAsia="Calibri"/>
          <w:sz w:val="22"/>
          <w:szCs w:val="22"/>
          <w:lang w:val="en-GB"/>
        </w:rPr>
      </w:pPr>
      <w:r w:rsidRPr="00AB50F9">
        <w:rPr>
          <w:rFonts w:eastAsia="Calibri"/>
          <w:sz w:val="22"/>
          <w:szCs w:val="22"/>
          <w:lang w:val="nl-BE"/>
        </w:rPr>
        <w:t xml:space="preserve">Beegle K, De Weerdt J, Friedman J, Gibson J. 2012. </w:t>
      </w:r>
      <w:r w:rsidRPr="00AB50F9">
        <w:rPr>
          <w:rFonts w:eastAsia="Calibri"/>
          <w:sz w:val="22"/>
          <w:szCs w:val="22"/>
          <w:lang w:val="en-GB"/>
        </w:rPr>
        <w:t>Methods of Household Consumption Measurement through Surveys: Experimental Results from Tanzania.</w:t>
      </w:r>
      <w:r w:rsidRPr="00AB50F9">
        <w:rPr>
          <w:rFonts w:eastAsia="Calibri"/>
          <w:i/>
          <w:sz w:val="22"/>
          <w:szCs w:val="22"/>
          <w:lang w:val="en-GB"/>
        </w:rPr>
        <w:t xml:space="preserve"> Journal of Development Economics</w:t>
      </w:r>
      <w:r w:rsidRPr="00AB50F9">
        <w:rPr>
          <w:rFonts w:eastAsia="Calibri"/>
          <w:sz w:val="22"/>
          <w:szCs w:val="22"/>
          <w:lang w:val="en-GB"/>
        </w:rPr>
        <w:t xml:space="preserve"> 98</w:t>
      </w:r>
      <w:r w:rsidR="00FA0370" w:rsidRPr="00AB50F9">
        <w:rPr>
          <w:rFonts w:eastAsia="Calibri"/>
          <w:sz w:val="22"/>
          <w:szCs w:val="22"/>
          <w:lang w:val="en-GB"/>
        </w:rPr>
        <w:t>(1)</w:t>
      </w:r>
      <w:r w:rsidRPr="00AB50F9">
        <w:rPr>
          <w:rFonts w:eastAsia="Calibri"/>
          <w:sz w:val="22"/>
          <w:szCs w:val="22"/>
          <w:lang w:val="en-GB"/>
        </w:rPr>
        <w:t>: 19–33.</w:t>
      </w:r>
      <w:r w:rsidR="005169D7" w:rsidRPr="00AB50F9">
        <w:rPr>
          <w:rFonts w:eastAsia="Calibri"/>
          <w:sz w:val="22"/>
          <w:szCs w:val="22"/>
          <w:lang w:val="en-GB"/>
        </w:rPr>
        <w:t xml:space="preserve"> </w:t>
      </w:r>
    </w:p>
    <w:p w:rsidR="008F2E8D" w:rsidRPr="00AB50F9" w:rsidRDefault="005169D7" w:rsidP="001E3813">
      <w:pPr>
        <w:suppressLineNumbers/>
        <w:spacing w:after="200" w:line="240" w:lineRule="auto"/>
        <w:ind w:left="425" w:hanging="425"/>
        <w:jc w:val="both"/>
        <w:rPr>
          <w:rFonts w:eastAsia="Calibri"/>
          <w:sz w:val="22"/>
          <w:szCs w:val="22"/>
          <w:lang w:val="en-GB"/>
        </w:rPr>
      </w:pPr>
      <w:proofErr w:type="gramStart"/>
      <w:r w:rsidRPr="00AB50F9">
        <w:rPr>
          <w:rFonts w:eastAsia="Calibri"/>
          <w:sz w:val="22"/>
          <w:szCs w:val="22"/>
        </w:rPr>
        <w:t xml:space="preserve">Behrman, J, Foster, A, </w:t>
      </w:r>
      <w:proofErr w:type="spellStart"/>
      <w:r w:rsidRPr="00AB50F9">
        <w:rPr>
          <w:rFonts w:eastAsia="Calibri"/>
          <w:sz w:val="22"/>
          <w:szCs w:val="22"/>
        </w:rPr>
        <w:t>Rosenzweig</w:t>
      </w:r>
      <w:proofErr w:type="spellEnd"/>
      <w:r w:rsidRPr="00AB50F9">
        <w:rPr>
          <w:rFonts w:eastAsia="Calibri"/>
          <w:sz w:val="22"/>
          <w:szCs w:val="22"/>
        </w:rPr>
        <w:t>, M. 1997.</w:t>
      </w:r>
      <w:proofErr w:type="gramEnd"/>
      <w:r w:rsidRPr="00AB50F9">
        <w:rPr>
          <w:rFonts w:eastAsia="Calibri"/>
          <w:sz w:val="22"/>
          <w:szCs w:val="22"/>
        </w:rPr>
        <w:t xml:space="preserve"> The dynamics of agricultural production and the calorie-income relationship: Evidence from Pakistan. </w:t>
      </w:r>
      <w:r w:rsidRPr="00AB50F9">
        <w:rPr>
          <w:rFonts w:eastAsia="Calibri"/>
          <w:i/>
          <w:iCs/>
          <w:sz w:val="22"/>
          <w:szCs w:val="22"/>
        </w:rPr>
        <w:t>Journal of Econometrics</w:t>
      </w:r>
      <w:r w:rsidRPr="00AB50F9">
        <w:rPr>
          <w:rFonts w:eastAsia="Calibri"/>
          <w:sz w:val="22"/>
          <w:szCs w:val="22"/>
        </w:rPr>
        <w:t> </w:t>
      </w:r>
      <w:r w:rsidRPr="00AB50F9">
        <w:rPr>
          <w:rFonts w:eastAsia="Calibri"/>
          <w:iCs/>
          <w:sz w:val="22"/>
          <w:szCs w:val="22"/>
        </w:rPr>
        <w:t>77</w:t>
      </w:r>
      <w:r w:rsidRPr="00AB50F9">
        <w:rPr>
          <w:rFonts w:eastAsia="Calibri"/>
          <w:sz w:val="22"/>
          <w:szCs w:val="22"/>
        </w:rPr>
        <w:t>(1): 187-207.</w:t>
      </w:r>
    </w:p>
    <w:p w:rsidR="008F2E8D" w:rsidRPr="00AB50F9" w:rsidRDefault="008F2E8D" w:rsidP="001E3813">
      <w:pPr>
        <w:suppressLineNumbers/>
        <w:spacing w:after="200" w:line="240" w:lineRule="auto"/>
        <w:ind w:left="425" w:hanging="425"/>
        <w:jc w:val="both"/>
        <w:rPr>
          <w:rFonts w:eastAsia="Calibri"/>
          <w:sz w:val="22"/>
          <w:szCs w:val="22"/>
          <w:lang w:val="en-GB"/>
        </w:rPr>
      </w:pPr>
      <w:proofErr w:type="spellStart"/>
      <w:r w:rsidRPr="00AB50F9">
        <w:rPr>
          <w:rFonts w:eastAsia="Calibri"/>
          <w:sz w:val="22"/>
          <w:szCs w:val="22"/>
          <w:lang w:val="en-GB"/>
        </w:rPr>
        <w:t>Cafiero</w:t>
      </w:r>
      <w:proofErr w:type="spellEnd"/>
      <w:r w:rsidRPr="00AB50F9">
        <w:rPr>
          <w:rFonts w:eastAsia="Calibri"/>
          <w:sz w:val="22"/>
          <w:szCs w:val="22"/>
          <w:lang w:val="en-GB"/>
        </w:rPr>
        <w:t xml:space="preserve"> C. 2014. Advances in hunger measurement: traditional FAO methods and recent innovations. </w:t>
      </w:r>
      <w:proofErr w:type="gramStart"/>
      <w:r w:rsidRPr="00AB50F9">
        <w:rPr>
          <w:rFonts w:eastAsia="Calibri"/>
          <w:i/>
          <w:sz w:val="22"/>
          <w:szCs w:val="22"/>
          <w:lang w:val="en-GB"/>
        </w:rPr>
        <w:t>FAO Statistics Division Working Paper Series</w:t>
      </w:r>
      <w:r w:rsidRPr="00AB50F9">
        <w:rPr>
          <w:rFonts w:eastAsia="Calibri"/>
          <w:sz w:val="22"/>
          <w:szCs w:val="22"/>
          <w:lang w:val="en-GB"/>
        </w:rPr>
        <w:t xml:space="preserve"> No. 14-04.</w:t>
      </w:r>
      <w:proofErr w:type="gramEnd"/>
    </w:p>
    <w:p w:rsidR="008F2E8D" w:rsidRPr="00AB50F9" w:rsidRDefault="008F2E8D" w:rsidP="001E3813">
      <w:pPr>
        <w:suppressLineNumbers/>
        <w:spacing w:after="200" w:line="240" w:lineRule="auto"/>
        <w:ind w:left="425" w:hanging="425"/>
        <w:jc w:val="both"/>
        <w:rPr>
          <w:rFonts w:eastAsia="Calibri"/>
          <w:sz w:val="22"/>
          <w:szCs w:val="22"/>
          <w:lang w:val="fr-BE"/>
        </w:rPr>
      </w:pPr>
      <w:proofErr w:type="spellStart"/>
      <w:r w:rsidRPr="00AB50F9">
        <w:rPr>
          <w:rFonts w:eastAsia="Calibri"/>
          <w:sz w:val="22"/>
          <w:szCs w:val="22"/>
          <w:lang w:val="en-NZ"/>
        </w:rPr>
        <w:t>Cafiero</w:t>
      </w:r>
      <w:proofErr w:type="spellEnd"/>
      <w:r w:rsidRPr="00AB50F9">
        <w:rPr>
          <w:rFonts w:eastAsia="Calibri"/>
          <w:sz w:val="22"/>
          <w:szCs w:val="22"/>
          <w:lang w:val="en-NZ"/>
        </w:rPr>
        <w:t xml:space="preserve">, C, </w:t>
      </w:r>
      <w:proofErr w:type="spellStart"/>
      <w:r w:rsidRPr="00AB50F9">
        <w:rPr>
          <w:rFonts w:eastAsia="Calibri"/>
          <w:sz w:val="22"/>
          <w:szCs w:val="22"/>
          <w:lang w:val="en-NZ"/>
        </w:rPr>
        <w:t>Gennari</w:t>
      </w:r>
      <w:proofErr w:type="spellEnd"/>
      <w:r w:rsidRPr="00AB50F9">
        <w:rPr>
          <w:rFonts w:eastAsia="Calibri"/>
          <w:sz w:val="22"/>
          <w:szCs w:val="22"/>
          <w:lang w:val="en-NZ"/>
        </w:rPr>
        <w:t xml:space="preserve">, P. 2011. </w:t>
      </w:r>
      <w:proofErr w:type="gramStart"/>
      <w:r w:rsidRPr="00AB50F9">
        <w:rPr>
          <w:rFonts w:eastAsia="Calibri"/>
          <w:sz w:val="22"/>
          <w:szCs w:val="22"/>
          <w:lang w:val="en-NZ"/>
        </w:rPr>
        <w:t>The FAO indicator of the prevalence of undernourishment.</w:t>
      </w:r>
      <w:proofErr w:type="gramEnd"/>
      <w:r w:rsidRPr="00AB50F9">
        <w:rPr>
          <w:rFonts w:eastAsia="Calibri"/>
          <w:sz w:val="22"/>
          <w:szCs w:val="22"/>
          <w:lang w:val="en-NZ"/>
        </w:rPr>
        <w:t xml:space="preserve"> </w:t>
      </w:r>
      <w:proofErr w:type="gramStart"/>
      <w:r w:rsidRPr="00AB50F9">
        <w:rPr>
          <w:rFonts w:eastAsia="Calibri"/>
          <w:sz w:val="22"/>
          <w:szCs w:val="22"/>
          <w:lang w:val="en-NZ"/>
        </w:rPr>
        <w:t xml:space="preserve">Presented at the Workshop </w:t>
      </w:r>
      <w:r w:rsidRPr="00AB50F9">
        <w:rPr>
          <w:rFonts w:eastAsia="Calibri"/>
          <w:i/>
          <w:sz w:val="22"/>
          <w:szCs w:val="22"/>
          <w:lang w:val="en-NZ"/>
        </w:rPr>
        <w:t>Measuring Food Insecurity and Assessing the Sustainability of Global Food Systems</w:t>
      </w:r>
      <w:r w:rsidRPr="00AB50F9">
        <w:rPr>
          <w:rFonts w:eastAsia="Calibri"/>
          <w:sz w:val="22"/>
          <w:szCs w:val="22"/>
          <w:lang w:val="en-NZ"/>
        </w:rPr>
        <w:t xml:space="preserve"> The National Academies of Science, Washington, DC.</w:t>
      </w:r>
      <w:proofErr w:type="gramEnd"/>
      <w:r w:rsidRPr="00AB50F9">
        <w:rPr>
          <w:rFonts w:eastAsia="Calibri"/>
          <w:sz w:val="22"/>
          <w:szCs w:val="22"/>
          <w:lang w:val="en-NZ"/>
        </w:rPr>
        <w:t xml:space="preserve"> </w:t>
      </w:r>
    </w:p>
    <w:p w:rsidR="002F2E15" w:rsidRPr="00AB50F9" w:rsidRDefault="008F2E8D" w:rsidP="001E3813">
      <w:pPr>
        <w:suppressLineNumbers/>
        <w:spacing w:after="200" w:line="240" w:lineRule="auto"/>
        <w:ind w:left="425" w:hanging="425"/>
        <w:jc w:val="both"/>
        <w:rPr>
          <w:rFonts w:eastAsia="Calibri"/>
          <w:sz w:val="22"/>
          <w:szCs w:val="22"/>
          <w:lang w:val="en-GB"/>
        </w:rPr>
      </w:pPr>
      <w:proofErr w:type="spellStart"/>
      <w:r w:rsidRPr="00AB50F9">
        <w:rPr>
          <w:rFonts w:eastAsia="Calibri"/>
          <w:sz w:val="22"/>
          <w:szCs w:val="22"/>
          <w:lang w:val="fr-BE"/>
        </w:rPr>
        <w:lastRenderedPageBreak/>
        <w:t>Carletto</w:t>
      </w:r>
      <w:proofErr w:type="spellEnd"/>
      <w:r w:rsidRPr="00AB50F9">
        <w:rPr>
          <w:rFonts w:eastAsia="Calibri"/>
          <w:sz w:val="22"/>
          <w:szCs w:val="22"/>
          <w:lang w:val="fr-BE"/>
        </w:rPr>
        <w:t xml:space="preserve"> C, Zezza A, </w:t>
      </w:r>
      <w:proofErr w:type="spellStart"/>
      <w:r w:rsidRPr="00AB50F9">
        <w:rPr>
          <w:rFonts w:eastAsia="Calibri"/>
          <w:sz w:val="22"/>
          <w:szCs w:val="22"/>
          <w:lang w:val="fr-BE"/>
        </w:rPr>
        <w:t>Banarjee</w:t>
      </w:r>
      <w:proofErr w:type="spellEnd"/>
      <w:r w:rsidRPr="00AB50F9">
        <w:rPr>
          <w:rFonts w:eastAsia="Calibri"/>
          <w:sz w:val="22"/>
          <w:szCs w:val="22"/>
          <w:lang w:val="fr-BE"/>
        </w:rPr>
        <w:t xml:space="preserve"> R. 2012. </w:t>
      </w:r>
      <w:r w:rsidRPr="00AB50F9">
        <w:rPr>
          <w:rFonts w:eastAsia="Calibri"/>
          <w:sz w:val="22"/>
          <w:szCs w:val="22"/>
          <w:lang w:val="en-GB"/>
        </w:rPr>
        <w:t xml:space="preserve">Towards Better Measurements of Household Food Security: Harmonizing Indicators and the Role of Household Surveys. </w:t>
      </w:r>
      <w:r w:rsidRPr="00AB50F9">
        <w:rPr>
          <w:rFonts w:eastAsia="Calibri"/>
          <w:i/>
          <w:sz w:val="22"/>
          <w:szCs w:val="22"/>
          <w:lang w:val="en-GB"/>
        </w:rPr>
        <w:t>Global Food Security</w:t>
      </w:r>
      <w:r w:rsidRPr="00AB50F9">
        <w:rPr>
          <w:rFonts w:eastAsia="Calibri"/>
          <w:sz w:val="22"/>
          <w:szCs w:val="22"/>
          <w:lang w:val="en-GB"/>
        </w:rPr>
        <w:t xml:space="preserve"> 2</w:t>
      </w:r>
      <w:r w:rsidR="00FA0370" w:rsidRPr="00AB50F9">
        <w:rPr>
          <w:rFonts w:eastAsia="Calibri"/>
          <w:sz w:val="22"/>
          <w:szCs w:val="22"/>
          <w:lang w:val="en-GB"/>
        </w:rPr>
        <w:t>(1)</w:t>
      </w:r>
      <w:r w:rsidRPr="00AB50F9">
        <w:rPr>
          <w:rFonts w:eastAsia="Calibri"/>
          <w:sz w:val="22"/>
          <w:szCs w:val="22"/>
          <w:lang w:val="en-GB"/>
        </w:rPr>
        <w:t>:30-40.</w:t>
      </w:r>
      <w:r w:rsidR="002F2E15" w:rsidRPr="00AB50F9">
        <w:rPr>
          <w:rFonts w:eastAsia="Calibri"/>
          <w:sz w:val="22"/>
          <w:szCs w:val="22"/>
          <w:lang w:val="en-GB"/>
        </w:rPr>
        <w:t xml:space="preserve"> </w:t>
      </w:r>
    </w:p>
    <w:p w:rsidR="002F2E15" w:rsidRPr="00AB50F9" w:rsidRDefault="002F2E15" w:rsidP="001E3813">
      <w:pPr>
        <w:suppressLineNumbers/>
        <w:spacing w:after="200" w:line="240" w:lineRule="auto"/>
        <w:ind w:left="425" w:hanging="425"/>
        <w:jc w:val="both"/>
        <w:rPr>
          <w:rFonts w:eastAsia="Calibri"/>
          <w:sz w:val="22"/>
          <w:szCs w:val="22"/>
          <w:lang w:val="en-NZ"/>
        </w:rPr>
      </w:pPr>
      <w:proofErr w:type="gramStart"/>
      <w:r w:rsidRPr="00AB50F9">
        <w:rPr>
          <w:rFonts w:eastAsia="Calibri"/>
          <w:sz w:val="22"/>
          <w:szCs w:val="22"/>
          <w:lang w:val="en-NZ"/>
        </w:rPr>
        <w:t>Central Statistical Office [CSO], 1995.</w:t>
      </w:r>
      <w:proofErr w:type="gramEnd"/>
      <w:r w:rsidRPr="00AB50F9">
        <w:rPr>
          <w:rFonts w:eastAsia="Calibri"/>
          <w:sz w:val="22"/>
          <w:szCs w:val="22"/>
          <w:lang w:val="en-NZ"/>
        </w:rPr>
        <w:t xml:space="preserve"> </w:t>
      </w:r>
      <w:r w:rsidRPr="00AB50F9">
        <w:rPr>
          <w:rFonts w:eastAsia="Calibri"/>
          <w:i/>
          <w:sz w:val="22"/>
          <w:szCs w:val="22"/>
          <w:lang w:val="en-NZ"/>
        </w:rPr>
        <w:t>Republic of Zambia Household Budget Survey, 1993-94, Volume 1 – Main Tables and Report</w:t>
      </w:r>
      <w:r w:rsidRPr="00AB50F9">
        <w:rPr>
          <w:rFonts w:eastAsia="Calibri"/>
          <w:sz w:val="22"/>
          <w:szCs w:val="22"/>
          <w:lang w:val="en-NZ"/>
        </w:rPr>
        <w:t xml:space="preserve"> Central Statistical Office, Lusaka.</w:t>
      </w:r>
    </w:p>
    <w:p w:rsidR="008F2E8D" w:rsidRPr="00AB50F9" w:rsidRDefault="008F2E8D" w:rsidP="001E3813">
      <w:pPr>
        <w:suppressLineNumbers/>
        <w:spacing w:after="200" w:line="240" w:lineRule="auto"/>
        <w:ind w:left="425" w:hanging="425"/>
        <w:jc w:val="both"/>
        <w:rPr>
          <w:rFonts w:eastAsia="Calibri"/>
          <w:sz w:val="22"/>
          <w:szCs w:val="22"/>
          <w:lang w:val="en-GB"/>
        </w:rPr>
      </w:pPr>
      <w:r w:rsidRPr="00AB50F9">
        <w:rPr>
          <w:rFonts w:eastAsia="Calibri"/>
          <w:sz w:val="22"/>
          <w:szCs w:val="22"/>
          <w:lang w:val="nl-BE"/>
        </w:rPr>
        <w:t xml:space="preserve">de Haen H, Klasen S, Qaim M. 2011. </w:t>
      </w:r>
      <w:r w:rsidRPr="00AB50F9">
        <w:rPr>
          <w:rFonts w:eastAsia="Calibri"/>
          <w:sz w:val="22"/>
          <w:szCs w:val="22"/>
          <w:lang w:val="en-GB"/>
        </w:rPr>
        <w:t xml:space="preserve">What do We Really Know? </w:t>
      </w:r>
      <w:proofErr w:type="gramStart"/>
      <w:r w:rsidRPr="00AB50F9">
        <w:rPr>
          <w:rFonts w:eastAsia="Calibri"/>
          <w:sz w:val="22"/>
          <w:szCs w:val="22"/>
          <w:lang w:val="en-GB"/>
        </w:rPr>
        <w:t>Metrics for Food Insecurity and Malnutrition.</w:t>
      </w:r>
      <w:proofErr w:type="gramEnd"/>
      <w:r w:rsidRPr="00AB50F9">
        <w:rPr>
          <w:rFonts w:eastAsia="Calibri"/>
          <w:sz w:val="22"/>
          <w:szCs w:val="22"/>
          <w:lang w:val="en-GB"/>
        </w:rPr>
        <w:t xml:space="preserve"> </w:t>
      </w:r>
      <w:r w:rsidRPr="00AB50F9">
        <w:rPr>
          <w:rFonts w:eastAsia="Calibri"/>
          <w:i/>
          <w:sz w:val="22"/>
          <w:szCs w:val="22"/>
          <w:lang w:val="en-GB"/>
        </w:rPr>
        <w:t>Food Policy</w:t>
      </w:r>
      <w:r w:rsidRPr="00AB50F9">
        <w:rPr>
          <w:rFonts w:eastAsia="Calibri"/>
          <w:sz w:val="22"/>
          <w:szCs w:val="22"/>
          <w:lang w:val="en-GB"/>
        </w:rPr>
        <w:t xml:space="preserve"> 36(6): 760–769.</w:t>
      </w:r>
    </w:p>
    <w:p w:rsidR="00880F3C" w:rsidRPr="00AB50F9" w:rsidRDefault="00511134" w:rsidP="001E3813">
      <w:pPr>
        <w:suppressLineNumbers/>
        <w:spacing w:after="200" w:line="240" w:lineRule="auto"/>
        <w:ind w:left="425" w:hanging="425"/>
        <w:jc w:val="both"/>
        <w:rPr>
          <w:rFonts w:eastAsia="Calibri"/>
          <w:sz w:val="22"/>
          <w:szCs w:val="22"/>
          <w:lang w:val="en-GB"/>
        </w:rPr>
      </w:pPr>
      <w:r w:rsidRPr="00AB50F9">
        <w:rPr>
          <w:rFonts w:eastAsia="Calibri"/>
          <w:sz w:val="22"/>
          <w:szCs w:val="22"/>
        </w:rPr>
        <w:t xml:space="preserve">De </w:t>
      </w:r>
      <w:proofErr w:type="spellStart"/>
      <w:r w:rsidRPr="00AB50F9">
        <w:rPr>
          <w:rFonts w:eastAsia="Calibri"/>
          <w:sz w:val="22"/>
          <w:szCs w:val="22"/>
        </w:rPr>
        <w:t>Weerdt</w:t>
      </w:r>
      <w:proofErr w:type="spellEnd"/>
      <w:r w:rsidRPr="00AB50F9">
        <w:rPr>
          <w:rFonts w:eastAsia="Calibri"/>
          <w:sz w:val="22"/>
          <w:szCs w:val="22"/>
        </w:rPr>
        <w:t xml:space="preserve">, J, Beegle, K, Friedman, J, Gibson, J. 2016. </w:t>
      </w:r>
      <w:proofErr w:type="gramStart"/>
      <w:r w:rsidRPr="00AB50F9">
        <w:rPr>
          <w:rFonts w:eastAsia="Calibri"/>
          <w:sz w:val="22"/>
          <w:szCs w:val="22"/>
        </w:rPr>
        <w:t>The challenge of measuring hunger through survey.</w:t>
      </w:r>
      <w:proofErr w:type="gramEnd"/>
      <w:r w:rsidRPr="00AB50F9">
        <w:rPr>
          <w:rFonts w:eastAsia="Calibri"/>
          <w:sz w:val="22"/>
          <w:szCs w:val="22"/>
        </w:rPr>
        <w:t> </w:t>
      </w:r>
      <w:r w:rsidRPr="00AB50F9">
        <w:rPr>
          <w:rFonts w:eastAsia="Calibri"/>
          <w:i/>
          <w:iCs/>
          <w:sz w:val="22"/>
          <w:szCs w:val="22"/>
        </w:rPr>
        <w:t xml:space="preserve">Economic Development and Cultural Change </w:t>
      </w:r>
      <w:r w:rsidR="00534CD8" w:rsidRPr="00AB50F9">
        <w:rPr>
          <w:sz w:val="22"/>
          <w:szCs w:val="22"/>
        </w:rPr>
        <w:t>64(4): 727-758.</w:t>
      </w:r>
    </w:p>
    <w:p w:rsidR="00880F3C" w:rsidRPr="00AB50F9" w:rsidRDefault="00880F3C" w:rsidP="001E3813">
      <w:pPr>
        <w:suppressLineNumbers/>
        <w:spacing w:after="200" w:line="240" w:lineRule="auto"/>
        <w:ind w:left="425" w:hanging="425"/>
        <w:jc w:val="both"/>
        <w:rPr>
          <w:rFonts w:eastAsia="Calibri"/>
          <w:sz w:val="22"/>
          <w:szCs w:val="22"/>
          <w:lang w:val="en-GB"/>
        </w:rPr>
      </w:pPr>
      <w:proofErr w:type="spellStart"/>
      <w:proofErr w:type="gramStart"/>
      <w:r w:rsidRPr="00AB50F9">
        <w:rPr>
          <w:rFonts w:eastAsia="Batang"/>
          <w:sz w:val="22"/>
          <w:szCs w:val="22"/>
          <w:lang w:eastAsia="ko-KR"/>
        </w:rPr>
        <w:t>Dupriez</w:t>
      </w:r>
      <w:proofErr w:type="spellEnd"/>
      <w:r w:rsidRPr="00AB50F9">
        <w:rPr>
          <w:rFonts w:eastAsia="Batang"/>
          <w:sz w:val="22"/>
          <w:szCs w:val="22"/>
          <w:lang w:eastAsia="ko-KR"/>
        </w:rPr>
        <w:t xml:space="preserve">, O, Smith, L, </w:t>
      </w:r>
      <w:proofErr w:type="spellStart"/>
      <w:r w:rsidRPr="00AB50F9">
        <w:rPr>
          <w:rFonts w:eastAsia="Batang"/>
          <w:sz w:val="22"/>
          <w:szCs w:val="22"/>
          <w:lang w:eastAsia="ko-KR"/>
        </w:rPr>
        <w:t>Troubat</w:t>
      </w:r>
      <w:proofErr w:type="spellEnd"/>
      <w:r w:rsidRPr="00AB50F9">
        <w:rPr>
          <w:rFonts w:eastAsia="Batang"/>
          <w:sz w:val="22"/>
          <w:szCs w:val="22"/>
          <w:lang w:eastAsia="ko-KR"/>
        </w:rPr>
        <w:t>, N. 2014.</w:t>
      </w:r>
      <w:proofErr w:type="gramEnd"/>
      <w:r w:rsidRPr="00AB50F9">
        <w:rPr>
          <w:rFonts w:eastAsia="Batang"/>
          <w:sz w:val="22"/>
          <w:szCs w:val="22"/>
          <w:lang w:eastAsia="ko-KR"/>
        </w:rPr>
        <w:t xml:space="preserve"> </w:t>
      </w:r>
      <w:r w:rsidRPr="00AB50F9">
        <w:rPr>
          <w:rFonts w:eastAsia="Batang"/>
          <w:i/>
          <w:sz w:val="22"/>
          <w:szCs w:val="22"/>
          <w:lang w:eastAsia="ko-KR"/>
        </w:rPr>
        <w:t>Assessment of the Reliability and Relevance of the Food Data Collected in National Household Consumption and Expenditure Surveys</w:t>
      </w:r>
      <w:r w:rsidRPr="00AB50F9">
        <w:rPr>
          <w:rFonts w:eastAsia="Batang"/>
          <w:sz w:val="22"/>
          <w:szCs w:val="22"/>
          <w:lang w:eastAsia="ko-KR"/>
        </w:rPr>
        <w:t xml:space="preserve">. FAO, IHSN and World Bank accessed 6 April 2014: </w:t>
      </w:r>
      <w:hyperlink r:id="rId66" w:history="1">
        <w:r w:rsidRPr="00AB50F9">
          <w:rPr>
            <w:rFonts w:eastAsia="Batang"/>
            <w:color w:val="0000FF"/>
            <w:sz w:val="22"/>
            <w:szCs w:val="22"/>
            <w:u w:val="single"/>
            <w:lang w:eastAsia="ko-KR"/>
          </w:rPr>
          <w:t>http://www.ihsn.org/home/node/34</w:t>
        </w:r>
      </w:hyperlink>
    </w:p>
    <w:p w:rsidR="00F52959" w:rsidRPr="00AB50F9" w:rsidRDefault="00F52959" w:rsidP="001E3813">
      <w:pPr>
        <w:suppressLineNumbers/>
        <w:spacing w:after="200" w:line="240" w:lineRule="auto"/>
        <w:ind w:left="425" w:hanging="425"/>
        <w:jc w:val="both"/>
        <w:rPr>
          <w:rFonts w:eastAsia="Calibri"/>
          <w:sz w:val="22"/>
          <w:szCs w:val="22"/>
          <w:lang w:val="en-GB"/>
        </w:rPr>
      </w:pPr>
      <w:proofErr w:type="gramStart"/>
      <w:r w:rsidRPr="00AB50F9">
        <w:rPr>
          <w:rFonts w:eastAsia="Calibri"/>
          <w:sz w:val="22"/>
          <w:szCs w:val="22"/>
        </w:rPr>
        <w:t xml:space="preserve">Engle-Stone, R, </w:t>
      </w:r>
      <w:proofErr w:type="spellStart"/>
      <w:r w:rsidRPr="00AB50F9">
        <w:rPr>
          <w:rFonts w:eastAsia="Calibri"/>
          <w:sz w:val="22"/>
          <w:szCs w:val="22"/>
        </w:rPr>
        <w:t>Sununtnasuk</w:t>
      </w:r>
      <w:proofErr w:type="spellEnd"/>
      <w:r w:rsidRPr="00AB50F9">
        <w:rPr>
          <w:rFonts w:eastAsia="Calibri"/>
          <w:sz w:val="22"/>
          <w:szCs w:val="22"/>
        </w:rPr>
        <w:t>, C, Fiedler, J. 2016.</w:t>
      </w:r>
      <w:proofErr w:type="gramEnd"/>
      <w:r w:rsidRPr="00AB50F9">
        <w:rPr>
          <w:rFonts w:eastAsia="Calibri"/>
          <w:sz w:val="22"/>
          <w:szCs w:val="22"/>
        </w:rPr>
        <w:t xml:space="preserve"> </w:t>
      </w:r>
      <w:proofErr w:type="gramStart"/>
      <w:r w:rsidRPr="00AB50F9">
        <w:rPr>
          <w:rFonts w:eastAsia="Calibri"/>
          <w:sz w:val="22"/>
          <w:szCs w:val="22"/>
        </w:rPr>
        <w:t>Investigating the Significance of the Data Collection Period of Household Consumption and Expenditures Surveys for Food and Nutrition Policymaking: Analysis of the 2010 Bangladesh Household Income and Expenditure Survey.</w:t>
      </w:r>
      <w:proofErr w:type="gramEnd"/>
      <w:r w:rsidRPr="00AB50F9">
        <w:rPr>
          <w:rFonts w:eastAsia="Calibri"/>
          <w:sz w:val="22"/>
          <w:szCs w:val="22"/>
        </w:rPr>
        <w:t xml:space="preserve"> </w:t>
      </w:r>
      <w:proofErr w:type="gramStart"/>
      <w:r w:rsidRPr="00AB50F9">
        <w:rPr>
          <w:rFonts w:eastAsia="Calibri"/>
          <w:i/>
          <w:sz w:val="22"/>
          <w:szCs w:val="22"/>
        </w:rPr>
        <w:t>Food Policy</w:t>
      </w:r>
      <w:r w:rsidRPr="00AB50F9">
        <w:rPr>
          <w:rFonts w:eastAsia="Calibri"/>
          <w:sz w:val="22"/>
          <w:szCs w:val="22"/>
        </w:rPr>
        <w:t xml:space="preserve"> (forthcoming).</w:t>
      </w:r>
      <w:proofErr w:type="gramEnd"/>
    </w:p>
    <w:p w:rsidR="00A242D3" w:rsidRPr="00AB50F9" w:rsidRDefault="00A242D3" w:rsidP="001E3813">
      <w:pPr>
        <w:suppressLineNumbers/>
        <w:spacing w:after="200" w:line="240" w:lineRule="auto"/>
        <w:ind w:left="425" w:hanging="425"/>
        <w:jc w:val="both"/>
        <w:rPr>
          <w:rFonts w:eastAsia="Calibri"/>
          <w:sz w:val="22"/>
          <w:szCs w:val="22"/>
          <w:lang w:val="en-NZ"/>
        </w:rPr>
      </w:pPr>
      <w:proofErr w:type="gramStart"/>
      <w:r w:rsidRPr="00AB50F9">
        <w:rPr>
          <w:rFonts w:eastAsia="Calibri"/>
          <w:sz w:val="22"/>
          <w:szCs w:val="22"/>
          <w:lang w:val="en-GB"/>
        </w:rPr>
        <w:t>FAO.</w:t>
      </w:r>
      <w:proofErr w:type="gramEnd"/>
      <w:r w:rsidRPr="00AB50F9">
        <w:rPr>
          <w:rFonts w:eastAsia="Calibri"/>
          <w:sz w:val="22"/>
          <w:szCs w:val="22"/>
          <w:lang w:val="en-GB"/>
        </w:rPr>
        <w:t xml:space="preserve"> 2013. </w:t>
      </w:r>
      <w:r w:rsidRPr="00AB50F9">
        <w:rPr>
          <w:rFonts w:eastAsia="Calibri"/>
          <w:i/>
          <w:sz w:val="22"/>
          <w:szCs w:val="22"/>
          <w:lang w:val="en-GB"/>
        </w:rPr>
        <w:t xml:space="preserve">The State of Food Insecurity in the World: </w:t>
      </w:r>
      <w:r w:rsidRPr="00AB50F9">
        <w:rPr>
          <w:rFonts w:eastAsia="Calibri"/>
          <w:i/>
          <w:sz w:val="22"/>
          <w:szCs w:val="22"/>
          <w:lang w:val="en-NZ"/>
        </w:rPr>
        <w:t>The Multiple Dimensions of Food Security.</w:t>
      </w:r>
      <w:r w:rsidRPr="00AB50F9">
        <w:rPr>
          <w:rFonts w:eastAsia="Calibri"/>
          <w:sz w:val="22"/>
          <w:szCs w:val="22"/>
          <w:lang w:val="en-NZ"/>
        </w:rPr>
        <w:t xml:space="preserve"> </w:t>
      </w:r>
      <w:r w:rsidRPr="00AB50F9">
        <w:rPr>
          <w:rFonts w:eastAsia="Calibri"/>
          <w:sz w:val="22"/>
          <w:szCs w:val="22"/>
          <w:lang w:val="en-GB"/>
        </w:rPr>
        <w:t>Rome: Food and Agriculture Organization of the United Nations.</w:t>
      </w:r>
    </w:p>
    <w:p w:rsidR="008F2E8D" w:rsidRPr="00AB50F9" w:rsidRDefault="008F2E8D" w:rsidP="001E3813">
      <w:pPr>
        <w:suppressLineNumbers/>
        <w:spacing w:after="200" w:line="240" w:lineRule="auto"/>
        <w:ind w:left="425" w:hanging="425"/>
        <w:jc w:val="both"/>
        <w:rPr>
          <w:rFonts w:eastAsia="Calibri"/>
          <w:sz w:val="22"/>
          <w:szCs w:val="22"/>
          <w:lang w:val="en-GB"/>
        </w:rPr>
      </w:pPr>
      <w:r w:rsidRPr="00AB50F9">
        <w:rPr>
          <w:rFonts w:eastAsia="Calibri"/>
          <w:sz w:val="22"/>
          <w:szCs w:val="22"/>
          <w:lang w:val="en-GB"/>
        </w:rPr>
        <w:t xml:space="preserve">Fiedler J, </w:t>
      </w:r>
      <w:proofErr w:type="spellStart"/>
      <w:r w:rsidRPr="00AB50F9">
        <w:rPr>
          <w:rFonts w:eastAsia="Calibri"/>
          <w:sz w:val="22"/>
          <w:szCs w:val="22"/>
          <w:lang w:val="en-GB"/>
        </w:rPr>
        <w:t>Lividini</w:t>
      </w:r>
      <w:proofErr w:type="spellEnd"/>
      <w:r w:rsidRPr="00AB50F9">
        <w:rPr>
          <w:rFonts w:eastAsia="Calibri"/>
          <w:sz w:val="22"/>
          <w:szCs w:val="22"/>
          <w:lang w:val="en-GB"/>
        </w:rPr>
        <w:t xml:space="preserve"> K, Bermudez O, </w:t>
      </w:r>
      <w:proofErr w:type="spellStart"/>
      <w:r w:rsidRPr="00AB50F9">
        <w:rPr>
          <w:rFonts w:eastAsia="Calibri"/>
          <w:sz w:val="22"/>
          <w:szCs w:val="22"/>
          <w:lang w:val="en-GB"/>
        </w:rPr>
        <w:t>Smitz</w:t>
      </w:r>
      <w:proofErr w:type="spellEnd"/>
      <w:r w:rsidRPr="00AB50F9">
        <w:rPr>
          <w:rFonts w:eastAsia="Calibri"/>
          <w:sz w:val="22"/>
          <w:szCs w:val="22"/>
          <w:lang w:val="en-GB"/>
        </w:rPr>
        <w:t xml:space="preserve"> M. 2012. Household Consumption and Expenditures surveys (HCES): a Primer for Food and Nutrition Analysts. </w:t>
      </w:r>
      <w:r w:rsidRPr="00AB50F9">
        <w:rPr>
          <w:rFonts w:eastAsia="Calibri"/>
          <w:i/>
          <w:sz w:val="22"/>
          <w:szCs w:val="22"/>
          <w:lang w:val="en-GB"/>
        </w:rPr>
        <w:t xml:space="preserve">Food and Nutrition Bulletin </w:t>
      </w:r>
      <w:r w:rsidRPr="00AB50F9">
        <w:rPr>
          <w:rFonts w:eastAsia="Calibri"/>
          <w:sz w:val="22"/>
          <w:szCs w:val="22"/>
          <w:lang w:val="en-GB"/>
        </w:rPr>
        <w:t>33(3): S235-S241.</w:t>
      </w:r>
    </w:p>
    <w:p w:rsidR="00871FA9" w:rsidRPr="00AB50F9" w:rsidRDefault="008F2E8D" w:rsidP="001E3813">
      <w:pPr>
        <w:suppressLineNumbers/>
        <w:spacing w:after="200" w:line="240" w:lineRule="auto"/>
        <w:ind w:left="425" w:hanging="425"/>
        <w:jc w:val="both"/>
        <w:rPr>
          <w:rFonts w:eastAsia="Calibri"/>
          <w:sz w:val="22"/>
          <w:szCs w:val="22"/>
          <w:lang w:val="en-GB"/>
        </w:rPr>
      </w:pPr>
      <w:r w:rsidRPr="00AB50F9">
        <w:rPr>
          <w:rFonts w:eastAsia="Calibri"/>
          <w:sz w:val="22"/>
          <w:szCs w:val="22"/>
          <w:lang w:val="en-GB"/>
        </w:rPr>
        <w:t xml:space="preserve">Fiedler J. 2013. Towards Overcoming the Food Consumption Information Gap: Strengthening Household Consumption and Information Surveys for Food and Nutrition Policymaking. </w:t>
      </w:r>
      <w:r w:rsidRPr="00AB50F9">
        <w:rPr>
          <w:rFonts w:eastAsia="Calibri"/>
          <w:i/>
          <w:sz w:val="22"/>
          <w:szCs w:val="22"/>
          <w:lang w:val="en-GB"/>
        </w:rPr>
        <w:t>Global Food Security</w:t>
      </w:r>
      <w:r w:rsidRPr="00AB50F9">
        <w:rPr>
          <w:rFonts w:eastAsia="Calibri"/>
          <w:sz w:val="22"/>
          <w:szCs w:val="22"/>
          <w:lang w:val="en-GB"/>
        </w:rPr>
        <w:t xml:space="preserve"> 2</w:t>
      </w:r>
      <w:r w:rsidR="00FA0370" w:rsidRPr="00AB50F9">
        <w:rPr>
          <w:rFonts w:eastAsia="Calibri"/>
          <w:sz w:val="22"/>
          <w:szCs w:val="22"/>
          <w:lang w:val="en-GB"/>
        </w:rPr>
        <w:t>(1)</w:t>
      </w:r>
      <w:r w:rsidRPr="00AB50F9">
        <w:rPr>
          <w:rFonts w:eastAsia="Calibri"/>
          <w:sz w:val="22"/>
          <w:szCs w:val="22"/>
          <w:lang w:val="en-GB"/>
        </w:rPr>
        <w:t>: 56-63.</w:t>
      </w:r>
    </w:p>
    <w:p w:rsidR="00F332A4" w:rsidRPr="00AB50F9" w:rsidRDefault="00F332A4" w:rsidP="001E3813">
      <w:pPr>
        <w:suppressLineNumbers/>
        <w:spacing w:after="200" w:line="240" w:lineRule="auto"/>
        <w:ind w:left="425" w:hanging="425"/>
        <w:jc w:val="both"/>
        <w:rPr>
          <w:rFonts w:eastAsia="Calibri"/>
          <w:sz w:val="22"/>
          <w:szCs w:val="22"/>
          <w:lang w:val="en-GB"/>
        </w:rPr>
      </w:pPr>
      <w:proofErr w:type="gramStart"/>
      <w:r w:rsidRPr="00AB50F9">
        <w:rPr>
          <w:rFonts w:eastAsia="Calibri"/>
          <w:sz w:val="22"/>
          <w:szCs w:val="22"/>
          <w:lang w:val="en-GB"/>
        </w:rPr>
        <w:t>Fuller, W. 1987.</w:t>
      </w:r>
      <w:proofErr w:type="gramEnd"/>
      <w:r w:rsidRPr="00AB50F9">
        <w:rPr>
          <w:rFonts w:eastAsia="Calibri"/>
          <w:sz w:val="22"/>
          <w:szCs w:val="22"/>
          <w:lang w:val="en-GB"/>
        </w:rPr>
        <w:t xml:space="preserve"> </w:t>
      </w:r>
      <w:r w:rsidRPr="00AB50F9">
        <w:rPr>
          <w:i/>
          <w:iCs/>
          <w:sz w:val="22"/>
          <w:szCs w:val="22"/>
        </w:rPr>
        <w:t>Measurement Error Models</w:t>
      </w:r>
      <w:r w:rsidRPr="00AB50F9">
        <w:rPr>
          <w:iCs/>
          <w:sz w:val="22"/>
          <w:szCs w:val="22"/>
        </w:rPr>
        <w:t xml:space="preserve"> John Wiley and Sons: New York.</w:t>
      </w:r>
    </w:p>
    <w:p w:rsidR="00511134" w:rsidRPr="00AB50F9" w:rsidRDefault="00511134" w:rsidP="001E3813">
      <w:pPr>
        <w:suppressLineNumbers/>
        <w:spacing w:after="200" w:line="240" w:lineRule="auto"/>
        <w:ind w:left="425" w:hanging="425"/>
        <w:jc w:val="both"/>
        <w:rPr>
          <w:rFonts w:eastAsia="Calibri"/>
          <w:sz w:val="22"/>
          <w:szCs w:val="22"/>
          <w:lang w:val="en-GB"/>
        </w:rPr>
      </w:pPr>
      <w:r w:rsidRPr="00AB50F9">
        <w:rPr>
          <w:rFonts w:eastAsia="Calibri"/>
          <w:sz w:val="22"/>
          <w:szCs w:val="22"/>
        </w:rPr>
        <w:t xml:space="preserve">Gibson, J. 2001. </w:t>
      </w:r>
      <w:proofErr w:type="gramStart"/>
      <w:r w:rsidRPr="00AB50F9">
        <w:rPr>
          <w:rFonts w:eastAsia="Calibri"/>
          <w:sz w:val="22"/>
          <w:szCs w:val="22"/>
        </w:rPr>
        <w:t>Measuring chronic poverty without a panel.</w:t>
      </w:r>
      <w:proofErr w:type="gramEnd"/>
      <w:r w:rsidRPr="00AB50F9">
        <w:rPr>
          <w:rFonts w:eastAsia="Calibri"/>
          <w:sz w:val="22"/>
          <w:szCs w:val="22"/>
        </w:rPr>
        <w:t> </w:t>
      </w:r>
      <w:r w:rsidRPr="00AB50F9">
        <w:rPr>
          <w:rFonts w:eastAsia="Calibri"/>
          <w:i/>
          <w:iCs/>
          <w:sz w:val="22"/>
          <w:szCs w:val="22"/>
        </w:rPr>
        <w:t xml:space="preserve">Journal of Development Economics </w:t>
      </w:r>
      <w:r w:rsidRPr="00AB50F9">
        <w:rPr>
          <w:rFonts w:eastAsia="Calibri"/>
          <w:iCs/>
          <w:sz w:val="22"/>
          <w:szCs w:val="22"/>
        </w:rPr>
        <w:t>65</w:t>
      </w:r>
      <w:r w:rsidRPr="00AB50F9">
        <w:rPr>
          <w:rFonts w:eastAsia="Calibri"/>
          <w:sz w:val="22"/>
          <w:szCs w:val="22"/>
        </w:rPr>
        <w:t>(2): 243-266.</w:t>
      </w:r>
    </w:p>
    <w:p w:rsidR="00D01AB1" w:rsidRPr="00AB50F9" w:rsidRDefault="00511134" w:rsidP="001E3813">
      <w:pPr>
        <w:suppressLineNumbers/>
        <w:spacing w:after="200" w:line="240" w:lineRule="auto"/>
        <w:ind w:left="425" w:hanging="425"/>
        <w:jc w:val="both"/>
        <w:rPr>
          <w:rFonts w:eastAsia="Calibri"/>
          <w:sz w:val="22"/>
          <w:szCs w:val="22"/>
        </w:rPr>
      </w:pPr>
      <w:r w:rsidRPr="00AB50F9">
        <w:rPr>
          <w:rFonts w:eastAsia="Calibri"/>
          <w:sz w:val="22"/>
          <w:szCs w:val="22"/>
        </w:rPr>
        <w:t xml:space="preserve">Gibson, J, Huang, J, </w:t>
      </w:r>
      <w:proofErr w:type="spellStart"/>
      <w:r w:rsidRPr="00AB50F9">
        <w:rPr>
          <w:rFonts w:eastAsia="Calibri"/>
          <w:sz w:val="22"/>
          <w:szCs w:val="22"/>
        </w:rPr>
        <w:t>Rozelle</w:t>
      </w:r>
      <w:proofErr w:type="spellEnd"/>
      <w:r w:rsidRPr="00AB50F9">
        <w:rPr>
          <w:rFonts w:eastAsia="Calibri"/>
          <w:sz w:val="22"/>
          <w:szCs w:val="22"/>
        </w:rPr>
        <w:t xml:space="preserve">, S. 2003. </w:t>
      </w:r>
      <w:proofErr w:type="gramStart"/>
      <w:r w:rsidRPr="00AB50F9">
        <w:rPr>
          <w:rFonts w:eastAsia="Calibri"/>
          <w:sz w:val="22"/>
          <w:szCs w:val="22"/>
        </w:rPr>
        <w:t>Improving estimates of inequality and poverty from urban China's household income and expenditure survey.</w:t>
      </w:r>
      <w:proofErr w:type="gramEnd"/>
      <w:r w:rsidRPr="00AB50F9">
        <w:rPr>
          <w:rFonts w:eastAsia="Calibri"/>
          <w:sz w:val="22"/>
          <w:szCs w:val="22"/>
        </w:rPr>
        <w:t xml:space="preserve"> </w:t>
      </w:r>
      <w:r w:rsidRPr="00AB50F9">
        <w:rPr>
          <w:rFonts w:eastAsia="Calibri"/>
          <w:i/>
          <w:iCs/>
          <w:sz w:val="22"/>
          <w:szCs w:val="22"/>
        </w:rPr>
        <w:t>Review of Income and Wealth</w:t>
      </w:r>
      <w:r w:rsidRPr="00AB50F9">
        <w:rPr>
          <w:rFonts w:eastAsia="Calibri"/>
          <w:sz w:val="22"/>
          <w:szCs w:val="22"/>
        </w:rPr>
        <w:t> </w:t>
      </w:r>
      <w:r w:rsidRPr="00AB50F9">
        <w:rPr>
          <w:rFonts w:eastAsia="Calibri"/>
          <w:iCs/>
          <w:sz w:val="22"/>
          <w:szCs w:val="22"/>
        </w:rPr>
        <w:t>49</w:t>
      </w:r>
      <w:r w:rsidRPr="00AB50F9">
        <w:rPr>
          <w:rFonts w:eastAsia="Calibri"/>
          <w:sz w:val="22"/>
          <w:szCs w:val="22"/>
        </w:rPr>
        <w:t>(1): 53-68.</w:t>
      </w:r>
    </w:p>
    <w:p w:rsidR="00D01AB1" w:rsidRPr="00AB50F9" w:rsidRDefault="00D01AB1" w:rsidP="001E3813">
      <w:pPr>
        <w:suppressLineNumbers/>
        <w:spacing w:after="200" w:line="240" w:lineRule="auto"/>
        <w:ind w:left="425" w:hanging="425"/>
        <w:jc w:val="both"/>
        <w:rPr>
          <w:rFonts w:eastAsia="Calibri"/>
          <w:sz w:val="22"/>
          <w:szCs w:val="22"/>
        </w:rPr>
      </w:pPr>
      <w:r w:rsidRPr="00AB50F9">
        <w:rPr>
          <w:iCs/>
          <w:sz w:val="22"/>
          <w:szCs w:val="22"/>
          <w:lang w:bidi="en-US"/>
        </w:rPr>
        <w:t xml:space="preserve">Gibson, J, Kim, B. 2013. How reliable are household expenditures as a proxy for permanent income? </w:t>
      </w:r>
      <w:proofErr w:type="gramStart"/>
      <w:r w:rsidRPr="00AB50F9">
        <w:rPr>
          <w:iCs/>
          <w:sz w:val="22"/>
          <w:szCs w:val="22"/>
          <w:lang w:bidi="en-US"/>
        </w:rPr>
        <w:t>Implications for the income–nutrition relationship.</w:t>
      </w:r>
      <w:proofErr w:type="gramEnd"/>
      <w:r w:rsidRPr="00AB50F9">
        <w:rPr>
          <w:iCs/>
          <w:sz w:val="22"/>
          <w:szCs w:val="22"/>
          <w:lang w:bidi="en-US"/>
        </w:rPr>
        <w:t> </w:t>
      </w:r>
      <w:r w:rsidRPr="00AB50F9">
        <w:rPr>
          <w:i/>
          <w:iCs/>
          <w:sz w:val="22"/>
          <w:szCs w:val="22"/>
          <w:lang w:bidi="en-US"/>
        </w:rPr>
        <w:t>Economics Letters</w:t>
      </w:r>
      <w:r w:rsidRPr="00AB50F9">
        <w:rPr>
          <w:iCs/>
          <w:sz w:val="22"/>
          <w:szCs w:val="22"/>
          <w:lang w:bidi="en-US"/>
        </w:rPr>
        <w:t> 118(1): 23-25.</w:t>
      </w:r>
    </w:p>
    <w:p w:rsidR="00947E26" w:rsidRPr="00AB50F9" w:rsidRDefault="00947E26" w:rsidP="001E3813">
      <w:pPr>
        <w:suppressLineNumbers/>
        <w:spacing w:after="200" w:line="240" w:lineRule="auto"/>
        <w:ind w:left="425" w:hanging="425"/>
        <w:jc w:val="both"/>
        <w:rPr>
          <w:rFonts w:eastAsia="Calibri"/>
          <w:sz w:val="22"/>
          <w:szCs w:val="22"/>
        </w:rPr>
      </w:pPr>
      <w:r w:rsidRPr="00AB50F9">
        <w:rPr>
          <w:rFonts w:eastAsia="Calibri"/>
          <w:sz w:val="22"/>
          <w:szCs w:val="22"/>
        </w:rPr>
        <w:t xml:space="preserve">Halliday, T. 2010. </w:t>
      </w:r>
      <w:proofErr w:type="spellStart"/>
      <w:proofErr w:type="gramStart"/>
      <w:r w:rsidRPr="00AB50F9">
        <w:rPr>
          <w:rFonts w:eastAsia="Calibri"/>
          <w:sz w:val="22"/>
          <w:szCs w:val="22"/>
        </w:rPr>
        <w:t>Mismeasured</w:t>
      </w:r>
      <w:proofErr w:type="spellEnd"/>
      <w:r w:rsidRPr="00AB50F9">
        <w:rPr>
          <w:rFonts w:eastAsia="Calibri"/>
          <w:sz w:val="22"/>
          <w:szCs w:val="22"/>
        </w:rPr>
        <w:t xml:space="preserve"> Household Size and its Implications for the Identification of Economies of Scale.</w:t>
      </w:r>
      <w:proofErr w:type="gramEnd"/>
      <w:r w:rsidRPr="00AB50F9">
        <w:rPr>
          <w:rFonts w:eastAsia="Calibri"/>
          <w:sz w:val="22"/>
          <w:szCs w:val="22"/>
        </w:rPr>
        <w:t> </w:t>
      </w:r>
      <w:r w:rsidRPr="00AB50F9">
        <w:rPr>
          <w:rFonts w:eastAsia="Calibri"/>
          <w:i/>
          <w:iCs/>
          <w:sz w:val="22"/>
          <w:szCs w:val="22"/>
        </w:rPr>
        <w:t>Oxford Bulletin of Economics and Statistics</w:t>
      </w:r>
      <w:r w:rsidRPr="00AB50F9">
        <w:rPr>
          <w:rFonts w:eastAsia="Calibri"/>
          <w:sz w:val="22"/>
          <w:szCs w:val="22"/>
        </w:rPr>
        <w:t> </w:t>
      </w:r>
      <w:r w:rsidRPr="00AB50F9">
        <w:rPr>
          <w:rFonts w:eastAsia="Calibri"/>
          <w:iCs/>
          <w:sz w:val="22"/>
          <w:szCs w:val="22"/>
        </w:rPr>
        <w:t>72</w:t>
      </w:r>
      <w:r w:rsidRPr="00AB50F9">
        <w:rPr>
          <w:rFonts w:eastAsia="Calibri"/>
          <w:sz w:val="22"/>
          <w:szCs w:val="22"/>
        </w:rPr>
        <w:t>(2): 246-262.</w:t>
      </w:r>
    </w:p>
    <w:p w:rsidR="005169D7" w:rsidRPr="00AB50F9" w:rsidRDefault="005169D7" w:rsidP="001E3813">
      <w:pPr>
        <w:suppressLineNumbers/>
        <w:spacing w:after="200" w:line="240" w:lineRule="auto"/>
        <w:ind w:left="425" w:hanging="425"/>
        <w:jc w:val="both"/>
        <w:rPr>
          <w:rFonts w:eastAsia="Calibri"/>
          <w:sz w:val="22"/>
          <w:szCs w:val="22"/>
          <w:lang w:val="en-GB"/>
        </w:rPr>
      </w:pPr>
      <w:proofErr w:type="spellStart"/>
      <w:r w:rsidRPr="00AB50F9">
        <w:rPr>
          <w:rFonts w:eastAsia="Calibri"/>
          <w:sz w:val="22"/>
          <w:szCs w:val="22"/>
        </w:rPr>
        <w:t>Jalan</w:t>
      </w:r>
      <w:proofErr w:type="spellEnd"/>
      <w:r w:rsidRPr="00AB50F9">
        <w:rPr>
          <w:rFonts w:eastAsia="Calibri"/>
          <w:sz w:val="22"/>
          <w:szCs w:val="22"/>
        </w:rPr>
        <w:t xml:space="preserve">, J, </w:t>
      </w:r>
      <w:proofErr w:type="spellStart"/>
      <w:r w:rsidRPr="00AB50F9">
        <w:rPr>
          <w:rFonts w:eastAsia="Calibri"/>
          <w:sz w:val="22"/>
          <w:szCs w:val="22"/>
        </w:rPr>
        <w:t>Ravallion</w:t>
      </w:r>
      <w:proofErr w:type="spellEnd"/>
      <w:r w:rsidRPr="00AB50F9">
        <w:rPr>
          <w:rFonts w:eastAsia="Calibri"/>
          <w:sz w:val="22"/>
          <w:szCs w:val="22"/>
        </w:rPr>
        <w:t xml:space="preserve">, M. 1998. </w:t>
      </w:r>
      <w:proofErr w:type="gramStart"/>
      <w:r w:rsidRPr="00AB50F9">
        <w:rPr>
          <w:rFonts w:eastAsia="Calibri"/>
          <w:sz w:val="22"/>
          <w:szCs w:val="22"/>
        </w:rPr>
        <w:t>Transient poverty in post</w:t>
      </w:r>
      <w:r w:rsidR="001A729E" w:rsidRPr="00AB50F9">
        <w:rPr>
          <w:rFonts w:eastAsia="Calibri"/>
          <w:sz w:val="22"/>
          <w:szCs w:val="22"/>
        </w:rPr>
        <w:t>-</w:t>
      </w:r>
      <w:r w:rsidRPr="00AB50F9">
        <w:rPr>
          <w:rFonts w:eastAsia="Calibri"/>
          <w:sz w:val="22"/>
          <w:szCs w:val="22"/>
        </w:rPr>
        <w:t>reform rural China.</w:t>
      </w:r>
      <w:proofErr w:type="gramEnd"/>
      <w:r w:rsidRPr="00AB50F9">
        <w:rPr>
          <w:rFonts w:eastAsia="Calibri"/>
          <w:sz w:val="22"/>
          <w:szCs w:val="22"/>
        </w:rPr>
        <w:t xml:space="preserve"> </w:t>
      </w:r>
      <w:r w:rsidRPr="00AB50F9">
        <w:rPr>
          <w:rFonts w:eastAsia="Calibri"/>
          <w:i/>
          <w:iCs/>
          <w:sz w:val="22"/>
          <w:szCs w:val="22"/>
        </w:rPr>
        <w:t>Journal of Comparative Economics</w:t>
      </w:r>
      <w:r w:rsidRPr="00AB50F9">
        <w:rPr>
          <w:rFonts w:eastAsia="Calibri"/>
          <w:sz w:val="22"/>
          <w:szCs w:val="22"/>
        </w:rPr>
        <w:t> </w:t>
      </w:r>
      <w:r w:rsidRPr="00AB50F9">
        <w:rPr>
          <w:rFonts w:eastAsia="Calibri"/>
          <w:iCs/>
          <w:sz w:val="22"/>
          <w:szCs w:val="22"/>
        </w:rPr>
        <w:t>26</w:t>
      </w:r>
      <w:r w:rsidRPr="00AB50F9">
        <w:rPr>
          <w:rFonts w:eastAsia="Calibri"/>
          <w:sz w:val="22"/>
          <w:szCs w:val="22"/>
        </w:rPr>
        <w:t>(2): 338-357.</w:t>
      </w:r>
    </w:p>
    <w:p w:rsidR="008F2E8D" w:rsidRPr="00AB50F9" w:rsidRDefault="00511134" w:rsidP="001E3813">
      <w:pPr>
        <w:suppressLineNumbers/>
        <w:spacing w:after="200" w:line="240" w:lineRule="auto"/>
        <w:ind w:left="425" w:hanging="425"/>
        <w:jc w:val="both"/>
        <w:rPr>
          <w:rFonts w:eastAsia="Calibri"/>
          <w:sz w:val="22"/>
          <w:szCs w:val="22"/>
        </w:rPr>
      </w:pPr>
      <w:r w:rsidRPr="00AB50F9">
        <w:rPr>
          <w:rFonts w:eastAsia="Calibri"/>
          <w:sz w:val="22"/>
          <w:szCs w:val="22"/>
        </w:rPr>
        <w:t>McKenzie, D. 2012</w:t>
      </w:r>
      <w:r w:rsidR="008F2E8D" w:rsidRPr="00AB50F9">
        <w:rPr>
          <w:rFonts w:eastAsia="Calibri"/>
          <w:sz w:val="22"/>
          <w:szCs w:val="22"/>
        </w:rPr>
        <w:t>. Beyond baseline and follow-up: The case for more T in</w:t>
      </w:r>
      <w:r w:rsidRPr="00AB50F9">
        <w:rPr>
          <w:rFonts w:eastAsia="Calibri"/>
          <w:sz w:val="22"/>
          <w:szCs w:val="22"/>
        </w:rPr>
        <w:t xml:space="preserve"> experiments.  </w:t>
      </w:r>
      <w:r w:rsidR="008F2E8D" w:rsidRPr="00AB50F9">
        <w:rPr>
          <w:rFonts w:eastAsia="Calibri"/>
          <w:i/>
          <w:iCs/>
          <w:sz w:val="22"/>
          <w:szCs w:val="22"/>
        </w:rPr>
        <w:t>Journal of Development Economics</w:t>
      </w:r>
      <w:r w:rsidR="008F2E8D" w:rsidRPr="00AB50F9">
        <w:rPr>
          <w:rFonts w:eastAsia="Calibri"/>
          <w:sz w:val="22"/>
          <w:szCs w:val="22"/>
        </w:rPr>
        <w:t> </w:t>
      </w:r>
      <w:r w:rsidR="008F2E8D" w:rsidRPr="00AB50F9">
        <w:rPr>
          <w:rFonts w:eastAsia="Calibri"/>
          <w:iCs/>
          <w:sz w:val="22"/>
          <w:szCs w:val="22"/>
        </w:rPr>
        <w:t>99</w:t>
      </w:r>
      <w:r w:rsidRPr="00AB50F9">
        <w:rPr>
          <w:rFonts w:eastAsia="Calibri"/>
          <w:sz w:val="22"/>
          <w:szCs w:val="22"/>
        </w:rPr>
        <w:t>(2):</w:t>
      </w:r>
      <w:r w:rsidR="008F2E8D" w:rsidRPr="00AB50F9">
        <w:rPr>
          <w:rFonts w:eastAsia="Calibri"/>
          <w:sz w:val="22"/>
          <w:szCs w:val="22"/>
        </w:rPr>
        <w:t xml:space="preserve"> 210-221.</w:t>
      </w:r>
    </w:p>
    <w:p w:rsidR="00E03293" w:rsidRPr="00AB50F9" w:rsidRDefault="00E03293" w:rsidP="001E3813">
      <w:pPr>
        <w:suppressLineNumbers/>
        <w:spacing w:after="200" w:line="240" w:lineRule="auto"/>
        <w:ind w:left="425" w:hanging="425"/>
        <w:jc w:val="both"/>
        <w:rPr>
          <w:rFonts w:eastAsia="Calibri"/>
          <w:sz w:val="22"/>
          <w:szCs w:val="22"/>
          <w:lang w:val="en-GB"/>
        </w:rPr>
      </w:pPr>
      <w:r w:rsidRPr="00AB50F9">
        <w:rPr>
          <w:sz w:val="22"/>
          <w:szCs w:val="22"/>
          <w:lang w:val="en-NZ"/>
        </w:rPr>
        <w:t xml:space="preserve">McKay, A., Lawson, D. 2003. </w:t>
      </w:r>
      <w:proofErr w:type="gramStart"/>
      <w:r w:rsidRPr="00AB50F9">
        <w:rPr>
          <w:sz w:val="22"/>
          <w:szCs w:val="22"/>
          <w:lang w:val="en-NZ"/>
        </w:rPr>
        <w:t>Assessing the extent and nature of chronic and transient poverty in low income countries: issues and evidence.</w:t>
      </w:r>
      <w:proofErr w:type="gramEnd"/>
      <w:r w:rsidRPr="00AB50F9">
        <w:rPr>
          <w:sz w:val="22"/>
          <w:szCs w:val="22"/>
          <w:lang w:val="en-NZ"/>
        </w:rPr>
        <w:t xml:space="preserve"> </w:t>
      </w:r>
      <w:r w:rsidRPr="00AB50F9">
        <w:rPr>
          <w:i/>
          <w:sz w:val="22"/>
          <w:szCs w:val="22"/>
          <w:lang w:val="en-NZ"/>
        </w:rPr>
        <w:t xml:space="preserve">World Development </w:t>
      </w:r>
      <w:r w:rsidRPr="00AB50F9">
        <w:rPr>
          <w:sz w:val="22"/>
          <w:szCs w:val="22"/>
          <w:lang w:val="en-NZ"/>
        </w:rPr>
        <w:t>31(3): 425-439.</w:t>
      </w:r>
    </w:p>
    <w:p w:rsidR="00320544" w:rsidRPr="00AB50F9" w:rsidRDefault="00320544" w:rsidP="001E3813">
      <w:pPr>
        <w:suppressLineNumbers/>
        <w:spacing w:after="200" w:line="240" w:lineRule="auto"/>
        <w:ind w:left="425" w:hanging="425"/>
        <w:jc w:val="both"/>
        <w:rPr>
          <w:rFonts w:eastAsia="Calibri"/>
          <w:sz w:val="22"/>
          <w:szCs w:val="22"/>
          <w:lang w:val="en-GB"/>
        </w:rPr>
      </w:pPr>
      <w:r w:rsidRPr="00AB50F9">
        <w:rPr>
          <w:rFonts w:eastAsia="Calibri"/>
          <w:sz w:val="22"/>
          <w:szCs w:val="22"/>
        </w:rPr>
        <w:lastRenderedPageBreak/>
        <w:t xml:space="preserve">Maxwell, D. 1996. </w:t>
      </w:r>
      <w:proofErr w:type="gramStart"/>
      <w:r w:rsidRPr="00AB50F9">
        <w:rPr>
          <w:rFonts w:eastAsia="Calibri"/>
          <w:sz w:val="22"/>
          <w:szCs w:val="22"/>
        </w:rPr>
        <w:t xml:space="preserve">Measuring food insecurity: the frequency and severity of </w:t>
      </w:r>
      <w:r w:rsidR="009178F0">
        <w:rPr>
          <w:rFonts w:eastAsia="Calibri"/>
          <w:sz w:val="22"/>
          <w:szCs w:val="22"/>
        </w:rPr>
        <w:t>'</w:t>
      </w:r>
      <w:r w:rsidRPr="00AB50F9">
        <w:rPr>
          <w:rFonts w:eastAsia="Calibri"/>
          <w:sz w:val="22"/>
          <w:szCs w:val="22"/>
        </w:rPr>
        <w:t>coping strategies.</w:t>
      </w:r>
      <w:proofErr w:type="gramEnd"/>
      <w:r w:rsidRPr="00AB50F9">
        <w:rPr>
          <w:rFonts w:eastAsia="Calibri"/>
          <w:sz w:val="22"/>
          <w:szCs w:val="22"/>
        </w:rPr>
        <w:t> </w:t>
      </w:r>
      <w:r w:rsidRPr="00AB50F9">
        <w:rPr>
          <w:rFonts w:eastAsia="Calibri"/>
          <w:i/>
          <w:iCs/>
          <w:sz w:val="22"/>
          <w:szCs w:val="22"/>
        </w:rPr>
        <w:t>Food Policy</w:t>
      </w:r>
      <w:r w:rsidRPr="00AB50F9">
        <w:rPr>
          <w:rFonts w:eastAsia="Calibri"/>
          <w:sz w:val="22"/>
          <w:szCs w:val="22"/>
        </w:rPr>
        <w:t> </w:t>
      </w:r>
      <w:r w:rsidRPr="00AB50F9">
        <w:rPr>
          <w:rFonts w:eastAsia="Calibri"/>
          <w:iCs/>
          <w:sz w:val="22"/>
          <w:szCs w:val="22"/>
        </w:rPr>
        <w:t>21</w:t>
      </w:r>
      <w:r w:rsidRPr="00AB50F9">
        <w:rPr>
          <w:rFonts w:eastAsia="Calibri"/>
          <w:sz w:val="22"/>
          <w:szCs w:val="22"/>
        </w:rPr>
        <w:t>(3): 291-303.</w:t>
      </w:r>
    </w:p>
    <w:p w:rsidR="00320544" w:rsidRPr="00AB50F9" w:rsidRDefault="00320544" w:rsidP="001E3813">
      <w:pPr>
        <w:suppressLineNumbers/>
        <w:spacing w:after="200" w:line="240" w:lineRule="auto"/>
        <w:ind w:left="425" w:hanging="425"/>
        <w:jc w:val="both"/>
        <w:rPr>
          <w:rFonts w:eastAsia="Calibri"/>
          <w:sz w:val="22"/>
          <w:szCs w:val="22"/>
        </w:rPr>
      </w:pPr>
      <w:r w:rsidRPr="00AB50F9">
        <w:rPr>
          <w:rFonts w:eastAsia="Calibri"/>
          <w:sz w:val="22"/>
          <w:szCs w:val="22"/>
        </w:rPr>
        <w:t xml:space="preserve">Maxwell, D, </w:t>
      </w:r>
      <w:proofErr w:type="spellStart"/>
      <w:r w:rsidRPr="00AB50F9">
        <w:rPr>
          <w:rFonts w:eastAsia="Calibri"/>
          <w:sz w:val="22"/>
          <w:szCs w:val="22"/>
        </w:rPr>
        <w:t>Vaitla</w:t>
      </w:r>
      <w:proofErr w:type="spellEnd"/>
      <w:r w:rsidRPr="00AB50F9">
        <w:rPr>
          <w:rFonts w:eastAsia="Calibri"/>
          <w:sz w:val="22"/>
          <w:szCs w:val="22"/>
        </w:rPr>
        <w:t xml:space="preserve">, B, Coates, J. 2014. How do indicators of household food insecurity measure up? </w:t>
      </w:r>
      <w:proofErr w:type="gramStart"/>
      <w:r w:rsidRPr="00AB50F9">
        <w:rPr>
          <w:rFonts w:eastAsia="Calibri"/>
          <w:sz w:val="22"/>
          <w:szCs w:val="22"/>
        </w:rPr>
        <w:t>An empirical comparison from Ethiopia.</w:t>
      </w:r>
      <w:proofErr w:type="gramEnd"/>
      <w:r w:rsidRPr="00AB50F9">
        <w:rPr>
          <w:rFonts w:eastAsia="Calibri"/>
          <w:sz w:val="22"/>
          <w:szCs w:val="22"/>
        </w:rPr>
        <w:t> </w:t>
      </w:r>
      <w:r w:rsidRPr="00AB50F9">
        <w:rPr>
          <w:rFonts w:eastAsia="Calibri"/>
          <w:i/>
          <w:iCs/>
          <w:sz w:val="22"/>
          <w:szCs w:val="22"/>
        </w:rPr>
        <w:t>Food Policy</w:t>
      </w:r>
      <w:r w:rsidRPr="00AB50F9">
        <w:rPr>
          <w:rFonts w:eastAsia="Calibri"/>
          <w:sz w:val="22"/>
          <w:szCs w:val="22"/>
        </w:rPr>
        <w:t> </w:t>
      </w:r>
      <w:r w:rsidRPr="00AB50F9">
        <w:rPr>
          <w:rFonts w:eastAsia="Calibri"/>
          <w:iCs/>
          <w:sz w:val="22"/>
          <w:szCs w:val="22"/>
        </w:rPr>
        <w:t>47</w:t>
      </w:r>
      <w:r w:rsidRPr="00AB50F9">
        <w:rPr>
          <w:rFonts w:eastAsia="Calibri"/>
          <w:sz w:val="22"/>
          <w:szCs w:val="22"/>
        </w:rPr>
        <w:t>(1): 107-116.</w:t>
      </w:r>
    </w:p>
    <w:p w:rsidR="008F2E8D" w:rsidRPr="00AB50F9" w:rsidRDefault="008F2E8D" w:rsidP="001E3813">
      <w:pPr>
        <w:suppressLineNumbers/>
        <w:spacing w:after="200" w:line="240" w:lineRule="auto"/>
        <w:ind w:left="425" w:hanging="425"/>
        <w:jc w:val="both"/>
        <w:rPr>
          <w:rFonts w:eastAsia="Calibri"/>
          <w:sz w:val="22"/>
          <w:szCs w:val="22"/>
          <w:lang w:val="en-GB"/>
        </w:rPr>
      </w:pPr>
      <w:proofErr w:type="spellStart"/>
      <w:r w:rsidRPr="00AB50F9">
        <w:rPr>
          <w:rFonts w:eastAsia="Calibri"/>
          <w:sz w:val="22"/>
          <w:szCs w:val="22"/>
          <w:lang w:val="en-GB"/>
        </w:rPr>
        <w:t>Naiken</w:t>
      </w:r>
      <w:proofErr w:type="spellEnd"/>
      <w:r w:rsidRPr="00AB50F9">
        <w:rPr>
          <w:rFonts w:eastAsia="Calibri"/>
          <w:sz w:val="22"/>
          <w:szCs w:val="22"/>
          <w:lang w:val="en-GB"/>
        </w:rPr>
        <w:t xml:space="preserve"> L. 2007. The Probability Distribution Framework for Estimating the Prevalence of Undernourishment: Exploding the Myth of the Bivariate Distribution. </w:t>
      </w:r>
      <w:proofErr w:type="gramStart"/>
      <w:r w:rsidR="00511134" w:rsidRPr="00AB50F9">
        <w:rPr>
          <w:rFonts w:eastAsia="Calibri"/>
          <w:i/>
          <w:sz w:val="22"/>
          <w:szCs w:val="22"/>
          <w:lang w:val="en-GB"/>
        </w:rPr>
        <w:t>FAO S</w:t>
      </w:r>
      <w:r w:rsidRPr="00AB50F9">
        <w:rPr>
          <w:rFonts w:eastAsia="Calibri"/>
          <w:i/>
          <w:sz w:val="22"/>
          <w:szCs w:val="22"/>
          <w:lang w:val="en-GB"/>
        </w:rPr>
        <w:t>tatistics Division Working Paper Series</w:t>
      </w:r>
      <w:r w:rsidRPr="00AB50F9">
        <w:rPr>
          <w:rFonts w:eastAsia="Calibri"/>
          <w:sz w:val="22"/>
          <w:szCs w:val="22"/>
          <w:lang w:val="en-GB"/>
        </w:rPr>
        <w:t xml:space="preserve"> No.</w:t>
      </w:r>
      <w:proofErr w:type="gramEnd"/>
      <w:r w:rsidRPr="00AB50F9">
        <w:rPr>
          <w:rFonts w:eastAsia="Calibri"/>
          <w:sz w:val="22"/>
          <w:szCs w:val="22"/>
          <w:lang w:val="en-GB"/>
        </w:rPr>
        <w:t xml:space="preserve"> </w:t>
      </w:r>
      <w:proofErr w:type="gramStart"/>
      <w:r w:rsidRPr="00AB50F9">
        <w:rPr>
          <w:rFonts w:eastAsia="Calibri"/>
          <w:sz w:val="22"/>
          <w:szCs w:val="22"/>
          <w:lang w:val="en-GB"/>
        </w:rPr>
        <w:t>ESS/ESSG/009e.</w:t>
      </w:r>
      <w:proofErr w:type="gramEnd"/>
      <w:r w:rsidRPr="00AB50F9">
        <w:rPr>
          <w:rFonts w:eastAsia="Calibri"/>
          <w:sz w:val="22"/>
          <w:szCs w:val="22"/>
          <w:lang w:val="en-GB"/>
        </w:rPr>
        <w:t xml:space="preserve"> </w:t>
      </w:r>
      <w:proofErr w:type="gramStart"/>
      <w:r w:rsidRPr="00AB50F9">
        <w:rPr>
          <w:rFonts w:eastAsia="Calibri"/>
          <w:sz w:val="22"/>
          <w:szCs w:val="22"/>
          <w:lang w:val="en-GB"/>
        </w:rPr>
        <w:t>FAO Rome.</w:t>
      </w:r>
      <w:proofErr w:type="gramEnd"/>
    </w:p>
    <w:p w:rsidR="008F2E8D" w:rsidRPr="00AB50F9" w:rsidRDefault="008F2E8D" w:rsidP="001E3813">
      <w:pPr>
        <w:suppressLineNumbers/>
        <w:spacing w:after="200" w:line="240" w:lineRule="auto"/>
        <w:ind w:left="425" w:hanging="425"/>
        <w:jc w:val="both"/>
        <w:rPr>
          <w:rFonts w:eastAsia="Calibri"/>
          <w:sz w:val="22"/>
          <w:szCs w:val="22"/>
          <w:lang w:val="en-GB"/>
        </w:rPr>
      </w:pPr>
      <w:proofErr w:type="spellStart"/>
      <w:r w:rsidRPr="00AB50F9">
        <w:rPr>
          <w:rFonts w:eastAsia="Calibri"/>
          <w:sz w:val="22"/>
          <w:szCs w:val="22"/>
          <w:lang w:val="en-GB"/>
        </w:rPr>
        <w:t>Naiken</w:t>
      </w:r>
      <w:proofErr w:type="spellEnd"/>
      <w:r w:rsidRPr="00AB50F9">
        <w:rPr>
          <w:rFonts w:eastAsia="Calibri"/>
          <w:sz w:val="22"/>
          <w:szCs w:val="22"/>
          <w:lang w:val="en-GB"/>
        </w:rPr>
        <w:t xml:space="preserve"> L. 2014. Methodological issues in the estimation of the prevalence of undernourishment based on dietary energy consumption data: a review and clarification. </w:t>
      </w:r>
      <w:proofErr w:type="gramStart"/>
      <w:r w:rsidRPr="00AB50F9">
        <w:rPr>
          <w:rFonts w:eastAsia="Calibri"/>
          <w:i/>
          <w:sz w:val="22"/>
          <w:szCs w:val="22"/>
          <w:lang w:val="en-GB"/>
        </w:rPr>
        <w:t>FAO Statistics Division Working Paper Series</w:t>
      </w:r>
      <w:r w:rsidRPr="00AB50F9">
        <w:rPr>
          <w:rFonts w:eastAsia="Calibri"/>
          <w:sz w:val="22"/>
          <w:szCs w:val="22"/>
          <w:lang w:val="en-GB"/>
        </w:rPr>
        <w:t xml:space="preserve"> ESS / 14-03.</w:t>
      </w:r>
      <w:proofErr w:type="gramEnd"/>
    </w:p>
    <w:p w:rsidR="005169D7" w:rsidRPr="00AB50F9" w:rsidRDefault="005169D7" w:rsidP="001E3813">
      <w:pPr>
        <w:suppressLineNumbers/>
        <w:spacing w:after="200" w:line="240" w:lineRule="auto"/>
        <w:ind w:left="425" w:hanging="425"/>
        <w:jc w:val="both"/>
        <w:rPr>
          <w:rFonts w:eastAsia="Calibri"/>
          <w:sz w:val="22"/>
          <w:szCs w:val="22"/>
        </w:rPr>
      </w:pPr>
      <w:r w:rsidRPr="00AB50F9">
        <w:rPr>
          <w:rFonts w:eastAsia="Calibri"/>
          <w:sz w:val="22"/>
          <w:szCs w:val="22"/>
        </w:rPr>
        <w:t xml:space="preserve">Scott, C. 1992. </w:t>
      </w:r>
      <w:proofErr w:type="gramStart"/>
      <w:r w:rsidRPr="00AB50F9">
        <w:rPr>
          <w:rFonts w:eastAsia="Calibri"/>
          <w:sz w:val="22"/>
          <w:szCs w:val="22"/>
        </w:rPr>
        <w:t>Estimation of annual expenditure from one-month cross-sectional data in a household survey.</w:t>
      </w:r>
      <w:proofErr w:type="gramEnd"/>
      <w:r w:rsidRPr="00AB50F9">
        <w:rPr>
          <w:rFonts w:eastAsia="Calibri"/>
          <w:sz w:val="22"/>
          <w:szCs w:val="22"/>
        </w:rPr>
        <w:t> </w:t>
      </w:r>
      <w:r w:rsidRPr="00AB50F9">
        <w:rPr>
          <w:rFonts w:eastAsia="Calibri"/>
          <w:i/>
          <w:iCs/>
          <w:sz w:val="22"/>
          <w:szCs w:val="22"/>
        </w:rPr>
        <w:t>Inter-Stat Bulletin</w:t>
      </w:r>
      <w:r w:rsidRPr="00AB50F9">
        <w:rPr>
          <w:rFonts w:eastAsia="Calibri"/>
          <w:sz w:val="22"/>
          <w:szCs w:val="22"/>
        </w:rPr>
        <w:t xml:space="preserve"> 8</w:t>
      </w:r>
      <w:r w:rsidR="00FA0370" w:rsidRPr="00AB50F9">
        <w:rPr>
          <w:rFonts w:eastAsia="Calibri"/>
          <w:sz w:val="22"/>
          <w:szCs w:val="22"/>
        </w:rPr>
        <w:t>(1)</w:t>
      </w:r>
      <w:r w:rsidRPr="00AB50F9">
        <w:rPr>
          <w:rFonts w:eastAsia="Calibri"/>
          <w:sz w:val="22"/>
          <w:szCs w:val="22"/>
        </w:rPr>
        <w:t>: 57-65.</w:t>
      </w:r>
    </w:p>
    <w:p w:rsidR="008F2E8D" w:rsidRPr="00AB50F9" w:rsidRDefault="008F2E8D" w:rsidP="001E3813">
      <w:pPr>
        <w:suppressLineNumbers/>
        <w:spacing w:after="200" w:line="240" w:lineRule="auto"/>
        <w:ind w:left="425" w:hanging="425"/>
        <w:jc w:val="both"/>
        <w:rPr>
          <w:rFonts w:eastAsia="Calibri"/>
          <w:sz w:val="22"/>
          <w:szCs w:val="22"/>
          <w:lang w:val="en-GB"/>
        </w:rPr>
      </w:pPr>
      <w:r w:rsidRPr="00AB50F9">
        <w:rPr>
          <w:rFonts w:eastAsia="Calibri"/>
          <w:sz w:val="22"/>
          <w:szCs w:val="22"/>
          <w:lang w:val="en-GB"/>
        </w:rPr>
        <w:t xml:space="preserve">Smith L. 1998. Can FAO’s Measure of Chronic Undernourishment be </w:t>
      </w:r>
      <w:proofErr w:type="gramStart"/>
      <w:r w:rsidRPr="00AB50F9">
        <w:rPr>
          <w:rFonts w:eastAsia="Calibri"/>
          <w:sz w:val="22"/>
          <w:szCs w:val="22"/>
          <w:lang w:val="en-GB"/>
        </w:rPr>
        <w:t>Strengthened</w:t>
      </w:r>
      <w:proofErr w:type="gramEnd"/>
      <w:r w:rsidRPr="00AB50F9">
        <w:rPr>
          <w:rFonts w:eastAsia="Calibri"/>
          <w:sz w:val="22"/>
          <w:szCs w:val="22"/>
          <w:lang w:val="en-GB"/>
        </w:rPr>
        <w:t xml:space="preserve">? </w:t>
      </w:r>
      <w:r w:rsidRPr="00AB50F9">
        <w:rPr>
          <w:rFonts w:eastAsia="Calibri"/>
          <w:i/>
          <w:sz w:val="22"/>
          <w:szCs w:val="22"/>
          <w:lang w:val="en-GB"/>
        </w:rPr>
        <w:t>Food Policy</w:t>
      </w:r>
      <w:r w:rsidRPr="00AB50F9">
        <w:rPr>
          <w:rFonts w:eastAsia="Calibri"/>
          <w:sz w:val="22"/>
          <w:szCs w:val="22"/>
          <w:lang w:val="en-GB"/>
        </w:rPr>
        <w:t xml:space="preserve"> 23(5): 425-445.</w:t>
      </w:r>
    </w:p>
    <w:p w:rsidR="00BD3D5B" w:rsidRPr="00AB50F9" w:rsidRDefault="00BD3D5B" w:rsidP="001E3813">
      <w:pPr>
        <w:suppressLineNumbers/>
        <w:spacing w:after="200" w:line="240" w:lineRule="auto"/>
        <w:ind w:left="425" w:hanging="425"/>
        <w:jc w:val="both"/>
        <w:rPr>
          <w:rFonts w:eastAsia="Calibri"/>
          <w:sz w:val="22"/>
          <w:szCs w:val="22"/>
          <w:lang w:val="en-GB"/>
        </w:rPr>
      </w:pPr>
      <w:proofErr w:type="spellStart"/>
      <w:r w:rsidRPr="00AB50F9">
        <w:rPr>
          <w:rFonts w:eastAsia="Calibri"/>
          <w:sz w:val="22"/>
          <w:szCs w:val="22"/>
          <w:lang w:val="en-GB"/>
        </w:rPr>
        <w:t>Sundaram</w:t>
      </w:r>
      <w:proofErr w:type="spellEnd"/>
      <w:r w:rsidRPr="00AB50F9">
        <w:rPr>
          <w:rFonts w:eastAsia="Calibri"/>
          <w:sz w:val="22"/>
          <w:szCs w:val="22"/>
          <w:lang w:val="en-GB"/>
        </w:rPr>
        <w:t xml:space="preserve">, J. 2013. </w:t>
      </w:r>
      <w:r w:rsidR="00880F3C" w:rsidRPr="00AB50F9">
        <w:rPr>
          <w:rFonts w:eastAsia="Calibri"/>
          <w:sz w:val="22"/>
          <w:szCs w:val="22"/>
          <w:lang w:val="en-GB"/>
        </w:rPr>
        <w:t xml:space="preserve">Panel Remarks on </w:t>
      </w:r>
      <w:r w:rsidR="009178F0">
        <w:rPr>
          <w:rFonts w:eastAsia="Calibri"/>
          <w:sz w:val="22"/>
          <w:szCs w:val="22"/>
          <w:lang w:val="en-GB"/>
        </w:rPr>
        <w:t>'</w:t>
      </w:r>
      <w:r w:rsidR="00880F3C" w:rsidRPr="00AB50F9">
        <w:rPr>
          <w:rFonts w:eastAsia="Calibri"/>
          <w:sz w:val="22"/>
          <w:szCs w:val="22"/>
          <w:lang w:val="en-GB"/>
        </w:rPr>
        <w:t>Stakeholders and Synergies: Socio-Economic Dimensions of Sustainable Agriculture</w:t>
      </w:r>
      <w:r w:rsidR="009178F0">
        <w:rPr>
          <w:rFonts w:eastAsia="Calibri"/>
          <w:sz w:val="22"/>
          <w:szCs w:val="22"/>
          <w:lang w:val="en-GB"/>
        </w:rPr>
        <w:t>'</w:t>
      </w:r>
      <w:r w:rsidR="00880F3C" w:rsidRPr="00AB50F9">
        <w:rPr>
          <w:rFonts w:eastAsia="Calibri"/>
          <w:sz w:val="22"/>
          <w:szCs w:val="22"/>
          <w:lang w:val="en-GB"/>
        </w:rPr>
        <w:t xml:space="preserve"> </w:t>
      </w:r>
      <w:proofErr w:type="gramStart"/>
      <w:r w:rsidRPr="00AB50F9">
        <w:rPr>
          <w:rFonts w:eastAsia="Calibri"/>
          <w:i/>
          <w:sz w:val="22"/>
          <w:szCs w:val="22"/>
          <w:lang w:val="en-GB"/>
        </w:rPr>
        <w:t>The</w:t>
      </w:r>
      <w:proofErr w:type="gramEnd"/>
      <w:r w:rsidRPr="00AB50F9">
        <w:rPr>
          <w:rFonts w:eastAsia="Calibri"/>
          <w:i/>
          <w:sz w:val="22"/>
          <w:szCs w:val="22"/>
          <w:lang w:val="en-GB"/>
        </w:rPr>
        <w:t xml:space="preserve"> World Food Prize 2013 Norman E. Borlaug International Symposium</w:t>
      </w:r>
      <w:r w:rsidRPr="00AB50F9">
        <w:rPr>
          <w:rFonts w:eastAsia="Calibri"/>
          <w:sz w:val="22"/>
          <w:szCs w:val="22"/>
          <w:lang w:val="en-GB"/>
        </w:rPr>
        <w:t>, Des Moines, Iowa.</w:t>
      </w:r>
    </w:p>
    <w:p w:rsidR="008F2E8D" w:rsidRPr="00AB50F9" w:rsidRDefault="008F2E8D" w:rsidP="001E3813">
      <w:pPr>
        <w:suppressLineNumbers/>
        <w:spacing w:after="200" w:line="240" w:lineRule="auto"/>
        <w:ind w:left="425" w:hanging="425"/>
        <w:jc w:val="both"/>
        <w:rPr>
          <w:rFonts w:eastAsia="Calibri"/>
          <w:sz w:val="22"/>
          <w:szCs w:val="22"/>
          <w:lang w:val="en-GB"/>
        </w:rPr>
      </w:pPr>
      <w:r w:rsidRPr="00AB50F9">
        <w:rPr>
          <w:rFonts w:eastAsia="Calibri"/>
          <w:sz w:val="22"/>
          <w:szCs w:val="22"/>
          <w:lang w:val="en-GB"/>
        </w:rPr>
        <w:t xml:space="preserve">Svedberg P. 1999. 841 Million Undernourished? </w:t>
      </w:r>
      <w:r w:rsidRPr="00AB50F9">
        <w:rPr>
          <w:rFonts w:eastAsia="Calibri"/>
          <w:i/>
          <w:sz w:val="22"/>
          <w:szCs w:val="22"/>
          <w:lang w:val="en-GB"/>
        </w:rPr>
        <w:t>World Development</w:t>
      </w:r>
      <w:r w:rsidRPr="00AB50F9">
        <w:rPr>
          <w:rFonts w:eastAsia="Calibri"/>
          <w:sz w:val="22"/>
          <w:szCs w:val="22"/>
          <w:lang w:val="en-GB"/>
        </w:rPr>
        <w:t xml:space="preserve"> 27(12): 2081-2098.</w:t>
      </w:r>
    </w:p>
    <w:p w:rsidR="008F2E8D" w:rsidRPr="00AB50F9" w:rsidRDefault="008F2E8D" w:rsidP="001E3813">
      <w:pPr>
        <w:suppressLineNumbers/>
        <w:spacing w:after="200" w:line="240" w:lineRule="auto"/>
        <w:ind w:left="425" w:hanging="425"/>
        <w:jc w:val="both"/>
        <w:rPr>
          <w:rFonts w:eastAsia="Calibri"/>
          <w:sz w:val="22"/>
          <w:szCs w:val="22"/>
          <w:lang w:val="en-GB"/>
        </w:rPr>
      </w:pPr>
      <w:r w:rsidRPr="00AB50F9">
        <w:rPr>
          <w:rFonts w:eastAsia="Calibri"/>
          <w:sz w:val="22"/>
          <w:szCs w:val="22"/>
          <w:lang w:val="en-GB"/>
        </w:rPr>
        <w:t xml:space="preserve">Svedberg P. 2002. Undernutrition Overestimated. </w:t>
      </w:r>
      <w:r w:rsidRPr="00AB50F9">
        <w:rPr>
          <w:rFonts w:eastAsia="Calibri"/>
          <w:i/>
          <w:sz w:val="22"/>
          <w:szCs w:val="22"/>
          <w:lang w:val="en-GB"/>
        </w:rPr>
        <w:t>Economic Development and Cultural Change</w:t>
      </w:r>
      <w:r w:rsidRPr="00AB50F9">
        <w:rPr>
          <w:rFonts w:eastAsia="Calibri"/>
          <w:sz w:val="22"/>
          <w:szCs w:val="22"/>
          <w:lang w:val="en-GB"/>
        </w:rPr>
        <w:t xml:space="preserve"> 51(1):</w:t>
      </w:r>
      <w:r w:rsidR="001E3813">
        <w:rPr>
          <w:rFonts w:eastAsia="Calibri"/>
          <w:sz w:val="22"/>
          <w:szCs w:val="22"/>
          <w:lang w:val="en-GB"/>
        </w:rPr>
        <w:br/>
      </w:r>
      <w:r w:rsidRPr="00AB50F9">
        <w:rPr>
          <w:rFonts w:eastAsia="Calibri"/>
          <w:sz w:val="22"/>
          <w:szCs w:val="22"/>
          <w:lang w:val="en-GB"/>
        </w:rPr>
        <w:t>5-36.</w:t>
      </w:r>
    </w:p>
    <w:p w:rsidR="00D72AAA" w:rsidRDefault="00F27D3C" w:rsidP="001E3813">
      <w:pPr>
        <w:suppressLineNumbers/>
        <w:spacing w:after="200" w:line="240" w:lineRule="auto"/>
        <w:ind w:left="425" w:hanging="425"/>
        <w:jc w:val="both"/>
        <w:rPr>
          <w:rFonts w:eastAsia="Calibri"/>
          <w:sz w:val="22"/>
          <w:szCs w:val="22"/>
        </w:rPr>
      </w:pPr>
      <w:r w:rsidRPr="00AB50F9">
        <w:rPr>
          <w:rFonts w:eastAsia="Calibri"/>
          <w:sz w:val="22"/>
          <w:szCs w:val="22"/>
          <w:lang w:val="en-GB"/>
        </w:rPr>
        <w:t>United Nations Development Program [UNDP]. 2011.</w:t>
      </w:r>
      <w:r w:rsidRPr="00AB50F9">
        <w:rPr>
          <w:rFonts w:eastAsia="Calibri"/>
          <w:sz w:val="22"/>
          <w:szCs w:val="22"/>
        </w:rPr>
        <w:t xml:space="preserve"> Integrated Household Living Conditions Survey 2009-10 Myanmar: Poverty Profile. </w:t>
      </w:r>
      <w:r w:rsidRPr="00AB50F9">
        <w:rPr>
          <w:rFonts w:eastAsia="Calibri"/>
          <w:i/>
          <w:iCs/>
          <w:sz w:val="22"/>
          <w:szCs w:val="22"/>
        </w:rPr>
        <w:t xml:space="preserve">Yangon: United Nations Development </w:t>
      </w:r>
      <w:proofErr w:type="spellStart"/>
      <w:r w:rsidRPr="00AB50F9">
        <w:rPr>
          <w:rFonts w:eastAsia="Calibri"/>
          <w:i/>
          <w:iCs/>
          <w:sz w:val="22"/>
          <w:szCs w:val="22"/>
        </w:rPr>
        <w:t>Programme</w:t>
      </w:r>
      <w:proofErr w:type="spellEnd"/>
      <w:r w:rsidRPr="00AB50F9">
        <w:rPr>
          <w:rFonts w:eastAsia="Calibri"/>
          <w:sz w:val="22"/>
          <w:szCs w:val="22"/>
        </w:rPr>
        <w:t>.</w:t>
      </w:r>
    </w:p>
    <w:p w:rsidR="00F27D3C" w:rsidRPr="00AB50F9" w:rsidRDefault="00F27D3C" w:rsidP="00681293">
      <w:pPr>
        <w:suppressLineNumbers/>
        <w:spacing w:after="100" w:line="240" w:lineRule="auto"/>
        <w:ind w:left="425" w:hanging="425"/>
        <w:jc w:val="both"/>
        <w:rPr>
          <w:rFonts w:eastAsia="Calibri"/>
          <w:sz w:val="22"/>
          <w:szCs w:val="22"/>
          <w:lang w:val="en-GB"/>
        </w:rPr>
      </w:pPr>
    </w:p>
    <w:sectPr w:rsidR="00F27D3C" w:rsidRPr="00AB50F9" w:rsidSect="00206BB8">
      <w:footerReference w:type="default" r:id="rId67"/>
      <w:endnotePr>
        <w:numFmt w:val="decimal"/>
      </w:endnotePr>
      <w:pgSz w:w="12240" w:h="15840" w:code="1"/>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BB" w:rsidRDefault="00BE0ABB" w:rsidP="00F207E1">
      <w:pPr>
        <w:spacing w:line="240" w:lineRule="auto"/>
      </w:pPr>
      <w:r>
        <w:separator/>
      </w:r>
    </w:p>
  </w:endnote>
  <w:endnote w:type="continuationSeparator" w:id="0">
    <w:p w:rsidR="00BE0ABB" w:rsidRDefault="00BE0ABB" w:rsidP="00F207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9439"/>
      <w:docPartObj>
        <w:docPartGallery w:val="Page Numbers (Bottom of Page)"/>
        <w:docPartUnique/>
      </w:docPartObj>
    </w:sdtPr>
    <w:sdtEndPr/>
    <w:sdtContent>
      <w:p w:rsidR="00592E71" w:rsidRDefault="00592E71">
        <w:pPr>
          <w:pStyle w:val="Footer"/>
          <w:jc w:val="center"/>
        </w:pPr>
        <w:r>
          <w:fldChar w:fldCharType="begin"/>
        </w:r>
        <w:r>
          <w:instrText xml:space="preserve"> PAGE   \* MERGEFORMAT </w:instrText>
        </w:r>
        <w:r>
          <w:fldChar w:fldCharType="separate"/>
        </w:r>
        <w:r w:rsidR="008E1BBF">
          <w:rPr>
            <w:noProof/>
          </w:rPr>
          <w:t>14</w:t>
        </w:r>
        <w:r>
          <w:rPr>
            <w:noProof/>
          </w:rPr>
          <w:fldChar w:fldCharType="end"/>
        </w:r>
      </w:p>
    </w:sdtContent>
  </w:sdt>
  <w:p w:rsidR="00592E71" w:rsidRDefault="00592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BB" w:rsidRDefault="00BE0ABB" w:rsidP="00F207E1">
      <w:pPr>
        <w:spacing w:line="240" w:lineRule="auto"/>
      </w:pPr>
      <w:r>
        <w:separator/>
      </w:r>
    </w:p>
  </w:footnote>
  <w:footnote w:type="continuationSeparator" w:id="0">
    <w:p w:rsidR="00BE0ABB" w:rsidRDefault="00BE0ABB" w:rsidP="00F207E1">
      <w:pPr>
        <w:spacing w:line="240" w:lineRule="auto"/>
      </w:pPr>
      <w:r>
        <w:continuationSeparator/>
      </w:r>
    </w:p>
  </w:footnote>
  <w:footnote w:id="1">
    <w:p w:rsidR="00592E71" w:rsidRDefault="00592E71" w:rsidP="00BC23FD">
      <w:pPr>
        <w:pStyle w:val="FootnoteText"/>
        <w:ind w:left="284" w:hanging="284"/>
        <w:jc w:val="both"/>
        <w:rPr>
          <w:rFonts w:eastAsia="Calibri"/>
          <w:sz w:val="22"/>
          <w:szCs w:val="22"/>
        </w:rPr>
      </w:pPr>
      <w:r w:rsidRPr="009178F0">
        <w:rPr>
          <w:rStyle w:val="FootnoteReference"/>
          <w:sz w:val="22"/>
          <w:szCs w:val="22"/>
        </w:rPr>
        <w:footnoteRef/>
      </w:r>
      <w:r w:rsidRPr="009178F0">
        <w:rPr>
          <w:sz w:val="22"/>
          <w:szCs w:val="22"/>
        </w:rPr>
        <w:t xml:space="preserve"> </w:t>
      </w:r>
      <w:r>
        <w:rPr>
          <w:sz w:val="22"/>
          <w:szCs w:val="22"/>
        </w:rPr>
        <w:tab/>
      </w:r>
      <w:r w:rsidRPr="009178F0">
        <w:rPr>
          <w:rFonts w:eastAsia="Calibri"/>
          <w:sz w:val="22"/>
          <w:szCs w:val="22"/>
        </w:rPr>
        <w:t xml:space="preserve">Some HCES try to measure long-run living standards from a single interview, by asking about months that items are consumed, and usual consumption in those months. These questions are cognitively burdensome and introduce education-related inequality into responses, and are generally unsuccessful (Beegle </w:t>
      </w:r>
      <w:r w:rsidRPr="009178F0">
        <w:rPr>
          <w:rFonts w:eastAsia="Calibri"/>
          <w:i/>
          <w:sz w:val="22"/>
          <w:szCs w:val="22"/>
        </w:rPr>
        <w:t>et al</w:t>
      </w:r>
      <w:r>
        <w:rPr>
          <w:rFonts w:eastAsia="Calibri"/>
          <w:sz w:val="22"/>
          <w:szCs w:val="22"/>
        </w:rPr>
        <w:t>.</w:t>
      </w:r>
      <w:r w:rsidRPr="009178F0">
        <w:rPr>
          <w:rFonts w:eastAsia="Calibri"/>
          <w:sz w:val="22"/>
          <w:szCs w:val="22"/>
        </w:rPr>
        <w:t xml:space="preserve"> 2012).</w:t>
      </w:r>
    </w:p>
    <w:p w:rsidR="00592E71" w:rsidRPr="009178F0" w:rsidRDefault="00592E71" w:rsidP="00BC23FD">
      <w:pPr>
        <w:pStyle w:val="FootnoteText"/>
        <w:ind w:left="284" w:hanging="284"/>
        <w:jc w:val="both"/>
        <w:rPr>
          <w:sz w:val="22"/>
          <w:szCs w:val="22"/>
          <w:lang w:val="en-NZ"/>
        </w:rPr>
      </w:pPr>
    </w:p>
  </w:footnote>
  <w:footnote w:id="2">
    <w:p w:rsidR="00592E71" w:rsidRDefault="00592E71" w:rsidP="00BC23FD">
      <w:pPr>
        <w:pStyle w:val="FootnoteText"/>
        <w:ind w:left="284" w:hanging="284"/>
        <w:jc w:val="both"/>
        <w:rPr>
          <w:sz w:val="22"/>
          <w:szCs w:val="22"/>
          <w:lang w:val="en-NZ"/>
        </w:rPr>
      </w:pPr>
      <w:r w:rsidRPr="009178F0">
        <w:rPr>
          <w:rStyle w:val="FootnoteReference"/>
          <w:sz w:val="22"/>
          <w:szCs w:val="22"/>
        </w:rPr>
        <w:footnoteRef/>
      </w:r>
      <w:r w:rsidRPr="009178F0">
        <w:rPr>
          <w:sz w:val="22"/>
          <w:szCs w:val="22"/>
        </w:rPr>
        <w:t xml:space="preserve"> </w:t>
      </w:r>
      <w:r>
        <w:rPr>
          <w:sz w:val="22"/>
          <w:szCs w:val="22"/>
        </w:rPr>
        <w:tab/>
      </w:r>
      <w:r w:rsidRPr="009178F0">
        <w:rPr>
          <w:sz w:val="22"/>
          <w:szCs w:val="22"/>
          <w:lang w:val="en-NZ"/>
        </w:rPr>
        <w:t xml:space="preserve">The example by de </w:t>
      </w:r>
      <w:proofErr w:type="spellStart"/>
      <w:r w:rsidRPr="009178F0">
        <w:rPr>
          <w:sz w:val="22"/>
          <w:szCs w:val="22"/>
          <w:lang w:val="en-NZ"/>
        </w:rPr>
        <w:t>Haen</w:t>
      </w:r>
      <w:proofErr w:type="spellEnd"/>
      <w:r w:rsidRPr="009178F0">
        <w:rPr>
          <w:sz w:val="22"/>
          <w:szCs w:val="22"/>
          <w:lang w:val="en-NZ"/>
        </w:rPr>
        <w:t xml:space="preserve"> </w:t>
      </w:r>
      <w:r w:rsidRPr="009178F0">
        <w:rPr>
          <w:i/>
          <w:sz w:val="22"/>
          <w:szCs w:val="22"/>
          <w:lang w:val="en-NZ"/>
        </w:rPr>
        <w:t>et al.</w:t>
      </w:r>
      <w:r w:rsidRPr="009178F0">
        <w:rPr>
          <w:sz w:val="22"/>
          <w:szCs w:val="22"/>
          <w:lang w:val="en-NZ"/>
        </w:rPr>
        <w:t xml:space="preserve"> (2011) of inconsistency between the two approaches – that HCES show 59% of the population in 12 African countries are undernourished while the FAO estimate was j</w:t>
      </w:r>
      <w:r>
        <w:rPr>
          <w:sz w:val="22"/>
          <w:szCs w:val="22"/>
          <w:lang w:val="en-NZ"/>
        </w:rPr>
        <w:t>ust 39% -</w:t>
      </w:r>
      <w:r w:rsidRPr="009178F0">
        <w:rPr>
          <w:sz w:val="22"/>
          <w:szCs w:val="22"/>
          <w:lang w:val="en-NZ"/>
        </w:rPr>
        <w:t xml:space="preserve"> is thus unsurprising. That this difference is an </w:t>
      </w:r>
      <w:r w:rsidRPr="009178F0">
        <w:rPr>
          <w:i/>
          <w:sz w:val="22"/>
          <w:szCs w:val="22"/>
          <w:lang w:val="en-NZ"/>
        </w:rPr>
        <w:t>inherent</w:t>
      </w:r>
      <w:r w:rsidRPr="009178F0">
        <w:rPr>
          <w:sz w:val="22"/>
          <w:szCs w:val="22"/>
          <w:lang w:val="en-NZ"/>
        </w:rPr>
        <w:t xml:space="preserve"> feature of the two methods does not seem to be remarked upon in the literature.</w:t>
      </w:r>
    </w:p>
    <w:p w:rsidR="00592E71" w:rsidRPr="009178F0" w:rsidRDefault="00592E71" w:rsidP="00BC23FD">
      <w:pPr>
        <w:pStyle w:val="FootnoteText"/>
        <w:ind w:left="284" w:hanging="284"/>
        <w:jc w:val="both"/>
        <w:rPr>
          <w:sz w:val="22"/>
          <w:szCs w:val="22"/>
          <w:lang w:val="en-NZ"/>
        </w:rPr>
      </w:pPr>
    </w:p>
  </w:footnote>
  <w:footnote w:id="3">
    <w:p w:rsidR="00592E71" w:rsidRPr="009178F0" w:rsidRDefault="00592E71" w:rsidP="00BC23FD">
      <w:pPr>
        <w:pStyle w:val="FootnoteText"/>
        <w:ind w:left="284" w:hanging="284"/>
        <w:jc w:val="both"/>
        <w:rPr>
          <w:sz w:val="22"/>
          <w:szCs w:val="22"/>
          <w:lang w:val="en-NZ"/>
        </w:rPr>
      </w:pPr>
      <w:r w:rsidRPr="009178F0">
        <w:rPr>
          <w:rStyle w:val="FootnoteReference"/>
          <w:sz w:val="22"/>
          <w:szCs w:val="22"/>
        </w:rPr>
        <w:footnoteRef/>
      </w:r>
      <w:r w:rsidRPr="009178F0">
        <w:rPr>
          <w:sz w:val="22"/>
          <w:szCs w:val="22"/>
        </w:rPr>
        <w:t xml:space="preserve"> </w:t>
      </w:r>
      <w:r>
        <w:rPr>
          <w:sz w:val="22"/>
          <w:szCs w:val="22"/>
        </w:rPr>
        <w:tab/>
      </w:r>
      <w:r w:rsidRPr="009178F0">
        <w:rPr>
          <w:sz w:val="22"/>
          <w:szCs w:val="22"/>
        </w:rPr>
        <w:t>Specifically, the variance in calories between income classes is combined with a component due to other fa</w:t>
      </w:r>
      <w:r>
        <w:rPr>
          <w:sz w:val="22"/>
          <w:szCs w:val="22"/>
        </w:rPr>
        <w:t>ctors (</w:t>
      </w:r>
      <w:proofErr w:type="spellStart"/>
      <w:r>
        <w:rPr>
          <w:sz w:val="22"/>
          <w:szCs w:val="22"/>
        </w:rPr>
        <w:t>Cafiero</w:t>
      </w:r>
      <w:proofErr w:type="spellEnd"/>
      <w:r w:rsidRPr="009178F0">
        <w:rPr>
          <w:sz w:val="22"/>
          <w:szCs w:val="22"/>
        </w:rPr>
        <w:t xml:space="preserve"> 2014). The FAO previously calculated the coefficient of variation (</w:t>
      </w:r>
      <w:proofErr w:type="spellStart"/>
      <w:r w:rsidRPr="009178F0">
        <w:rPr>
          <w:sz w:val="22"/>
          <w:szCs w:val="22"/>
        </w:rPr>
        <w:t>CoV</w:t>
      </w:r>
      <w:proofErr w:type="spellEnd"/>
      <w:r w:rsidRPr="009178F0">
        <w:rPr>
          <w:sz w:val="22"/>
          <w:szCs w:val="22"/>
        </w:rPr>
        <w:t>) (needed to distribute the average across the population under assumed log-normality) from medians of ten income or calorie decile groups</w:t>
      </w:r>
      <w:r w:rsidRPr="009178F0">
        <w:rPr>
          <w:rFonts w:eastAsia="Calibri"/>
          <w:sz w:val="22"/>
          <w:szCs w:val="22"/>
        </w:rPr>
        <w:t xml:space="preserve">, with 0.05 subtracted to account for excess variability. The FAO forced the resulting </w:t>
      </w:r>
      <w:proofErr w:type="spellStart"/>
      <w:r w:rsidRPr="009178F0">
        <w:rPr>
          <w:rFonts w:eastAsia="Calibri"/>
          <w:sz w:val="22"/>
          <w:szCs w:val="22"/>
        </w:rPr>
        <w:t>CoV</w:t>
      </w:r>
      <w:proofErr w:type="spellEnd"/>
      <w:r w:rsidRPr="009178F0">
        <w:rPr>
          <w:rFonts w:eastAsia="Calibri"/>
          <w:sz w:val="22"/>
          <w:szCs w:val="22"/>
        </w:rPr>
        <w:t xml:space="preserve"> to lie between 0.20 and 0.35.</w:t>
      </w:r>
    </w:p>
  </w:footnote>
  <w:footnote w:id="4">
    <w:p w:rsidR="00592E71" w:rsidRDefault="00592E71" w:rsidP="009178F0">
      <w:pPr>
        <w:pStyle w:val="FootnoteText"/>
        <w:ind w:left="284" w:hanging="284"/>
        <w:jc w:val="both"/>
        <w:rPr>
          <w:sz w:val="22"/>
          <w:szCs w:val="22"/>
          <w:lang w:val="en-NZ"/>
        </w:rPr>
      </w:pPr>
      <w:r w:rsidRPr="009178F0">
        <w:rPr>
          <w:rStyle w:val="FootnoteReference"/>
          <w:sz w:val="22"/>
          <w:szCs w:val="22"/>
        </w:rPr>
        <w:footnoteRef/>
      </w:r>
      <w:r w:rsidRPr="009178F0">
        <w:rPr>
          <w:sz w:val="22"/>
          <w:szCs w:val="22"/>
        </w:rPr>
        <w:t xml:space="preserve"> </w:t>
      </w:r>
      <w:r>
        <w:rPr>
          <w:sz w:val="22"/>
          <w:szCs w:val="22"/>
        </w:rPr>
        <w:tab/>
      </w:r>
      <w:r w:rsidRPr="009178F0">
        <w:rPr>
          <w:sz w:val="22"/>
          <w:szCs w:val="22"/>
          <w:lang w:val="en-NZ"/>
        </w:rPr>
        <w:t>These two examples are from Belarus and Georgia where households are observed each quarter. A more common design is panels across multiple surveys, of which there were nine. Typically these cross-survey panels are linking across surveys that may be separated by some years, whereas the intra-survey panel can be conveniently thought of as an intra-year panel even if fieldwork for a particular survey spills into two calendar years.</w:t>
      </w:r>
    </w:p>
    <w:p w:rsidR="00592E71" w:rsidRPr="009178F0" w:rsidRDefault="00592E71" w:rsidP="009178F0">
      <w:pPr>
        <w:pStyle w:val="FootnoteText"/>
        <w:ind w:left="284" w:hanging="284"/>
        <w:jc w:val="both"/>
        <w:rPr>
          <w:sz w:val="22"/>
          <w:szCs w:val="22"/>
          <w:lang w:val="en-NZ"/>
        </w:rPr>
      </w:pPr>
    </w:p>
  </w:footnote>
  <w:footnote w:id="5">
    <w:p w:rsidR="00592E71" w:rsidRPr="009178F0" w:rsidRDefault="00592E71" w:rsidP="009178F0">
      <w:pPr>
        <w:pStyle w:val="FootnoteText"/>
        <w:ind w:left="284" w:hanging="284"/>
        <w:jc w:val="both"/>
        <w:rPr>
          <w:sz w:val="22"/>
          <w:szCs w:val="22"/>
          <w:lang w:val="en-NZ"/>
        </w:rPr>
      </w:pPr>
      <w:r w:rsidRPr="009178F0">
        <w:rPr>
          <w:rStyle w:val="FootnoteReference"/>
          <w:sz w:val="22"/>
          <w:szCs w:val="22"/>
        </w:rPr>
        <w:footnoteRef/>
      </w:r>
      <w:r w:rsidRPr="009178F0">
        <w:rPr>
          <w:sz w:val="22"/>
          <w:szCs w:val="22"/>
        </w:rPr>
        <w:t xml:space="preserve"> </w:t>
      </w:r>
      <w:r>
        <w:rPr>
          <w:sz w:val="22"/>
          <w:szCs w:val="22"/>
        </w:rPr>
        <w:tab/>
      </w:r>
      <w:r w:rsidRPr="009178F0">
        <w:rPr>
          <w:sz w:val="22"/>
          <w:szCs w:val="22"/>
          <w:lang w:val="en-NZ"/>
        </w:rPr>
        <w:t xml:space="preserve">The surveys that concentrate their fieldwork in a single period of the year are less adaptable to the proposed design. Just </w:t>
      </w:r>
      <w:proofErr w:type="gramStart"/>
      <w:r w:rsidRPr="009178F0">
        <w:rPr>
          <w:sz w:val="22"/>
          <w:szCs w:val="22"/>
          <w:lang w:val="en-NZ"/>
        </w:rPr>
        <w:t>under</w:t>
      </w:r>
      <w:proofErr w:type="gramEnd"/>
      <w:r w:rsidRPr="009178F0">
        <w:rPr>
          <w:sz w:val="22"/>
          <w:szCs w:val="22"/>
          <w:lang w:val="en-NZ"/>
        </w:rPr>
        <w:t xml:space="preserve"> one-half of the </w:t>
      </w:r>
      <w:proofErr w:type="spellStart"/>
      <w:r w:rsidRPr="009178F0">
        <w:rPr>
          <w:sz w:val="22"/>
          <w:szCs w:val="22"/>
          <w:lang w:val="en-NZ"/>
        </w:rPr>
        <w:t>Dupriez</w:t>
      </w:r>
      <w:proofErr w:type="spellEnd"/>
      <w:r w:rsidRPr="009178F0">
        <w:rPr>
          <w:sz w:val="22"/>
          <w:szCs w:val="22"/>
          <w:lang w:val="en-NZ"/>
        </w:rPr>
        <w:t xml:space="preserve"> </w:t>
      </w:r>
      <w:r w:rsidRPr="009178F0">
        <w:rPr>
          <w:i/>
          <w:sz w:val="22"/>
          <w:szCs w:val="22"/>
          <w:lang w:val="en-NZ"/>
        </w:rPr>
        <w:t>et al</w:t>
      </w:r>
      <w:r w:rsidRPr="009178F0">
        <w:rPr>
          <w:sz w:val="22"/>
          <w:szCs w:val="22"/>
          <w:lang w:val="en-NZ"/>
        </w:rPr>
        <w:t xml:space="preserve">. </w:t>
      </w:r>
      <w:r>
        <w:rPr>
          <w:sz w:val="22"/>
          <w:szCs w:val="22"/>
          <w:lang w:val="en-NZ"/>
        </w:rPr>
        <w:t xml:space="preserve">(2014) </w:t>
      </w:r>
      <w:r w:rsidRPr="009178F0">
        <w:rPr>
          <w:sz w:val="22"/>
          <w:szCs w:val="22"/>
          <w:lang w:val="en-NZ"/>
        </w:rPr>
        <w:t>sample use this temporally-concentrated design; arguably these surveys could especially benefit from observing living standards in different times of the year.</w:t>
      </w:r>
    </w:p>
  </w:footnote>
  <w:footnote w:id="6">
    <w:p w:rsidR="00592E71" w:rsidRPr="003C084C" w:rsidRDefault="00592E71" w:rsidP="009178F0">
      <w:pPr>
        <w:pStyle w:val="FootnoteText"/>
        <w:ind w:left="284" w:hanging="284"/>
        <w:jc w:val="both"/>
        <w:rPr>
          <w:sz w:val="22"/>
          <w:szCs w:val="22"/>
          <w:lang w:val="en-NZ"/>
        </w:rPr>
      </w:pPr>
      <w:r>
        <w:rPr>
          <w:rStyle w:val="FootnoteReference"/>
        </w:rPr>
        <w:footnoteRef/>
      </w:r>
      <w:r>
        <w:t xml:space="preserve"> </w:t>
      </w:r>
      <w:r>
        <w:tab/>
      </w:r>
      <w:r w:rsidRPr="003C084C">
        <w:rPr>
          <w:sz w:val="22"/>
          <w:szCs w:val="22"/>
          <w:lang w:val="en-NZ"/>
        </w:rPr>
        <w:t xml:space="preserve">An example of the spells approach (albeit using indicators of food insecurity rather than food intakes) is Maxwell </w:t>
      </w:r>
      <w:r w:rsidRPr="003C084C">
        <w:rPr>
          <w:i/>
          <w:sz w:val="22"/>
          <w:szCs w:val="22"/>
          <w:lang w:val="en-NZ"/>
        </w:rPr>
        <w:t>et al</w:t>
      </w:r>
      <w:r w:rsidRPr="003C084C">
        <w:rPr>
          <w:sz w:val="22"/>
          <w:szCs w:val="22"/>
          <w:lang w:val="en-NZ"/>
        </w:rPr>
        <w:t>. (2014) who show movements into and out of food insecurity using a four wave panel survey over two years.</w:t>
      </w:r>
    </w:p>
  </w:footnote>
  <w:footnote w:id="7">
    <w:p w:rsidR="00592E71" w:rsidRPr="00670302" w:rsidRDefault="00592E71" w:rsidP="00670302">
      <w:pPr>
        <w:pStyle w:val="FootnoteText"/>
        <w:ind w:left="284" w:hanging="284"/>
        <w:jc w:val="both"/>
        <w:rPr>
          <w:sz w:val="22"/>
          <w:szCs w:val="22"/>
          <w:lang w:val="en-NZ"/>
        </w:rPr>
      </w:pPr>
      <w:r w:rsidRPr="00670302">
        <w:rPr>
          <w:rStyle w:val="FootnoteReference"/>
          <w:sz w:val="22"/>
          <w:szCs w:val="22"/>
        </w:rPr>
        <w:footnoteRef/>
      </w:r>
      <w:r w:rsidRPr="00670302">
        <w:rPr>
          <w:sz w:val="22"/>
          <w:szCs w:val="22"/>
        </w:rPr>
        <w:t xml:space="preserve"> </w:t>
      </w:r>
      <w:r>
        <w:rPr>
          <w:sz w:val="22"/>
          <w:szCs w:val="22"/>
        </w:rPr>
        <w:tab/>
      </w:r>
      <w:r w:rsidRPr="00670302">
        <w:rPr>
          <w:sz w:val="22"/>
          <w:szCs w:val="22"/>
          <w:lang w:val="en-NZ"/>
        </w:rPr>
        <w:t>Support for this claim comes from Maxwell (1996) who shows that various coping strategies like skipping meals and eating less preferred foods are practiced more in the rainy (lean) season in Kampala than in the dry season when food is more abundant.</w:t>
      </w:r>
    </w:p>
  </w:footnote>
  <w:footnote w:id="8">
    <w:p w:rsidR="00592E71" w:rsidRPr="00670302" w:rsidRDefault="00592E71" w:rsidP="00670302">
      <w:pPr>
        <w:pStyle w:val="FootnoteText"/>
        <w:ind w:left="284" w:hanging="284"/>
        <w:jc w:val="both"/>
        <w:rPr>
          <w:sz w:val="22"/>
          <w:szCs w:val="22"/>
          <w:lang w:val="en-NZ"/>
        </w:rPr>
      </w:pPr>
      <w:r w:rsidRPr="00670302">
        <w:rPr>
          <w:rStyle w:val="FootnoteReference"/>
          <w:sz w:val="22"/>
          <w:szCs w:val="22"/>
        </w:rPr>
        <w:footnoteRef/>
      </w:r>
      <w:r w:rsidRPr="00670302">
        <w:rPr>
          <w:sz w:val="22"/>
          <w:szCs w:val="22"/>
        </w:rPr>
        <w:t xml:space="preserve"> </w:t>
      </w:r>
      <w:r>
        <w:rPr>
          <w:sz w:val="22"/>
          <w:szCs w:val="22"/>
        </w:rPr>
        <w:tab/>
      </w:r>
      <w:r w:rsidRPr="00670302">
        <w:rPr>
          <w:sz w:val="22"/>
          <w:szCs w:val="22"/>
          <w:lang w:val="en-NZ"/>
        </w:rPr>
        <w:t>This difference between the two seasons is based on what is observed in the data for Myanmar described below.</w:t>
      </w:r>
    </w:p>
  </w:footnote>
  <w:footnote w:id="9">
    <w:p w:rsidR="00592E71" w:rsidRDefault="00592E71" w:rsidP="00670302">
      <w:pPr>
        <w:pStyle w:val="FootnoteText"/>
        <w:ind w:left="284" w:hanging="284"/>
        <w:jc w:val="both"/>
        <w:rPr>
          <w:sz w:val="22"/>
          <w:szCs w:val="22"/>
          <w:lang w:val="en-NZ"/>
        </w:rPr>
      </w:pPr>
      <w:r>
        <w:rPr>
          <w:rStyle w:val="FootnoteReference"/>
        </w:rPr>
        <w:footnoteRef/>
      </w:r>
      <w:r>
        <w:t xml:space="preserve"> </w:t>
      </w:r>
      <w:r>
        <w:tab/>
      </w:r>
      <w:r w:rsidRPr="003C084C">
        <w:rPr>
          <w:sz w:val="22"/>
          <w:szCs w:val="22"/>
          <w:lang w:val="en-NZ"/>
        </w:rPr>
        <w:t>Halliday (2010) is an exception in noting that household size may be quite fluid, with evidence presented on the high proportion of households that experience fluctuations in household size over the short to medium term.</w:t>
      </w:r>
    </w:p>
    <w:p w:rsidR="00B508FB" w:rsidRPr="003C084C" w:rsidRDefault="00B508FB" w:rsidP="00670302">
      <w:pPr>
        <w:pStyle w:val="FootnoteText"/>
        <w:ind w:left="284" w:hanging="284"/>
        <w:jc w:val="both"/>
        <w:rPr>
          <w:sz w:val="22"/>
          <w:szCs w:val="22"/>
          <w:lang w:val="en-NZ"/>
        </w:rPr>
      </w:pPr>
    </w:p>
  </w:footnote>
  <w:footnote w:id="10">
    <w:p w:rsidR="00592E71" w:rsidRDefault="00592E71" w:rsidP="00670302">
      <w:pPr>
        <w:pStyle w:val="FootnoteText"/>
        <w:ind w:left="284" w:hanging="284"/>
        <w:jc w:val="both"/>
        <w:rPr>
          <w:rFonts w:eastAsia="Calibri"/>
          <w:sz w:val="22"/>
          <w:szCs w:val="22"/>
        </w:rPr>
      </w:pPr>
      <w:r w:rsidRPr="003C084C">
        <w:rPr>
          <w:rStyle w:val="FootnoteReference"/>
          <w:sz w:val="22"/>
          <w:szCs w:val="22"/>
        </w:rPr>
        <w:footnoteRef/>
      </w:r>
      <w:r w:rsidRPr="003C084C">
        <w:rPr>
          <w:sz w:val="22"/>
          <w:szCs w:val="22"/>
        </w:rPr>
        <w:t xml:space="preserve"> </w:t>
      </w:r>
      <w:r w:rsidRPr="003C084C">
        <w:rPr>
          <w:sz w:val="22"/>
          <w:szCs w:val="22"/>
        </w:rPr>
        <w:tab/>
      </w:r>
      <w:r w:rsidRPr="003C084C">
        <w:rPr>
          <w:rFonts w:eastAsia="Calibri"/>
          <w:sz w:val="22"/>
          <w:szCs w:val="22"/>
        </w:rPr>
        <w:t>Some border states are not fully covered because they were inaccessible in 2004/05, when the first IHLCA survey was carried out. The 2009/10 survey was based on the same communities.</w:t>
      </w:r>
    </w:p>
    <w:p w:rsidR="00B508FB" w:rsidRPr="003C084C" w:rsidRDefault="00B508FB" w:rsidP="00670302">
      <w:pPr>
        <w:pStyle w:val="FootnoteText"/>
        <w:ind w:left="284" w:hanging="284"/>
        <w:jc w:val="both"/>
        <w:rPr>
          <w:sz w:val="22"/>
          <w:szCs w:val="22"/>
          <w:lang w:val="en-NZ"/>
        </w:rPr>
      </w:pPr>
    </w:p>
  </w:footnote>
  <w:footnote w:id="11">
    <w:p w:rsidR="00592E71" w:rsidRPr="003C084C" w:rsidRDefault="00592E71" w:rsidP="00670302">
      <w:pPr>
        <w:pStyle w:val="FootnoteText"/>
        <w:ind w:left="284" w:hanging="284"/>
        <w:jc w:val="both"/>
        <w:rPr>
          <w:sz w:val="22"/>
          <w:szCs w:val="22"/>
          <w:lang w:val="en-NZ"/>
        </w:rPr>
      </w:pPr>
      <w:r w:rsidRPr="003C084C">
        <w:rPr>
          <w:rStyle w:val="FootnoteReference"/>
          <w:sz w:val="22"/>
          <w:szCs w:val="22"/>
        </w:rPr>
        <w:footnoteRef/>
      </w:r>
      <w:r w:rsidRPr="003C084C">
        <w:rPr>
          <w:sz w:val="22"/>
          <w:szCs w:val="22"/>
        </w:rPr>
        <w:t xml:space="preserve"> </w:t>
      </w:r>
      <w:r w:rsidRPr="003C084C">
        <w:rPr>
          <w:sz w:val="22"/>
          <w:szCs w:val="22"/>
        </w:rPr>
        <w:tab/>
      </w:r>
      <w:r w:rsidRPr="003C084C">
        <w:rPr>
          <w:sz w:val="22"/>
          <w:szCs w:val="22"/>
          <w:lang w:val="en-NZ"/>
        </w:rPr>
        <w:t>It may seem inconsistent to use naïve extrapolation for these 182 foods while criticising use of naïve extrapolation from a one month reference period to annual totals (or equivalently, criticising the treatment of one-month data as equivalent to annual data). Three factors that favour this choice are that (</w:t>
      </w:r>
      <w:proofErr w:type="spellStart"/>
      <w:r w:rsidRPr="003C084C">
        <w:rPr>
          <w:sz w:val="22"/>
          <w:szCs w:val="22"/>
          <w:lang w:val="en-NZ"/>
        </w:rPr>
        <w:t>i</w:t>
      </w:r>
      <w:proofErr w:type="spellEnd"/>
      <w:r w:rsidRPr="003C084C">
        <w:rPr>
          <w:sz w:val="22"/>
          <w:szCs w:val="22"/>
          <w:lang w:val="en-NZ"/>
        </w:rPr>
        <w:t>) these foods are less important sources of calories, (ii) there are no revisit weeks within the month to calculate the required correlation for making a corrected extrapolation from one week to one month, and, (iii) there is less overstatement of the variance in going from one week to one month compared with going from one month to one year.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75"/>
    <w:rsid w:val="0000768C"/>
    <w:rsid w:val="00011996"/>
    <w:rsid w:val="000206B3"/>
    <w:rsid w:val="00025E27"/>
    <w:rsid w:val="00027325"/>
    <w:rsid w:val="0003167C"/>
    <w:rsid w:val="00031EDF"/>
    <w:rsid w:val="00033136"/>
    <w:rsid w:val="00036074"/>
    <w:rsid w:val="00047AB3"/>
    <w:rsid w:val="00054443"/>
    <w:rsid w:val="00060901"/>
    <w:rsid w:val="00060939"/>
    <w:rsid w:val="000629B7"/>
    <w:rsid w:val="00062C8F"/>
    <w:rsid w:val="00062CD7"/>
    <w:rsid w:val="000656D2"/>
    <w:rsid w:val="00070EA9"/>
    <w:rsid w:val="00073FC4"/>
    <w:rsid w:val="000915E3"/>
    <w:rsid w:val="00096F32"/>
    <w:rsid w:val="000A4410"/>
    <w:rsid w:val="000A7904"/>
    <w:rsid w:val="000B3F56"/>
    <w:rsid w:val="000B4028"/>
    <w:rsid w:val="000C102B"/>
    <w:rsid w:val="000C3E8B"/>
    <w:rsid w:val="000C49C0"/>
    <w:rsid w:val="000C7331"/>
    <w:rsid w:val="000D3147"/>
    <w:rsid w:val="000D3B8F"/>
    <w:rsid w:val="000F0F92"/>
    <w:rsid w:val="000F2F9C"/>
    <w:rsid w:val="00110AFE"/>
    <w:rsid w:val="00127E86"/>
    <w:rsid w:val="00133D01"/>
    <w:rsid w:val="00136E69"/>
    <w:rsid w:val="00137E0B"/>
    <w:rsid w:val="00141429"/>
    <w:rsid w:val="00141A12"/>
    <w:rsid w:val="00142220"/>
    <w:rsid w:val="00150DF9"/>
    <w:rsid w:val="00161F80"/>
    <w:rsid w:val="00164810"/>
    <w:rsid w:val="001665AD"/>
    <w:rsid w:val="00166814"/>
    <w:rsid w:val="00167FA8"/>
    <w:rsid w:val="00173BE0"/>
    <w:rsid w:val="00174ED2"/>
    <w:rsid w:val="00184235"/>
    <w:rsid w:val="00195C9C"/>
    <w:rsid w:val="00196501"/>
    <w:rsid w:val="001A1EFA"/>
    <w:rsid w:val="001A729E"/>
    <w:rsid w:val="001B6A60"/>
    <w:rsid w:val="001C24A8"/>
    <w:rsid w:val="001C4A24"/>
    <w:rsid w:val="001C551C"/>
    <w:rsid w:val="001D4E5F"/>
    <w:rsid w:val="001E0852"/>
    <w:rsid w:val="001E3813"/>
    <w:rsid w:val="001E65D4"/>
    <w:rsid w:val="001F4C39"/>
    <w:rsid w:val="001F4CD2"/>
    <w:rsid w:val="001F68A8"/>
    <w:rsid w:val="00204D78"/>
    <w:rsid w:val="00206BB8"/>
    <w:rsid w:val="00210F88"/>
    <w:rsid w:val="00214D81"/>
    <w:rsid w:val="0022133A"/>
    <w:rsid w:val="002317EA"/>
    <w:rsid w:val="00234882"/>
    <w:rsid w:val="00241309"/>
    <w:rsid w:val="00245BE2"/>
    <w:rsid w:val="00245EB3"/>
    <w:rsid w:val="00246156"/>
    <w:rsid w:val="00253BC6"/>
    <w:rsid w:val="0025700D"/>
    <w:rsid w:val="00257757"/>
    <w:rsid w:val="00260409"/>
    <w:rsid w:val="00264956"/>
    <w:rsid w:val="002772A4"/>
    <w:rsid w:val="002910A8"/>
    <w:rsid w:val="002917A4"/>
    <w:rsid w:val="002921FF"/>
    <w:rsid w:val="00295D42"/>
    <w:rsid w:val="00295F9A"/>
    <w:rsid w:val="002A120B"/>
    <w:rsid w:val="002A35FF"/>
    <w:rsid w:val="002A3DEB"/>
    <w:rsid w:val="002A66C5"/>
    <w:rsid w:val="002B682C"/>
    <w:rsid w:val="002C7042"/>
    <w:rsid w:val="002C7292"/>
    <w:rsid w:val="002D2E9E"/>
    <w:rsid w:val="002E3265"/>
    <w:rsid w:val="002E45BF"/>
    <w:rsid w:val="002E65A2"/>
    <w:rsid w:val="002E6A95"/>
    <w:rsid w:val="002E724D"/>
    <w:rsid w:val="002F2E15"/>
    <w:rsid w:val="002F313B"/>
    <w:rsid w:val="002F792C"/>
    <w:rsid w:val="002F7F81"/>
    <w:rsid w:val="00304BCC"/>
    <w:rsid w:val="00305386"/>
    <w:rsid w:val="00305DC8"/>
    <w:rsid w:val="00312508"/>
    <w:rsid w:val="00320544"/>
    <w:rsid w:val="00320A75"/>
    <w:rsid w:val="00320F74"/>
    <w:rsid w:val="0032437D"/>
    <w:rsid w:val="00327486"/>
    <w:rsid w:val="003300A2"/>
    <w:rsid w:val="00331189"/>
    <w:rsid w:val="00342935"/>
    <w:rsid w:val="00350F42"/>
    <w:rsid w:val="003637BF"/>
    <w:rsid w:val="003650BD"/>
    <w:rsid w:val="003732D1"/>
    <w:rsid w:val="00391D12"/>
    <w:rsid w:val="003931F6"/>
    <w:rsid w:val="00394C0B"/>
    <w:rsid w:val="003B2153"/>
    <w:rsid w:val="003B4488"/>
    <w:rsid w:val="003C084C"/>
    <w:rsid w:val="003C1B88"/>
    <w:rsid w:val="003C431F"/>
    <w:rsid w:val="003C7017"/>
    <w:rsid w:val="003D226B"/>
    <w:rsid w:val="003D2D38"/>
    <w:rsid w:val="003D75DD"/>
    <w:rsid w:val="003E5A73"/>
    <w:rsid w:val="00400046"/>
    <w:rsid w:val="00407504"/>
    <w:rsid w:val="00410CFD"/>
    <w:rsid w:val="00411C9C"/>
    <w:rsid w:val="004244B1"/>
    <w:rsid w:val="00425028"/>
    <w:rsid w:val="0042590D"/>
    <w:rsid w:val="00426081"/>
    <w:rsid w:val="00426C73"/>
    <w:rsid w:val="00437E28"/>
    <w:rsid w:val="00447CE8"/>
    <w:rsid w:val="00452618"/>
    <w:rsid w:val="004537DD"/>
    <w:rsid w:val="004635EC"/>
    <w:rsid w:val="00465F7D"/>
    <w:rsid w:val="004772D2"/>
    <w:rsid w:val="00481809"/>
    <w:rsid w:val="00481FDC"/>
    <w:rsid w:val="00492220"/>
    <w:rsid w:val="00495532"/>
    <w:rsid w:val="00495948"/>
    <w:rsid w:val="004A2A4C"/>
    <w:rsid w:val="004A37CB"/>
    <w:rsid w:val="004A4858"/>
    <w:rsid w:val="004B232F"/>
    <w:rsid w:val="004B3A90"/>
    <w:rsid w:val="004C0707"/>
    <w:rsid w:val="004C68AC"/>
    <w:rsid w:val="004C6EA4"/>
    <w:rsid w:val="004D59A8"/>
    <w:rsid w:val="004D6892"/>
    <w:rsid w:val="004E0D09"/>
    <w:rsid w:val="004E51CD"/>
    <w:rsid w:val="004E6842"/>
    <w:rsid w:val="004E78AC"/>
    <w:rsid w:val="004F017E"/>
    <w:rsid w:val="004F3D8E"/>
    <w:rsid w:val="004F7595"/>
    <w:rsid w:val="00500148"/>
    <w:rsid w:val="005046A7"/>
    <w:rsid w:val="00507EAB"/>
    <w:rsid w:val="00511134"/>
    <w:rsid w:val="005121F1"/>
    <w:rsid w:val="00512BB1"/>
    <w:rsid w:val="005169D7"/>
    <w:rsid w:val="005236BF"/>
    <w:rsid w:val="00525AB5"/>
    <w:rsid w:val="00530E19"/>
    <w:rsid w:val="005310ED"/>
    <w:rsid w:val="0053460E"/>
    <w:rsid w:val="00534CD8"/>
    <w:rsid w:val="00536429"/>
    <w:rsid w:val="005417D9"/>
    <w:rsid w:val="00541BD4"/>
    <w:rsid w:val="00552582"/>
    <w:rsid w:val="0055383B"/>
    <w:rsid w:val="00554D94"/>
    <w:rsid w:val="00565590"/>
    <w:rsid w:val="00580860"/>
    <w:rsid w:val="00581D33"/>
    <w:rsid w:val="00584A7F"/>
    <w:rsid w:val="00584E1B"/>
    <w:rsid w:val="0058565F"/>
    <w:rsid w:val="00587AA8"/>
    <w:rsid w:val="00592428"/>
    <w:rsid w:val="00592E71"/>
    <w:rsid w:val="005A1AB0"/>
    <w:rsid w:val="005B4741"/>
    <w:rsid w:val="005D2153"/>
    <w:rsid w:val="005E3035"/>
    <w:rsid w:val="005E33FB"/>
    <w:rsid w:val="005E4454"/>
    <w:rsid w:val="005F3C05"/>
    <w:rsid w:val="00605C54"/>
    <w:rsid w:val="00607C65"/>
    <w:rsid w:val="00614213"/>
    <w:rsid w:val="00620F1F"/>
    <w:rsid w:val="00621B41"/>
    <w:rsid w:val="00627822"/>
    <w:rsid w:val="00627FAE"/>
    <w:rsid w:val="0063182D"/>
    <w:rsid w:val="00634277"/>
    <w:rsid w:val="006431E2"/>
    <w:rsid w:val="00646139"/>
    <w:rsid w:val="00651992"/>
    <w:rsid w:val="00653AB9"/>
    <w:rsid w:val="00654538"/>
    <w:rsid w:val="00655071"/>
    <w:rsid w:val="006576CC"/>
    <w:rsid w:val="00670302"/>
    <w:rsid w:val="00681293"/>
    <w:rsid w:val="00681EBF"/>
    <w:rsid w:val="00684D1D"/>
    <w:rsid w:val="0068637B"/>
    <w:rsid w:val="00686C51"/>
    <w:rsid w:val="00687BBC"/>
    <w:rsid w:val="006A1EB4"/>
    <w:rsid w:val="006A2FE8"/>
    <w:rsid w:val="006A7659"/>
    <w:rsid w:val="006B240E"/>
    <w:rsid w:val="006B4947"/>
    <w:rsid w:val="006B6760"/>
    <w:rsid w:val="006D0035"/>
    <w:rsid w:val="006D3676"/>
    <w:rsid w:val="006D4C88"/>
    <w:rsid w:val="006E256E"/>
    <w:rsid w:val="006E27D2"/>
    <w:rsid w:val="006E465D"/>
    <w:rsid w:val="006F478E"/>
    <w:rsid w:val="006F4C4D"/>
    <w:rsid w:val="006F5BFF"/>
    <w:rsid w:val="006F6289"/>
    <w:rsid w:val="00700D87"/>
    <w:rsid w:val="007030A4"/>
    <w:rsid w:val="00705C8E"/>
    <w:rsid w:val="00706A51"/>
    <w:rsid w:val="0071101A"/>
    <w:rsid w:val="00713DA4"/>
    <w:rsid w:val="007166C4"/>
    <w:rsid w:val="00716BED"/>
    <w:rsid w:val="007170D2"/>
    <w:rsid w:val="0071732E"/>
    <w:rsid w:val="00717BD4"/>
    <w:rsid w:val="00724A5C"/>
    <w:rsid w:val="0072564B"/>
    <w:rsid w:val="00727B00"/>
    <w:rsid w:val="00735B62"/>
    <w:rsid w:val="00750FCE"/>
    <w:rsid w:val="00751DAA"/>
    <w:rsid w:val="00754A50"/>
    <w:rsid w:val="00765A14"/>
    <w:rsid w:val="0078136F"/>
    <w:rsid w:val="0079171B"/>
    <w:rsid w:val="007A05D7"/>
    <w:rsid w:val="007A22FE"/>
    <w:rsid w:val="007B0E4D"/>
    <w:rsid w:val="007B4247"/>
    <w:rsid w:val="007B42CF"/>
    <w:rsid w:val="007B5AC2"/>
    <w:rsid w:val="007C000D"/>
    <w:rsid w:val="007C093F"/>
    <w:rsid w:val="007C247B"/>
    <w:rsid w:val="007C2512"/>
    <w:rsid w:val="007D3EB8"/>
    <w:rsid w:val="007D43EC"/>
    <w:rsid w:val="007D5F6B"/>
    <w:rsid w:val="007D762B"/>
    <w:rsid w:val="007F263D"/>
    <w:rsid w:val="007F61CD"/>
    <w:rsid w:val="00804889"/>
    <w:rsid w:val="00804C05"/>
    <w:rsid w:val="00804D66"/>
    <w:rsid w:val="00807BB1"/>
    <w:rsid w:val="00810FE5"/>
    <w:rsid w:val="008152FC"/>
    <w:rsid w:val="00816241"/>
    <w:rsid w:val="008170F4"/>
    <w:rsid w:val="008204D2"/>
    <w:rsid w:val="00822809"/>
    <w:rsid w:val="00822CE6"/>
    <w:rsid w:val="00827C3B"/>
    <w:rsid w:val="008343B4"/>
    <w:rsid w:val="008351AB"/>
    <w:rsid w:val="00836794"/>
    <w:rsid w:val="00850620"/>
    <w:rsid w:val="0085598F"/>
    <w:rsid w:val="00855EB8"/>
    <w:rsid w:val="00861FC2"/>
    <w:rsid w:val="008625F7"/>
    <w:rsid w:val="00865AE9"/>
    <w:rsid w:val="00871FA9"/>
    <w:rsid w:val="00880F3C"/>
    <w:rsid w:val="00881FB7"/>
    <w:rsid w:val="0089406D"/>
    <w:rsid w:val="008962BF"/>
    <w:rsid w:val="00897F68"/>
    <w:rsid w:val="008C04AC"/>
    <w:rsid w:val="008C0720"/>
    <w:rsid w:val="008C1453"/>
    <w:rsid w:val="008C1925"/>
    <w:rsid w:val="008C2166"/>
    <w:rsid w:val="008C7FD1"/>
    <w:rsid w:val="008D3713"/>
    <w:rsid w:val="008D4FCB"/>
    <w:rsid w:val="008D54CB"/>
    <w:rsid w:val="008D6260"/>
    <w:rsid w:val="008E1BBF"/>
    <w:rsid w:val="008E2896"/>
    <w:rsid w:val="008E3D3A"/>
    <w:rsid w:val="008E64F8"/>
    <w:rsid w:val="008E78CF"/>
    <w:rsid w:val="008F19BB"/>
    <w:rsid w:val="008F2E8D"/>
    <w:rsid w:val="008F7FA5"/>
    <w:rsid w:val="00900DAA"/>
    <w:rsid w:val="0090283B"/>
    <w:rsid w:val="0091352A"/>
    <w:rsid w:val="009178F0"/>
    <w:rsid w:val="009201F9"/>
    <w:rsid w:val="00927750"/>
    <w:rsid w:val="00932791"/>
    <w:rsid w:val="0094047A"/>
    <w:rsid w:val="0094386A"/>
    <w:rsid w:val="00944C00"/>
    <w:rsid w:val="00945DA6"/>
    <w:rsid w:val="00947E26"/>
    <w:rsid w:val="00951256"/>
    <w:rsid w:val="009529FE"/>
    <w:rsid w:val="00953E84"/>
    <w:rsid w:val="00954E8D"/>
    <w:rsid w:val="00966972"/>
    <w:rsid w:val="00977AAD"/>
    <w:rsid w:val="009828C7"/>
    <w:rsid w:val="00994252"/>
    <w:rsid w:val="009C13D2"/>
    <w:rsid w:val="009C32AC"/>
    <w:rsid w:val="009D078B"/>
    <w:rsid w:val="009D2AF2"/>
    <w:rsid w:val="009D3CA6"/>
    <w:rsid w:val="009D549A"/>
    <w:rsid w:val="009D5BF2"/>
    <w:rsid w:val="009E3F8D"/>
    <w:rsid w:val="009E5EE0"/>
    <w:rsid w:val="00A107C1"/>
    <w:rsid w:val="00A242D3"/>
    <w:rsid w:val="00A25F6F"/>
    <w:rsid w:val="00A2651C"/>
    <w:rsid w:val="00A3025B"/>
    <w:rsid w:val="00A36FE8"/>
    <w:rsid w:val="00A410B4"/>
    <w:rsid w:val="00A4197C"/>
    <w:rsid w:val="00A47EED"/>
    <w:rsid w:val="00A516E7"/>
    <w:rsid w:val="00A52342"/>
    <w:rsid w:val="00A57EB2"/>
    <w:rsid w:val="00A648FF"/>
    <w:rsid w:val="00A85376"/>
    <w:rsid w:val="00A97A98"/>
    <w:rsid w:val="00AA1FCD"/>
    <w:rsid w:val="00AA72D6"/>
    <w:rsid w:val="00AB50F9"/>
    <w:rsid w:val="00AC17F6"/>
    <w:rsid w:val="00AC1D56"/>
    <w:rsid w:val="00AC41BD"/>
    <w:rsid w:val="00AC44DD"/>
    <w:rsid w:val="00AC7C8C"/>
    <w:rsid w:val="00AD64FA"/>
    <w:rsid w:val="00AE1931"/>
    <w:rsid w:val="00AE25C1"/>
    <w:rsid w:val="00AE4D6C"/>
    <w:rsid w:val="00AE5840"/>
    <w:rsid w:val="00AF4D0F"/>
    <w:rsid w:val="00B02422"/>
    <w:rsid w:val="00B03A05"/>
    <w:rsid w:val="00B119ED"/>
    <w:rsid w:val="00B146E5"/>
    <w:rsid w:val="00B17F80"/>
    <w:rsid w:val="00B21606"/>
    <w:rsid w:val="00B25815"/>
    <w:rsid w:val="00B27743"/>
    <w:rsid w:val="00B342C9"/>
    <w:rsid w:val="00B42AC2"/>
    <w:rsid w:val="00B452FA"/>
    <w:rsid w:val="00B47FE4"/>
    <w:rsid w:val="00B508FB"/>
    <w:rsid w:val="00B5379A"/>
    <w:rsid w:val="00B60708"/>
    <w:rsid w:val="00B616E7"/>
    <w:rsid w:val="00B65A77"/>
    <w:rsid w:val="00B66EA4"/>
    <w:rsid w:val="00B75D9A"/>
    <w:rsid w:val="00B80479"/>
    <w:rsid w:val="00B83F1E"/>
    <w:rsid w:val="00B9119D"/>
    <w:rsid w:val="00B9299A"/>
    <w:rsid w:val="00B951D7"/>
    <w:rsid w:val="00B95BA2"/>
    <w:rsid w:val="00BA6C20"/>
    <w:rsid w:val="00BA6F40"/>
    <w:rsid w:val="00BC013E"/>
    <w:rsid w:val="00BC075C"/>
    <w:rsid w:val="00BC21B5"/>
    <w:rsid w:val="00BC23FD"/>
    <w:rsid w:val="00BC2B31"/>
    <w:rsid w:val="00BC6B9E"/>
    <w:rsid w:val="00BD3D5B"/>
    <w:rsid w:val="00BE0ABB"/>
    <w:rsid w:val="00C0090B"/>
    <w:rsid w:val="00C03646"/>
    <w:rsid w:val="00C0460A"/>
    <w:rsid w:val="00C06C12"/>
    <w:rsid w:val="00C1067F"/>
    <w:rsid w:val="00C14ABD"/>
    <w:rsid w:val="00C15AF2"/>
    <w:rsid w:val="00C21C81"/>
    <w:rsid w:val="00C24221"/>
    <w:rsid w:val="00C27F89"/>
    <w:rsid w:val="00C37A47"/>
    <w:rsid w:val="00C46CB3"/>
    <w:rsid w:val="00C472D3"/>
    <w:rsid w:val="00C56936"/>
    <w:rsid w:val="00C638E5"/>
    <w:rsid w:val="00C71C58"/>
    <w:rsid w:val="00C71CAD"/>
    <w:rsid w:val="00C81AA8"/>
    <w:rsid w:val="00C83974"/>
    <w:rsid w:val="00C8501C"/>
    <w:rsid w:val="00C86494"/>
    <w:rsid w:val="00CA08E1"/>
    <w:rsid w:val="00CA30E7"/>
    <w:rsid w:val="00CA3C25"/>
    <w:rsid w:val="00CA6EF7"/>
    <w:rsid w:val="00CB4FDD"/>
    <w:rsid w:val="00CB682A"/>
    <w:rsid w:val="00CB7019"/>
    <w:rsid w:val="00CC0A73"/>
    <w:rsid w:val="00CC3E04"/>
    <w:rsid w:val="00CC4CFD"/>
    <w:rsid w:val="00CD6710"/>
    <w:rsid w:val="00CD6879"/>
    <w:rsid w:val="00CE5557"/>
    <w:rsid w:val="00CE64D1"/>
    <w:rsid w:val="00CE6C26"/>
    <w:rsid w:val="00CF0F05"/>
    <w:rsid w:val="00D01AB1"/>
    <w:rsid w:val="00D02343"/>
    <w:rsid w:val="00D03DAE"/>
    <w:rsid w:val="00D05B5D"/>
    <w:rsid w:val="00D060BC"/>
    <w:rsid w:val="00D142D4"/>
    <w:rsid w:val="00D2022B"/>
    <w:rsid w:val="00D26C31"/>
    <w:rsid w:val="00D41B28"/>
    <w:rsid w:val="00D45733"/>
    <w:rsid w:val="00D457F4"/>
    <w:rsid w:val="00D4640F"/>
    <w:rsid w:val="00D64C0E"/>
    <w:rsid w:val="00D64D88"/>
    <w:rsid w:val="00D70357"/>
    <w:rsid w:val="00D72AAA"/>
    <w:rsid w:val="00D76F7E"/>
    <w:rsid w:val="00D807DF"/>
    <w:rsid w:val="00D86C16"/>
    <w:rsid w:val="00D86CA6"/>
    <w:rsid w:val="00DA3FE4"/>
    <w:rsid w:val="00DA5FF6"/>
    <w:rsid w:val="00DC1B8E"/>
    <w:rsid w:val="00DC4BED"/>
    <w:rsid w:val="00DD1B3A"/>
    <w:rsid w:val="00DD420C"/>
    <w:rsid w:val="00DE5950"/>
    <w:rsid w:val="00DE66EF"/>
    <w:rsid w:val="00DE783B"/>
    <w:rsid w:val="00DF013F"/>
    <w:rsid w:val="00DF6D82"/>
    <w:rsid w:val="00E03293"/>
    <w:rsid w:val="00E27B76"/>
    <w:rsid w:val="00E4087A"/>
    <w:rsid w:val="00E41BCE"/>
    <w:rsid w:val="00E424E2"/>
    <w:rsid w:val="00E470E6"/>
    <w:rsid w:val="00E511AD"/>
    <w:rsid w:val="00E55E03"/>
    <w:rsid w:val="00E61F3B"/>
    <w:rsid w:val="00E62678"/>
    <w:rsid w:val="00E64945"/>
    <w:rsid w:val="00E66999"/>
    <w:rsid w:val="00E67A7B"/>
    <w:rsid w:val="00E67FB5"/>
    <w:rsid w:val="00E72A89"/>
    <w:rsid w:val="00E75EBD"/>
    <w:rsid w:val="00E7630B"/>
    <w:rsid w:val="00E763DF"/>
    <w:rsid w:val="00E82CD9"/>
    <w:rsid w:val="00E8631B"/>
    <w:rsid w:val="00EA35FB"/>
    <w:rsid w:val="00EA5B58"/>
    <w:rsid w:val="00EB4984"/>
    <w:rsid w:val="00EB4BB2"/>
    <w:rsid w:val="00EB50BE"/>
    <w:rsid w:val="00EB698D"/>
    <w:rsid w:val="00EC016D"/>
    <w:rsid w:val="00EC7EA8"/>
    <w:rsid w:val="00ED6CDB"/>
    <w:rsid w:val="00EE1075"/>
    <w:rsid w:val="00EE27C7"/>
    <w:rsid w:val="00EE3102"/>
    <w:rsid w:val="00EE4105"/>
    <w:rsid w:val="00EE74BF"/>
    <w:rsid w:val="00EE7B7F"/>
    <w:rsid w:val="00EF5C8D"/>
    <w:rsid w:val="00EF6748"/>
    <w:rsid w:val="00F01E17"/>
    <w:rsid w:val="00F03610"/>
    <w:rsid w:val="00F10F78"/>
    <w:rsid w:val="00F12658"/>
    <w:rsid w:val="00F207E1"/>
    <w:rsid w:val="00F23908"/>
    <w:rsid w:val="00F27D3C"/>
    <w:rsid w:val="00F30CD3"/>
    <w:rsid w:val="00F332A4"/>
    <w:rsid w:val="00F41537"/>
    <w:rsid w:val="00F4191B"/>
    <w:rsid w:val="00F423C1"/>
    <w:rsid w:val="00F462DD"/>
    <w:rsid w:val="00F52959"/>
    <w:rsid w:val="00F54295"/>
    <w:rsid w:val="00F552AF"/>
    <w:rsid w:val="00F61D41"/>
    <w:rsid w:val="00F71410"/>
    <w:rsid w:val="00F72F19"/>
    <w:rsid w:val="00F736E3"/>
    <w:rsid w:val="00F752FE"/>
    <w:rsid w:val="00F76A59"/>
    <w:rsid w:val="00F77665"/>
    <w:rsid w:val="00F80092"/>
    <w:rsid w:val="00F90BED"/>
    <w:rsid w:val="00F90BF7"/>
    <w:rsid w:val="00F91ED4"/>
    <w:rsid w:val="00F92E26"/>
    <w:rsid w:val="00F93F4F"/>
    <w:rsid w:val="00FA0370"/>
    <w:rsid w:val="00FA144C"/>
    <w:rsid w:val="00FA1998"/>
    <w:rsid w:val="00FA2111"/>
    <w:rsid w:val="00FA38FC"/>
    <w:rsid w:val="00FA72C5"/>
    <w:rsid w:val="00FB3C6F"/>
    <w:rsid w:val="00FB412A"/>
    <w:rsid w:val="00FB4BBE"/>
    <w:rsid w:val="00FD0B1F"/>
    <w:rsid w:val="00FD5921"/>
    <w:rsid w:val="00FE7B7D"/>
    <w:rsid w:val="00FF54E5"/>
    <w:rsid w:val="00FF6F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7D"/>
    <w:pPr>
      <w:spacing w:after="0" w:line="48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242D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0DAA"/>
    <w:pPr>
      <w:spacing w:before="100" w:beforeAutospacing="1" w:after="100" w:afterAutospacing="1" w:line="240" w:lineRule="auto"/>
    </w:pPr>
    <w:rPr>
      <w:rFonts w:eastAsia="Batang"/>
      <w:lang w:eastAsia="ko-KR"/>
    </w:rPr>
  </w:style>
  <w:style w:type="paragraph" w:styleId="FootnoteText">
    <w:name w:val="footnote text"/>
    <w:basedOn w:val="Normal"/>
    <w:link w:val="FootnoteTextChar"/>
    <w:uiPriority w:val="99"/>
    <w:semiHidden/>
    <w:unhideWhenUsed/>
    <w:rsid w:val="00F207E1"/>
    <w:pPr>
      <w:spacing w:line="240" w:lineRule="auto"/>
    </w:pPr>
    <w:rPr>
      <w:sz w:val="20"/>
      <w:szCs w:val="20"/>
    </w:rPr>
  </w:style>
  <w:style w:type="character" w:customStyle="1" w:styleId="FootnoteTextChar">
    <w:name w:val="Footnote Text Char"/>
    <w:basedOn w:val="DefaultParagraphFont"/>
    <w:link w:val="FootnoteText"/>
    <w:uiPriority w:val="99"/>
    <w:semiHidden/>
    <w:rsid w:val="00F207E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207E1"/>
    <w:rPr>
      <w:vertAlign w:val="superscript"/>
    </w:rPr>
  </w:style>
  <w:style w:type="character" w:styleId="Hyperlink">
    <w:name w:val="Hyperlink"/>
    <w:basedOn w:val="DefaultParagraphFont"/>
    <w:uiPriority w:val="99"/>
    <w:unhideWhenUsed/>
    <w:rsid w:val="00507EAB"/>
    <w:rPr>
      <w:color w:val="0000FF"/>
      <w:u w:val="single"/>
    </w:rPr>
  </w:style>
  <w:style w:type="paragraph" w:styleId="Header">
    <w:name w:val="header"/>
    <w:basedOn w:val="Normal"/>
    <w:link w:val="HeaderChar"/>
    <w:uiPriority w:val="99"/>
    <w:semiHidden/>
    <w:unhideWhenUsed/>
    <w:rsid w:val="00727B0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27B0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27B00"/>
    <w:pPr>
      <w:tabs>
        <w:tab w:val="center" w:pos="4513"/>
        <w:tab w:val="right" w:pos="9026"/>
      </w:tabs>
      <w:spacing w:line="240" w:lineRule="auto"/>
    </w:pPr>
  </w:style>
  <w:style w:type="character" w:customStyle="1" w:styleId="FooterChar">
    <w:name w:val="Footer Char"/>
    <w:basedOn w:val="DefaultParagraphFont"/>
    <w:link w:val="Footer"/>
    <w:uiPriority w:val="99"/>
    <w:rsid w:val="00727B0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D2D38"/>
    <w:pPr>
      <w:ind w:left="720"/>
      <w:contextualSpacing/>
    </w:pPr>
  </w:style>
  <w:style w:type="paragraph" w:customStyle="1" w:styleId="MyTitle">
    <w:name w:val="My Title"/>
    <w:basedOn w:val="BodyText"/>
    <w:uiPriority w:val="99"/>
    <w:rsid w:val="002C7292"/>
    <w:pPr>
      <w:spacing w:before="240" w:after="240" w:line="240" w:lineRule="auto"/>
      <w:jc w:val="center"/>
    </w:pPr>
    <w:rPr>
      <w:b/>
      <w:sz w:val="28"/>
      <w:szCs w:val="20"/>
    </w:rPr>
  </w:style>
  <w:style w:type="paragraph" w:styleId="BodyText">
    <w:name w:val="Body Text"/>
    <w:basedOn w:val="Normal"/>
    <w:link w:val="BodyTextChar"/>
    <w:uiPriority w:val="99"/>
    <w:semiHidden/>
    <w:unhideWhenUsed/>
    <w:rsid w:val="002C7292"/>
    <w:pPr>
      <w:spacing w:after="120"/>
    </w:pPr>
  </w:style>
  <w:style w:type="character" w:customStyle="1" w:styleId="BodyTextChar">
    <w:name w:val="Body Text Char"/>
    <w:basedOn w:val="DefaultParagraphFont"/>
    <w:link w:val="BodyText"/>
    <w:uiPriority w:val="99"/>
    <w:semiHidden/>
    <w:rsid w:val="002C7292"/>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91352A"/>
    <w:pPr>
      <w:spacing w:line="240" w:lineRule="auto"/>
    </w:pPr>
    <w:rPr>
      <w:sz w:val="20"/>
      <w:szCs w:val="20"/>
    </w:rPr>
  </w:style>
  <w:style w:type="character" w:customStyle="1" w:styleId="EndnoteTextChar">
    <w:name w:val="Endnote Text Char"/>
    <w:basedOn w:val="DefaultParagraphFont"/>
    <w:link w:val="EndnoteText"/>
    <w:uiPriority w:val="99"/>
    <w:semiHidden/>
    <w:rsid w:val="0091352A"/>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1352A"/>
    <w:rPr>
      <w:vertAlign w:val="superscript"/>
    </w:rPr>
  </w:style>
  <w:style w:type="table" w:styleId="TableGrid">
    <w:name w:val="Table Grid"/>
    <w:basedOn w:val="TableNormal"/>
    <w:uiPriority w:val="59"/>
    <w:rsid w:val="0026040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7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9A"/>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A242D3"/>
    <w:rPr>
      <w:rFonts w:asciiTheme="majorHAnsi" w:eastAsiaTheme="majorEastAsia" w:hAnsiTheme="majorHAnsi" w:cstheme="majorBidi"/>
      <w:color w:val="365F91" w:themeColor="accent1" w:themeShade="BF"/>
      <w:sz w:val="32"/>
      <w:szCs w:val="32"/>
      <w:lang w:val="en-US"/>
    </w:rPr>
  </w:style>
  <w:style w:type="paragraph" w:styleId="Title">
    <w:name w:val="Title"/>
    <w:basedOn w:val="Normal"/>
    <w:link w:val="TitleChar"/>
    <w:qFormat/>
    <w:rsid w:val="00B47FE4"/>
    <w:pPr>
      <w:widowControl w:val="0"/>
      <w:tabs>
        <w:tab w:val="center" w:pos="5040"/>
      </w:tabs>
      <w:snapToGrid w:val="0"/>
      <w:spacing w:line="240" w:lineRule="auto"/>
      <w:jc w:val="center"/>
    </w:pPr>
    <w:rPr>
      <w:rFonts w:ascii="CG Times" w:hAnsi="CG Times"/>
      <w:b/>
      <w:sz w:val="56"/>
      <w:szCs w:val="20"/>
    </w:rPr>
  </w:style>
  <w:style w:type="character" w:customStyle="1" w:styleId="TitleChar">
    <w:name w:val="Title Char"/>
    <w:basedOn w:val="DefaultParagraphFont"/>
    <w:link w:val="Title"/>
    <w:rsid w:val="00B47FE4"/>
    <w:rPr>
      <w:rFonts w:ascii="CG Times" w:eastAsia="Times New Roman" w:hAnsi="CG Times" w:cs="Times New Roman"/>
      <w:b/>
      <w:sz w:val="56"/>
      <w:szCs w:val="20"/>
      <w:lang w:val="en-US"/>
    </w:rPr>
  </w:style>
  <w:style w:type="paragraph" w:customStyle="1" w:styleId="Default">
    <w:name w:val="Default"/>
    <w:rsid w:val="00B47FE4"/>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paragraph" w:customStyle="1" w:styleId="CM1">
    <w:name w:val="CM1"/>
    <w:basedOn w:val="Default"/>
    <w:next w:val="Default"/>
    <w:rsid w:val="00B47FE4"/>
    <w:pPr>
      <w:widowControl w:val="0"/>
      <w:spacing w:line="323" w:lineRule="atLeast"/>
    </w:pPr>
    <w:rPr>
      <w:color w:val="auto"/>
      <w:lang w:val="en-US" w:eastAsia="en-US"/>
    </w:rPr>
  </w:style>
  <w:style w:type="paragraph" w:customStyle="1" w:styleId="CM20">
    <w:name w:val="CM20"/>
    <w:basedOn w:val="Default"/>
    <w:next w:val="Default"/>
    <w:rsid w:val="00B47FE4"/>
    <w:pPr>
      <w:widowControl w:val="0"/>
      <w:spacing w:after="1503"/>
    </w:pPr>
    <w:rPr>
      <w:color w:val="auto"/>
      <w:lang w:val="en-US" w:eastAsia="en-US"/>
    </w:rPr>
  </w:style>
  <w:style w:type="paragraph" w:customStyle="1" w:styleId="CM3">
    <w:name w:val="CM3"/>
    <w:basedOn w:val="Default"/>
    <w:next w:val="Default"/>
    <w:rsid w:val="00B47FE4"/>
    <w:pPr>
      <w:widowControl w:val="0"/>
    </w:pPr>
    <w:rPr>
      <w:color w:val="auto"/>
      <w:lang w:val="en-US" w:eastAsia="en-US"/>
    </w:rPr>
  </w:style>
  <w:style w:type="paragraph" w:customStyle="1" w:styleId="CM21">
    <w:name w:val="CM21"/>
    <w:basedOn w:val="Default"/>
    <w:next w:val="Default"/>
    <w:rsid w:val="00B47FE4"/>
    <w:pPr>
      <w:widowControl w:val="0"/>
      <w:spacing w:after="513"/>
    </w:pPr>
    <w:rPr>
      <w:color w:val="auto"/>
      <w:lang w:val="en-US" w:eastAsia="en-US"/>
    </w:rPr>
  </w:style>
  <w:style w:type="paragraph" w:customStyle="1" w:styleId="CM22">
    <w:name w:val="CM22"/>
    <w:basedOn w:val="Default"/>
    <w:next w:val="Default"/>
    <w:rsid w:val="00B47FE4"/>
    <w:pPr>
      <w:widowControl w:val="0"/>
      <w:spacing w:after="65"/>
    </w:pPr>
    <w:rPr>
      <w:color w:val="auto"/>
      <w:lang w:val="en-US" w:eastAsia="en-US"/>
    </w:rPr>
  </w:style>
  <w:style w:type="paragraph" w:customStyle="1" w:styleId="CM4">
    <w:name w:val="CM4"/>
    <w:basedOn w:val="Default"/>
    <w:next w:val="Default"/>
    <w:rsid w:val="00B47FE4"/>
    <w:pPr>
      <w:widowControl w:val="0"/>
      <w:spacing w:line="253" w:lineRule="atLeast"/>
    </w:pPr>
    <w:rPr>
      <w:color w:val="auto"/>
      <w:lang w:val="en-US" w:eastAsia="en-US"/>
    </w:rPr>
  </w:style>
  <w:style w:type="paragraph" w:customStyle="1" w:styleId="CM23">
    <w:name w:val="CM23"/>
    <w:basedOn w:val="Default"/>
    <w:next w:val="Default"/>
    <w:rsid w:val="00B47FE4"/>
    <w:pPr>
      <w:widowControl w:val="0"/>
      <w:spacing w:after="233"/>
    </w:pPr>
    <w:rPr>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7D"/>
    <w:pPr>
      <w:spacing w:after="0" w:line="48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242D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0DAA"/>
    <w:pPr>
      <w:spacing w:before="100" w:beforeAutospacing="1" w:after="100" w:afterAutospacing="1" w:line="240" w:lineRule="auto"/>
    </w:pPr>
    <w:rPr>
      <w:rFonts w:eastAsia="Batang"/>
      <w:lang w:eastAsia="ko-KR"/>
    </w:rPr>
  </w:style>
  <w:style w:type="paragraph" w:styleId="FootnoteText">
    <w:name w:val="footnote text"/>
    <w:basedOn w:val="Normal"/>
    <w:link w:val="FootnoteTextChar"/>
    <w:uiPriority w:val="99"/>
    <w:semiHidden/>
    <w:unhideWhenUsed/>
    <w:rsid w:val="00F207E1"/>
    <w:pPr>
      <w:spacing w:line="240" w:lineRule="auto"/>
    </w:pPr>
    <w:rPr>
      <w:sz w:val="20"/>
      <w:szCs w:val="20"/>
    </w:rPr>
  </w:style>
  <w:style w:type="character" w:customStyle="1" w:styleId="FootnoteTextChar">
    <w:name w:val="Footnote Text Char"/>
    <w:basedOn w:val="DefaultParagraphFont"/>
    <w:link w:val="FootnoteText"/>
    <w:uiPriority w:val="99"/>
    <w:semiHidden/>
    <w:rsid w:val="00F207E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207E1"/>
    <w:rPr>
      <w:vertAlign w:val="superscript"/>
    </w:rPr>
  </w:style>
  <w:style w:type="character" w:styleId="Hyperlink">
    <w:name w:val="Hyperlink"/>
    <w:basedOn w:val="DefaultParagraphFont"/>
    <w:uiPriority w:val="99"/>
    <w:unhideWhenUsed/>
    <w:rsid w:val="00507EAB"/>
    <w:rPr>
      <w:color w:val="0000FF"/>
      <w:u w:val="single"/>
    </w:rPr>
  </w:style>
  <w:style w:type="paragraph" w:styleId="Header">
    <w:name w:val="header"/>
    <w:basedOn w:val="Normal"/>
    <w:link w:val="HeaderChar"/>
    <w:uiPriority w:val="99"/>
    <w:semiHidden/>
    <w:unhideWhenUsed/>
    <w:rsid w:val="00727B0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27B0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27B00"/>
    <w:pPr>
      <w:tabs>
        <w:tab w:val="center" w:pos="4513"/>
        <w:tab w:val="right" w:pos="9026"/>
      </w:tabs>
      <w:spacing w:line="240" w:lineRule="auto"/>
    </w:pPr>
  </w:style>
  <w:style w:type="character" w:customStyle="1" w:styleId="FooterChar">
    <w:name w:val="Footer Char"/>
    <w:basedOn w:val="DefaultParagraphFont"/>
    <w:link w:val="Footer"/>
    <w:uiPriority w:val="99"/>
    <w:rsid w:val="00727B0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D2D38"/>
    <w:pPr>
      <w:ind w:left="720"/>
      <w:contextualSpacing/>
    </w:pPr>
  </w:style>
  <w:style w:type="paragraph" w:customStyle="1" w:styleId="MyTitle">
    <w:name w:val="My Title"/>
    <w:basedOn w:val="BodyText"/>
    <w:uiPriority w:val="99"/>
    <w:rsid w:val="002C7292"/>
    <w:pPr>
      <w:spacing w:before="240" w:after="240" w:line="240" w:lineRule="auto"/>
      <w:jc w:val="center"/>
    </w:pPr>
    <w:rPr>
      <w:b/>
      <w:sz w:val="28"/>
      <w:szCs w:val="20"/>
    </w:rPr>
  </w:style>
  <w:style w:type="paragraph" w:styleId="BodyText">
    <w:name w:val="Body Text"/>
    <w:basedOn w:val="Normal"/>
    <w:link w:val="BodyTextChar"/>
    <w:uiPriority w:val="99"/>
    <w:semiHidden/>
    <w:unhideWhenUsed/>
    <w:rsid w:val="002C7292"/>
    <w:pPr>
      <w:spacing w:after="120"/>
    </w:pPr>
  </w:style>
  <w:style w:type="character" w:customStyle="1" w:styleId="BodyTextChar">
    <w:name w:val="Body Text Char"/>
    <w:basedOn w:val="DefaultParagraphFont"/>
    <w:link w:val="BodyText"/>
    <w:uiPriority w:val="99"/>
    <w:semiHidden/>
    <w:rsid w:val="002C7292"/>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91352A"/>
    <w:pPr>
      <w:spacing w:line="240" w:lineRule="auto"/>
    </w:pPr>
    <w:rPr>
      <w:sz w:val="20"/>
      <w:szCs w:val="20"/>
    </w:rPr>
  </w:style>
  <w:style w:type="character" w:customStyle="1" w:styleId="EndnoteTextChar">
    <w:name w:val="Endnote Text Char"/>
    <w:basedOn w:val="DefaultParagraphFont"/>
    <w:link w:val="EndnoteText"/>
    <w:uiPriority w:val="99"/>
    <w:semiHidden/>
    <w:rsid w:val="0091352A"/>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1352A"/>
    <w:rPr>
      <w:vertAlign w:val="superscript"/>
    </w:rPr>
  </w:style>
  <w:style w:type="table" w:styleId="TableGrid">
    <w:name w:val="Table Grid"/>
    <w:basedOn w:val="TableNormal"/>
    <w:uiPriority w:val="59"/>
    <w:rsid w:val="0026040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7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9A"/>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A242D3"/>
    <w:rPr>
      <w:rFonts w:asciiTheme="majorHAnsi" w:eastAsiaTheme="majorEastAsia" w:hAnsiTheme="majorHAnsi" w:cstheme="majorBidi"/>
      <w:color w:val="365F91" w:themeColor="accent1" w:themeShade="BF"/>
      <w:sz w:val="32"/>
      <w:szCs w:val="32"/>
      <w:lang w:val="en-US"/>
    </w:rPr>
  </w:style>
  <w:style w:type="paragraph" w:styleId="Title">
    <w:name w:val="Title"/>
    <w:basedOn w:val="Normal"/>
    <w:link w:val="TitleChar"/>
    <w:qFormat/>
    <w:rsid w:val="00B47FE4"/>
    <w:pPr>
      <w:widowControl w:val="0"/>
      <w:tabs>
        <w:tab w:val="center" w:pos="5040"/>
      </w:tabs>
      <w:snapToGrid w:val="0"/>
      <w:spacing w:line="240" w:lineRule="auto"/>
      <w:jc w:val="center"/>
    </w:pPr>
    <w:rPr>
      <w:rFonts w:ascii="CG Times" w:hAnsi="CG Times"/>
      <w:b/>
      <w:sz w:val="56"/>
      <w:szCs w:val="20"/>
    </w:rPr>
  </w:style>
  <w:style w:type="character" w:customStyle="1" w:styleId="TitleChar">
    <w:name w:val="Title Char"/>
    <w:basedOn w:val="DefaultParagraphFont"/>
    <w:link w:val="Title"/>
    <w:rsid w:val="00B47FE4"/>
    <w:rPr>
      <w:rFonts w:ascii="CG Times" w:eastAsia="Times New Roman" w:hAnsi="CG Times" w:cs="Times New Roman"/>
      <w:b/>
      <w:sz w:val="56"/>
      <w:szCs w:val="20"/>
      <w:lang w:val="en-US"/>
    </w:rPr>
  </w:style>
  <w:style w:type="paragraph" w:customStyle="1" w:styleId="Default">
    <w:name w:val="Default"/>
    <w:rsid w:val="00B47FE4"/>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paragraph" w:customStyle="1" w:styleId="CM1">
    <w:name w:val="CM1"/>
    <w:basedOn w:val="Default"/>
    <w:next w:val="Default"/>
    <w:rsid w:val="00B47FE4"/>
    <w:pPr>
      <w:widowControl w:val="0"/>
      <w:spacing w:line="323" w:lineRule="atLeast"/>
    </w:pPr>
    <w:rPr>
      <w:color w:val="auto"/>
      <w:lang w:val="en-US" w:eastAsia="en-US"/>
    </w:rPr>
  </w:style>
  <w:style w:type="paragraph" w:customStyle="1" w:styleId="CM20">
    <w:name w:val="CM20"/>
    <w:basedOn w:val="Default"/>
    <w:next w:val="Default"/>
    <w:rsid w:val="00B47FE4"/>
    <w:pPr>
      <w:widowControl w:val="0"/>
      <w:spacing w:after="1503"/>
    </w:pPr>
    <w:rPr>
      <w:color w:val="auto"/>
      <w:lang w:val="en-US" w:eastAsia="en-US"/>
    </w:rPr>
  </w:style>
  <w:style w:type="paragraph" w:customStyle="1" w:styleId="CM3">
    <w:name w:val="CM3"/>
    <w:basedOn w:val="Default"/>
    <w:next w:val="Default"/>
    <w:rsid w:val="00B47FE4"/>
    <w:pPr>
      <w:widowControl w:val="0"/>
    </w:pPr>
    <w:rPr>
      <w:color w:val="auto"/>
      <w:lang w:val="en-US" w:eastAsia="en-US"/>
    </w:rPr>
  </w:style>
  <w:style w:type="paragraph" w:customStyle="1" w:styleId="CM21">
    <w:name w:val="CM21"/>
    <w:basedOn w:val="Default"/>
    <w:next w:val="Default"/>
    <w:rsid w:val="00B47FE4"/>
    <w:pPr>
      <w:widowControl w:val="0"/>
      <w:spacing w:after="513"/>
    </w:pPr>
    <w:rPr>
      <w:color w:val="auto"/>
      <w:lang w:val="en-US" w:eastAsia="en-US"/>
    </w:rPr>
  </w:style>
  <w:style w:type="paragraph" w:customStyle="1" w:styleId="CM22">
    <w:name w:val="CM22"/>
    <w:basedOn w:val="Default"/>
    <w:next w:val="Default"/>
    <w:rsid w:val="00B47FE4"/>
    <w:pPr>
      <w:widowControl w:val="0"/>
      <w:spacing w:after="65"/>
    </w:pPr>
    <w:rPr>
      <w:color w:val="auto"/>
      <w:lang w:val="en-US" w:eastAsia="en-US"/>
    </w:rPr>
  </w:style>
  <w:style w:type="paragraph" w:customStyle="1" w:styleId="CM4">
    <w:name w:val="CM4"/>
    <w:basedOn w:val="Default"/>
    <w:next w:val="Default"/>
    <w:rsid w:val="00B47FE4"/>
    <w:pPr>
      <w:widowControl w:val="0"/>
      <w:spacing w:line="253" w:lineRule="atLeast"/>
    </w:pPr>
    <w:rPr>
      <w:color w:val="auto"/>
      <w:lang w:val="en-US" w:eastAsia="en-US"/>
    </w:rPr>
  </w:style>
  <w:style w:type="paragraph" w:customStyle="1" w:styleId="CM23">
    <w:name w:val="CM23"/>
    <w:basedOn w:val="Default"/>
    <w:next w:val="Default"/>
    <w:rsid w:val="00B47FE4"/>
    <w:pPr>
      <w:widowControl w:val="0"/>
      <w:spacing w:after="233"/>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2922">
      <w:bodyDiv w:val="1"/>
      <w:marLeft w:val="0"/>
      <w:marRight w:val="0"/>
      <w:marTop w:val="0"/>
      <w:marBottom w:val="0"/>
      <w:divBdr>
        <w:top w:val="none" w:sz="0" w:space="0" w:color="auto"/>
        <w:left w:val="none" w:sz="0" w:space="0" w:color="auto"/>
        <w:bottom w:val="none" w:sz="0" w:space="0" w:color="auto"/>
        <w:right w:val="none" w:sz="0" w:space="0" w:color="auto"/>
      </w:divBdr>
    </w:div>
    <w:div w:id="95102805">
      <w:bodyDiv w:val="1"/>
      <w:marLeft w:val="0"/>
      <w:marRight w:val="0"/>
      <w:marTop w:val="0"/>
      <w:marBottom w:val="0"/>
      <w:divBdr>
        <w:top w:val="none" w:sz="0" w:space="0" w:color="auto"/>
        <w:left w:val="none" w:sz="0" w:space="0" w:color="auto"/>
        <w:bottom w:val="none" w:sz="0" w:space="0" w:color="auto"/>
        <w:right w:val="none" w:sz="0" w:space="0" w:color="auto"/>
      </w:divBdr>
    </w:div>
    <w:div w:id="578490100">
      <w:bodyDiv w:val="1"/>
      <w:marLeft w:val="0"/>
      <w:marRight w:val="0"/>
      <w:marTop w:val="0"/>
      <w:marBottom w:val="0"/>
      <w:divBdr>
        <w:top w:val="none" w:sz="0" w:space="0" w:color="auto"/>
        <w:left w:val="none" w:sz="0" w:space="0" w:color="auto"/>
        <w:bottom w:val="none" w:sz="0" w:space="0" w:color="auto"/>
        <w:right w:val="none" w:sz="0" w:space="0" w:color="auto"/>
      </w:divBdr>
    </w:div>
    <w:div w:id="1616135873">
      <w:bodyDiv w:val="1"/>
      <w:marLeft w:val="0"/>
      <w:marRight w:val="0"/>
      <w:marTop w:val="0"/>
      <w:marBottom w:val="0"/>
      <w:divBdr>
        <w:top w:val="none" w:sz="0" w:space="0" w:color="auto"/>
        <w:left w:val="none" w:sz="0" w:space="0" w:color="auto"/>
        <w:bottom w:val="none" w:sz="0" w:space="0" w:color="auto"/>
        <w:right w:val="none" w:sz="0" w:space="0" w:color="auto"/>
      </w:divBdr>
    </w:div>
    <w:div w:id="1716346672">
      <w:bodyDiv w:val="1"/>
      <w:marLeft w:val="0"/>
      <w:marRight w:val="0"/>
      <w:marTop w:val="0"/>
      <w:marBottom w:val="0"/>
      <w:divBdr>
        <w:top w:val="none" w:sz="0" w:space="0" w:color="auto"/>
        <w:left w:val="none" w:sz="0" w:space="0" w:color="auto"/>
        <w:bottom w:val="none" w:sz="0" w:space="0" w:color="auto"/>
        <w:right w:val="none" w:sz="0" w:space="0" w:color="auto"/>
      </w:divBdr>
    </w:div>
    <w:div w:id="1790926486">
      <w:bodyDiv w:val="1"/>
      <w:marLeft w:val="0"/>
      <w:marRight w:val="0"/>
      <w:marTop w:val="0"/>
      <w:marBottom w:val="0"/>
      <w:divBdr>
        <w:top w:val="none" w:sz="0" w:space="0" w:color="auto"/>
        <w:left w:val="none" w:sz="0" w:space="0" w:color="auto"/>
        <w:bottom w:val="none" w:sz="0" w:space="0" w:color="auto"/>
        <w:right w:val="none" w:sz="0" w:space="0" w:color="auto"/>
      </w:divBdr>
    </w:div>
    <w:div w:id="2011179678">
      <w:bodyDiv w:val="1"/>
      <w:marLeft w:val="0"/>
      <w:marRight w:val="0"/>
      <w:marTop w:val="0"/>
      <w:marBottom w:val="0"/>
      <w:divBdr>
        <w:top w:val="none" w:sz="0" w:space="0" w:color="auto"/>
        <w:left w:val="none" w:sz="0" w:space="0" w:color="auto"/>
        <w:bottom w:val="none" w:sz="0" w:space="0" w:color="auto"/>
        <w:right w:val="none" w:sz="0" w:space="0" w:color="auto"/>
      </w:divBdr>
      <w:divsChild>
        <w:div w:id="2124181638">
          <w:marLeft w:val="0"/>
          <w:marRight w:val="0"/>
          <w:marTop w:val="0"/>
          <w:marBottom w:val="0"/>
          <w:divBdr>
            <w:top w:val="none" w:sz="0" w:space="0" w:color="auto"/>
            <w:left w:val="none" w:sz="0" w:space="0" w:color="auto"/>
            <w:bottom w:val="none" w:sz="0" w:space="0" w:color="auto"/>
            <w:right w:val="none" w:sz="0" w:space="0" w:color="auto"/>
          </w:divBdr>
        </w:div>
      </w:divsChild>
    </w:div>
    <w:div w:id="21108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image" Target="media/image23.wmf"/><Relationship Id="rId63" Type="http://schemas.openxmlformats.org/officeDocument/2006/relationships/image" Target="media/image28.jpe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2.wmf"/><Relationship Id="rId58" Type="http://schemas.openxmlformats.org/officeDocument/2006/relationships/image" Target="media/image25.wmf"/><Relationship Id="rId66" Type="http://schemas.openxmlformats.org/officeDocument/2006/relationships/hyperlink" Target="http://www.ihsn.org/home/node/34"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image" Target="media/image24.emf"/><Relationship Id="rId61" Type="http://schemas.openxmlformats.org/officeDocument/2006/relationships/oleObject" Target="embeddings/oleObject28.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6.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0.wmf"/><Relationship Id="rId56" Type="http://schemas.openxmlformats.org/officeDocument/2006/relationships/oleObject" Target="embeddings/oleObject26.bin"/><Relationship Id="rId64" Type="http://schemas.openxmlformats.org/officeDocument/2006/relationships/image" Target="media/image29.wmf"/><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21.w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image" Target="media/image2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5F7AC-AB2A-45E7-B67E-8270E109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5798</TotalTime>
  <Pages>23</Pages>
  <Words>7598</Words>
  <Characters>43312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50809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Gibson</dc:creator>
  <cp:lastModifiedBy>Brian Silverstone</cp:lastModifiedBy>
  <cp:revision>127</cp:revision>
  <cp:lastPrinted>2016-07-26T20:42:00Z</cp:lastPrinted>
  <dcterms:created xsi:type="dcterms:W3CDTF">2016-07-18T23:21:00Z</dcterms:created>
  <dcterms:modified xsi:type="dcterms:W3CDTF">2016-08-08T22:33:00Z</dcterms:modified>
</cp:coreProperties>
</file>