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8C" w:rsidRDefault="00DF388C" w:rsidP="006E7AA1">
      <w:pPr>
        <w:pStyle w:val="PlainText"/>
        <w:tabs>
          <w:tab w:val="left" w:pos="284"/>
        </w:tabs>
        <w:jc w:val="center"/>
        <w:rPr>
          <w:rFonts w:ascii="Times New Roman" w:hAnsi="Times New Roman"/>
          <w:b/>
          <w:sz w:val="28"/>
        </w:rPr>
      </w:pPr>
      <w:bookmarkStart w:id="0" w:name="_GoBack"/>
      <w:bookmarkEnd w:id="0"/>
    </w:p>
    <w:p w:rsidR="00C809F1" w:rsidRDefault="00C809F1" w:rsidP="006E7AA1">
      <w:pPr>
        <w:pStyle w:val="PlainText"/>
        <w:tabs>
          <w:tab w:val="left" w:pos="284"/>
        </w:tabs>
        <w:jc w:val="center"/>
        <w:rPr>
          <w:rFonts w:ascii="Times New Roman" w:hAnsi="Times New Roman"/>
          <w:b/>
          <w:sz w:val="28"/>
        </w:rPr>
      </w:pPr>
    </w:p>
    <w:p w:rsidR="00DF388C" w:rsidRDefault="00DF388C" w:rsidP="006E7AA1">
      <w:pPr>
        <w:pStyle w:val="PlainText"/>
        <w:tabs>
          <w:tab w:val="left" w:pos="284"/>
        </w:tabs>
        <w:jc w:val="center"/>
        <w:rPr>
          <w:rFonts w:ascii="Times New Roman" w:hAnsi="Times New Roman"/>
          <w:b/>
          <w:sz w:val="28"/>
        </w:rPr>
      </w:pPr>
    </w:p>
    <w:p w:rsidR="00DF388C" w:rsidRDefault="00DF388C" w:rsidP="006E7AA1">
      <w:pPr>
        <w:pStyle w:val="PlainText"/>
        <w:tabs>
          <w:tab w:val="left" w:pos="284"/>
        </w:tabs>
        <w:jc w:val="center"/>
        <w:rPr>
          <w:rFonts w:ascii="Times New Roman" w:hAnsi="Times New Roman"/>
          <w:b/>
          <w:sz w:val="28"/>
        </w:rPr>
      </w:pPr>
    </w:p>
    <w:p w:rsidR="00DF388C" w:rsidRDefault="00DF388C" w:rsidP="006E7AA1">
      <w:pPr>
        <w:pStyle w:val="PlainText"/>
        <w:tabs>
          <w:tab w:val="left" w:pos="284"/>
        </w:tabs>
        <w:jc w:val="center"/>
        <w:rPr>
          <w:rFonts w:ascii="Times New Roman" w:hAnsi="Times New Roman"/>
          <w:b/>
          <w:sz w:val="28"/>
        </w:rPr>
      </w:pPr>
    </w:p>
    <w:p w:rsidR="006E7AA1" w:rsidRDefault="006E7AA1" w:rsidP="006E7AA1">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6E7AA1" w:rsidRDefault="006E7AA1" w:rsidP="006E7AA1">
      <w:pPr>
        <w:pStyle w:val="PlainText"/>
        <w:tabs>
          <w:tab w:val="left" w:pos="284"/>
        </w:tabs>
        <w:jc w:val="center"/>
        <w:rPr>
          <w:rFonts w:ascii="Times New Roman" w:hAnsi="Times New Roman"/>
          <w:b/>
          <w:sz w:val="28"/>
        </w:rPr>
      </w:pPr>
    </w:p>
    <w:p w:rsidR="006E7AA1" w:rsidRDefault="006E7AA1" w:rsidP="006E7AA1">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6E7AA1" w:rsidRDefault="006E7AA1" w:rsidP="006E7AA1">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6E7AA1" w:rsidRDefault="006E7AA1" w:rsidP="006E7AA1">
      <w:pPr>
        <w:pStyle w:val="PlainText"/>
        <w:tabs>
          <w:tab w:val="left" w:pos="284"/>
        </w:tabs>
        <w:jc w:val="center"/>
        <w:rPr>
          <w:rFonts w:ascii="Times New Roman" w:hAnsi="Times New Roman"/>
          <w:b/>
          <w:sz w:val="28"/>
        </w:rPr>
      </w:pPr>
    </w:p>
    <w:p w:rsidR="006E7AA1" w:rsidRDefault="006E7AA1" w:rsidP="006E7AA1">
      <w:pPr>
        <w:pStyle w:val="PlainText"/>
        <w:tabs>
          <w:tab w:val="left" w:pos="284"/>
        </w:tabs>
        <w:jc w:val="center"/>
        <w:rPr>
          <w:rFonts w:ascii="Times New Roman" w:hAnsi="Times New Roman"/>
          <w:b/>
          <w:sz w:val="28"/>
        </w:rPr>
      </w:pPr>
    </w:p>
    <w:p w:rsidR="006E7AA1" w:rsidRDefault="006E7AA1" w:rsidP="006E7AA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rPr>
      </w:pPr>
    </w:p>
    <w:p w:rsidR="006E7AA1" w:rsidRDefault="00126D3D" w:rsidP="006E7AA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8"/>
          <w:szCs w:val="28"/>
        </w:rPr>
      </w:pPr>
      <w:r>
        <w:rPr>
          <w:rFonts w:ascii="Times New Roman" w:hAnsi="Times New Roman"/>
          <w:b/>
          <w:sz w:val="28"/>
          <w:szCs w:val="28"/>
        </w:rPr>
        <w:t>Do Siblings Take Your Food Away?</w:t>
      </w:r>
    </w:p>
    <w:p w:rsidR="006E7AA1" w:rsidRDefault="006E7AA1" w:rsidP="006E7AA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8"/>
          <w:szCs w:val="28"/>
        </w:rPr>
      </w:pPr>
      <w:r>
        <w:rPr>
          <w:rFonts w:ascii="Times New Roman" w:hAnsi="Times New Roman"/>
          <w:b/>
          <w:sz w:val="28"/>
          <w:szCs w:val="28"/>
        </w:rPr>
        <w:t>Using China's One-Child Policy</w:t>
      </w:r>
    </w:p>
    <w:p w:rsidR="006E7AA1" w:rsidRDefault="006E7AA1" w:rsidP="006E7AA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00" w:lineRule="auto"/>
        <w:jc w:val="center"/>
        <w:rPr>
          <w:rFonts w:ascii="Times New Roman" w:hAnsi="Times New Roman"/>
          <w:b/>
          <w:sz w:val="28"/>
          <w:szCs w:val="28"/>
        </w:rPr>
      </w:pPr>
      <w:proofErr w:type="gramStart"/>
      <w:r>
        <w:rPr>
          <w:rFonts w:ascii="Times New Roman" w:hAnsi="Times New Roman"/>
          <w:b/>
          <w:sz w:val="28"/>
          <w:szCs w:val="28"/>
        </w:rPr>
        <w:t>to</w:t>
      </w:r>
      <w:proofErr w:type="gramEnd"/>
      <w:r>
        <w:rPr>
          <w:rFonts w:ascii="Times New Roman" w:hAnsi="Times New Roman"/>
          <w:b/>
          <w:sz w:val="28"/>
          <w:szCs w:val="28"/>
        </w:rPr>
        <w:t xml:space="preserve"> Test for Child Quantity-Quality</w:t>
      </w:r>
      <w:r w:rsidR="008477B0">
        <w:rPr>
          <w:rFonts w:ascii="Times New Roman" w:hAnsi="Times New Roman"/>
          <w:b/>
          <w:sz w:val="28"/>
          <w:szCs w:val="28"/>
        </w:rPr>
        <w:t xml:space="preserve"> </w:t>
      </w:r>
      <w:r>
        <w:rPr>
          <w:rFonts w:ascii="Times New Roman" w:hAnsi="Times New Roman"/>
          <w:b/>
          <w:sz w:val="28"/>
          <w:szCs w:val="28"/>
        </w:rPr>
        <w:t>Trade-Offs</w:t>
      </w:r>
    </w:p>
    <w:p w:rsidR="006E7AA1" w:rsidRPr="00BD1746" w:rsidRDefault="006E7AA1" w:rsidP="006E7AA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rPr>
      </w:pPr>
      <w:r>
        <w:rPr>
          <w:rFonts w:ascii="Times New Roman" w:hAnsi="Times New Roman"/>
          <w:b/>
          <w:sz w:val="28"/>
          <w:szCs w:val="28"/>
        </w:rPr>
        <w:t xml:space="preserve"> </w:t>
      </w:r>
    </w:p>
    <w:p w:rsidR="006E7AA1" w:rsidRDefault="006E7AA1" w:rsidP="006E7AA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Yun Liang and John Gibson </w:t>
      </w:r>
    </w:p>
    <w:p w:rsidR="006E7AA1" w:rsidRDefault="006E7AA1" w:rsidP="006E7AA1">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6E7AA1" w:rsidRDefault="006E7AA1" w:rsidP="006E7AA1">
      <w:pPr>
        <w:pStyle w:val="PlainText"/>
        <w:tabs>
          <w:tab w:val="left" w:pos="284"/>
        </w:tabs>
        <w:jc w:val="both"/>
        <w:rPr>
          <w:rFonts w:ascii="Times New Roman" w:hAnsi="Times New Roman"/>
          <w:b/>
          <w:sz w:val="28"/>
        </w:rPr>
      </w:pPr>
    </w:p>
    <w:p w:rsidR="006E7AA1" w:rsidRDefault="006E7AA1" w:rsidP="006E7AA1">
      <w:pPr>
        <w:pStyle w:val="PlainText"/>
        <w:tabs>
          <w:tab w:val="left" w:pos="284"/>
        </w:tabs>
        <w:jc w:val="both"/>
        <w:rPr>
          <w:rFonts w:ascii="Times New Roman" w:hAnsi="Times New Roman"/>
          <w:b/>
          <w:sz w:val="28"/>
        </w:rPr>
      </w:pPr>
    </w:p>
    <w:p w:rsidR="006E7AA1" w:rsidRDefault="006E7AA1" w:rsidP="006E7AA1">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6E7AA1" w:rsidRDefault="006E7AA1" w:rsidP="006E7AA1">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01/17</w:t>
      </w:r>
    </w:p>
    <w:p w:rsidR="006E7AA1" w:rsidRDefault="006E7AA1" w:rsidP="006E7AA1">
      <w:pPr>
        <w:pStyle w:val="PlainText"/>
        <w:tabs>
          <w:tab w:val="left" w:pos="284"/>
        </w:tabs>
        <w:spacing w:before="100" w:line="360" w:lineRule="auto"/>
        <w:jc w:val="center"/>
        <w:rPr>
          <w:rFonts w:ascii="Times New Roman" w:hAnsi="Times New Roman"/>
          <w:sz w:val="28"/>
        </w:rPr>
      </w:pPr>
      <w:r>
        <w:rPr>
          <w:rFonts w:ascii="Times New Roman" w:hAnsi="Times New Roman"/>
          <w:sz w:val="28"/>
        </w:rPr>
        <w:t>January 2017</w:t>
      </w:r>
    </w:p>
    <w:p w:rsidR="006E7AA1" w:rsidRDefault="006E7AA1" w:rsidP="006E7AA1">
      <w:pPr>
        <w:pStyle w:val="PlainText"/>
        <w:tabs>
          <w:tab w:val="left" w:pos="284"/>
        </w:tabs>
        <w:spacing w:before="100" w:line="360" w:lineRule="auto"/>
        <w:jc w:val="center"/>
        <w:rPr>
          <w:rFonts w:ascii="Times New Roman" w:hAnsi="Times New Roman"/>
          <w:sz w:val="28"/>
        </w:rPr>
      </w:pPr>
    </w:p>
    <w:tbl>
      <w:tblPr>
        <w:tblW w:w="0" w:type="auto"/>
        <w:tblLook w:val="04A0" w:firstRow="1" w:lastRow="0" w:firstColumn="1" w:lastColumn="0" w:noHBand="0" w:noVBand="1"/>
      </w:tblPr>
      <w:tblGrid>
        <w:gridCol w:w="4621"/>
        <w:gridCol w:w="4621"/>
      </w:tblGrid>
      <w:tr w:rsidR="006E7AA1" w:rsidRPr="00AF2BCD" w:rsidTr="00126D3D">
        <w:tc>
          <w:tcPr>
            <w:tcW w:w="4621" w:type="dxa"/>
          </w:tcPr>
          <w:p w:rsidR="00E7067A" w:rsidRPr="00D53EB4" w:rsidRDefault="00E7067A" w:rsidP="00E7067A">
            <w:pPr>
              <w:pStyle w:val="CM23"/>
              <w:spacing w:after="0"/>
              <w:jc w:val="center"/>
              <w:rPr>
                <w:b/>
              </w:rPr>
            </w:pPr>
          </w:p>
          <w:p w:rsidR="00E7067A" w:rsidRPr="00D53EB4" w:rsidRDefault="00E7067A" w:rsidP="00E7067A">
            <w:pPr>
              <w:pStyle w:val="CM23"/>
              <w:spacing w:after="0"/>
              <w:jc w:val="center"/>
              <w:rPr>
                <w:b/>
              </w:rPr>
            </w:pPr>
          </w:p>
          <w:p w:rsidR="00E7067A" w:rsidRPr="00D53EB4" w:rsidRDefault="00E7067A" w:rsidP="00E7067A">
            <w:pPr>
              <w:pStyle w:val="CM23"/>
              <w:spacing w:after="0"/>
              <w:jc w:val="center"/>
              <w:rPr>
                <w:b/>
              </w:rPr>
            </w:pPr>
            <w:r w:rsidRPr="00D53EB4">
              <w:rPr>
                <w:b/>
              </w:rPr>
              <w:t>Yun Liang</w:t>
            </w:r>
          </w:p>
          <w:p w:rsidR="00E7067A" w:rsidRPr="00D53EB4" w:rsidRDefault="00E7067A" w:rsidP="00E7067A">
            <w:pPr>
              <w:pStyle w:val="CM23"/>
              <w:spacing w:after="0"/>
              <w:jc w:val="center"/>
              <w:rPr>
                <w:sz w:val="16"/>
                <w:szCs w:val="16"/>
              </w:rPr>
            </w:pPr>
          </w:p>
          <w:p w:rsidR="00E7067A" w:rsidRPr="00D53EB4" w:rsidRDefault="00E7067A" w:rsidP="00E7067A">
            <w:pPr>
              <w:pStyle w:val="CM23"/>
              <w:spacing w:after="0"/>
              <w:jc w:val="center"/>
            </w:pPr>
            <w:r w:rsidRPr="00D53EB4">
              <w:t>PhD Student, Economics Department</w:t>
            </w:r>
          </w:p>
          <w:p w:rsidR="00E7067A" w:rsidRPr="00D53EB4" w:rsidRDefault="00E7067A" w:rsidP="00E7067A">
            <w:pPr>
              <w:pStyle w:val="CM23"/>
              <w:spacing w:after="0"/>
              <w:jc w:val="center"/>
            </w:pPr>
            <w:r w:rsidRPr="00D53EB4">
              <w:t>University of Waikato</w:t>
            </w:r>
          </w:p>
          <w:p w:rsidR="00E7067A" w:rsidRPr="00D53EB4" w:rsidRDefault="00E7067A" w:rsidP="00E7067A">
            <w:pPr>
              <w:pStyle w:val="CM23"/>
              <w:spacing w:after="0"/>
              <w:jc w:val="center"/>
            </w:pPr>
            <w:r w:rsidRPr="00D53EB4">
              <w:t>Private Bag 3105</w:t>
            </w:r>
          </w:p>
          <w:p w:rsidR="00E7067A" w:rsidRPr="00D53EB4" w:rsidRDefault="00E7067A" w:rsidP="00E7067A">
            <w:pPr>
              <w:pStyle w:val="CM23"/>
              <w:spacing w:after="0"/>
              <w:jc w:val="center"/>
            </w:pPr>
            <w:r w:rsidRPr="00D53EB4">
              <w:t xml:space="preserve">Hamilton, New Zealand, 3240. </w:t>
            </w:r>
          </w:p>
          <w:p w:rsidR="00E7067A" w:rsidRPr="00D53EB4" w:rsidRDefault="00E7067A" w:rsidP="00E7067A">
            <w:pPr>
              <w:pStyle w:val="Default"/>
              <w:rPr>
                <w:rFonts w:ascii="Times New Roman" w:hAnsi="Times New Roman" w:cs="Times New Roman"/>
              </w:rPr>
            </w:pPr>
          </w:p>
          <w:p w:rsidR="00E7067A" w:rsidRPr="00D53EB4" w:rsidRDefault="00E7067A" w:rsidP="00E7067A">
            <w:pPr>
              <w:pStyle w:val="Default"/>
              <w:jc w:val="center"/>
              <w:rPr>
                <w:rFonts w:ascii="Times New Roman" w:hAnsi="Times New Roman" w:cs="Times New Roman"/>
              </w:rPr>
            </w:pPr>
            <w:r w:rsidRPr="00D53EB4">
              <w:rPr>
                <w:rFonts w:ascii="Times New Roman" w:hAnsi="Times New Roman" w:cs="Times New Roman"/>
              </w:rPr>
              <w:t>Tel: + 64 (0)7 838 4289</w:t>
            </w:r>
          </w:p>
          <w:p w:rsidR="00E7067A" w:rsidRPr="00D53EB4" w:rsidRDefault="00E7067A" w:rsidP="00E7067A">
            <w:pPr>
              <w:pStyle w:val="CM3"/>
              <w:jc w:val="center"/>
              <w:rPr>
                <w:bCs/>
              </w:rPr>
            </w:pPr>
            <w:r w:rsidRPr="00D53EB4">
              <w:rPr>
                <w:sz w:val="22"/>
                <w:szCs w:val="20"/>
              </w:rPr>
              <w:t>Fax: + 64 (0)7 838 433</w:t>
            </w:r>
          </w:p>
          <w:p w:rsidR="00E7067A" w:rsidRPr="00D53EB4" w:rsidRDefault="00E7067A" w:rsidP="00E7067A">
            <w:pPr>
              <w:pStyle w:val="Default"/>
              <w:rPr>
                <w:rFonts w:ascii="Times New Roman" w:hAnsi="Times New Roman" w:cs="Times New Roman"/>
                <w:sz w:val="16"/>
                <w:szCs w:val="16"/>
              </w:rPr>
            </w:pPr>
          </w:p>
          <w:p w:rsidR="00E7067A" w:rsidRPr="00D53EB4" w:rsidRDefault="00E7067A" w:rsidP="00E7067A">
            <w:pPr>
              <w:pStyle w:val="CM3"/>
              <w:jc w:val="center"/>
              <w:rPr>
                <w:bCs/>
              </w:rPr>
            </w:pPr>
            <w:r w:rsidRPr="00D53EB4">
              <w:rPr>
                <w:bCs/>
              </w:rPr>
              <w:t>Email: lysh8@hotmail.com</w:t>
            </w:r>
          </w:p>
          <w:p w:rsidR="006E7AA1" w:rsidRPr="00D53EB4" w:rsidRDefault="006E7AA1" w:rsidP="006E7AA1">
            <w:pPr>
              <w:snapToGrid w:val="0"/>
              <w:spacing w:line="288" w:lineRule="auto"/>
              <w:contextualSpacing/>
              <w:jc w:val="center"/>
            </w:pPr>
          </w:p>
        </w:tc>
        <w:tc>
          <w:tcPr>
            <w:tcW w:w="4621" w:type="dxa"/>
          </w:tcPr>
          <w:p w:rsidR="00E7067A" w:rsidRPr="00D53EB4" w:rsidRDefault="00E7067A" w:rsidP="00E7067A">
            <w:pPr>
              <w:pStyle w:val="CM4"/>
              <w:spacing w:line="240" w:lineRule="auto"/>
              <w:jc w:val="center"/>
              <w:rPr>
                <w:bCs/>
                <w:i/>
                <w:sz w:val="22"/>
                <w:szCs w:val="22"/>
              </w:rPr>
            </w:pPr>
            <w:r w:rsidRPr="00D53EB4">
              <w:rPr>
                <w:bCs/>
                <w:i/>
                <w:sz w:val="22"/>
                <w:szCs w:val="22"/>
              </w:rPr>
              <w:t>Corresponding Author</w:t>
            </w:r>
          </w:p>
          <w:p w:rsidR="00E7067A" w:rsidRPr="00D53EB4" w:rsidRDefault="00E7067A" w:rsidP="00E7067A">
            <w:pPr>
              <w:pStyle w:val="CM4"/>
              <w:spacing w:line="240" w:lineRule="auto"/>
              <w:jc w:val="center"/>
              <w:rPr>
                <w:b/>
                <w:bCs/>
                <w:sz w:val="8"/>
                <w:szCs w:val="8"/>
              </w:rPr>
            </w:pPr>
          </w:p>
          <w:p w:rsidR="006E7AA1" w:rsidRPr="009E318A" w:rsidRDefault="006E7AA1" w:rsidP="00E7067A">
            <w:pPr>
              <w:pStyle w:val="Default"/>
              <w:rPr>
                <w:rFonts w:ascii="Times New Roman" w:hAnsi="Times New Roman" w:cs="Times New Roman"/>
                <w:b/>
                <w:sz w:val="12"/>
                <w:szCs w:val="12"/>
              </w:rPr>
            </w:pPr>
          </w:p>
          <w:p w:rsidR="00E7067A" w:rsidRPr="00D53EB4" w:rsidRDefault="00E7067A" w:rsidP="00E7067A">
            <w:pPr>
              <w:pStyle w:val="CM4"/>
              <w:spacing w:line="240" w:lineRule="auto"/>
              <w:jc w:val="center"/>
            </w:pPr>
            <w:r w:rsidRPr="00D53EB4">
              <w:rPr>
                <w:b/>
                <w:bCs/>
              </w:rPr>
              <w:t>John Gibson</w:t>
            </w:r>
          </w:p>
          <w:p w:rsidR="00E7067A" w:rsidRPr="00D53EB4" w:rsidRDefault="00E7067A" w:rsidP="00E7067A">
            <w:pPr>
              <w:pStyle w:val="CM23"/>
              <w:spacing w:after="0"/>
              <w:jc w:val="center"/>
              <w:rPr>
                <w:sz w:val="12"/>
                <w:szCs w:val="12"/>
              </w:rPr>
            </w:pPr>
          </w:p>
          <w:p w:rsidR="00E7067A" w:rsidRPr="00D53EB4" w:rsidRDefault="00E7067A" w:rsidP="00E7067A">
            <w:pPr>
              <w:pStyle w:val="CM23"/>
              <w:spacing w:after="0"/>
              <w:jc w:val="center"/>
            </w:pPr>
            <w:r w:rsidRPr="00D53EB4">
              <w:t>Economics Department</w:t>
            </w:r>
          </w:p>
          <w:p w:rsidR="00E7067A" w:rsidRPr="00D53EB4" w:rsidRDefault="00E7067A" w:rsidP="00E7067A">
            <w:pPr>
              <w:pStyle w:val="CM23"/>
              <w:spacing w:after="0"/>
              <w:jc w:val="center"/>
            </w:pPr>
            <w:r w:rsidRPr="00D53EB4">
              <w:t>University of Waikato</w:t>
            </w:r>
          </w:p>
          <w:p w:rsidR="00E7067A" w:rsidRPr="00D53EB4" w:rsidRDefault="00E7067A" w:rsidP="00E7067A">
            <w:pPr>
              <w:pStyle w:val="CM23"/>
              <w:spacing w:after="0"/>
              <w:jc w:val="center"/>
            </w:pPr>
            <w:r w:rsidRPr="00D53EB4">
              <w:t>Private Bag 3105</w:t>
            </w:r>
          </w:p>
          <w:p w:rsidR="00E7067A" w:rsidRPr="00D53EB4" w:rsidRDefault="00E7067A" w:rsidP="00E7067A">
            <w:pPr>
              <w:pStyle w:val="CM23"/>
              <w:spacing w:after="0"/>
              <w:jc w:val="center"/>
            </w:pPr>
            <w:r w:rsidRPr="00D53EB4">
              <w:t xml:space="preserve">Hamilton, New Zealand, 3240. </w:t>
            </w:r>
          </w:p>
          <w:p w:rsidR="00E7067A" w:rsidRPr="00D53EB4" w:rsidRDefault="00E7067A" w:rsidP="00E7067A">
            <w:pPr>
              <w:pStyle w:val="Default"/>
              <w:rPr>
                <w:rFonts w:ascii="Times New Roman" w:hAnsi="Times New Roman" w:cs="Times New Roman"/>
              </w:rPr>
            </w:pPr>
          </w:p>
          <w:p w:rsidR="00E7067A" w:rsidRPr="00D53EB4" w:rsidRDefault="00E7067A" w:rsidP="00E7067A">
            <w:pPr>
              <w:pStyle w:val="Default"/>
              <w:jc w:val="center"/>
              <w:rPr>
                <w:rFonts w:ascii="Times New Roman" w:hAnsi="Times New Roman" w:cs="Times New Roman"/>
              </w:rPr>
            </w:pPr>
            <w:r w:rsidRPr="00D53EB4">
              <w:rPr>
                <w:rFonts w:ascii="Times New Roman" w:hAnsi="Times New Roman" w:cs="Times New Roman"/>
              </w:rPr>
              <w:t>Tel: + 64 (0)7 838 4289</w:t>
            </w:r>
          </w:p>
          <w:p w:rsidR="00E7067A" w:rsidRPr="00D53EB4" w:rsidRDefault="00E7067A" w:rsidP="00E7067A">
            <w:pPr>
              <w:pStyle w:val="Default"/>
              <w:jc w:val="center"/>
              <w:rPr>
                <w:rFonts w:ascii="Times New Roman" w:hAnsi="Times New Roman" w:cs="Times New Roman"/>
              </w:rPr>
            </w:pPr>
            <w:r w:rsidRPr="00D53EB4">
              <w:rPr>
                <w:rFonts w:ascii="Times New Roman" w:hAnsi="Times New Roman" w:cs="Times New Roman"/>
                <w:sz w:val="22"/>
                <w:szCs w:val="20"/>
              </w:rPr>
              <w:t>Fax: + 64 (0)7 838 4331</w:t>
            </w:r>
          </w:p>
          <w:p w:rsidR="00E7067A" w:rsidRPr="00D53EB4" w:rsidRDefault="00E7067A" w:rsidP="00E7067A">
            <w:pPr>
              <w:pStyle w:val="CM3"/>
              <w:jc w:val="center"/>
              <w:rPr>
                <w:bCs/>
                <w:sz w:val="12"/>
                <w:szCs w:val="12"/>
              </w:rPr>
            </w:pPr>
          </w:p>
          <w:p w:rsidR="00E7067A" w:rsidRPr="00D53EB4" w:rsidRDefault="00E7067A" w:rsidP="00E7067A">
            <w:pPr>
              <w:pStyle w:val="CM3"/>
              <w:jc w:val="center"/>
              <w:rPr>
                <w:bCs/>
              </w:rPr>
            </w:pPr>
            <w:r w:rsidRPr="00D53EB4">
              <w:rPr>
                <w:bCs/>
              </w:rPr>
              <w:t>Email: jkgibson@waikato.ac.nz</w:t>
            </w:r>
          </w:p>
          <w:p w:rsidR="006E7AA1" w:rsidRPr="00D53EB4" w:rsidRDefault="006E7AA1" w:rsidP="00126D3D">
            <w:pPr>
              <w:pStyle w:val="Default"/>
              <w:rPr>
                <w:rFonts w:ascii="Times New Roman" w:hAnsi="Times New Roman" w:cs="Times New Roman"/>
                <w:lang w:val="en-US"/>
              </w:rPr>
            </w:pPr>
          </w:p>
          <w:p w:rsidR="006E7AA1" w:rsidRPr="00D53EB4" w:rsidRDefault="006E7AA1" w:rsidP="00126D3D">
            <w:pPr>
              <w:spacing w:line="276" w:lineRule="auto"/>
              <w:rPr>
                <w:b/>
              </w:rPr>
            </w:pPr>
          </w:p>
        </w:tc>
      </w:tr>
    </w:tbl>
    <w:p w:rsidR="006E7AA1" w:rsidRPr="006F3DEB" w:rsidRDefault="006E7AA1" w:rsidP="006E7AA1">
      <w:pPr>
        <w:tabs>
          <w:tab w:val="left" w:pos="284"/>
        </w:tabs>
        <w:jc w:val="center"/>
        <w:rPr>
          <w:i/>
        </w:rPr>
      </w:pPr>
    </w:p>
    <w:p w:rsidR="006E7AA1" w:rsidRDefault="006E7AA1" w:rsidP="006E7AA1">
      <w:pPr>
        <w:jc w:val="center"/>
        <w:rPr>
          <w:b/>
          <w:color w:val="000000"/>
        </w:rPr>
      </w:pPr>
      <w:r>
        <w:rPr>
          <w:b/>
          <w:color w:val="000000"/>
        </w:rPr>
        <w:br w:type="page"/>
      </w:r>
    </w:p>
    <w:p w:rsidR="006E7AA1" w:rsidRDefault="006E7AA1" w:rsidP="006E7AA1">
      <w:pPr>
        <w:jc w:val="center"/>
        <w:rPr>
          <w:b/>
          <w:color w:val="000000"/>
        </w:rPr>
      </w:pPr>
    </w:p>
    <w:p w:rsidR="006E7AA1" w:rsidRDefault="006E7AA1" w:rsidP="006E7AA1">
      <w:pPr>
        <w:jc w:val="center"/>
        <w:rPr>
          <w:b/>
          <w:color w:val="000000"/>
        </w:rPr>
      </w:pPr>
    </w:p>
    <w:p w:rsidR="006E7AA1" w:rsidRDefault="006E7AA1" w:rsidP="006E7AA1">
      <w:pPr>
        <w:jc w:val="center"/>
        <w:rPr>
          <w:b/>
          <w:color w:val="000000"/>
        </w:rPr>
      </w:pPr>
    </w:p>
    <w:p w:rsidR="006E7AA1" w:rsidRDefault="006E7AA1" w:rsidP="006E7AA1">
      <w:pPr>
        <w:jc w:val="center"/>
        <w:rPr>
          <w:b/>
          <w:color w:val="000000"/>
        </w:rPr>
      </w:pPr>
    </w:p>
    <w:p w:rsidR="006E7AA1" w:rsidRDefault="006E7AA1" w:rsidP="006E7AA1">
      <w:pPr>
        <w:jc w:val="center"/>
        <w:rPr>
          <w:b/>
          <w:color w:val="000000"/>
        </w:rPr>
      </w:pPr>
    </w:p>
    <w:p w:rsidR="006E7AA1" w:rsidRPr="00842580" w:rsidRDefault="006E7AA1" w:rsidP="006E7AA1">
      <w:pPr>
        <w:jc w:val="center"/>
        <w:rPr>
          <w:b/>
          <w:color w:val="000000"/>
        </w:rPr>
      </w:pPr>
      <w:r w:rsidRPr="00842580">
        <w:rPr>
          <w:b/>
          <w:color w:val="000000"/>
        </w:rPr>
        <w:t>Abstract</w:t>
      </w:r>
    </w:p>
    <w:p w:rsidR="006E7AA1" w:rsidRPr="00842580" w:rsidRDefault="006E7AA1" w:rsidP="006E7AA1">
      <w:pPr>
        <w:spacing w:line="300" w:lineRule="auto"/>
        <w:jc w:val="center"/>
        <w:rPr>
          <w:b/>
          <w:color w:val="000000"/>
          <w:sz w:val="12"/>
          <w:szCs w:val="12"/>
        </w:rPr>
      </w:pPr>
    </w:p>
    <w:p w:rsidR="00EF0648" w:rsidRPr="005827A1" w:rsidRDefault="00EF0648" w:rsidP="00EF0648">
      <w:pPr>
        <w:snapToGrid w:val="0"/>
        <w:spacing w:line="360" w:lineRule="auto"/>
        <w:contextualSpacing/>
        <w:rPr>
          <w:rFonts w:eastAsia="Calibri"/>
          <w:color w:val="000000" w:themeColor="text1"/>
          <w:lang w:val="en-NZ" w:bidi="ar-SA"/>
        </w:rPr>
      </w:pPr>
      <w:r w:rsidRPr="005827A1">
        <w:rPr>
          <w:rFonts w:eastAsia="Calibri"/>
          <w:color w:val="000000" w:themeColor="text1"/>
          <w:lang w:val="en-NZ" w:bidi="ar-SA"/>
        </w:rPr>
        <w:t xml:space="preserve">We test for the existence of a trade-off between child quantity and quality in Chinese families. We use changes over time and space in the local stringency of the one-child policy as a source of exogenous variation in family size. Investment in child quality is measured by intake of </w:t>
      </w:r>
      <w:r w:rsidRPr="005827A1">
        <w:rPr>
          <w:color w:val="000000" w:themeColor="text1"/>
          <w:lang w:val="en-NZ" w:eastAsia="zh-CN" w:bidi="ar-SA"/>
        </w:rPr>
        <w:t>three nutrients, u</w:t>
      </w:r>
      <w:r w:rsidRPr="005827A1">
        <w:rPr>
          <w:rFonts w:eastAsia="Calibri"/>
          <w:color w:val="000000" w:themeColor="text1"/>
          <w:lang w:val="en-NZ" w:bidi="ar-SA"/>
        </w:rPr>
        <w:t xml:space="preserve">sing seven waves of data from the China Health and Nutrition Survey. </w:t>
      </w:r>
      <w:r w:rsidR="00AC3FA6">
        <w:rPr>
          <w:rFonts w:eastAsia="Calibri"/>
          <w:color w:val="000000" w:themeColor="text1"/>
          <w:lang w:val="en-NZ" w:bidi="ar-SA"/>
        </w:rPr>
        <w:t xml:space="preserve"> For all three nutrients, </w:t>
      </w:r>
      <w:r w:rsidRPr="005827A1">
        <w:rPr>
          <w:rFonts w:eastAsia="Calibri"/>
          <w:color w:val="000000" w:themeColor="text1"/>
          <w:lang w:val="en-NZ" w:bidi="ar-SA"/>
        </w:rPr>
        <w:t>a quantity-quality trade-off is apparent, which persists for fats if child-specific effects are introduced. The trade-off would be less apparent if exogenous sources of variation in family size were ignored.</w:t>
      </w:r>
    </w:p>
    <w:p w:rsidR="006E7AA1" w:rsidRDefault="006E7AA1" w:rsidP="006E7AA1">
      <w:pPr>
        <w:spacing w:line="300" w:lineRule="auto"/>
        <w:rPr>
          <w:color w:val="000000"/>
        </w:rPr>
      </w:pPr>
    </w:p>
    <w:p w:rsidR="00E73869" w:rsidRDefault="00E73869" w:rsidP="006E7AA1">
      <w:pPr>
        <w:spacing w:line="300" w:lineRule="auto"/>
        <w:rPr>
          <w:color w:val="000000"/>
        </w:rPr>
      </w:pPr>
    </w:p>
    <w:p w:rsidR="00E73869" w:rsidRDefault="00E73869" w:rsidP="006E7AA1">
      <w:pPr>
        <w:spacing w:line="300" w:lineRule="auto"/>
        <w:rPr>
          <w:color w:val="000000"/>
        </w:rPr>
      </w:pPr>
    </w:p>
    <w:p w:rsidR="006E7AA1" w:rsidRPr="00842580" w:rsidRDefault="006E7AA1" w:rsidP="006E7AA1">
      <w:pPr>
        <w:spacing w:line="300" w:lineRule="auto"/>
        <w:rPr>
          <w:color w:val="000000"/>
        </w:rPr>
      </w:pPr>
    </w:p>
    <w:p w:rsidR="006E7AA1" w:rsidRDefault="006E7AA1" w:rsidP="006E7AA1">
      <w:pPr>
        <w:spacing w:line="300" w:lineRule="auto"/>
        <w:jc w:val="center"/>
        <w:rPr>
          <w:b/>
          <w:color w:val="000000"/>
        </w:rPr>
      </w:pPr>
      <w:r w:rsidRPr="00842580">
        <w:rPr>
          <w:b/>
          <w:color w:val="000000"/>
        </w:rPr>
        <w:t>Keywords</w:t>
      </w:r>
    </w:p>
    <w:p w:rsidR="00E7067A" w:rsidRDefault="00C809F1" w:rsidP="006E7AA1">
      <w:pPr>
        <w:spacing w:line="300" w:lineRule="auto"/>
        <w:jc w:val="center"/>
        <w:rPr>
          <w:bCs/>
          <w:lang w:val="en-AU"/>
        </w:rPr>
      </w:pPr>
      <w:proofErr w:type="gramStart"/>
      <w:r>
        <w:rPr>
          <w:bCs/>
          <w:lang w:val="en-AU"/>
        </w:rPr>
        <w:t>child</w:t>
      </w:r>
      <w:proofErr w:type="gramEnd"/>
      <w:r>
        <w:rPr>
          <w:bCs/>
          <w:lang w:val="en-AU"/>
        </w:rPr>
        <w:t xml:space="preserve"> q</w:t>
      </w:r>
      <w:r w:rsidR="00E7067A">
        <w:rPr>
          <w:bCs/>
          <w:lang w:val="en-AU"/>
        </w:rPr>
        <w:t>uality</w:t>
      </w:r>
      <w:r w:rsidR="00E7067A" w:rsidRPr="009D33B3">
        <w:rPr>
          <w:bCs/>
          <w:lang w:val="en-AU"/>
        </w:rPr>
        <w:t xml:space="preserve"> </w:t>
      </w:r>
    </w:p>
    <w:p w:rsidR="00E7067A" w:rsidRDefault="00C809F1" w:rsidP="006E7AA1">
      <w:pPr>
        <w:spacing w:line="300" w:lineRule="auto"/>
        <w:jc w:val="center"/>
        <w:rPr>
          <w:bCs/>
          <w:lang w:val="en-AU"/>
        </w:rPr>
      </w:pPr>
      <w:proofErr w:type="gramStart"/>
      <w:r>
        <w:rPr>
          <w:bCs/>
          <w:lang w:val="en-AU"/>
        </w:rPr>
        <w:t>n</w:t>
      </w:r>
      <w:r w:rsidR="00E7067A">
        <w:rPr>
          <w:bCs/>
          <w:lang w:val="en-AU"/>
        </w:rPr>
        <w:t>utrients</w:t>
      </w:r>
      <w:proofErr w:type="gramEnd"/>
    </w:p>
    <w:p w:rsidR="00E7067A" w:rsidRDefault="00C809F1" w:rsidP="006E7AA1">
      <w:pPr>
        <w:spacing w:line="300" w:lineRule="auto"/>
        <w:jc w:val="center"/>
        <w:rPr>
          <w:bCs/>
          <w:lang w:val="en-AU"/>
        </w:rPr>
      </w:pPr>
      <w:proofErr w:type="gramStart"/>
      <w:r>
        <w:rPr>
          <w:bCs/>
          <w:lang w:val="en-AU"/>
        </w:rPr>
        <w:t>one-child</w:t>
      </w:r>
      <w:proofErr w:type="gramEnd"/>
      <w:r>
        <w:rPr>
          <w:bCs/>
          <w:lang w:val="en-AU"/>
        </w:rPr>
        <w:t xml:space="preserve"> p</w:t>
      </w:r>
      <w:r w:rsidR="00E7067A">
        <w:rPr>
          <w:bCs/>
          <w:lang w:val="en-AU"/>
        </w:rPr>
        <w:t>olicy</w:t>
      </w:r>
    </w:p>
    <w:p w:rsidR="006E7AA1" w:rsidRPr="00842580" w:rsidRDefault="00C809F1" w:rsidP="00E7067A">
      <w:pPr>
        <w:spacing w:line="300" w:lineRule="auto"/>
        <w:jc w:val="center"/>
        <w:rPr>
          <w:b/>
          <w:color w:val="000000"/>
        </w:rPr>
      </w:pPr>
      <w:proofErr w:type="gramStart"/>
      <w:r>
        <w:rPr>
          <w:bCs/>
          <w:lang w:val="en-AU"/>
        </w:rPr>
        <w:t>quantity-quality</w:t>
      </w:r>
      <w:proofErr w:type="gramEnd"/>
      <w:r>
        <w:rPr>
          <w:bCs/>
          <w:lang w:val="en-AU"/>
        </w:rPr>
        <w:t xml:space="preserve"> t</w:t>
      </w:r>
      <w:r w:rsidR="00E7067A" w:rsidRPr="009D33B3">
        <w:rPr>
          <w:bCs/>
          <w:lang w:val="en-AU"/>
        </w:rPr>
        <w:t>rade</w:t>
      </w:r>
      <w:r w:rsidR="00E7067A">
        <w:rPr>
          <w:bCs/>
          <w:lang w:val="en-AU"/>
        </w:rPr>
        <w:t>-</w:t>
      </w:r>
      <w:r w:rsidR="00E7067A" w:rsidRPr="009D33B3">
        <w:rPr>
          <w:bCs/>
          <w:lang w:val="en-AU"/>
        </w:rPr>
        <w:t>off</w:t>
      </w:r>
    </w:p>
    <w:p w:rsidR="00E73869" w:rsidRDefault="00E73869" w:rsidP="006E7AA1">
      <w:pPr>
        <w:spacing w:line="300" w:lineRule="auto"/>
        <w:jc w:val="center"/>
        <w:rPr>
          <w:b/>
          <w:color w:val="000000"/>
          <w:lang w:val="it-IT"/>
        </w:rPr>
      </w:pPr>
    </w:p>
    <w:p w:rsidR="00E73869" w:rsidRDefault="00E73869" w:rsidP="006E7AA1">
      <w:pPr>
        <w:spacing w:line="300" w:lineRule="auto"/>
        <w:jc w:val="center"/>
        <w:rPr>
          <w:b/>
          <w:color w:val="000000"/>
          <w:lang w:val="it-IT"/>
        </w:rPr>
      </w:pPr>
    </w:p>
    <w:p w:rsidR="006E7AA1" w:rsidRPr="00E7067A" w:rsidRDefault="006E7AA1" w:rsidP="006E7AA1">
      <w:pPr>
        <w:spacing w:line="300" w:lineRule="auto"/>
        <w:jc w:val="center"/>
        <w:rPr>
          <w:b/>
          <w:color w:val="000000"/>
          <w:lang w:val="it-IT"/>
        </w:rPr>
      </w:pPr>
      <w:r w:rsidRPr="00E7067A">
        <w:rPr>
          <w:b/>
          <w:color w:val="000000"/>
          <w:lang w:val="it-IT"/>
        </w:rPr>
        <w:t>JEL Classification</w:t>
      </w:r>
    </w:p>
    <w:p w:rsidR="006E7AA1" w:rsidRPr="00D53EB4" w:rsidRDefault="00C809F1" w:rsidP="00E7067A">
      <w:pPr>
        <w:jc w:val="center"/>
        <w:rPr>
          <w:lang w:val="it-IT"/>
        </w:rPr>
      </w:pPr>
      <w:r>
        <w:rPr>
          <w:lang w:val="it-IT"/>
        </w:rPr>
        <w:t>I12; J13;</w:t>
      </w:r>
      <w:r w:rsidR="00E7067A" w:rsidRPr="00D53EB4">
        <w:rPr>
          <w:lang w:val="it-IT"/>
        </w:rPr>
        <w:t xml:space="preserve"> O15</w:t>
      </w:r>
    </w:p>
    <w:p w:rsidR="006E7AA1" w:rsidRPr="00E7067A" w:rsidRDefault="006E7AA1" w:rsidP="006E7AA1">
      <w:pPr>
        <w:jc w:val="center"/>
        <w:rPr>
          <w:lang w:val="it-IT"/>
        </w:rPr>
      </w:pPr>
    </w:p>
    <w:p w:rsidR="006E7AA1" w:rsidRPr="00E7067A" w:rsidRDefault="006E7AA1" w:rsidP="006E7AA1">
      <w:pPr>
        <w:jc w:val="center"/>
        <w:rPr>
          <w:lang w:val="it-IT"/>
        </w:rPr>
      </w:pPr>
    </w:p>
    <w:p w:rsidR="006E7AA1" w:rsidRPr="00E7067A" w:rsidRDefault="006E7AA1" w:rsidP="006E7AA1">
      <w:pPr>
        <w:jc w:val="center"/>
        <w:rPr>
          <w:lang w:val="it-IT"/>
        </w:rPr>
      </w:pPr>
    </w:p>
    <w:p w:rsidR="006E7AA1" w:rsidRPr="00E7067A" w:rsidRDefault="006E7AA1" w:rsidP="006E7AA1">
      <w:pPr>
        <w:jc w:val="center"/>
        <w:rPr>
          <w:lang w:val="it-IT"/>
        </w:rPr>
      </w:pPr>
    </w:p>
    <w:p w:rsidR="006E7AA1" w:rsidRPr="00EF0648" w:rsidRDefault="006E7AA1" w:rsidP="006E7AA1">
      <w:pPr>
        <w:jc w:val="center"/>
        <w:rPr>
          <w:b/>
          <w:bCs/>
          <w:sz w:val="22"/>
          <w:szCs w:val="22"/>
        </w:rPr>
      </w:pPr>
      <w:r w:rsidRPr="00EF0648">
        <w:rPr>
          <w:b/>
          <w:bCs/>
          <w:sz w:val="22"/>
          <w:szCs w:val="22"/>
        </w:rPr>
        <w:t>Acknowledgements</w:t>
      </w:r>
    </w:p>
    <w:p w:rsidR="006E7AA1" w:rsidRDefault="006E7AA1" w:rsidP="006E7AA1">
      <w:pPr>
        <w:jc w:val="center"/>
        <w:rPr>
          <w:sz w:val="10"/>
          <w:szCs w:val="10"/>
        </w:rPr>
      </w:pPr>
    </w:p>
    <w:p w:rsidR="00E17652" w:rsidRDefault="00EF0648" w:rsidP="00EF0648">
      <w:pPr>
        <w:snapToGrid w:val="0"/>
        <w:spacing w:line="288" w:lineRule="auto"/>
        <w:contextualSpacing/>
        <w:rPr>
          <w:sz w:val="22"/>
          <w:szCs w:val="22"/>
        </w:rPr>
      </w:pPr>
      <w:r w:rsidRPr="00B574B5">
        <w:rPr>
          <w:sz w:val="22"/>
          <w:szCs w:val="22"/>
        </w:rPr>
        <w:t>This research uses data from the China Health and Nutrition Survey (CHNS). We thank the National Institute of Nutrition and Food Safety, China Center for Disease Control and Prevention; the Carolina Population Center, University of North Carolina at Chapel Hill; the National Institutes of Health (NIH; R01-HD30880, DK056350, and R01-HD38700); and the Fogarty International Center, NIH, for financial support for the CHNS data collection and analysis files since 1989. We thank those parties, the China-Japan Friendship Hospital, and the Ministry of Health for support for CHNS 2009 survey.</w:t>
      </w:r>
      <w:r w:rsidRPr="00B574B5">
        <w:rPr>
          <w:sz w:val="22"/>
          <w:szCs w:val="22"/>
          <w:lang w:eastAsia="zh-CN"/>
        </w:rPr>
        <w:t xml:space="preserve"> </w:t>
      </w:r>
      <w:r w:rsidRPr="00B574B5">
        <w:rPr>
          <w:sz w:val="22"/>
          <w:szCs w:val="22"/>
        </w:rPr>
        <w:t xml:space="preserve">We are grateful to helpful comments from participants at the ESPE conference, and especially </w:t>
      </w:r>
      <w:r w:rsidRPr="00B574B5">
        <w:rPr>
          <w:sz w:val="22"/>
          <w:szCs w:val="22"/>
          <w:lang w:eastAsia="zh-CN"/>
        </w:rPr>
        <w:t xml:space="preserve">Steven </w:t>
      </w:r>
      <w:proofErr w:type="spellStart"/>
      <w:r w:rsidRPr="00B574B5">
        <w:rPr>
          <w:sz w:val="22"/>
          <w:szCs w:val="22"/>
          <w:lang w:eastAsia="zh-CN"/>
        </w:rPr>
        <w:t>Stillman</w:t>
      </w:r>
      <w:proofErr w:type="spellEnd"/>
      <w:r w:rsidRPr="00B574B5">
        <w:rPr>
          <w:sz w:val="22"/>
          <w:szCs w:val="22"/>
          <w:lang w:eastAsia="zh-CN"/>
        </w:rPr>
        <w:t xml:space="preserve">. We also thank </w:t>
      </w:r>
      <w:r w:rsidRPr="00B574B5">
        <w:rPr>
          <w:sz w:val="22"/>
          <w:szCs w:val="22"/>
        </w:rPr>
        <w:t xml:space="preserve">the Human Ethics Committee of the Waikato Management School for ethical approval. </w:t>
      </w:r>
    </w:p>
    <w:p w:rsidR="00E73869" w:rsidRPr="005827A1" w:rsidRDefault="00E73869" w:rsidP="00EF0648">
      <w:pPr>
        <w:snapToGrid w:val="0"/>
        <w:spacing w:line="288" w:lineRule="auto"/>
        <w:contextualSpacing/>
        <w:rPr>
          <w:b/>
        </w:rPr>
      </w:pPr>
    </w:p>
    <w:p w:rsidR="00E73869" w:rsidRPr="00E73869" w:rsidRDefault="00E73869" w:rsidP="005827A1">
      <w:pPr>
        <w:pStyle w:val="Heading1"/>
        <w:snapToGrid w:val="0"/>
        <w:spacing w:before="0" w:after="0" w:line="288" w:lineRule="auto"/>
        <w:contextualSpacing/>
        <w:rPr>
          <w:rFonts w:ascii="Times New Roman" w:eastAsiaTheme="minorEastAsia" w:hAnsi="Times New Roman"/>
          <w:b w:val="0"/>
          <w:bCs w:val="0"/>
          <w:kern w:val="0"/>
          <w:sz w:val="2"/>
          <w:szCs w:val="2"/>
          <w:lang w:val="en-NZ" w:eastAsia="zh-CN"/>
        </w:rPr>
      </w:pPr>
      <w:bookmarkStart w:id="1" w:name="_Toc466899927"/>
    </w:p>
    <w:p w:rsidR="00DE4123" w:rsidRDefault="00013BC8" w:rsidP="005827A1">
      <w:pPr>
        <w:pStyle w:val="Heading1"/>
        <w:snapToGrid w:val="0"/>
        <w:spacing w:before="0" w:after="0" w:line="288" w:lineRule="auto"/>
        <w:contextualSpacing/>
        <w:rPr>
          <w:rFonts w:ascii="Times New Roman" w:hAnsi="Times New Roman"/>
          <w:sz w:val="24"/>
          <w:szCs w:val="24"/>
        </w:rPr>
      </w:pPr>
      <w:r w:rsidRPr="005827A1">
        <w:rPr>
          <w:rFonts w:ascii="Times New Roman" w:hAnsi="Times New Roman"/>
          <w:sz w:val="24"/>
          <w:szCs w:val="24"/>
          <w:lang w:eastAsia="zh-CN"/>
        </w:rPr>
        <w:t>1.</w:t>
      </w:r>
      <w:r w:rsidRPr="005827A1">
        <w:rPr>
          <w:rFonts w:ascii="Times New Roman" w:hAnsi="Times New Roman"/>
          <w:sz w:val="24"/>
          <w:szCs w:val="24"/>
        </w:rPr>
        <w:t xml:space="preserve"> </w:t>
      </w:r>
      <w:r w:rsidR="00DE4123" w:rsidRPr="005827A1">
        <w:rPr>
          <w:rFonts w:ascii="Times New Roman" w:hAnsi="Times New Roman"/>
          <w:sz w:val="24"/>
          <w:szCs w:val="24"/>
        </w:rPr>
        <w:t>INTRODUCTION</w:t>
      </w:r>
      <w:bookmarkEnd w:id="1"/>
    </w:p>
    <w:p w:rsidR="005827A1" w:rsidRPr="005827A1" w:rsidRDefault="005827A1" w:rsidP="005827A1">
      <w:pPr>
        <w:rPr>
          <w:sz w:val="12"/>
          <w:szCs w:val="12"/>
        </w:rPr>
      </w:pPr>
    </w:p>
    <w:p w:rsidR="00F92198" w:rsidRDefault="00C40775" w:rsidP="00F1102D">
      <w:pPr>
        <w:snapToGrid w:val="0"/>
        <w:spacing w:line="288" w:lineRule="auto"/>
        <w:contextualSpacing/>
        <w:rPr>
          <w:rFonts w:eastAsia="Times New Roman"/>
          <w:lang w:val="en-NZ"/>
        </w:rPr>
      </w:pPr>
      <w:r w:rsidRPr="005827A1">
        <w:rPr>
          <w:rFonts w:eastAsia="Times New Roman"/>
          <w:lang w:val="en-NZ"/>
        </w:rPr>
        <w:t xml:space="preserve">For decades, the relationship between the number </w:t>
      </w:r>
      <w:r w:rsidR="00F1034D" w:rsidRPr="005827A1">
        <w:rPr>
          <w:lang w:val="en-NZ" w:eastAsia="zh-CN"/>
        </w:rPr>
        <w:t xml:space="preserve">and the quality </w:t>
      </w:r>
      <w:r w:rsidRPr="005827A1">
        <w:rPr>
          <w:rFonts w:eastAsia="Times New Roman"/>
          <w:lang w:val="en-NZ"/>
        </w:rPr>
        <w:t>of children in a family has been of interest to demographers and economists. The quantity-quality trade-off</w:t>
      </w:r>
      <w:r w:rsidR="00295F69" w:rsidRPr="005827A1">
        <w:rPr>
          <w:rFonts w:eastAsia="Times New Roman"/>
          <w:lang w:val="en-NZ"/>
        </w:rPr>
        <w:t xml:space="preserve"> theory suggests a negative relationship between the two, stating that </w:t>
      </w:r>
      <w:r w:rsidR="00975854">
        <w:rPr>
          <w:rFonts w:eastAsia="Times New Roman"/>
          <w:lang w:val="en-NZ"/>
        </w:rPr>
        <w:t>'</w:t>
      </w:r>
      <w:r w:rsidR="00295F69" w:rsidRPr="005827A1">
        <w:rPr>
          <w:rFonts w:eastAsia="Times New Roman"/>
          <w:lang w:val="en-NZ"/>
        </w:rPr>
        <w:t>an increase in quality is more expensive if there are more children because the increase has to apply to more units</w:t>
      </w:r>
      <w:r w:rsidR="00975854">
        <w:rPr>
          <w:rFonts w:eastAsia="Times New Roman"/>
          <w:lang w:val="en-NZ"/>
        </w:rPr>
        <w:t>'</w:t>
      </w:r>
      <w:r w:rsidR="00295F69" w:rsidRPr="005827A1">
        <w:rPr>
          <w:rFonts w:eastAsia="Times New Roman"/>
          <w:lang w:val="en-NZ"/>
        </w:rPr>
        <w:t xml:space="preserve"> and </w:t>
      </w:r>
      <w:r w:rsidR="00975854">
        <w:rPr>
          <w:rFonts w:eastAsia="Times New Roman"/>
          <w:lang w:val="en-NZ"/>
        </w:rPr>
        <w:t>'</w:t>
      </w:r>
      <w:r w:rsidR="00295F69" w:rsidRPr="005827A1">
        <w:rPr>
          <w:rFonts w:eastAsia="Times New Roman"/>
          <w:lang w:val="en-NZ"/>
        </w:rPr>
        <w:t>an increase in quantity is more expensive if the children are of higher quality, because hig</w:t>
      </w:r>
      <w:r w:rsidR="00C260C8" w:rsidRPr="005827A1">
        <w:rPr>
          <w:rFonts w:eastAsia="Times New Roman"/>
          <w:lang w:val="en-NZ"/>
        </w:rPr>
        <w:t>her-quality children cost more</w:t>
      </w:r>
      <w:r w:rsidR="00975854">
        <w:rPr>
          <w:rFonts w:eastAsia="Times New Roman"/>
          <w:lang w:val="en-NZ"/>
        </w:rPr>
        <w:t>'</w:t>
      </w:r>
      <w:r w:rsidR="00561512" w:rsidRPr="005827A1">
        <w:rPr>
          <w:rFonts w:eastAsia="Times New Roman"/>
          <w:lang w:val="en-NZ"/>
        </w:rPr>
        <w:t xml:space="preserve"> </w:t>
      </w:r>
      <w:r w:rsidR="00B574B5">
        <w:rPr>
          <w:rFonts w:eastAsia="Times New Roman"/>
          <w:lang w:val="en-NZ"/>
        </w:rPr>
        <w:t>(Becker and Lewis</w:t>
      </w:r>
      <w:r w:rsidR="00561512" w:rsidRPr="005827A1">
        <w:rPr>
          <w:rFonts w:eastAsia="Times New Roman"/>
          <w:lang w:val="en-NZ"/>
        </w:rPr>
        <w:t xml:space="preserve"> 1973, p.S280)</w:t>
      </w:r>
      <w:r w:rsidR="00C260C8" w:rsidRPr="005827A1">
        <w:rPr>
          <w:rFonts w:eastAsia="Times New Roman"/>
          <w:lang w:val="en-NZ"/>
        </w:rPr>
        <w:t>.</w:t>
      </w:r>
      <w:r w:rsidR="00561512" w:rsidRPr="005827A1">
        <w:rPr>
          <w:rFonts w:eastAsia="Times New Roman"/>
          <w:lang w:val="en-NZ"/>
        </w:rPr>
        <w:t xml:space="preserve"> </w:t>
      </w:r>
      <w:r w:rsidRPr="005827A1">
        <w:rPr>
          <w:rFonts w:eastAsia="Times New Roman"/>
          <w:lang w:val="en-NZ"/>
        </w:rPr>
        <w:t xml:space="preserve">This theory, </w:t>
      </w:r>
      <w:r w:rsidR="00C260C8" w:rsidRPr="005827A1">
        <w:rPr>
          <w:rFonts w:eastAsia="Times New Roman"/>
          <w:lang w:val="en-NZ"/>
        </w:rPr>
        <w:t xml:space="preserve">plus </w:t>
      </w:r>
      <w:r w:rsidR="00575CE3" w:rsidRPr="005827A1">
        <w:rPr>
          <w:lang w:val="en-NZ" w:eastAsia="zh-CN"/>
        </w:rPr>
        <w:t xml:space="preserve">the </w:t>
      </w:r>
      <w:r w:rsidRPr="005827A1">
        <w:rPr>
          <w:rFonts w:eastAsia="Times New Roman"/>
          <w:lang w:val="en-NZ"/>
        </w:rPr>
        <w:t xml:space="preserve">evidence that children from larger families tend to </w:t>
      </w:r>
      <w:r w:rsidR="00D1476D" w:rsidRPr="005827A1">
        <w:rPr>
          <w:rFonts w:eastAsia="Times New Roman"/>
          <w:lang w:val="en-NZ"/>
        </w:rPr>
        <w:t>have worse outcomes</w:t>
      </w:r>
      <w:r w:rsidRPr="005827A1">
        <w:rPr>
          <w:rFonts w:eastAsia="Times New Roman"/>
          <w:lang w:val="en-NZ"/>
        </w:rPr>
        <w:t xml:space="preserve">, </w:t>
      </w:r>
      <w:r w:rsidR="00DB7F3F" w:rsidRPr="005827A1">
        <w:rPr>
          <w:rFonts w:eastAsia="Times New Roman"/>
          <w:lang w:val="en-NZ"/>
        </w:rPr>
        <w:t xml:space="preserve">underpins </w:t>
      </w:r>
      <w:r w:rsidRPr="005827A1">
        <w:rPr>
          <w:rFonts w:eastAsia="Times New Roman"/>
          <w:lang w:val="en-NZ"/>
        </w:rPr>
        <w:t xml:space="preserve">many interventions in developing countries </w:t>
      </w:r>
      <w:r w:rsidR="00CE7304" w:rsidRPr="005827A1">
        <w:rPr>
          <w:rFonts w:eastAsia="Times New Roman"/>
          <w:lang w:val="en-NZ"/>
        </w:rPr>
        <w:t>where</w:t>
      </w:r>
      <w:r w:rsidR="00D1476D" w:rsidRPr="005827A1">
        <w:rPr>
          <w:rFonts w:eastAsia="Times New Roman"/>
          <w:lang w:val="en-NZ"/>
        </w:rPr>
        <w:t xml:space="preserve"> </w:t>
      </w:r>
      <w:r w:rsidRPr="005827A1">
        <w:rPr>
          <w:rFonts w:eastAsia="Times New Roman"/>
          <w:lang w:val="en-NZ"/>
        </w:rPr>
        <w:t>fertility rate</w:t>
      </w:r>
      <w:r w:rsidR="00D1476D" w:rsidRPr="005827A1">
        <w:rPr>
          <w:rFonts w:eastAsia="Times New Roman"/>
          <w:lang w:val="en-NZ"/>
        </w:rPr>
        <w:t>s</w:t>
      </w:r>
      <w:r w:rsidRPr="005827A1">
        <w:rPr>
          <w:rFonts w:eastAsia="Times New Roman"/>
          <w:lang w:val="en-NZ"/>
        </w:rPr>
        <w:t xml:space="preserve"> </w:t>
      </w:r>
      <w:r w:rsidR="00C260C8" w:rsidRPr="005827A1">
        <w:rPr>
          <w:rFonts w:eastAsia="Times New Roman"/>
          <w:lang w:val="en-NZ"/>
        </w:rPr>
        <w:t>may be</w:t>
      </w:r>
      <w:r w:rsidR="00D1476D" w:rsidRPr="005827A1">
        <w:rPr>
          <w:rFonts w:eastAsia="Times New Roman"/>
          <w:lang w:val="en-NZ"/>
        </w:rPr>
        <w:t xml:space="preserve"> considered </w:t>
      </w:r>
      <w:r w:rsidRPr="005827A1">
        <w:rPr>
          <w:rFonts w:eastAsia="Times New Roman"/>
          <w:lang w:val="en-NZ"/>
        </w:rPr>
        <w:t xml:space="preserve">too high </w:t>
      </w:r>
      <w:r w:rsidR="00C260C8" w:rsidRPr="005827A1">
        <w:rPr>
          <w:rFonts w:eastAsia="Times New Roman"/>
          <w:lang w:val="en-NZ"/>
        </w:rPr>
        <w:t xml:space="preserve">to enable </w:t>
      </w:r>
      <w:r w:rsidR="00D1476D" w:rsidRPr="005827A1">
        <w:rPr>
          <w:rFonts w:eastAsia="Times New Roman"/>
          <w:lang w:val="en-NZ"/>
        </w:rPr>
        <w:t xml:space="preserve">sustainable </w:t>
      </w:r>
      <w:r w:rsidRPr="005827A1">
        <w:rPr>
          <w:rFonts w:eastAsia="Times New Roman"/>
          <w:lang w:val="en-NZ"/>
        </w:rPr>
        <w:t xml:space="preserve">economic development </w:t>
      </w:r>
      <w:r w:rsidR="00195E11" w:rsidRPr="005827A1">
        <w:rPr>
          <w:rFonts w:eastAsia="Times New Roman"/>
          <w:lang w:val="en-NZ"/>
        </w:rPr>
        <w:t xml:space="preserve">(Angrist, </w:t>
      </w:r>
      <w:proofErr w:type="spellStart"/>
      <w:r w:rsidR="00195E11" w:rsidRPr="005827A1">
        <w:rPr>
          <w:rFonts w:eastAsia="Times New Roman"/>
          <w:lang w:val="en-NZ"/>
        </w:rPr>
        <w:t>Lavy</w:t>
      </w:r>
      <w:proofErr w:type="spellEnd"/>
      <w:r w:rsidR="00195E11" w:rsidRPr="005827A1">
        <w:rPr>
          <w:rFonts w:eastAsia="Times New Roman"/>
          <w:lang w:val="en-NZ"/>
        </w:rPr>
        <w:t xml:space="preserve"> </w:t>
      </w:r>
      <w:r w:rsidR="00B574B5">
        <w:rPr>
          <w:rFonts w:eastAsia="Times New Roman"/>
          <w:lang w:val="en-NZ"/>
        </w:rPr>
        <w:t>and Schlosser</w:t>
      </w:r>
      <w:r w:rsidR="00195E11" w:rsidRPr="005827A1">
        <w:rPr>
          <w:rFonts w:eastAsia="Times New Roman"/>
          <w:lang w:val="en-NZ"/>
        </w:rPr>
        <w:t xml:space="preserve"> 2010</w:t>
      </w:r>
      <w:r w:rsidRPr="005827A1">
        <w:rPr>
          <w:rFonts w:eastAsia="Times New Roman"/>
          <w:lang w:val="en-NZ"/>
        </w:rPr>
        <w:t>).</w:t>
      </w:r>
      <w:r w:rsidR="00D1476D" w:rsidRPr="005827A1">
        <w:rPr>
          <w:rFonts w:eastAsia="Times New Roman"/>
          <w:lang w:val="en-NZ"/>
        </w:rPr>
        <w:t xml:space="preserve"> In particular, it is expected that policies discourag</w:t>
      </w:r>
      <w:r w:rsidR="000D64CB" w:rsidRPr="005827A1">
        <w:rPr>
          <w:lang w:val="en-NZ" w:eastAsia="zh-CN"/>
        </w:rPr>
        <w:t>ing</w:t>
      </w:r>
      <w:r w:rsidR="00D1476D" w:rsidRPr="005827A1">
        <w:rPr>
          <w:rFonts w:eastAsia="Times New Roman"/>
          <w:lang w:val="en-NZ"/>
        </w:rPr>
        <w:t xml:space="preserve"> large families should lead to increased human capital, which will result in higher lifetime earnings and better life outcomes at the individual level and will contribute to faster economic development in the aggregate.</w:t>
      </w:r>
    </w:p>
    <w:p w:rsidR="005827A1" w:rsidRPr="00BE1B1C" w:rsidRDefault="005827A1" w:rsidP="00F1102D">
      <w:pPr>
        <w:snapToGrid w:val="0"/>
        <w:spacing w:line="288" w:lineRule="auto"/>
        <w:contextualSpacing/>
        <w:rPr>
          <w:rFonts w:eastAsia="Times New Roman"/>
          <w:sz w:val="20"/>
          <w:szCs w:val="20"/>
          <w:lang w:val="en-NZ"/>
        </w:rPr>
      </w:pPr>
    </w:p>
    <w:p w:rsidR="00763AA9" w:rsidRDefault="00D1476D" w:rsidP="00BE1B1C">
      <w:pPr>
        <w:snapToGrid w:val="0"/>
        <w:spacing w:line="288" w:lineRule="auto"/>
        <w:ind w:firstLine="567"/>
        <w:contextualSpacing/>
        <w:rPr>
          <w:color w:val="000000" w:themeColor="text1"/>
          <w:lang w:eastAsia="zh-CN"/>
        </w:rPr>
      </w:pPr>
      <w:r w:rsidRPr="005827A1">
        <w:t>Despite the importance of the quantity-q</w:t>
      </w:r>
      <w:r w:rsidR="00DC5014" w:rsidRPr="005827A1">
        <w:t>uality trade</w:t>
      </w:r>
      <w:r w:rsidR="000D64CB" w:rsidRPr="005827A1">
        <w:rPr>
          <w:lang w:eastAsia="zh-CN"/>
        </w:rPr>
        <w:t>-</w:t>
      </w:r>
      <w:r w:rsidR="00DC5014" w:rsidRPr="005827A1">
        <w:t xml:space="preserve">off </w:t>
      </w:r>
      <w:r w:rsidR="006F48ED" w:rsidRPr="005827A1">
        <w:t>theory</w:t>
      </w:r>
      <w:r w:rsidR="00DC5014" w:rsidRPr="005827A1">
        <w:t xml:space="preserve">, </w:t>
      </w:r>
      <w:r w:rsidRPr="005827A1">
        <w:t xml:space="preserve">empirical evidence for these </w:t>
      </w:r>
      <w:r w:rsidR="00DC5014" w:rsidRPr="005827A1">
        <w:t xml:space="preserve">relationships is mixed. </w:t>
      </w:r>
      <w:r w:rsidR="008D3325" w:rsidRPr="005827A1">
        <w:rPr>
          <w:lang w:eastAsia="zh-CN"/>
        </w:rPr>
        <w:t>Li</w:t>
      </w:r>
      <w:r w:rsidR="00674CC6" w:rsidRPr="005827A1">
        <w:rPr>
          <w:lang w:eastAsia="zh-CN"/>
        </w:rPr>
        <w:t xml:space="preserve">, Zhang </w:t>
      </w:r>
      <w:r w:rsidR="00975854">
        <w:rPr>
          <w:lang w:eastAsia="zh-CN"/>
        </w:rPr>
        <w:t>and</w:t>
      </w:r>
      <w:r w:rsidR="00674CC6" w:rsidRPr="005827A1">
        <w:rPr>
          <w:lang w:eastAsia="zh-CN"/>
        </w:rPr>
        <w:t xml:space="preserve"> Zhu </w:t>
      </w:r>
      <w:r w:rsidR="008D3325" w:rsidRPr="005827A1">
        <w:rPr>
          <w:lang w:eastAsia="zh-CN"/>
        </w:rPr>
        <w:t>(2008)</w:t>
      </w:r>
      <w:r w:rsidR="00674CC6" w:rsidRPr="005827A1">
        <w:rPr>
          <w:lang w:eastAsia="zh-CN"/>
        </w:rPr>
        <w:t xml:space="preserve"> point</w:t>
      </w:r>
      <w:r w:rsidR="008D3325" w:rsidRPr="005827A1">
        <w:rPr>
          <w:lang w:eastAsia="zh-CN"/>
        </w:rPr>
        <w:t xml:space="preserve"> out that the</w:t>
      </w:r>
      <w:r w:rsidR="00674CC6" w:rsidRPr="005827A1">
        <w:rPr>
          <w:lang w:eastAsia="zh-CN"/>
        </w:rPr>
        <w:t xml:space="preserve"> trade-off is more likely </w:t>
      </w:r>
      <w:r w:rsidR="008D3325" w:rsidRPr="005827A1">
        <w:rPr>
          <w:lang w:eastAsia="zh-CN"/>
        </w:rPr>
        <w:t>in developing countries</w:t>
      </w:r>
      <w:r w:rsidR="007523C9" w:rsidRPr="005827A1">
        <w:rPr>
          <w:lang w:eastAsia="zh-CN"/>
        </w:rPr>
        <w:t>, where</w:t>
      </w:r>
      <w:r w:rsidR="008D3325" w:rsidRPr="005827A1">
        <w:rPr>
          <w:lang w:eastAsia="zh-CN"/>
        </w:rPr>
        <w:t xml:space="preserve"> </w:t>
      </w:r>
      <w:r w:rsidR="007523C9" w:rsidRPr="005827A1">
        <w:rPr>
          <w:lang w:eastAsia="zh-CN"/>
        </w:rPr>
        <w:t xml:space="preserve">parents bear </w:t>
      </w:r>
      <w:r w:rsidR="002A6A8D" w:rsidRPr="005827A1">
        <w:rPr>
          <w:lang w:eastAsia="zh-CN"/>
        </w:rPr>
        <w:t xml:space="preserve">a larger share </w:t>
      </w:r>
      <w:r w:rsidR="005806DE" w:rsidRPr="005827A1">
        <w:rPr>
          <w:lang w:eastAsia="zh-CN"/>
        </w:rPr>
        <w:t xml:space="preserve">of </w:t>
      </w:r>
      <w:r w:rsidR="002A6A8D" w:rsidRPr="005827A1">
        <w:rPr>
          <w:lang w:eastAsia="zh-CN"/>
        </w:rPr>
        <w:t>child r</w:t>
      </w:r>
      <w:r w:rsidR="005806DE" w:rsidRPr="005827A1">
        <w:rPr>
          <w:lang w:eastAsia="zh-CN"/>
        </w:rPr>
        <w:t xml:space="preserve">earing cost </w:t>
      </w:r>
      <w:r w:rsidR="007523C9" w:rsidRPr="005827A1">
        <w:rPr>
          <w:lang w:eastAsia="zh-CN"/>
        </w:rPr>
        <w:t xml:space="preserve">than </w:t>
      </w:r>
      <w:r w:rsidR="00674CC6" w:rsidRPr="005827A1">
        <w:rPr>
          <w:lang w:eastAsia="zh-CN"/>
        </w:rPr>
        <w:t>in developed</w:t>
      </w:r>
      <w:r w:rsidR="005806DE" w:rsidRPr="005827A1">
        <w:rPr>
          <w:lang w:eastAsia="zh-CN"/>
        </w:rPr>
        <w:t xml:space="preserve"> count</w:t>
      </w:r>
      <w:r w:rsidR="007523C9" w:rsidRPr="005827A1">
        <w:rPr>
          <w:lang w:eastAsia="zh-CN"/>
        </w:rPr>
        <w:t>ries where</w:t>
      </w:r>
      <w:r w:rsidR="005806DE" w:rsidRPr="005827A1">
        <w:rPr>
          <w:lang w:eastAsia="zh-CN"/>
        </w:rPr>
        <w:t xml:space="preserve"> the </w:t>
      </w:r>
      <w:r w:rsidR="007523C9" w:rsidRPr="005827A1">
        <w:rPr>
          <w:lang w:eastAsia="zh-CN"/>
        </w:rPr>
        <w:t>welfare state may subsidize these costs</w:t>
      </w:r>
      <w:r w:rsidR="005806DE" w:rsidRPr="005827A1">
        <w:rPr>
          <w:lang w:eastAsia="zh-CN"/>
        </w:rPr>
        <w:t>.</w:t>
      </w:r>
      <w:r w:rsidR="006C1D6D" w:rsidRPr="005827A1">
        <w:rPr>
          <w:color w:val="FF0000"/>
          <w:lang w:eastAsia="zh-CN"/>
        </w:rPr>
        <w:t xml:space="preserve"> </w:t>
      </w:r>
      <w:r w:rsidR="005B6111" w:rsidRPr="005827A1">
        <w:t>Em</w:t>
      </w:r>
      <w:r w:rsidRPr="005827A1">
        <w:t xml:space="preserve">pirical research is </w:t>
      </w:r>
      <w:r w:rsidR="005B6111" w:rsidRPr="005827A1">
        <w:t xml:space="preserve">also complicated by the fact </w:t>
      </w:r>
      <w:r w:rsidR="00FD2717" w:rsidRPr="005827A1">
        <w:t xml:space="preserve">that both the </w:t>
      </w:r>
      <w:r w:rsidR="00FD2717" w:rsidRPr="005827A1">
        <w:rPr>
          <w:color w:val="000000" w:themeColor="text1"/>
          <w:lang w:eastAsia="zh-CN"/>
        </w:rPr>
        <w:t>n</w:t>
      </w:r>
      <w:r w:rsidR="00FD2717" w:rsidRPr="005827A1">
        <w:rPr>
          <w:color w:val="000000" w:themeColor="text1"/>
        </w:rPr>
        <w:t xml:space="preserve">umber of children and the investment in each child are choice variables. Thus, </w:t>
      </w:r>
      <w:r w:rsidR="00FD2717" w:rsidRPr="005827A1">
        <w:rPr>
          <w:color w:val="000000" w:themeColor="text1"/>
          <w:lang w:eastAsia="zh-CN"/>
        </w:rPr>
        <w:t xml:space="preserve">studies </w:t>
      </w:r>
      <w:r w:rsidR="00195E11" w:rsidRPr="005827A1">
        <w:rPr>
          <w:color w:val="000000" w:themeColor="text1"/>
          <w:lang w:eastAsia="zh-CN"/>
        </w:rPr>
        <w:t>treat</w:t>
      </w:r>
      <w:r w:rsidR="005B6111" w:rsidRPr="005827A1">
        <w:rPr>
          <w:color w:val="000000" w:themeColor="text1"/>
          <w:lang w:eastAsia="zh-CN"/>
        </w:rPr>
        <w:t>ing</w:t>
      </w:r>
      <w:r w:rsidR="00FD2717" w:rsidRPr="005827A1">
        <w:rPr>
          <w:color w:val="000000" w:themeColor="text1"/>
          <w:lang w:eastAsia="zh-CN"/>
        </w:rPr>
        <w:t xml:space="preserve"> family size as exogenous </w:t>
      </w:r>
      <w:r w:rsidR="00DC5014" w:rsidRPr="005827A1">
        <w:rPr>
          <w:color w:val="000000" w:themeColor="text1"/>
          <w:lang w:eastAsia="zh-CN"/>
        </w:rPr>
        <w:t>may</w:t>
      </w:r>
      <w:r w:rsidR="00FD2717" w:rsidRPr="005827A1">
        <w:rPr>
          <w:color w:val="000000" w:themeColor="text1"/>
          <w:lang w:eastAsia="zh-CN"/>
        </w:rPr>
        <w:t xml:space="preserve"> </w:t>
      </w:r>
      <w:r w:rsidR="005B6111" w:rsidRPr="005827A1">
        <w:rPr>
          <w:color w:val="000000" w:themeColor="text1"/>
          <w:lang w:eastAsia="zh-CN"/>
        </w:rPr>
        <w:t>not uncover</w:t>
      </w:r>
      <w:r w:rsidR="00FD2717" w:rsidRPr="005827A1">
        <w:rPr>
          <w:color w:val="000000" w:themeColor="text1"/>
          <w:lang w:eastAsia="zh-CN"/>
        </w:rPr>
        <w:t xml:space="preserve"> causal effects.</w:t>
      </w:r>
      <w:r w:rsidR="00FA3F7D" w:rsidRPr="005827A1">
        <w:rPr>
          <w:color w:val="000000" w:themeColor="text1"/>
          <w:lang w:eastAsia="zh-CN"/>
        </w:rPr>
        <w:t xml:space="preserve"> To get around this problem, many studies seek</w:t>
      </w:r>
      <w:r w:rsidR="00383925" w:rsidRPr="005827A1">
        <w:rPr>
          <w:color w:val="000000" w:themeColor="text1"/>
          <w:lang w:eastAsia="zh-CN"/>
        </w:rPr>
        <w:t xml:space="preserve"> to exploit exogenous variation</w:t>
      </w:r>
      <w:r w:rsidR="00FA3F7D" w:rsidRPr="005827A1">
        <w:rPr>
          <w:color w:val="000000" w:themeColor="text1"/>
          <w:lang w:eastAsia="zh-CN"/>
        </w:rPr>
        <w:t xml:space="preserve"> in f</w:t>
      </w:r>
      <w:r w:rsidR="000B34A7" w:rsidRPr="005827A1">
        <w:rPr>
          <w:color w:val="000000" w:themeColor="text1"/>
          <w:lang w:eastAsia="zh-CN"/>
        </w:rPr>
        <w:t>ertility</w:t>
      </w:r>
      <w:r w:rsidR="00FA3F7D" w:rsidRPr="005827A1">
        <w:rPr>
          <w:color w:val="000000" w:themeColor="text1"/>
          <w:lang w:eastAsia="zh-CN"/>
        </w:rPr>
        <w:t xml:space="preserve">. For example, </w:t>
      </w:r>
      <w:proofErr w:type="spellStart"/>
      <w:r w:rsidR="00E7605E" w:rsidRPr="005827A1">
        <w:rPr>
          <w:color w:val="000000" w:themeColor="text1"/>
          <w:lang w:eastAsia="zh-CN"/>
        </w:rPr>
        <w:t>Rosenzweig</w:t>
      </w:r>
      <w:proofErr w:type="spellEnd"/>
      <w:r w:rsidR="00E7605E" w:rsidRPr="005827A1">
        <w:rPr>
          <w:color w:val="000000" w:themeColor="text1"/>
          <w:lang w:eastAsia="zh-CN"/>
        </w:rPr>
        <w:t xml:space="preserve"> </w:t>
      </w:r>
      <w:r w:rsidR="00975854">
        <w:rPr>
          <w:color w:val="000000" w:themeColor="text1"/>
          <w:lang w:eastAsia="zh-CN"/>
        </w:rPr>
        <w:t>and</w:t>
      </w:r>
      <w:r w:rsidR="00E7605E" w:rsidRPr="005827A1">
        <w:rPr>
          <w:color w:val="000000" w:themeColor="text1"/>
          <w:lang w:eastAsia="zh-CN"/>
        </w:rPr>
        <w:t xml:space="preserve"> </w:t>
      </w:r>
      <w:proofErr w:type="spellStart"/>
      <w:r w:rsidR="00E7605E" w:rsidRPr="005827A1">
        <w:rPr>
          <w:color w:val="000000" w:themeColor="text1"/>
          <w:lang w:eastAsia="zh-CN"/>
        </w:rPr>
        <w:t>Wolpin</w:t>
      </w:r>
      <w:proofErr w:type="spellEnd"/>
      <w:r w:rsidR="00E7605E" w:rsidRPr="005827A1">
        <w:rPr>
          <w:color w:val="000000" w:themeColor="text1"/>
          <w:lang w:eastAsia="zh-CN"/>
        </w:rPr>
        <w:t xml:space="preserve"> (</w:t>
      </w:r>
      <w:r w:rsidR="001B3481" w:rsidRPr="005827A1">
        <w:rPr>
          <w:color w:val="000000" w:themeColor="text1"/>
          <w:lang w:eastAsia="zh-CN"/>
        </w:rPr>
        <w:t>1980</w:t>
      </w:r>
      <w:r w:rsidR="00E7605E" w:rsidRPr="005827A1">
        <w:rPr>
          <w:color w:val="000000" w:themeColor="text1"/>
          <w:lang w:eastAsia="zh-CN"/>
        </w:rPr>
        <w:t xml:space="preserve">), </w:t>
      </w:r>
      <w:r w:rsidR="00E72EB1" w:rsidRPr="005827A1">
        <w:rPr>
          <w:color w:val="000000" w:themeColor="text1"/>
          <w:lang w:eastAsia="zh-CN"/>
        </w:rPr>
        <w:t xml:space="preserve">Li </w:t>
      </w:r>
      <w:r w:rsidR="00E5647C" w:rsidRPr="00126D3D">
        <w:rPr>
          <w:i/>
          <w:color w:val="000000" w:themeColor="text1"/>
          <w:lang w:eastAsia="zh-CN"/>
        </w:rPr>
        <w:t>et al.</w:t>
      </w:r>
      <w:r w:rsidR="00E5647C" w:rsidRPr="005827A1">
        <w:rPr>
          <w:color w:val="000000" w:themeColor="text1"/>
          <w:lang w:eastAsia="zh-CN"/>
        </w:rPr>
        <w:t xml:space="preserve"> </w:t>
      </w:r>
      <w:r w:rsidR="00E72EB1" w:rsidRPr="005827A1">
        <w:rPr>
          <w:color w:val="000000" w:themeColor="text1"/>
          <w:lang w:eastAsia="zh-CN"/>
        </w:rPr>
        <w:t xml:space="preserve">(2008), </w:t>
      </w:r>
      <w:r w:rsidR="00FA3F7D" w:rsidRPr="005827A1">
        <w:rPr>
          <w:color w:val="000000" w:themeColor="text1"/>
          <w:lang w:eastAsia="zh-CN"/>
        </w:rPr>
        <w:t xml:space="preserve">Angrist </w:t>
      </w:r>
      <w:r w:rsidR="00126D3D" w:rsidRPr="00126D3D">
        <w:rPr>
          <w:i/>
          <w:color w:val="000000" w:themeColor="text1"/>
          <w:lang w:eastAsia="zh-CN"/>
        </w:rPr>
        <w:t>et al.</w:t>
      </w:r>
      <w:r w:rsidR="00126D3D" w:rsidRPr="005827A1">
        <w:rPr>
          <w:color w:val="000000" w:themeColor="text1"/>
          <w:lang w:eastAsia="zh-CN"/>
        </w:rPr>
        <w:t xml:space="preserve"> </w:t>
      </w:r>
      <w:r w:rsidR="00FA3F7D" w:rsidRPr="005827A1">
        <w:rPr>
          <w:color w:val="000000" w:themeColor="text1"/>
          <w:lang w:eastAsia="zh-CN"/>
        </w:rPr>
        <w:t>(2010)</w:t>
      </w:r>
      <w:r w:rsidR="00DC5014" w:rsidRPr="005827A1">
        <w:rPr>
          <w:color w:val="000000" w:themeColor="text1"/>
          <w:lang w:eastAsia="zh-CN"/>
        </w:rPr>
        <w:t xml:space="preserve"> and Abdul-</w:t>
      </w:r>
      <w:proofErr w:type="spellStart"/>
      <w:r w:rsidR="00DC5014" w:rsidRPr="005827A1">
        <w:rPr>
          <w:color w:val="000000" w:themeColor="text1"/>
          <w:lang w:eastAsia="zh-CN"/>
        </w:rPr>
        <w:t>Razak</w:t>
      </w:r>
      <w:proofErr w:type="spellEnd"/>
      <w:r w:rsidR="00DC5014" w:rsidRPr="005827A1">
        <w:rPr>
          <w:color w:val="000000" w:themeColor="text1"/>
          <w:lang w:eastAsia="zh-CN"/>
        </w:rPr>
        <w:t xml:space="preserve"> </w:t>
      </w:r>
      <w:r w:rsidR="00E5140F" w:rsidRPr="00126D3D">
        <w:rPr>
          <w:i/>
          <w:color w:val="000000" w:themeColor="text1"/>
          <w:lang w:eastAsia="zh-CN"/>
        </w:rPr>
        <w:t>et al</w:t>
      </w:r>
      <w:r w:rsidR="00E72EB1" w:rsidRPr="00126D3D">
        <w:rPr>
          <w:i/>
          <w:color w:val="000000" w:themeColor="text1"/>
          <w:lang w:eastAsia="zh-CN"/>
        </w:rPr>
        <w:t>.</w:t>
      </w:r>
      <w:r w:rsidR="00E5140F" w:rsidRPr="005827A1">
        <w:rPr>
          <w:color w:val="000000" w:themeColor="text1"/>
          <w:lang w:eastAsia="zh-CN"/>
        </w:rPr>
        <w:t xml:space="preserve"> </w:t>
      </w:r>
      <w:r w:rsidR="00DC5014" w:rsidRPr="005827A1">
        <w:rPr>
          <w:color w:val="000000" w:themeColor="text1"/>
          <w:lang w:eastAsia="zh-CN"/>
        </w:rPr>
        <w:t xml:space="preserve">(2015) </w:t>
      </w:r>
      <w:r w:rsidR="00E5140F" w:rsidRPr="005827A1">
        <w:rPr>
          <w:color w:val="000000" w:themeColor="text1"/>
          <w:lang w:eastAsia="zh-CN"/>
        </w:rPr>
        <w:t xml:space="preserve">use multiple births, while Conley and </w:t>
      </w:r>
      <w:proofErr w:type="spellStart"/>
      <w:r w:rsidR="00E5140F" w:rsidRPr="005827A1">
        <w:rPr>
          <w:color w:val="000000" w:themeColor="text1"/>
          <w:lang w:eastAsia="zh-CN"/>
        </w:rPr>
        <w:t>Glauber</w:t>
      </w:r>
      <w:proofErr w:type="spellEnd"/>
      <w:r w:rsidR="00E5140F" w:rsidRPr="005827A1">
        <w:rPr>
          <w:color w:val="000000" w:themeColor="text1"/>
          <w:lang w:eastAsia="zh-CN"/>
        </w:rPr>
        <w:t xml:space="preserve"> (2006), Lee (2008)</w:t>
      </w:r>
      <w:r w:rsidR="000B34A7" w:rsidRPr="005827A1">
        <w:rPr>
          <w:color w:val="000000" w:themeColor="text1"/>
          <w:lang w:eastAsia="zh-CN"/>
        </w:rPr>
        <w:t>,</w:t>
      </w:r>
      <w:r w:rsidR="00E5140F" w:rsidRPr="005827A1">
        <w:rPr>
          <w:color w:val="000000" w:themeColor="text1"/>
          <w:lang w:eastAsia="zh-CN"/>
        </w:rPr>
        <w:t xml:space="preserve"> and Angrist </w:t>
      </w:r>
      <w:r w:rsidR="00E5140F" w:rsidRPr="00126D3D">
        <w:rPr>
          <w:i/>
          <w:color w:val="000000" w:themeColor="text1"/>
          <w:lang w:eastAsia="zh-CN"/>
        </w:rPr>
        <w:t>et al</w:t>
      </w:r>
      <w:r w:rsidR="00E72EB1" w:rsidRPr="00126D3D">
        <w:rPr>
          <w:i/>
          <w:color w:val="000000" w:themeColor="text1"/>
          <w:lang w:eastAsia="zh-CN"/>
        </w:rPr>
        <w:t>.</w:t>
      </w:r>
      <w:r w:rsidR="00E5140F" w:rsidRPr="005827A1">
        <w:rPr>
          <w:color w:val="000000" w:themeColor="text1"/>
          <w:lang w:eastAsia="zh-CN"/>
        </w:rPr>
        <w:t xml:space="preserve"> (2010) use the gender composition of early births.</w:t>
      </w:r>
      <w:r w:rsidR="00F92EC6" w:rsidRPr="005827A1">
        <w:rPr>
          <w:rStyle w:val="FootnoteReference"/>
          <w:color w:val="000000" w:themeColor="text1"/>
          <w:lang w:eastAsia="zh-CN"/>
        </w:rPr>
        <w:footnoteReference w:id="1"/>
      </w:r>
      <w:r w:rsidR="00533AFF" w:rsidRPr="005827A1">
        <w:rPr>
          <w:color w:val="000000" w:themeColor="text1"/>
          <w:lang w:eastAsia="zh-CN"/>
        </w:rPr>
        <w:t xml:space="preserve"> </w:t>
      </w:r>
      <w:r w:rsidR="00126D3D">
        <w:rPr>
          <w:color w:val="000000" w:themeColor="text1"/>
          <w:lang w:eastAsia="zh-CN"/>
        </w:rPr>
        <w:t xml:space="preserve"> </w:t>
      </w:r>
      <w:r w:rsidR="00C47BFA" w:rsidRPr="005827A1">
        <w:rPr>
          <w:color w:val="000000" w:themeColor="text1"/>
          <w:lang w:eastAsia="zh-CN"/>
        </w:rPr>
        <w:t xml:space="preserve">One </w:t>
      </w:r>
      <w:r w:rsidR="000651EB" w:rsidRPr="005827A1">
        <w:rPr>
          <w:color w:val="000000" w:themeColor="text1"/>
          <w:lang w:eastAsia="zh-CN"/>
        </w:rPr>
        <w:t xml:space="preserve">contributor to </w:t>
      </w:r>
      <w:r w:rsidR="00533AFF" w:rsidRPr="005827A1">
        <w:rPr>
          <w:color w:val="000000" w:themeColor="text1"/>
          <w:lang w:eastAsia="zh-CN"/>
        </w:rPr>
        <w:t>exogenous variation in family size</w:t>
      </w:r>
      <w:r w:rsidR="008E118E" w:rsidRPr="005827A1">
        <w:rPr>
          <w:color w:val="000000" w:themeColor="text1"/>
          <w:lang w:eastAsia="zh-CN"/>
        </w:rPr>
        <w:t>, which this paper use</w:t>
      </w:r>
      <w:r w:rsidR="00C47BFA" w:rsidRPr="005827A1">
        <w:rPr>
          <w:color w:val="000000" w:themeColor="text1"/>
          <w:lang w:eastAsia="zh-CN"/>
        </w:rPr>
        <w:t>s,</w:t>
      </w:r>
      <w:r w:rsidR="00533AFF" w:rsidRPr="005827A1">
        <w:rPr>
          <w:color w:val="000000" w:themeColor="text1"/>
          <w:lang w:eastAsia="zh-CN"/>
        </w:rPr>
        <w:t xml:space="preserve"> is the changing stringency of family planning policy</w:t>
      </w:r>
      <w:r w:rsidR="00C47BFA" w:rsidRPr="005827A1">
        <w:rPr>
          <w:color w:val="000000" w:themeColor="text1"/>
          <w:lang w:eastAsia="zh-CN"/>
        </w:rPr>
        <w:t xml:space="preserve"> (</w:t>
      </w:r>
      <w:r w:rsidR="00533AFF" w:rsidRPr="005827A1">
        <w:rPr>
          <w:color w:val="000000" w:themeColor="text1"/>
          <w:lang w:eastAsia="zh-CN"/>
        </w:rPr>
        <w:t>Qian</w:t>
      </w:r>
      <w:r w:rsidR="00126D3D">
        <w:rPr>
          <w:color w:val="000000" w:themeColor="text1"/>
          <w:lang w:eastAsia="zh-CN"/>
        </w:rPr>
        <w:t xml:space="preserve"> 2009,</w:t>
      </w:r>
      <w:r w:rsidR="00533AFF" w:rsidRPr="005827A1">
        <w:rPr>
          <w:color w:val="000000" w:themeColor="text1"/>
          <w:lang w:eastAsia="zh-CN"/>
        </w:rPr>
        <w:t xml:space="preserve"> Liu</w:t>
      </w:r>
      <w:r w:rsidR="00C47BFA" w:rsidRPr="005827A1">
        <w:rPr>
          <w:color w:val="000000" w:themeColor="text1"/>
          <w:lang w:eastAsia="zh-CN"/>
        </w:rPr>
        <w:t xml:space="preserve"> </w:t>
      </w:r>
      <w:r w:rsidR="00533AFF" w:rsidRPr="005827A1">
        <w:rPr>
          <w:color w:val="000000" w:themeColor="text1"/>
          <w:lang w:eastAsia="zh-CN"/>
        </w:rPr>
        <w:t>2014</w:t>
      </w:r>
      <w:r w:rsidR="00126D3D">
        <w:rPr>
          <w:color w:val="000000" w:themeColor="text1"/>
          <w:lang w:eastAsia="zh-CN"/>
        </w:rPr>
        <w:t>,</w:t>
      </w:r>
      <w:r w:rsidR="00533AFF" w:rsidRPr="005827A1">
        <w:rPr>
          <w:color w:val="000000" w:themeColor="text1"/>
          <w:lang w:eastAsia="zh-CN"/>
        </w:rPr>
        <w:t xml:space="preserve"> Huang 2015</w:t>
      </w:r>
      <w:r w:rsidR="00C47BFA" w:rsidRPr="005827A1">
        <w:rPr>
          <w:color w:val="000000" w:themeColor="text1"/>
          <w:lang w:eastAsia="zh-CN"/>
        </w:rPr>
        <w:t xml:space="preserve"> </w:t>
      </w:r>
      <w:r w:rsidR="00126D3D">
        <w:rPr>
          <w:color w:val="000000" w:themeColor="text1"/>
          <w:lang w:eastAsia="zh-CN"/>
        </w:rPr>
        <w:t xml:space="preserve">and </w:t>
      </w:r>
      <w:r w:rsidR="00F000F5" w:rsidRPr="005827A1">
        <w:rPr>
          <w:color w:val="000000" w:themeColor="text1"/>
          <w:lang w:eastAsia="zh-CN"/>
        </w:rPr>
        <w:t xml:space="preserve">Zhang </w:t>
      </w:r>
      <w:r w:rsidR="00F000F5" w:rsidRPr="00126D3D">
        <w:rPr>
          <w:i/>
          <w:color w:val="000000" w:themeColor="text1"/>
          <w:lang w:eastAsia="zh-CN"/>
        </w:rPr>
        <w:t>et al.</w:t>
      </w:r>
      <w:r w:rsidR="007C5316" w:rsidRPr="005827A1">
        <w:rPr>
          <w:color w:val="000000" w:themeColor="text1"/>
          <w:lang w:eastAsia="zh-CN"/>
        </w:rPr>
        <w:t xml:space="preserve"> </w:t>
      </w:r>
      <w:r w:rsidR="00F000F5" w:rsidRPr="005827A1">
        <w:rPr>
          <w:color w:val="000000" w:themeColor="text1"/>
          <w:lang w:eastAsia="zh-CN"/>
        </w:rPr>
        <w:t>2016</w:t>
      </w:r>
      <w:r w:rsidR="00C47BFA" w:rsidRPr="005827A1">
        <w:rPr>
          <w:color w:val="000000" w:themeColor="text1"/>
          <w:lang w:eastAsia="zh-CN"/>
        </w:rPr>
        <w:t>)</w:t>
      </w:r>
      <w:r w:rsidR="00641FB5" w:rsidRPr="005827A1">
        <w:rPr>
          <w:color w:val="000000" w:themeColor="text1"/>
          <w:lang w:eastAsia="zh-CN"/>
        </w:rPr>
        <w:t xml:space="preserve">. </w:t>
      </w:r>
      <w:r w:rsidR="002F0F44" w:rsidRPr="005827A1">
        <w:rPr>
          <w:color w:val="000000" w:themeColor="text1"/>
          <w:lang w:eastAsia="zh-CN"/>
        </w:rPr>
        <w:t xml:space="preserve">Another </w:t>
      </w:r>
      <w:r w:rsidR="005B6111" w:rsidRPr="005827A1">
        <w:rPr>
          <w:color w:val="000000" w:themeColor="text1"/>
          <w:lang w:eastAsia="zh-CN"/>
        </w:rPr>
        <w:t>complication is</w:t>
      </w:r>
      <w:r w:rsidR="00674CC6" w:rsidRPr="005827A1">
        <w:rPr>
          <w:color w:val="000000" w:themeColor="text1"/>
          <w:lang w:eastAsia="zh-CN"/>
        </w:rPr>
        <w:t xml:space="preserve"> from</w:t>
      </w:r>
      <w:r w:rsidR="005B6111" w:rsidRPr="005827A1">
        <w:rPr>
          <w:color w:val="000000" w:themeColor="text1"/>
          <w:lang w:eastAsia="zh-CN"/>
        </w:rPr>
        <w:t xml:space="preserve"> </w:t>
      </w:r>
      <w:r w:rsidR="002F0F44" w:rsidRPr="005827A1">
        <w:rPr>
          <w:color w:val="000000" w:themeColor="text1"/>
          <w:lang w:eastAsia="zh-CN"/>
        </w:rPr>
        <w:t>measure</w:t>
      </w:r>
      <w:r w:rsidR="005B6111" w:rsidRPr="005827A1">
        <w:rPr>
          <w:color w:val="000000" w:themeColor="text1"/>
          <w:lang w:eastAsia="zh-CN"/>
        </w:rPr>
        <w:t>s</w:t>
      </w:r>
      <w:r w:rsidR="002F0F44" w:rsidRPr="005827A1">
        <w:rPr>
          <w:color w:val="000000" w:themeColor="text1"/>
          <w:lang w:eastAsia="zh-CN"/>
        </w:rPr>
        <w:t xml:space="preserve"> of child quality</w:t>
      </w:r>
      <w:r w:rsidR="005B6111" w:rsidRPr="005827A1">
        <w:rPr>
          <w:color w:val="000000" w:themeColor="text1"/>
          <w:lang w:eastAsia="zh-CN"/>
        </w:rPr>
        <w:t xml:space="preserve">; sometimes a </w:t>
      </w:r>
      <w:r w:rsidR="00CE1477" w:rsidRPr="005827A1">
        <w:rPr>
          <w:color w:val="000000" w:themeColor="text1"/>
          <w:lang w:eastAsia="zh-CN"/>
        </w:rPr>
        <w:t xml:space="preserve">trade-off is </w:t>
      </w:r>
      <w:r w:rsidR="005B6111" w:rsidRPr="005827A1">
        <w:rPr>
          <w:color w:val="000000" w:themeColor="text1"/>
          <w:lang w:eastAsia="zh-CN"/>
        </w:rPr>
        <w:t xml:space="preserve">apparent </w:t>
      </w:r>
      <w:r w:rsidR="00CE1477" w:rsidRPr="005827A1">
        <w:rPr>
          <w:color w:val="000000" w:themeColor="text1"/>
          <w:lang w:eastAsia="zh-CN"/>
        </w:rPr>
        <w:t xml:space="preserve">for one measure of child quality but </w:t>
      </w:r>
      <w:r w:rsidR="005B6111" w:rsidRPr="005827A1">
        <w:rPr>
          <w:color w:val="000000" w:themeColor="text1"/>
          <w:lang w:eastAsia="zh-CN"/>
        </w:rPr>
        <w:t xml:space="preserve">is </w:t>
      </w:r>
      <w:r w:rsidR="00CE1477" w:rsidRPr="005827A1">
        <w:rPr>
          <w:color w:val="000000" w:themeColor="text1"/>
          <w:lang w:eastAsia="zh-CN"/>
        </w:rPr>
        <w:t xml:space="preserve">very weak for </w:t>
      </w:r>
      <w:r w:rsidR="005B6111" w:rsidRPr="005827A1">
        <w:rPr>
          <w:color w:val="000000" w:themeColor="text1"/>
          <w:lang w:eastAsia="zh-CN"/>
        </w:rPr>
        <w:t>an</w:t>
      </w:r>
      <w:r w:rsidR="00745AB4" w:rsidRPr="005827A1">
        <w:rPr>
          <w:color w:val="000000" w:themeColor="text1"/>
          <w:lang w:eastAsia="zh-CN"/>
        </w:rPr>
        <w:t>other</w:t>
      </w:r>
      <w:r w:rsidR="00C47BFA" w:rsidRPr="005827A1">
        <w:rPr>
          <w:color w:val="000000" w:themeColor="text1"/>
          <w:lang w:eastAsia="zh-CN"/>
        </w:rPr>
        <w:t>,</w:t>
      </w:r>
      <w:r w:rsidR="00745AB4" w:rsidRPr="005827A1">
        <w:rPr>
          <w:color w:val="000000" w:themeColor="text1"/>
          <w:lang w:eastAsia="zh-CN"/>
        </w:rPr>
        <w:t xml:space="preserve"> </w:t>
      </w:r>
      <w:r w:rsidR="00CE1477" w:rsidRPr="005827A1">
        <w:rPr>
          <w:color w:val="000000" w:themeColor="text1"/>
          <w:lang w:eastAsia="zh-CN"/>
        </w:rPr>
        <w:t xml:space="preserve">even </w:t>
      </w:r>
      <w:r w:rsidR="005B6111" w:rsidRPr="005827A1">
        <w:rPr>
          <w:color w:val="000000" w:themeColor="text1"/>
          <w:lang w:eastAsia="zh-CN"/>
        </w:rPr>
        <w:t xml:space="preserve">with </w:t>
      </w:r>
      <w:r w:rsidR="00CE1477" w:rsidRPr="005827A1">
        <w:rPr>
          <w:color w:val="000000" w:themeColor="text1"/>
          <w:lang w:eastAsia="zh-CN"/>
        </w:rPr>
        <w:t xml:space="preserve">the same </w:t>
      </w:r>
      <w:r w:rsidR="00034EC2" w:rsidRPr="005827A1">
        <w:rPr>
          <w:color w:val="000000" w:themeColor="text1"/>
          <w:lang w:eastAsia="zh-CN"/>
        </w:rPr>
        <w:t>data and e</w:t>
      </w:r>
      <w:r w:rsidR="00975854">
        <w:rPr>
          <w:color w:val="000000" w:themeColor="text1"/>
          <w:lang w:eastAsia="zh-CN"/>
        </w:rPr>
        <w:t xml:space="preserve">mpirical methods (Black </w:t>
      </w:r>
      <w:r w:rsidR="00975854" w:rsidRPr="00975854">
        <w:rPr>
          <w:i/>
          <w:color w:val="000000" w:themeColor="text1"/>
          <w:lang w:eastAsia="zh-CN"/>
        </w:rPr>
        <w:t>et al.</w:t>
      </w:r>
      <w:r w:rsidR="00D53EB4">
        <w:rPr>
          <w:color w:val="000000" w:themeColor="text1"/>
          <w:lang w:eastAsia="zh-CN"/>
        </w:rPr>
        <w:t xml:space="preserve"> 2005 and </w:t>
      </w:r>
      <w:r w:rsidR="00975854">
        <w:rPr>
          <w:color w:val="000000" w:themeColor="text1"/>
          <w:lang w:eastAsia="zh-CN"/>
        </w:rPr>
        <w:t>Liu</w:t>
      </w:r>
      <w:r w:rsidR="00034EC2" w:rsidRPr="005827A1">
        <w:rPr>
          <w:color w:val="000000" w:themeColor="text1"/>
          <w:lang w:eastAsia="zh-CN"/>
        </w:rPr>
        <w:t xml:space="preserve"> 2014). </w:t>
      </w:r>
    </w:p>
    <w:p w:rsidR="005827A1" w:rsidRPr="00BE1B1C" w:rsidRDefault="005827A1" w:rsidP="00F1102D">
      <w:pPr>
        <w:snapToGrid w:val="0"/>
        <w:spacing w:line="288" w:lineRule="auto"/>
        <w:ind w:firstLine="720"/>
        <w:contextualSpacing/>
        <w:rPr>
          <w:color w:val="000000" w:themeColor="text1"/>
          <w:sz w:val="20"/>
          <w:szCs w:val="20"/>
          <w:lang w:eastAsia="zh-CN"/>
        </w:rPr>
      </w:pPr>
    </w:p>
    <w:p w:rsidR="005B6111" w:rsidRDefault="005806DE" w:rsidP="00BE1B1C">
      <w:pPr>
        <w:snapToGrid w:val="0"/>
        <w:spacing w:line="288" w:lineRule="auto"/>
        <w:ind w:firstLine="567"/>
        <w:contextualSpacing/>
        <w:rPr>
          <w:color w:val="000000" w:themeColor="text1"/>
          <w:lang w:eastAsia="zh-CN"/>
        </w:rPr>
      </w:pPr>
      <w:r w:rsidRPr="005827A1">
        <w:rPr>
          <w:color w:val="000000" w:themeColor="text1"/>
          <w:lang w:eastAsia="zh-CN"/>
        </w:rPr>
        <w:t xml:space="preserve">This paper </w:t>
      </w:r>
      <w:r w:rsidR="00D94888" w:rsidRPr="005827A1">
        <w:rPr>
          <w:color w:val="000000" w:themeColor="text1"/>
          <w:lang w:eastAsia="zh-CN"/>
        </w:rPr>
        <w:t xml:space="preserve">tests </w:t>
      </w:r>
      <w:r w:rsidR="005B6111" w:rsidRPr="005827A1">
        <w:rPr>
          <w:color w:val="000000" w:themeColor="text1"/>
          <w:lang w:eastAsia="zh-CN"/>
        </w:rPr>
        <w:t xml:space="preserve">for a </w:t>
      </w:r>
      <w:r w:rsidR="00D94888" w:rsidRPr="005827A1">
        <w:rPr>
          <w:color w:val="000000" w:themeColor="text1"/>
          <w:lang w:eastAsia="zh-CN"/>
        </w:rPr>
        <w:t>trade-off between the quantity and quality of children</w:t>
      </w:r>
      <w:r w:rsidR="005B6111" w:rsidRPr="005827A1">
        <w:rPr>
          <w:color w:val="000000" w:themeColor="text1"/>
          <w:lang w:eastAsia="zh-CN"/>
        </w:rPr>
        <w:t xml:space="preserve"> in</w:t>
      </w:r>
      <w:r w:rsidR="00B61410" w:rsidRPr="005827A1">
        <w:rPr>
          <w:color w:val="000000" w:themeColor="text1"/>
          <w:lang w:eastAsia="zh-CN"/>
        </w:rPr>
        <w:t xml:space="preserve"> </w:t>
      </w:r>
      <w:r w:rsidR="00D94888" w:rsidRPr="005827A1">
        <w:rPr>
          <w:color w:val="000000" w:themeColor="text1"/>
          <w:lang w:eastAsia="zh-CN"/>
        </w:rPr>
        <w:t>China</w:t>
      </w:r>
      <w:r w:rsidR="005B6111" w:rsidRPr="005827A1">
        <w:rPr>
          <w:color w:val="000000" w:themeColor="text1"/>
          <w:lang w:eastAsia="zh-CN"/>
        </w:rPr>
        <w:t>. Intakes of three</w:t>
      </w:r>
      <w:r w:rsidR="00D94888" w:rsidRPr="005827A1">
        <w:rPr>
          <w:color w:val="000000" w:themeColor="text1"/>
          <w:lang w:eastAsia="zh-CN"/>
        </w:rPr>
        <w:t xml:space="preserve"> nutrient</w:t>
      </w:r>
      <w:r w:rsidR="005B6111" w:rsidRPr="005827A1">
        <w:rPr>
          <w:color w:val="000000" w:themeColor="text1"/>
          <w:lang w:eastAsia="zh-CN"/>
        </w:rPr>
        <w:t>s</w:t>
      </w:r>
      <w:r w:rsidR="00D94888" w:rsidRPr="005827A1">
        <w:rPr>
          <w:color w:val="000000" w:themeColor="text1"/>
          <w:lang w:eastAsia="zh-CN"/>
        </w:rPr>
        <w:t xml:space="preserve"> </w:t>
      </w:r>
      <w:r w:rsidR="005B6111" w:rsidRPr="005827A1">
        <w:rPr>
          <w:color w:val="000000" w:themeColor="text1"/>
          <w:lang w:eastAsia="zh-CN"/>
        </w:rPr>
        <w:t xml:space="preserve">are used as </w:t>
      </w:r>
      <w:r w:rsidR="00D94888" w:rsidRPr="005827A1">
        <w:rPr>
          <w:color w:val="000000" w:themeColor="text1"/>
          <w:lang w:eastAsia="zh-CN"/>
        </w:rPr>
        <w:t xml:space="preserve">the measure of child quality. </w:t>
      </w:r>
      <w:r w:rsidR="005B6111" w:rsidRPr="005827A1">
        <w:rPr>
          <w:color w:val="000000" w:themeColor="text1"/>
          <w:lang w:eastAsia="zh-CN"/>
        </w:rPr>
        <w:t>T</w:t>
      </w:r>
      <w:r w:rsidR="00CE1477" w:rsidRPr="005827A1">
        <w:rPr>
          <w:color w:val="000000" w:themeColor="text1"/>
          <w:lang w:eastAsia="zh-CN"/>
        </w:rPr>
        <w:t xml:space="preserve">wo </w:t>
      </w:r>
      <w:r w:rsidR="005B6111" w:rsidRPr="005827A1">
        <w:rPr>
          <w:color w:val="000000" w:themeColor="text1"/>
          <w:lang w:eastAsia="zh-CN"/>
        </w:rPr>
        <w:t xml:space="preserve">approaches are used to get around </w:t>
      </w:r>
      <w:r w:rsidR="005B6111" w:rsidRPr="005827A1">
        <w:rPr>
          <w:color w:val="000000" w:themeColor="text1"/>
          <w:lang w:val="en-AU" w:eastAsia="zh-CN"/>
        </w:rPr>
        <w:t>endogeneity</w:t>
      </w:r>
      <w:r w:rsidR="00CE1477" w:rsidRPr="005827A1">
        <w:rPr>
          <w:color w:val="000000" w:themeColor="text1"/>
          <w:lang w:eastAsia="zh-CN"/>
        </w:rPr>
        <w:t xml:space="preserve"> problem</w:t>
      </w:r>
      <w:r w:rsidR="005B6111" w:rsidRPr="005827A1">
        <w:rPr>
          <w:color w:val="000000" w:themeColor="text1"/>
          <w:lang w:eastAsia="zh-CN"/>
        </w:rPr>
        <w:t>s</w:t>
      </w:r>
      <w:r w:rsidR="00E5647C" w:rsidRPr="005827A1">
        <w:rPr>
          <w:color w:val="000000" w:themeColor="text1"/>
          <w:lang w:eastAsia="zh-CN"/>
        </w:rPr>
        <w:t xml:space="preserve"> and </w:t>
      </w:r>
      <w:r w:rsidR="00745AB4" w:rsidRPr="005827A1">
        <w:rPr>
          <w:color w:val="000000" w:themeColor="text1"/>
          <w:lang w:eastAsia="zh-CN"/>
        </w:rPr>
        <w:t xml:space="preserve">to </w:t>
      </w:r>
      <w:r w:rsidR="005B6111" w:rsidRPr="005827A1">
        <w:rPr>
          <w:color w:val="000000" w:themeColor="text1"/>
          <w:lang w:eastAsia="zh-CN"/>
        </w:rPr>
        <w:t xml:space="preserve">control </w:t>
      </w:r>
      <w:r w:rsidR="00E5647C" w:rsidRPr="005827A1">
        <w:rPr>
          <w:color w:val="000000" w:themeColor="text1"/>
          <w:lang w:eastAsia="zh-CN"/>
        </w:rPr>
        <w:t>unobserved heterogeneity</w:t>
      </w:r>
      <w:r w:rsidR="00CE1477" w:rsidRPr="005827A1">
        <w:rPr>
          <w:color w:val="000000" w:themeColor="text1"/>
          <w:lang w:eastAsia="zh-CN"/>
        </w:rPr>
        <w:t>. First</w:t>
      </w:r>
      <w:r w:rsidR="005B6111" w:rsidRPr="005827A1">
        <w:rPr>
          <w:color w:val="000000" w:themeColor="text1"/>
          <w:lang w:eastAsia="zh-CN"/>
        </w:rPr>
        <w:t>,</w:t>
      </w:r>
      <w:r w:rsidR="00CE1477" w:rsidRPr="005827A1">
        <w:rPr>
          <w:color w:val="000000" w:themeColor="text1"/>
          <w:lang w:eastAsia="zh-CN"/>
        </w:rPr>
        <w:t xml:space="preserve"> we use the</w:t>
      </w:r>
      <w:r w:rsidR="005B6111" w:rsidRPr="005827A1">
        <w:rPr>
          <w:color w:val="000000" w:themeColor="text1"/>
          <w:lang w:eastAsia="zh-CN"/>
        </w:rPr>
        <w:t xml:space="preserve"> one child policy (</w:t>
      </w:r>
      <w:r w:rsidR="00CE1477" w:rsidRPr="005827A1">
        <w:rPr>
          <w:color w:val="000000" w:themeColor="text1"/>
          <w:lang w:eastAsia="zh-CN"/>
        </w:rPr>
        <w:t>hereafter, OCP) in Ch</w:t>
      </w:r>
      <w:r w:rsidR="002A6A8D" w:rsidRPr="005827A1">
        <w:rPr>
          <w:color w:val="000000" w:themeColor="text1"/>
          <w:lang w:eastAsia="zh-CN"/>
        </w:rPr>
        <w:t>ina as a</w:t>
      </w:r>
      <w:r w:rsidR="00CE1477" w:rsidRPr="005827A1">
        <w:rPr>
          <w:color w:val="000000" w:themeColor="text1"/>
          <w:lang w:eastAsia="zh-CN"/>
        </w:rPr>
        <w:t xml:space="preserve"> </w:t>
      </w:r>
      <w:r w:rsidR="005B6111" w:rsidRPr="005827A1">
        <w:rPr>
          <w:color w:val="000000" w:themeColor="text1"/>
          <w:lang w:eastAsia="zh-CN"/>
        </w:rPr>
        <w:t xml:space="preserve">source of </w:t>
      </w:r>
      <w:r w:rsidR="00CE1477" w:rsidRPr="005827A1">
        <w:rPr>
          <w:color w:val="000000" w:themeColor="text1"/>
          <w:lang w:eastAsia="zh-CN"/>
        </w:rPr>
        <w:t>exogenous variation in family size</w:t>
      </w:r>
      <w:r w:rsidR="0032264B" w:rsidRPr="005827A1">
        <w:rPr>
          <w:color w:val="000000" w:themeColor="text1"/>
          <w:lang w:eastAsia="zh-CN"/>
        </w:rPr>
        <w:t xml:space="preserve"> </w:t>
      </w:r>
      <w:r w:rsidR="005B6111" w:rsidRPr="005827A1">
        <w:rPr>
          <w:color w:val="000000" w:themeColor="text1"/>
          <w:lang w:eastAsia="zh-CN"/>
        </w:rPr>
        <w:t xml:space="preserve">in </w:t>
      </w:r>
      <w:r w:rsidR="0032264B" w:rsidRPr="005827A1">
        <w:rPr>
          <w:color w:val="000000" w:themeColor="text1"/>
          <w:lang w:eastAsia="zh-CN"/>
        </w:rPr>
        <w:t>two-stage least square</w:t>
      </w:r>
      <w:r w:rsidR="002A6A8D" w:rsidRPr="005827A1">
        <w:rPr>
          <w:color w:val="000000" w:themeColor="text1"/>
          <w:lang w:eastAsia="zh-CN"/>
        </w:rPr>
        <w:t>s</w:t>
      </w:r>
      <w:r w:rsidR="0032264B" w:rsidRPr="005827A1">
        <w:rPr>
          <w:color w:val="000000" w:themeColor="text1"/>
          <w:lang w:eastAsia="zh-CN"/>
        </w:rPr>
        <w:t xml:space="preserve"> (2SLS) models</w:t>
      </w:r>
      <w:r w:rsidR="00CE1477" w:rsidRPr="005827A1">
        <w:rPr>
          <w:color w:val="000000" w:themeColor="text1"/>
          <w:lang w:eastAsia="zh-CN"/>
        </w:rPr>
        <w:t xml:space="preserve">. </w:t>
      </w:r>
      <w:r w:rsidR="005B6111" w:rsidRPr="005827A1">
        <w:rPr>
          <w:color w:val="000000" w:themeColor="text1"/>
          <w:lang w:eastAsia="zh-CN"/>
        </w:rPr>
        <w:t xml:space="preserve">Second, we use fixed effects (FE) models to examine how </w:t>
      </w:r>
      <w:r w:rsidR="002A6A8D" w:rsidRPr="005827A1">
        <w:rPr>
          <w:color w:val="000000" w:themeColor="text1"/>
          <w:lang w:eastAsia="zh-CN"/>
        </w:rPr>
        <w:t>a</w:t>
      </w:r>
      <w:r w:rsidR="005B6111" w:rsidRPr="005827A1">
        <w:rPr>
          <w:color w:val="000000" w:themeColor="text1"/>
          <w:lang w:eastAsia="zh-CN"/>
        </w:rPr>
        <w:t xml:space="preserve"> change in sibling numbers affects nutrient intakes, allowing for unobserved heterogeneity of children</w:t>
      </w:r>
      <w:r w:rsidR="00674CC6" w:rsidRPr="005827A1">
        <w:rPr>
          <w:color w:val="000000" w:themeColor="text1"/>
          <w:lang w:eastAsia="zh-CN"/>
        </w:rPr>
        <w:t xml:space="preserve">. In other words, the longitudinal data </w:t>
      </w:r>
      <w:r w:rsidR="002A6A8D" w:rsidRPr="005827A1">
        <w:rPr>
          <w:color w:val="000000" w:themeColor="text1"/>
          <w:lang w:eastAsia="zh-CN"/>
        </w:rPr>
        <w:t xml:space="preserve">let us examine </w:t>
      </w:r>
      <w:r w:rsidR="00674CC6" w:rsidRPr="005827A1">
        <w:rPr>
          <w:color w:val="000000" w:themeColor="text1"/>
          <w:lang w:eastAsia="zh-CN"/>
        </w:rPr>
        <w:t xml:space="preserve">within-child variation over time, </w:t>
      </w:r>
      <w:r w:rsidR="002A6A8D" w:rsidRPr="005827A1">
        <w:rPr>
          <w:color w:val="000000" w:themeColor="text1"/>
          <w:lang w:eastAsia="zh-CN"/>
        </w:rPr>
        <w:t xml:space="preserve">to allow for </w:t>
      </w:r>
      <w:r w:rsidR="00674CC6" w:rsidRPr="005827A1">
        <w:rPr>
          <w:color w:val="000000" w:themeColor="text1"/>
          <w:lang w:eastAsia="zh-CN"/>
        </w:rPr>
        <w:t xml:space="preserve">child-specific responses that could bias cross-sectional results if there are unobservable factors that confound comparisons of outcomes prior to, and </w:t>
      </w:r>
      <w:r w:rsidR="00674CC6" w:rsidRPr="005827A1">
        <w:rPr>
          <w:color w:val="000000" w:themeColor="text1"/>
          <w:lang w:eastAsia="zh-CN"/>
        </w:rPr>
        <w:lastRenderedPageBreak/>
        <w:t xml:space="preserve">after, a change in family size. A further advantage of the FE approach is that it is not affected by </w:t>
      </w:r>
      <w:r w:rsidR="00A57DC5" w:rsidRPr="005827A1">
        <w:rPr>
          <w:color w:val="000000" w:themeColor="text1"/>
          <w:lang w:eastAsia="zh-CN"/>
        </w:rPr>
        <w:t xml:space="preserve">the weakening </w:t>
      </w:r>
      <w:r w:rsidR="005B6111" w:rsidRPr="005827A1">
        <w:rPr>
          <w:color w:val="000000" w:themeColor="text1"/>
          <w:lang w:eastAsia="zh-CN"/>
        </w:rPr>
        <w:t>identification power of the OCP after 1997</w:t>
      </w:r>
      <w:r w:rsidR="00A57DC5" w:rsidRPr="005827A1">
        <w:rPr>
          <w:color w:val="000000" w:themeColor="text1"/>
          <w:lang w:eastAsia="zh-CN"/>
        </w:rPr>
        <w:t xml:space="preserve"> as </w:t>
      </w:r>
      <w:r w:rsidR="00674CC6" w:rsidRPr="005827A1">
        <w:rPr>
          <w:color w:val="000000" w:themeColor="text1"/>
          <w:lang w:eastAsia="zh-CN"/>
        </w:rPr>
        <w:t>restrictions were gradually relaxed</w:t>
      </w:r>
      <w:r w:rsidR="005B6111" w:rsidRPr="005827A1">
        <w:rPr>
          <w:color w:val="000000" w:themeColor="text1"/>
          <w:lang w:eastAsia="zh-CN"/>
        </w:rPr>
        <w:t xml:space="preserve">. </w:t>
      </w:r>
      <w:r w:rsidR="00674CC6" w:rsidRPr="005827A1">
        <w:rPr>
          <w:color w:val="000000" w:themeColor="text1"/>
          <w:lang w:eastAsia="zh-CN"/>
        </w:rPr>
        <w:t>With results from the</w:t>
      </w:r>
      <w:r w:rsidR="002A6A8D" w:rsidRPr="005827A1">
        <w:rPr>
          <w:color w:val="000000" w:themeColor="text1"/>
          <w:lang w:eastAsia="zh-CN"/>
        </w:rPr>
        <w:t>se</w:t>
      </w:r>
      <w:r w:rsidR="00674CC6" w:rsidRPr="005827A1">
        <w:rPr>
          <w:color w:val="000000" w:themeColor="text1"/>
          <w:lang w:eastAsia="zh-CN"/>
        </w:rPr>
        <w:t xml:space="preserve"> two methods in conjunction, we provide</w:t>
      </w:r>
      <w:r w:rsidR="005B6111" w:rsidRPr="005827A1">
        <w:rPr>
          <w:color w:val="000000" w:themeColor="text1"/>
          <w:lang w:eastAsia="zh-CN"/>
        </w:rPr>
        <w:t xml:space="preserve"> a comprehensive </w:t>
      </w:r>
      <w:r w:rsidR="00674CC6" w:rsidRPr="005827A1">
        <w:rPr>
          <w:color w:val="000000" w:themeColor="text1"/>
          <w:lang w:eastAsia="zh-CN"/>
        </w:rPr>
        <w:t xml:space="preserve">test </w:t>
      </w:r>
      <w:r w:rsidR="002A6A8D" w:rsidRPr="005827A1">
        <w:rPr>
          <w:color w:val="000000" w:themeColor="text1"/>
          <w:lang w:eastAsia="zh-CN"/>
        </w:rPr>
        <w:t xml:space="preserve">for </w:t>
      </w:r>
      <w:r w:rsidR="00674CC6" w:rsidRPr="005827A1">
        <w:rPr>
          <w:color w:val="000000" w:themeColor="text1"/>
          <w:lang w:eastAsia="zh-CN"/>
        </w:rPr>
        <w:t xml:space="preserve">the </w:t>
      </w:r>
      <w:r w:rsidR="002A6A8D" w:rsidRPr="005827A1">
        <w:rPr>
          <w:color w:val="000000" w:themeColor="text1"/>
          <w:lang w:eastAsia="zh-CN"/>
        </w:rPr>
        <w:t xml:space="preserve">existence of a </w:t>
      </w:r>
      <w:r w:rsidR="00674CC6" w:rsidRPr="005827A1">
        <w:rPr>
          <w:color w:val="000000" w:themeColor="text1"/>
          <w:lang w:eastAsia="zh-CN"/>
        </w:rPr>
        <w:t>quality-quantity trade-off.</w:t>
      </w:r>
    </w:p>
    <w:p w:rsidR="005827A1" w:rsidRPr="00D53EB4" w:rsidRDefault="005827A1" w:rsidP="00F1102D">
      <w:pPr>
        <w:snapToGrid w:val="0"/>
        <w:spacing w:line="288" w:lineRule="auto"/>
        <w:ind w:firstLine="720"/>
        <w:contextualSpacing/>
        <w:rPr>
          <w:color w:val="000000" w:themeColor="text1"/>
          <w:sz w:val="20"/>
          <w:szCs w:val="20"/>
          <w:lang w:val="en-NZ"/>
        </w:rPr>
      </w:pPr>
    </w:p>
    <w:p w:rsidR="00464332" w:rsidRDefault="002A6A8D" w:rsidP="00F1102D">
      <w:pPr>
        <w:snapToGrid w:val="0"/>
        <w:spacing w:line="288" w:lineRule="auto"/>
        <w:ind w:firstLine="720"/>
        <w:contextualSpacing/>
        <w:rPr>
          <w:lang w:eastAsia="zh-CN"/>
        </w:rPr>
      </w:pPr>
      <w:r w:rsidRPr="005827A1">
        <w:rPr>
          <w:color w:val="000000" w:themeColor="text1"/>
          <w:lang w:val="en-NZ"/>
        </w:rPr>
        <w:t>In particular, t</w:t>
      </w:r>
      <w:r w:rsidR="00464332" w:rsidRPr="005827A1">
        <w:rPr>
          <w:color w:val="000000" w:themeColor="text1"/>
          <w:lang w:val="en-NZ"/>
        </w:rPr>
        <w:t xml:space="preserve">he differing strength of the OCP over time and space </w:t>
      </w:r>
      <w:r w:rsidRPr="005827A1">
        <w:rPr>
          <w:color w:val="000000" w:themeColor="text1"/>
          <w:lang w:val="en-NZ"/>
        </w:rPr>
        <w:t xml:space="preserve">aids the </w:t>
      </w:r>
      <w:r w:rsidR="00464332" w:rsidRPr="005827A1">
        <w:rPr>
          <w:color w:val="000000" w:themeColor="text1"/>
          <w:lang w:val="en-NZ"/>
        </w:rPr>
        <w:t xml:space="preserve">analysis by providing a source of identifying </w:t>
      </w:r>
      <w:r w:rsidR="00464332" w:rsidRPr="005827A1">
        <w:rPr>
          <w:color w:val="000000" w:themeColor="text1"/>
          <w:lang w:val="en-NZ" w:eastAsia="zh-CN"/>
        </w:rPr>
        <w:t xml:space="preserve">fertility </w:t>
      </w:r>
      <w:r w:rsidR="00464332" w:rsidRPr="005827A1">
        <w:rPr>
          <w:color w:val="000000" w:themeColor="text1"/>
          <w:lang w:val="en-NZ"/>
        </w:rPr>
        <w:t>variation</w:t>
      </w:r>
      <w:r w:rsidR="00464332" w:rsidRPr="005827A1">
        <w:rPr>
          <w:color w:val="000000" w:themeColor="text1"/>
          <w:lang w:val="en-NZ" w:eastAsia="zh-CN"/>
        </w:rPr>
        <w:t xml:space="preserve">. </w:t>
      </w:r>
      <w:r w:rsidR="00464332" w:rsidRPr="005827A1">
        <w:rPr>
          <w:color w:val="000000" w:themeColor="text1"/>
          <w:lang w:val="en-NZ"/>
        </w:rPr>
        <w:t xml:space="preserve">For example, the total fertility rate fell dramatically, from </w:t>
      </w:r>
      <w:r w:rsidR="00464332" w:rsidRPr="005827A1">
        <w:rPr>
          <w:color w:val="000000" w:themeColor="text1"/>
          <w:lang w:val="en-NZ" w:eastAsia="zh-CN"/>
        </w:rPr>
        <w:t>over</w:t>
      </w:r>
      <w:r w:rsidR="00464332" w:rsidRPr="005827A1">
        <w:rPr>
          <w:color w:val="000000" w:themeColor="text1"/>
          <w:lang w:val="en-NZ"/>
        </w:rPr>
        <w:t xml:space="preserve"> three before the introduction of the policy to </w:t>
      </w:r>
      <w:r w:rsidR="00464332" w:rsidRPr="005827A1">
        <w:rPr>
          <w:color w:val="000000" w:themeColor="text1"/>
          <w:lang w:val="en-NZ" w:eastAsia="zh-CN"/>
        </w:rPr>
        <w:t>just above 1.5</w:t>
      </w:r>
      <w:r w:rsidR="00464332" w:rsidRPr="005827A1">
        <w:rPr>
          <w:color w:val="000000" w:themeColor="text1"/>
          <w:lang w:val="en-NZ"/>
        </w:rPr>
        <w:t xml:space="preserve"> by 2006.</w:t>
      </w:r>
      <w:r w:rsidR="00464332" w:rsidRPr="005827A1">
        <w:rPr>
          <w:color w:val="000000" w:themeColor="text1"/>
          <w:vertAlign w:val="superscript"/>
          <w:lang w:val="en-NZ"/>
        </w:rPr>
        <w:footnoteReference w:id="2"/>
      </w:r>
      <w:r w:rsidR="00464332" w:rsidRPr="005827A1">
        <w:rPr>
          <w:color w:val="000000" w:themeColor="text1"/>
          <w:lang w:val="en-NZ"/>
        </w:rPr>
        <w:t xml:space="preserve"> </w:t>
      </w:r>
      <w:r w:rsidR="00464332" w:rsidRPr="005827A1">
        <w:rPr>
          <w:color w:val="000000" w:themeColor="text1"/>
          <w:lang w:val="en-NZ" w:eastAsia="zh-CN"/>
        </w:rPr>
        <w:t>Among</w:t>
      </w:r>
      <w:r w:rsidR="00383925" w:rsidRPr="005827A1">
        <w:rPr>
          <w:color w:val="000000" w:themeColor="text1"/>
          <w:lang w:val="en-NZ" w:eastAsia="zh-CN"/>
        </w:rPr>
        <w:t>st</w:t>
      </w:r>
      <w:r w:rsidR="00464332" w:rsidRPr="005827A1">
        <w:rPr>
          <w:color w:val="000000" w:themeColor="text1"/>
          <w:lang w:val="en-NZ" w:eastAsia="zh-CN"/>
        </w:rPr>
        <w:t xml:space="preserve"> children in our estimation sample, only </w:t>
      </w:r>
      <w:r w:rsidR="00464332" w:rsidRPr="005827A1">
        <w:rPr>
          <w:lang w:eastAsia="zh-CN"/>
        </w:rPr>
        <w:t>a quarter</w:t>
      </w:r>
      <w:r w:rsidR="00464332" w:rsidRPr="005827A1">
        <w:t xml:space="preserve"> </w:t>
      </w:r>
      <w:r w:rsidR="00464332" w:rsidRPr="005827A1">
        <w:rPr>
          <w:lang w:eastAsia="zh-CN"/>
        </w:rPr>
        <w:t>were from</w:t>
      </w:r>
      <w:r w:rsidR="00464332" w:rsidRPr="005827A1">
        <w:t xml:space="preserve"> </w:t>
      </w:r>
      <w:r w:rsidR="00464332" w:rsidRPr="005827A1">
        <w:rPr>
          <w:lang w:eastAsia="zh-CN"/>
        </w:rPr>
        <w:t>one</w:t>
      </w:r>
      <w:r w:rsidR="00464332" w:rsidRPr="005827A1">
        <w:t xml:space="preserve">-child families </w:t>
      </w:r>
      <w:r w:rsidR="00383925" w:rsidRPr="005827A1">
        <w:t xml:space="preserve">in 1991 but </w:t>
      </w:r>
      <w:r w:rsidR="00464332" w:rsidRPr="005827A1">
        <w:rPr>
          <w:lang w:eastAsia="zh-CN"/>
        </w:rPr>
        <w:t>almost one half</w:t>
      </w:r>
      <w:r w:rsidR="00464332" w:rsidRPr="005827A1">
        <w:t xml:space="preserve"> </w:t>
      </w:r>
      <w:r w:rsidR="00383925" w:rsidRPr="005827A1">
        <w:t xml:space="preserve">were by </w:t>
      </w:r>
      <w:r w:rsidR="00464332" w:rsidRPr="005827A1">
        <w:rPr>
          <w:lang w:eastAsia="zh-CN"/>
        </w:rPr>
        <w:t>the year 2000</w:t>
      </w:r>
      <w:r w:rsidR="00383925" w:rsidRPr="005827A1">
        <w:t>. Also</w:t>
      </w:r>
      <w:r w:rsidR="00464332" w:rsidRPr="005827A1">
        <w:t xml:space="preserve">, boys have a higher probability of being </w:t>
      </w:r>
      <w:r w:rsidR="00464332" w:rsidRPr="005827A1">
        <w:rPr>
          <w:lang w:eastAsia="zh-CN"/>
        </w:rPr>
        <w:t xml:space="preserve">the </w:t>
      </w:r>
      <w:r w:rsidR="00464332" w:rsidRPr="005827A1">
        <w:t>only-child than do girls, in all survey waves</w:t>
      </w:r>
      <w:r w:rsidR="00464332" w:rsidRPr="005827A1">
        <w:rPr>
          <w:lang w:eastAsia="zh-CN"/>
        </w:rPr>
        <w:t>.</w:t>
      </w:r>
      <w:r w:rsidR="00464332" w:rsidRPr="005827A1">
        <w:t xml:space="preserve"> </w:t>
      </w:r>
      <w:r w:rsidR="00464332" w:rsidRPr="005827A1">
        <w:rPr>
          <w:lang w:eastAsia="zh-CN"/>
        </w:rPr>
        <w:t>This difference</w:t>
      </w:r>
      <w:r w:rsidR="00464332" w:rsidRPr="005827A1">
        <w:t xml:space="preserve"> is very likely due to </w:t>
      </w:r>
      <w:r w:rsidR="00464332" w:rsidRPr="005827A1">
        <w:rPr>
          <w:lang w:eastAsia="zh-CN"/>
        </w:rPr>
        <w:t xml:space="preserve">OCP </w:t>
      </w:r>
      <w:r w:rsidR="00464332" w:rsidRPr="005827A1">
        <w:t>exception</w:t>
      </w:r>
      <w:r w:rsidRPr="005827A1">
        <w:t>s</w:t>
      </w:r>
      <w:r w:rsidR="00464332" w:rsidRPr="005827A1">
        <w:t xml:space="preserve"> that allow</w:t>
      </w:r>
      <w:r w:rsidRPr="005827A1">
        <w:rPr>
          <w:lang w:eastAsia="zh-CN"/>
        </w:rPr>
        <w:t>ed</w:t>
      </w:r>
      <w:r w:rsidR="00464332" w:rsidRPr="005827A1">
        <w:t xml:space="preserve"> </w:t>
      </w:r>
      <w:r w:rsidRPr="005827A1">
        <w:t>families</w:t>
      </w:r>
      <w:r w:rsidR="00464332" w:rsidRPr="005827A1">
        <w:t xml:space="preserve"> to have a second birth </w:t>
      </w:r>
      <w:r w:rsidR="00464332" w:rsidRPr="005827A1">
        <w:rPr>
          <w:lang w:eastAsia="zh-CN"/>
        </w:rPr>
        <w:t>if</w:t>
      </w:r>
      <w:r w:rsidR="00464332" w:rsidRPr="005827A1">
        <w:t xml:space="preserve"> the first child </w:t>
      </w:r>
      <w:r w:rsidR="00464332" w:rsidRPr="005827A1">
        <w:rPr>
          <w:lang w:eastAsia="zh-CN"/>
        </w:rPr>
        <w:t>is</w:t>
      </w:r>
      <w:r w:rsidR="00464332" w:rsidRPr="005827A1">
        <w:t xml:space="preserve"> a girl</w:t>
      </w:r>
      <w:r w:rsidRPr="005827A1">
        <w:t>,</w:t>
      </w:r>
      <w:r w:rsidR="00464332" w:rsidRPr="005827A1">
        <w:rPr>
          <w:lang w:eastAsia="zh-CN"/>
        </w:rPr>
        <w:t xml:space="preserve"> and highlights the policy-induced variation in family structure. </w:t>
      </w:r>
    </w:p>
    <w:p w:rsidR="005827A1" w:rsidRPr="00BE1B1C" w:rsidRDefault="005827A1" w:rsidP="00F1102D">
      <w:pPr>
        <w:snapToGrid w:val="0"/>
        <w:spacing w:line="288" w:lineRule="auto"/>
        <w:ind w:firstLine="720"/>
        <w:contextualSpacing/>
        <w:rPr>
          <w:color w:val="000000" w:themeColor="text1"/>
          <w:sz w:val="20"/>
          <w:szCs w:val="20"/>
          <w:lang w:val="en-NZ" w:eastAsia="zh-CN"/>
        </w:rPr>
      </w:pPr>
    </w:p>
    <w:p w:rsidR="00B36958" w:rsidRDefault="00BD7240" w:rsidP="00F1102D">
      <w:pPr>
        <w:snapToGrid w:val="0"/>
        <w:spacing w:line="288" w:lineRule="auto"/>
        <w:ind w:firstLine="720"/>
        <w:contextualSpacing/>
        <w:rPr>
          <w:color w:val="000000" w:themeColor="text1"/>
          <w:lang w:eastAsia="zh-CN"/>
        </w:rPr>
      </w:pPr>
      <w:r w:rsidRPr="005827A1">
        <w:rPr>
          <w:lang w:eastAsia="zh-CN"/>
        </w:rPr>
        <w:t>The measure</w:t>
      </w:r>
      <w:r w:rsidR="007146A5" w:rsidRPr="005827A1">
        <w:rPr>
          <w:lang w:eastAsia="zh-CN"/>
        </w:rPr>
        <w:t>s</w:t>
      </w:r>
      <w:r w:rsidRPr="005827A1">
        <w:rPr>
          <w:lang w:eastAsia="zh-CN"/>
        </w:rPr>
        <w:t xml:space="preserve"> of child quality used in this paper</w:t>
      </w:r>
      <w:r w:rsidR="002F0F44" w:rsidRPr="005827A1">
        <w:t xml:space="preserve"> </w:t>
      </w:r>
      <w:r w:rsidR="007146A5" w:rsidRPr="005827A1">
        <w:rPr>
          <w:lang w:eastAsia="zh-CN"/>
        </w:rPr>
        <w:t>are</w:t>
      </w:r>
      <w:r w:rsidR="007146A5" w:rsidRPr="005827A1">
        <w:t xml:space="preserve"> </w:t>
      </w:r>
      <w:r w:rsidR="002F0F44" w:rsidRPr="005827A1">
        <w:t>children’s intakes</w:t>
      </w:r>
      <w:r w:rsidR="002A6A8D" w:rsidRPr="005827A1">
        <w:t xml:space="preserve"> of </w:t>
      </w:r>
      <w:r w:rsidR="002F0F44" w:rsidRPr="005827A1">
        <w:t xml:space="preserve">dietary energy, protein, and fat. </w:t>
      </w:r>
      <w:r w:rsidR="002A6A8D" w:rsidRPr="005827A1">
        <w:t xml:space="preserve">Prior studies using </w:t>
      </w:r>
      <w:r w:rsidR="00C47BFA" w:rsidRPr="005827A1">
        <w:t xml:space="preserve">the OCP as a source of exogenous variation in family size </w:t>
      </w:r>
      <w:r w:rsidR="002A6A8D" w:rsidRPr="005827A1">
        <w:t xml:space="preserve">use </w:t>
      </w:r>
      <w:r w:rsidR="00C47BFA" w:rsidRPr="005827A1">
        <w:t>education and health</w:t>
      </w:r>
      <w:r w:rsidR="00C47BFA" w:rsidRPr="005827A1">
        <w:rPr>
          <w:lang w:eastAsia="zh-CN"/>
        </w:rPr>
        <w:t xml:space="preserve"> </w:t>
      </w:r>
      <w:r w:rsidR="002A6A8D" w:rsidRPr="005827A1">
        <w:rPr>
          <w:lang w:eastAsia="zh-CN"/>
        </w:rPr>
        <w:t xml:space="preserve">outcomes </w:t>
      </w:r>
      <w:r w:rsidR="00C47BFA" w:rsidRPr="005827A1">
        <w:rPr>
          <w:lang w:eastAsia="zh-CN"/>
        </w:rPr>
        <w:t>as the indicators of child quali</w:t>
      </w:r>
      <w:r w:rsidR="002A6A8D" w:rsidRPr="005827A1">
        <w:rPr>
          <w:lang w:eastAsia="zh-CN"/>
        </w:rPr>
        <w:t>ty. For example, Liu (2014) uses</w:t>
      </w:r>
      <w:r w:rsidR="00C47BFA" w:rsidRPr="005827A1">
        <w:rPr>
          <w:lang w:eastAsia="zh-CN"/>
        </w:rPr>
        <w:t xml:space="preserve"> </w:t>
      </w:r>
      <w:r w:rsidR="00C47BFA" w:rsidRPr="005827A1">
        <w:t>children’s height-for age</w:t>
      </w:r>
      <w:r w:rsidR="002A6A8D" w:rsidRPr="005827A1">
        <w:rPr>
          <w:lang w:eastAsia="zh-CN"/>
        </w:rPr>
        <w:t xml:space="preserve"> and Huang (2015) uses</w:t>
      </w:r>
      <w:r w:rsidR="00C47BFA" w:rsidRPr="005827A1">
        <w:t xml:space="preserve"> enrolments in post-compulsory </w:t>
      </w:r>
      <w:r w:rsidR="002A6A8D" w:rsidRPr="005827A1">
        <w:t>schooling while e</w:t>
      </w:r>
      <w:r w:rsidR="00C47BFA" w:rsidRPr="005827A1">
        <w:t xml:space="preserve">arlier studies </w:t>
      </w:r>
      <w:r w:rsidR="002A6A8D" w:rsidRPr="005827A1">
        <w:t xml:space="preserve">for </w:t>
      </w:r>
      <w:r w:rsidR="00C47BFA" w:rsidRPr="005827A1">
        <w:t>China</w:t>
      </w:r>
      <w:r w:rsidR="002A6A8D" w:rsidRPr="005827A1">
        <w:t>, with</w:t>
      </w:r>
      <w:r w:rsidR="00C47BFA" w:rsidRPr="005827A1">
        <w:t xml:space="preserve"> different identification approaches</w:t>
      </w:r>
      <w:r w:rsidR="002A6A8D" w:rsidRPr="005827A1">
        <w:t>,</w:t>
      </w:r>
      <w:r w:rsidR="00C47BFA" w:rsidRPr="005827A1">
        <w:t xml:space="preserve"> </w:t>
      </w:r>
      <w:r w:rsidR="002A6A8D" w:rsidRPr="005827A1">
        <w:rPr>
          <w:color w:val="000000" w:themeColor="text1"/>
          <w:lang w:eastAsia="zh-CN"/>
        </w:rPr>
        <w:t xml:space="preserve">focus on </w:t>
      </w:r>
      <w:r w:rsidR="00C47BFA" w:rsidRPr="005827A1">
        <w:rPr>
          <w:color w:val="000000" w:themeColor="text1"/>
          <w:lang w:eastAsia="zh-CN"/>
        </w:rPr>
        <w:t xml:space="preserve">similar </w:t>
      </w:r>
      <w:r w:rsidR="002A6A8D" w:rsidRPr="005827A1">
        <w:rPr>
          <w:color w:val="000000" w:themeColor="text1"/>
          <w:lang w:eastAsia="zh-CN"/>
        </w:rPr>
        <w:t xml:space="preserve">health and education </w:t>
      </w:r>
      <w:r w:rsidR="00C47BFA" w:rsidRPr="005827A1">
        <w:rPr>
          <w:color w:val="000000" w:themeColor="text1"/>
          <w:lang w:eastAsia="zh-CN"/>
        </w:rPr>
        <w:t xml:space="preserve">outcomes </w:t>
      </w:r>
      <w:r w:rsidR="00C47BFA" w:rsidRPr="005827A1">
        <w:t>(</w:t>
      </w:r>
      <w:r w:rsidR="00126D3D">
        <w:rPr>
          <w:color w:val="000000" w:themeColor="text1"/>
          <w:lang w:eastAsia="zh-CN"/>
        </w:rPr>
        <w:t xml:space="preserve">Li </w:t>
      </w:r>
      <w:r w:rsidR="00126D3D" w:rsidRPr="00126D3D">
        <w:rPr>
          <w:i/>
          <w:color w:val="000000" w:themeColor="text1"/>
          <w:lang w:eastAsia="zh-CN"/>
        </w:rPr>
        <w:t>et al</w:t>
      </w:r>
      <w:r w:rsidR="00126D3D">
        <w:rPr>
          <w:color w:val="000000" w:themeColor="text1"/>
          <w:lang w:eastAsia="zh-CN"/>
        </w:rPr>
        <w:t>.</w:t>
      </w:r>
      <w:r w:rsidR="00C47BFA" w:rsidRPr="005827A1">
        <w:rPr>
          <w:color w:val="000000" w:themeColor="text1"/>
          <w:lang w:eastAsia="zh-CN"/>
        </w:rPr>
        <w:t xml:space="preserve"> 2008</w:t>
      </w:r>
      <w:r w:rsidR="00126D3D">
        <w:rPr>
          <w:color w:val="000000" w:themeColor="text1"/>
          <w:lang w:eastAsia="zh-CN"/>
        </w:rPr>
        <w:t>,</w:t>
      </w:r>
      <w:r w:rsidR="0015629C" w:rsidRPr="005827A1">
        <w:rPr>
          <w:color w:val="000000" w:themeColor="text1"/>
          <w:lang w:eastAsia="zh-CN"/>
        </w:rPr>
        <w:t xml:space="preserve"> Lu </w:t>
      </w:r>
      <w:r w:rsidR="00975854">
        <w:rPr>
          <w:color w:val="000000" w:themeColor="text1"/>
          <w:lang w:eastAsia="zh-CN"/>
        </w:rPr>
        <w:t>and</w:t>
      </w:r>
      <w:r w:rsidR="00126D3D">
        <w:rPr>
          <w:color w:val="000000" w:themeColor="text1"/>
          <w:lang w:eastAsia="zh-CN"/>
        </w:rPr>
        <w:t xml:space="preserve"> </w:t>
      </w:r>
      <w:proofErr w:type="spellStart"/>
      <w:r w:rsidR="00126D3D">
        <w:rPr>
          <w:color w:val="000000" w:themeColor="text1"/>
          <w:lang w:eastAsia="zh-CN"/>
        </w:rPr>
        <w:t>Treiman</w:t>
      </w:r>
      <w:proofErr w:type="spellEnd"/>
      <w:r w:rsidR="0015629C" w:rsidRPr="005827A1">
        <w:rPr>
          <w:color w:val="000000" w:themeColor="text1"/>
          <w:lang w:eastAsia="zh-CN"/>
        </w:rPr>
        <w:t xml:space="preserve"> 2008</w:t>
      </w:r>
      <w:r w:rsidR="00126D3D">
        <w:rPr>
          <w:color w:val="000000" w:themeColor="text1"/>
          <w:lang w:eastAsia="zh-CN"/>
        </w:rPr>
        <w:t xml:space="preserve"> and </w:t>
      </w:r>
      <w:proofErr w:type="spellStart"/>
      <w:r w:rsidR="001B3481" w:rsidRPr="005827A1">
        <w:rPr>
          <w:color w:val="000000" w:themeColor="text1"/>
          <w:lang w:eastAsia="zh-CN"/>
        </w:rPr>
        <w:t>Rosenzweig</w:t>
      </w:r>
      <w:proofErr w:type="spellEnd"/>
      <w:r w:rsidR="001B3481" w:rsidRPr="005827A1">
        <w:rPr>
          <w:color w:val="000000" w:themeColor="text1"/>
          <w:lang w:eastAsia="zh-CN"/>
        </w:rPr>
        <w:t xml:space="preserve"> </w:t>
      </w:r>
      <w:r w:rsidR="00975854">
        <w:rPr>
          <w:color w:val="000000" w:themeColor="text1"/>
          <w:lang w:eastAsia="zh-CN"/>
        </w:rPr>
        <w:t>and</w:t>
      </w:r>
      <w:r w:rsidR="00126D3D">
        <w:rPr>
          <w:color w:val="000000" w:themeColor="text1"/>
          <w:lang w:eastAsia="zh-CN"/>
        </w:rPr>
        <w:t xml:space="preserve"> Zhang</w:t>
      </w:r>
      <w:r w:rsidR="001B3481" w:rsidRPr="005827A1">
        <w:rPr>
          <w:color w:val="000000" w:themeColor="text1"/>
          <w:lang w:eastAsia="zh-CN"/>
        </w:rPr>
        <w:t xml:space="preserve"> 2009</w:t>
      </w:r>
      <w:r w:rsidR="00C47BFA" w:rsidRPr="005827A1">
        <w:rPr>
          <w:color w:val="000000" w:themeColor="text1"/>
          <w:lang w:eastAsia="zh-CN"/>
        </w:rPr>
        <w:t xml:space="preserve">). </w:t>
      </w:r>
      <w:r w:rsidR="002F0F44" w:rsidRPr="005827A1">
        <w:t>Although less studied</w:t>
      </w:r>
      <w:r w:rsidR="00383925" w:rsidRPr="005827A1">
        <w:t>,</w:t>
      </w:r>
      <w:r w:rsidR="002F0F44" w:rsidRPr="005827A1">
        <w:t xml:space="preserve"> nutrient intakes are not only measure</w:t>
      </w:r>
      <w:r w:rsidR="007146A5" w:rsidRPr="005827A1">
        <w:rPr>
          <w:lang w:eastAsia="zh-CN"/>
        </w:rPr>
        <w:t>s</w:t>
      </w:r>
      <w:r w:rsidR="002F0F44" w:rsidRPr="005827A1">
        <w:t xml:space="preserve"> of parental investment in children, they are also important inputs into human capital that have their own long-term impacts (Behrman </w:t>
      </w:r>
      <w:r w:rsidR="00126D3D" w:rsidRPr="00126D3D">
        <w:rPr>
          <w:i/>
          <w:color w:val="000000" w:themeColor="text1"/>
          <w:lang w:eastAsia="zh-CN"/>
        </w:rPr>
        <w:t>et al.</w:t>
      </w:r>
      <w:r w:rsidR="00126D3D" w:rsidRPr="005827A1">
        <w:rPr>
          <w:color w:val="000000" w:themeColor="text1"/>
          <w:lang w:eastAsia="zh-CN"/>
        </w:rPr>
        <w:t xml:space="preserve"> </w:t>
      </w:r>
      <w:r w:rsidR="002F0F44" w:rsidRPr="005827A1">
        <w:t xml:space="preserve">1988). </w:t>
      </w:r>
      <w:r w:rsidR="002F0F44" w:rsidRPr="005827A1">
        <w:rPr>
          <w:color w:val="000000" w:themeColor="text1"/>
        </w:rPr>
        <w:t>We contend that</w:t>
      </w:r>
      <w:r w:rsidR="002F0F44" w:rsidRPr="005827A1">
        <w:rPr>
          <w:color w:val="000000" w:themeColor="text1"/>
          <w:lang w:eastAsia="zh-CN"/>
        </w:rPr>
        <w:t xml:space="preserve"> nutrient</w:t>
      </w:r>
      <w:r w:rsidR="00383925" w:rsidRPr="005827A1">
        <w:rPr>
          <w:color w:val="000000" w:themeColor="text1"/>
          <w:lang w:eastAsia="zh-CN"/>
        </w:rPr>
        <w:t>s</w:t>
      </w:r>
      <w:r w:rsidR="002F0F44" w:rsidRPr="005827A1">
        <w:rPr>
          <w:color w:val="000000" w:themeColor="text1"/>
          <w:lang w:eastAsia="zh-CN"/>
        </w:rPr>
        <w:t xml:space="preserve"> directly reflect how resources are allocated to each child, and </w:t>
      </w:r>
      <w:r w:rsidR="00383925" w:rsidRPr="005827A1">
        <w:rPr>
          <w:color w:val="000000" w:themeColor="text1"/>
          <w:lang w:eastAsia="zh-CN"/>
        </w:rPr>
        <w:t>give</w:t>
      </w:r>
      <w:r w:rsidR="002A6A8D" w:rsidRPr="005827A1">
        <w:rPr>
          <w:color w:val="000000" w:themeColor="text1"/>
          <w:lang w:eastAsia="zh-CN"/>
        </w:rPr>
        <w:t xml:space="preserve"> a </w:t>
      </w:r>
      <w:r w:rsidR="002F0F44" w:rsidRPr="005827A1">
        <w:rPr>
          <w:color w:val="000000" w:themeColor="text1"/>
          <w:lang w:eastAsia="zh-CN"/>
        </w:rPr>
        <w:t xml:space="preserve">good </w:t>
      </w:r>
      <w:r w:rsidR="002A6A8D" w:rsidRPr="005827A1">
        <w:rPr>
          <w:color w:val="000000" w:themeColor="text1"/>
          <w:lang w:eastAsia="zh-CN"/>
        </w:rPr>
        <w:t xml:space="preserve">testing ground for the quantity-quality trade-off theory. </w:t>
      </w:r>
      <w:r w:rsidR="002F0F44" w:rsidRPr="005827A1">
        <w:rPr>
          <w:color w:val="000000" w:themeColor="text1"/>
          <w:lang w:eastAsia="zh-CN"/>
        </w:rPr>
        <w:t xml:space="preserve">Compared to educational and health outcomes, nutrient intakes are less affected by unobserved personal factors, such as ability and genetics. Thus, in conjunction with the exogenous variation over time and space </w:t>
      </w:r>
      <w:r w:rsidR="00383925" w:rsidRPr="005827A1">
        <w:rPr>
          <w:color w:val="000000" w:themeColor="text1"/>
          <w:lang w:eastAsia="zh-CN"/>
        </w:rPr>
        <w:t xml:space="preserve">due to </w:t>
      </w:r>
      <w:r w:rsidR="002F0F44" w:rsidRPr="005827A1">
        <w:rPr>
          <w:color w:val="000000" w:themeColor="text1"/>
          <w:lang w:eastAsia="zh-CN"/>
        </w:rPr>
        <w:t>differing strength of the OCP, the use of these novel indicators of investment in children may provide more robust tests of the quantity-quality trade-off than in the existing literature.</w:t>
      </w:r>
      <w:r w:rsidR="00542A13" w:rsidRPr="005827A1">
        <w:rPr>
          <w:color w:val="000000" w:themeColor="text1"/>
          <w:lang w:eastAsia="zh-CN"/>
        </w:rPr>
        <w:t xml:space="preserve"> </w:t>
      </w:r>
    </w:p>
    <w:p w:rsidR="005827A1" w:rsidRPr="00BE1B1C" w:rsidRDefault="005827A1" w:rsidP="00F1102D">
      <w:pPr>
        <w:snapToGrid w:val="0"/>
        <w:spacing w:line="288" w:lineRule="auto"/>
        <w:ind w:firstLine="720"/>
        <w:contextualSpacing/>
        <w:rPr>
          <w:sz w:val="20"/>
          <w:szCs w:val="20"/>
        </w:rPr>
      </w:pPr>
    </w:p>
    <w:p w:rsidR="00EF631F" w:rsidRDefault="00B142EB" w:rsidP="00F1102D">
      <w:pPr>
        <w:snapToGrid w:val="0"/>
        <w:spacing w:line="288" w:lineRule="auto"/>
        <w:ind w:firstLine="720"/>
        <w:contextualSpacing/>
        <w:rPr>
          <w:color w:val="000000" w:themeColor="text1"/>
          <w:lang w:eastAsia="zh-CN"/>
        </w:rPr>
      </w:pPr>
      <w:r w:rsidRPr="005827A1">
        <w:rPr>
          <w:lang w:eastAsia="zh-CN"/>
        </w:rPr>
        <w:t>In</w:t>
      </w:r>
      <w:r w:rsidR="00EF631F" w:rsidRPr="005827A1">
        <w:rPr>
          <w:lang w:eastAsia="zh-CN"/>
        </w:rPr>
        <w:t xml:space="preserve"> testing </w:t>
      </w:r>
      <w:r w:rsidR="00FF5E01" w:rsidRPr="005827A1">
        <w:rPr>
          <w:lang w:eastAsia="zh-CN"/>
        </w:rPr>
        <w:t xml:space="preserve">for a </w:t>
      </w:r>
      <w:r w:rsidR="00EF631F" w:rsidRPr="005827A1">
        <w:rPr>
          <w:lang w:eastAsia="zh-CN"/>
        </w:rPr>
        <w:t>quantity-quality trade-off</w:t>
      </w:r>
      <w:r w:rsidR="00FF5E01" w:rsidRPr="005827A1">
        <w:rPr>
          <w:lang w:eastAsia="zh-CN"/>
        </w:rPr>
        <w:t>, we</w:t>
      </w:r>
      <w:r w:rsidR="00EF631F" w:rsidRPr="005827A1">
        <w:rPr>
          <w:lang w:eastAsia="zh-CN"/>
        </w:rPr>
        <w:t xml:space="preserve"> </w:t>
      </w:r>
      <w:r w:rsidRPr="005827A1">
        <w:rPr>
          <w:lang w:eastAsia="zh-CN"/>
        </w:rPr>
        <w:t xml:space="preserve">also </w:t>
      </w:r>
      <w:r w:rsidR="00EF631F" w:rsidRPr="005827A1">
        <w:rPr>
          <w:lang w:eastAsia="zh-CN"/>
        </w:rPr>
        <w:t xml:space="preserve">shed </w:t>
      </w:r>
      <w:r w:rsidR="00FF5E01" w:rsidRPr="005827A1">
        <w:rPr>
          <w:lang w:eastAsia="zh-CN"/>
        </w:rPr>
        <w:t>light</w:t>
      </w:r>
      <w:r w:rsidR="00EF631F" w:rsidRPr="005827A1">
        <w:rPr>
          <w:lang w:eastAsia="zh-CN"/>
        </w:rPr>
        <w:t xml:space="preserve"> on factors influenc</w:t>
      </w:r>
      <w:r w:rsidRPr="005827A1">
        <w:rPr>
          <w:lang w:eastAsia="zh-CN"/>
        </w:rPr>
        <w:t>ing</w:t>
      </w:r>
      <w:r w:rsidR="00EF631F" w:rsidRPr="005827A1">
        <w:rPr>
          <w:lang w:eastAsia="zh-CN"/>
        </w:rPr>
        <w:t xml:space="preserve"> the fertility level</w:t>
      </w:r>
      <w:r w:rsidR="00FF5E01" w:rsidRPr="005827A1">
        <w:rPr>
          <w:lang w:eastAsia="zh-CN"/>
        </w:rPr>
        <w:t xml:space="preserve">, </w:t>
      </w:r>
      <w:r w:rsidRPr="005827A1">
        <w:rPr>
          <w:lang w:eastAsia="zh-CN"/>
        </w:rPr>
        <w:t xml:space="preserve">with </w:t>
      </w:r>
      <w:r w:rsidR="00FF5E01" w:rsidRPr="005827A1">
        <w:rPr>
          <w:lang w:eastAsia="zh-CN"/>
        </w:rPr>
        <w:t>the first-stage equation</w:t>
      </w:r>
      <w:r w:rsidR="00EF631F" w:rsidRPr="005827A1">
        <w:rPr>
          <w:lang w:eastAsia="zh-CN"/>
        </w:rPr>
        <w:t xml:space="preserve"> of the 2SLS approach</w:t>
      </w:r>
      <w:r w:rsidRPr="005827A1">
        <w:rPr>
          <w:lang w:eastAsia="zh-CN"/>
        </w:rPr>
        <w:t xml:space="preserve"> </w:t>
      </w:r>
      <w:r w:rsidR="008E118E" w:rsidRPr="005827A1">
        <w:rPr>
          <w:lang w:eastAsia="zh-CN"/>
        </w:rPr>
        <w:t xml:space="preserve">predicting </w:t>
      </w:r>
      <w:r w:rsidRPr="005827A1">
        <w:rPr>
          <w:lang w:eastAsia="zh-CN"/>
        </w:rPr>
        <w:t>sibling numbers</w:t>
      </w:r>
      <w:r w:rsidR="00EF631F" w:rsidRPr="005827A1">
        <w:rPr>
          <w:lang w:eastAsia="zh-CN"/>
        </w:rPr>
        <w:t xml:space="preserve">. </w:t>
      </w:r>
      <w:r w:rsidR="00EF631F" w:rsidRPr="005827A1">
        <w:rPr>
          <w:color w:val="000000" w:themeColor="text1"/>
        </w:rPr>
        <w:t xml:space="preserve">Building </w:t>
      </w:r>
      <w:r w:rsidR="00FF5E01" w:rsidRPr="005827A1">
        <w:rPr>
          <w:color w:val="000000" w:themeColor="text1"/>
          <w:lang w:eastAsia="zh-CN"/>
        </w:rPr>
        <w:t>on</w:t>
      </w:r>
      <w:r w:rsidR="00EF631F" w:rsidRPr="005827A1">
        <w:rPr>
          <w:color w:val="000000" w:themeColor="text1"/>
          <w:lang w:eastAsia="zh-CN"/>
        </w:rPr>
        <w:t xml:space="preserve"> Liu (2014)</w:t>
      </w:r>
      <w:r w:rsidR="00EF631F" w:rsidRPr="005827A1">
        <w:rPr>
          <w:color w:val="000000" w:themeColor="text1"/>
        </w:rPr>
        <w:t xml:space="preserve">, in this paper we define </w:t>
      </w:r>
      <w:r w:rsidR="00EF631F" w:rsidRPr="005827A1">
        <w:rPr>
          <w:color w:val="000000" w:themeColor="text1"/>
          <w:lang w:eastAsia="zh-CN"/>
        </w:rPr>
        <w:t xml:space="preserve">a </w:t>
      </w:r>
      <w:r w:rsidR="00EF631F" w:rsidRPr="005827A1">
        <w:rPr>
          <w:color w:val="000000" w:themeColor="text1"/>
        </w:rPr>
        <w:t>dynamic measure of OCP strength that account</w:t>
      </w:r>
      <w:r w:rsidR="00EF631F" w:rsidRPr="005827A1">
        <w:rPr>
          <w:color w:val="000000" w:themeColor="text1"/>
          <w:lang w:eastAsia="zh-CN"/>
        </w:rPr>
        <w:t>s</w:t>
      </w:r>
      <w:r w:rsidR="00EF631F" w:rsidRPr="005827A1">
        <w:rPr>
          <w:color w:val="000000" w:themeColor="text1"/>
        </w:rPr>
        <w:t xml:space="preserve"> for the change in local OCP regulations</w:t>
      </w:r>
      <w:r w:rsidR="00EF631F" w:rsidRPr="005827A1">
        <w:rPr>
          <w:color w:val="000000" w:themeColor="text1"/>
          <w:lang w:eastAsia="zh-CN"/>
        </w:rPr>
        <w:t xml:space="preserve"> and how the changes affect local women’</w:t>
      </w:r>
      <w:r w:rsidR="00FF5E01" w:rsidRPr="005827A1">
        <w:rPr>
          <w:color w:val="000000" w:themeColor="text1"/>
          <w:lang w:eastAsia="zh-CN"/>
        </w:rPr>
        <w:t>s eligibility to have a second child</w:t>
      </w:r>
      <w:r w:rsidR="00EF631F" w:rsidRPr="005827A1">
        <w:rPr>
          <w:color w:val="000000" w:themeColor="text1"/>
        </w:rPr>
        <w:t>.</w:t>
      </w:r>
      <w:r w:rsidR="00EF631F" w:rsidRPr="005827A1">
        <w:rPr>
          <w:color w:val="000000" w:themeColor="text1"/>
          <w:lang w:eastAsia="zh-CN"/>
        </w:rPr>
        <w:t xml:space="preserve"> This indicator</w:t>
      </w:r>
      <w:r w:rsidR="00FF5E01" w:rsidRPr="005827A1">
        <w:rPr>
          <w:color w:val="000000" w:themeColor="text1"/>
          <w:lang w:eastAsia="zh-CN"/>
        </w:rPr>
        <w:t xml:space="preserve">, along with urban </w:t>
      </w:r>
      <w:proofErr w:type="spellStart"/>
      <w:r w:rsidR="00FF5E01" w:rsidRPr="005827A1">
        <w:rPr>
          <w:i/>
          <w:iCs/>
          <w:color w:val="000000" w:themeColor="text1"/>
          <w:lang w:eastAsia="zh-CN"/>
        </w:rPr>
        <w:t>Hukou</w:t>
      </w:r>
      <w:proofErr w:type="spellEnd"/>
      <w:r w:rsidR="00FF5E01" w:rsidRPr="005827A1">
        <w:rPr>
          <w:i/>
          <w:iCs/>
          <w:color w:val="000000" w:themeColor="text1"/>
          <w:lang w:eastAsia="zh-CN"/>
        </w:rPr>
        <w:t xml:space="preserve"> </w:t>
      </w:r>
      <w:r w:rsidR="0099640C" w:rsidRPr="005827A1">
        <w:rPr>
          <w:color w:val="000000" w:themeColor="text1"/>
          <w:lang w:eastAsia="zh-CN"/>
        </w:rPr>
        <w:t>status and the local</w:t>
      </w:r>
      <w:r w:rsidR="00FF5E01" w:rsidRPr="005827A1">
        <w:rPr>
          <w:color w:val="000000" w:themeColor="text1"/>
          <w:lang w:eastAsia="zh-CN"/>
        </w:rPr>
        <w:t xml:space="preserve"> development level</w:t>
      </w:r>
      <w:r w:rsidR="00882D87" w:rsidRPr="005827A1">
        <w:rPr>
          <w:color w:val="000000" w:themeColor="text1"/>
          <w:lang w:eastAsia="zh-CN"/>
        </w:rPr>
        <w:t>,</w:t>
      </w:r>
      <w:r w:rsidR="00126D3D">
        <w:rPr>
          <w:color w:val="000000" w:themeColor="text1"/>
          <w:lang w:eastAsia="zh-CN"/>
        </w:rPr>
        <w:t xml:space="preserve"> is </w:t>
      </w:r>
      <w:r w:rsidR="00EF631F" w:rsidRPr="005827A1">
        <w:rPr>
          <w:color w:val="000000" w:themeColor="text1"/>
          <w:lang w:eastAsia="zh-CN"/>
        </w:rPr>
        <w:t>estimated to be significant influence</w:t>
      </w:r>
      <w:r w:rsidR="00FF5E01" w:rsidRPr="005827A1">
        <w:rPr>
          <w:color w:val="000000" w:themeColor="text1"/>
          <w:lang w:eastAsia="zh-CN"/>
        </w:rPr>
        <w:t>s</w:t>
      </w:r>
      <w:r w:rsidR="00EF631F" w:rsidRPr="005827A1">
        <w:rPr>
          <w:color w:val="000000" w:themeColor="text1"/>
          <w:lang w:eastAsia="zh-CN"/>
        </w:rPr>
        <w:t xml:space="preserve"> </w:t>
      </w:r>
      <w:r w:rsidR="00FF5E01" w:rsidRPr="005827A1">
        <w:rPr>
          <w:color w:val="000000" w:themeColor="text1"/>
          <w:lang w:eastAsia="zh-CN"/>
        </w:rPr>
        <w:t xml:space="preserve">on </w:t>
      </w:r>
      <w:r w:rsidR="00EF631F" w:rsidRPr="005827A1">
        <w:rPr>
          <w:color w:val="000000" w:themeColor="text1"/>
          <w:lang w:eastAsia="zh-CN"/>
        </w:rPr>
        <w:t xml:space="preserve">fertility levels. </w:t>
      </w:r>
    </w:p>
    <w:p w:rsidR="005827A1" w:rsidRPr="00BE1B1C" w:rsidRDefault="005827A1" w:rsidP="00F1102D">
      <w:pPr>
        <w:snapToGrid w:val="0"/>
        <w:spacing w:line="288" w:lineRule="auto"/>
        <w:ind w:firstLine="720"/>
        <w:contextualSpacing/>
        <w:rPr>
          <w:color w:val="000000" w:themeColor="text1"/>
          <w:sz w:val="20"/>
          <w:szCs w:val="20"/>
          <w:lang w:eastAsia="zh-CN"/>
        </w:rPr>
      </w:pPr>
    </w:p>
    <w:p w:rsidR="000A3A6F" w:rsidRPr="005827A1" w:rsidRDefault="00DA36C7" w:rsidP="00975854">
      <w:pPr>
        <w:snapToGrid w:val="0"/>
        <w:spacing w:line="288" w:lineRule="auto"/>
        <w:ind w:firstLine="426"/>
        <w:contextualSpacing/>
        <w:rPr>
          <w:color w:val="000000" w:themeColor="text1"/>
          <w:lang w:eastAsia="zh-CN"/>
        </w:rPr>
      </w:pPr>
      <w:r w:rsidRPr="005827A1">
        <w:t xml:space="preserve">The </w:t>
      </w:r>
      <w:r w:rsidR="0086797D" w:rsidRPr="005827A1">
        <w:t xml:space="preserve">remainder of the paper is structured as follows: Section 2 </w:t>
      </w:r>
      <w:r w:rsidR="00533AFF" w:rsidRPr="005827A1">
        <w:t xml:space="preserve">provides a brief </w:t>
      </w:r>
      <w:r w:rsidR="00B93971" w:rsidRPr="005827A1">
        <w:t xml:space="preserve">review of </w:t>
      </w:r>
      <w:r w:rsidR="00533AFF" w:rsidRPr="005827A1">
        <w:t>the one-child policy, while</w:t>
      </w:r>
      <w:r w:rsidR="0080486C" w:rsidRPr="005827A1">
        <w:t xml:space="preserve"> Section 3 </w:t>
      </w:r>
      <w:r w:rsidR="00383925" w:rsidRPr="005827A1">
        <w:rPr>
          <w:lang w:eastAsia="zh-CN"/>
        </w:rPr>
        <w:t>discusse</w:t>
      </w:r>
      <w:r w:rsidR="00533AFF" w:rsidRPr="005827A1">
        <w:t xml:space="preserve">s the </w:t>
      </w:r>
      <w:r w:rsidR="00637559" w:rsidRPr="005827A1">
        <w:rPr>
          <w:lang w:eastAsia="zh-CN"/>
        </w:rPr>
        <w:t>empirical</w:t>
      </w:r>
      <w:r w:rsidR="00383925" w:rsidRPr="005827A1">
        <w:rPr>
          <w:lang w:eastAsia="zh-CN"/>
        </w:rPr>
        <w:t xml:space="preserve"> method</w:t>
      </w:r>
      <w:r w:rsidR="00637559" w:rsidRPr="005827A1">
        <w:rPr>
          <w:lang w:eastAsia="zh-CN"/>
        </w:rPr>
        <w:t xml:space="preserve">s. Section 4 describes the </w:t>
      </w:r>
      <w:r w:rsidR="00533AFF" w:rsidRPr="005827A1">
        <w:lastRenderedPageBreak/>
        <w:t xml:space="preserve">CHNS data we use, paying particular attention to the measures of OCP </w:t>
      </w:r>
      <w:r w:rsidR="00533AFF" w:rsidRPr="005827A1">
        <w:rPr>
          <w:color w:val="000000" w:themeColor="text1"/>
        </w:rPr>
        <w:t xml:space="preserve">strength and the nutrient </w:t>
      </w:r>
      <w:r w:rsidR="008C6E03" w:rsidRPr="005827A1">
        <w:rPr>
          <w:color w:val="000000" w:themeColor="text1"/>
        </w:rPr>
        <w:t>intake</w:t>
      </w:r>
      <w:r w:rsidR="008C6E03" w:rsidRPr="005827A1">
        <w:rPr>
          <w:color w:val="000000" w:themeColor="text1"/>
          <w:lang w:eastAsia="zh-CN"/>
        </w:rPr>
        <w:t>s</w:t>
      </w:r>
      <w:r w:rsidR="00533AFF" w:rsidRPr="005827A1">
        <w:rPr>
          <w:color w:val="000000" w:themeColor="text1"/>
        </w:rPr>
        <w:t>.</w:t>
      </w:r>
      <w:r w:rsidR="0086797D" w:rsidRPr="005827A1">
        <w:rPr>
          <w:color w:val="000000" w:themeColor="text1"/>
        </w:rPr>
        <w:t xml:space="preserve"> Section </w:t>
      </w:r>
      <w:r w:rsidR="00637559" w:rsidRPr="005827A1">
        <w:rPr>
          <w:color w:val="000000" w:themeColor="text1"/>
          <w:lang w:eastAsia="zh-CN"/>
        </w:rPr>
        <w:t>5</w:t>
      </w:r>
      <w:r w:rsidR="0086797D" w:rsidRPr="005827A1">
        <w:rPr>
          <w:color w:val="000000" w:themeColor="text1"/>
        </w:rPr>
        <w:t xml:space="preserve"> </w:t>
      </w:r>
      <w:r w:rsidR="00850F0B" w:rsidRPr="005827A1">
        <w:rPr>
          <w:color w:val="000000" w:themeColor="text1"/>
        </w:rPr>
        <w:t xml:space="preserve">reports </w:t>
      </w:r>
      <w:r w:rsidR="0086797D" w:rsidRPr="005827A1">
        <w:rPr>
          <w:color w:val="000000" w:themeColor="text1"/>
        </w:rPr>
        <w:t xml:space="preserve">the </w:t>
      </w:r>
      <w:r w:rsidR="00FF637F" w:rsidRPr="005827A1">
        <w:rPr>
          <w:color w:val="000000" w:themeColor="text1"/>
          <w:lang w:eastAsia="zh-CN"/>
        </w:rPr>
        <w:t xml:space="preserve">regression </w:t>
      </w:r>
      <w:r w:rsidR="0086797D" w:rsidRPr="005827A1">
        <w:rPr>
          <w:color w:val="000000" w:themeColor="text1"/>
        </w:rPr>
        <w:t>results</w:t>
      </w:r>
      <w:r w:rsidR="00FB0D41" w:rsidRPr="005827A1">
        <w:rPr>
          <w:color w:val="000000" w:themeColor="text1"/>
        </w:rPr>
        <w:t xml:space="preserve"> </w:t>
      </w:r>
      <w:r w:rsidR="00FF637F" w:rsidRPr="005827A1">
        <w:rPr>
          <w:color w:val="000000" w:themeColor="text1"/>
          <w:lang w:eastAsia="zh-CN"/>
        </w:rPr>
        <w:t>and</w:t>
      </w:r>
      <w:r w:rsidR="00585DE0" w:rsidRPr="005827A1">
        <w:rPr>
          <w:color w:val="000000" w:themeColor="text1"/>
          <w:lang w:eastAsia="zh-CN"/>
        </w:rPr>
        <w:t xml:space="preserve"> </w:t>
      </w:r>
      <w:r w:rsidR="00FF637F" w:rsidRPr="005827A1">
        <w:rPr>
          <w:color w:val="000000" w:themeColor="text1"/>
          <w:lang w:eastAsia="zh-CN"/>
        </w:rPr>
        <w:t>t</w:t>
      </w:r>
      <w:r w:rsidR="00FB0D41" w:rsidRPr="005827A1">
        <w:rPr>
          <w:color w:val="000000" w:themeColor="text1"/>
        </w:rPr>
        <w:t>he discussion and c</w:t>
      </w:r>
      <w:r w:rsidR="00837E32" w:rsidRPr="005827A1">
        <w:rPr>
          <w:color w:val="000000" w:themeColor="text1"/>
        </w:rPr>
        <w:t xml:space="preserve">onclusions are in Section </w:t>
      </w:r>
      <w:r w:rsidR="00FF637F" w:rsidRPr="005827A1">
        <w:rPr>
          <w:color w:val="000000" w:themeColor="text1"/>
          <w:lang w:eastAsia="zh-CN"/>
        </w:rPr>
        <w:t>6</w:t>
      </w:r>
      <w:r w:rsidR="0086797D" w:rsidRPr="005827A1">
        <w:rPr>
          <w:color w:val="000000" w:themeColor="text1"/>
        </w:rPr>
        <w:t>.</w:t>
      </w:r>
    </w:p>
    <w:p w:rsidR="00E0114E" w:rsidRPr="005827A1" w:rsidRDefault="00E0114E" w:rsidP="00F1102D">
      <w:pPr>
        <w:snapToGrid w:val="0"/>
        <w:spacing w:line="288" w:lineRule="auto"/>
        <w:ind w:firstLine="720"/>
        <w:contextualSpacing/>
        <w:rPr>
          <w:color w:val="000000" w:themeColor="text1"/>
          <w:lang w:eastAsia="zh-CN"/>
        </w:rPr>
      </w:pPr>
    </w:p>
    <w:p w:rsidR="00F660B3" w:rsidRDefault="00013BC8" w:rsidP="005827A1">
      <w:pPr>
        <w:pStyle w:val="Heading1"/>
        <w:snapToGrid w:val="0"/>
        <w:spacing w:before="0" w:after="0" w:line="288" w:lineRule="auto"/>
        <w:contextualSpacing/>
        <w:rPr>
          <w:rFonts w:ascii="Times New Roman" w:hAnsi="Times New Roman"/>
          <w:sz w:val="24"/>
          <w:szCs w:val="24"/>
          <w:lang w:eastAsia="zh-CN"/>
        </w:rPr>
      </w:pPr>
      <w:bookmarkStart w:id="2" w:name="_Toc466899928"/>
      <w:r w:rsidRPr="005827A1">
        <w:rPr>
          <w:rFonts w:ascii="Times New Roman" w:hAnsi="Times New Roman"/>
          <w:sz w:val="24"/>
          <w:szCs w:val="24"/>
          <w:lang w:eastAsia="zh-CN"/>
        </w:rPr>
        <w:t xml:space="preserve">2. </w:t>
      </w:r>
      <w:r w:rsidR="00975854">
        <w:rPr>
          <w:rFonts w:ascii="Times New Roman" w:hAnsi="Times New Roman"/>
          <w:sz w:val="24"/>
          <w:szCs w:val="24"/>
          <w:lang w:eastAsia="zh-CN"/>
        </w:rPr>
        <w:t xml:space="preserve"> </w:t>
      </w:r>
      <w:r w:rsidR="00FB0D41" w:rsidRPr="005827A1">
        <w:rPr>
          <w:rFonts w:ascii="Times New Roman" w:hAnsi="Times New Roman"/>
          <w:sz w:val="24"/>
          <w:szCs w:val="24"/>
          <w:lang w:eastAsia="zh-CN"/>
        </w:rPr>
        <w:t>BACKGROUND TO THE ONE-CHILD POLICY</w:t>
      </w:r>
      <w:bookmarkEnd w:id="2"/>
    </w:p>
    <w:p w:rsidR="005827A1" w:rsidRPr="005827A1" w:rsidRDefault="005827A1" w:rsidP="005827A1">
      <w:pPr>
        <w:rPr>
          <w:sz w:val="12"/>
          <w:szCs w:val="12"/>
          <w:lang w:eastAsia="zh-CN"/>
        </w:rPr>
      </w:pPr>
    </w:p>
    <w:p w:rsidR="00337416" w:rsidRDefault="00A57DC5" w:rsidP="00F1102D">
      <w:pPr>
        <w:snapToGrid w:val="0"/>
        <w:spacing w:line="288" w:lineRule="auto"/>
        <w:contextualSpacing/>
      </w:pPr>
      <w:r w:rsidRPr="005827A1">
        <w:rPr>
          <w:color w:val="000000" w:themeColor="text1"/>
          <w:lang w:val="en-NZ"/>
        </w:rPr>
        <w:t xml:space="preserve">The </w:t>
      </w:r>
      <w:r w:rsidR="00B810A1" w:rsidRPr="005827A1">
        <w:rPr>
          <w:color w:val="000000" w:themeColor="text1"/>
          <w:lang w:val="en-NZ"/>
        </w:rPr>
        <w:t xml:space="preserve">one-child policy </w:t>
      </w:r>
      <w:r w:rsidRPr="005827A1">
        <w:rPr>
          <w:color w:val="000000" w:themeColor="text1"/>
          <w:lang w:val="en-NZ"/>
        </w:rPr>
        <w:t>was introduced in 1979, and originally limi</w:t>
      </w:r>
      <w:r w:rsidR="00337416" w:rsidRPr="005827A1">
        <w:rPr>
          <w:color w:val="000000" w:themeColor="text1"/>
          <w:lang w:val="en-NZ"/>
        </w:rPr>
        <w:t>ted all couples in China to strictly</w:t>
      </w:r>
      <w:r w:rsidRPr="005827A1">
        <w:rPr>
          <w:color w:val="000000" w:themeColor="text1"/>
          <w:lang w:val="en-NZ"/>
        </w:rPr>
        <w:t xml:space="preserve"> one child. After four years as a national-level policy, the </w:t>
      </w:r>
      <w:r w:rsidRPr="005827A1">
        <w:rPr>
          <w:color w:val="000000" w:themeColor="text1"/>
          <w:lang w:val="en-NZ" w:eastAsia="zh-CN"/>
        </w:rPr>
        <w:t>OCP</w:t>
      </w:r>
      <w:r w:rsidRPr="005827A1">
        <w:rPr>
          <w:color w:val="000000" w:themeColor="text1"/>
          <w:lang w:val="en-NZ"/>
        </w:rPr>
        <w:t xml:space="preserve"> was decentralized and started to b</w:t>
      </w:r>
      <w:r w:rsidRPr="005827A1">
        <w:rPr>
          <w:color w:val="000000" w:themeColor="text1"/>
          <w:lang w:val="en-NZ" w:eastAsia="zh-CN"/>
        </w:rPr>
        <w:t xml:space="preserve">ecome </w:t>
      </w:r>
      <w:r w:rsidRPr="005827A1">
        <w:rPr>
          <w:color w:val="000000" w:themeColor="text1"/>
          <w:lang w:val="en-NZ"/>
        </w:rPr>
        <w:t>less restrictive</w:t>
      </w:r>
      <w:r w:rsidR="005827A1">
        <w:rPr>
          <w:color w:val="000000" w:themeColor="text1"/>
          <w:lang w:val="en-NZ"/>
        </w:rPr>
        <w:t xml:space="preserve"> (</w:t>
      </w:r>
      <w:proofErr w:type="spellStart"/>
      <w:r w:rsidR="005827A1">
        <w:rPr>
          <w:color w:val="000000" w:themeColor="text1"/>
          <w:lang w:val="en-NZ"/>
        </w:rPr>
        <w:t>Greenhalgh</w:t>
      </w:r>
      <w:proofErr w:type="spellEnd"/>
      <w:r w:rsidRPr="005827A1">
        <w:rPr>
          <w:color w:val="000000" w:themeColor="text1"/>
          <w:lang w:val="en-NZ"/>
        </w:rPr>
        <w:t xml:space="preserve"> 1986), </w:t>
      </w:r>
      <w:r w:rsidR="00337416" w:rsidRPr="005827A1">
        <w:rPr>
          <w:color w:val="000000" w:themeColor="text1"/>
          <w:lang w:val="en-NZ"/>
        </w:rPr>
        <w:t xml:space="preserve">possibly </w:t>
      </w:r>
      <w:r w:rsidR="00D12F65" w:rsidRPr="005827A1">
        <w:rPr>
          <w:color w:val="000000" w:themeColor="text1"/>
          <w:lang w:val="en-NZ"/>
        </w:rPr>
        <w:t xml:space="preserve">in </w:t>
      </w:r>
      <w:r w:rsidR="00337416" w:rsidRPr="005827A1">
        <w:rPr>
          <w:color w:val="000000" w:themeColor="text1"/>
          <w:lang w:val="en-NZ"/>
        </w:rPr>
        <w:t xml:space="preserve">response to various </w:t>
      </w:r>
      <w:r w:rsidRPr="005827A1">
        <w:t>problems caused by the initial policy, including rapid growth in the number of abortions</w:t>
      </w:r>
      <w:r w:rsidR="005827A1">
        <w:t xml:space="preserve"> (</w:t>
      </w:r>
      <w:proofErr w:type="spellStart"/>
      <w:r w:rsidR="005827A1">
        <w:t>Hesketh</w:t>
      </w:r>
      <w:proofErr w:type="spellEnd"/>
      <w:r w:rsidR="005827A1">
        <w:t xml:space="preserve"> </w:t>
      </w:r>
      <w:r w:rsidR="005827A1" w:rsidRPr="005827A1">
        <w:rPr>
          <w:i/>
        </w:rPr>
        <w:t>et al.</w:t>
      </w:r>
      <w:r w:rsidRPr="005827A1">
        <w:t xml:space="preserve"> 2005). Starting in 1984, different e</w:t>
      </w:r>
      <w:r w:rsidR="00D53EB4">
        <w:t xml:space="preserve">xceptions to the strict rule of </w:t>
      </w:r>
      <w:r w:rsidRPr="005827A1">
        <w:t xml:space="preserve">one child per couple were introduced, and these were applied in different areas, and also changed over time. </w:t>
      </w:r>
    </w:p>
    <w:p w:rsidR="00BE1B1C" w:rsidRPr="00E73869" w:rsidRDefault="00BE1B1C" w:rsidP="00F1102D">
      <w:pPr>
        <w:snapToGrid w:val="0"/>
        <w:spacing w:line="288" w:lineRule="auto"/>
        <w:contextualSpacing/>
        <w:rPr>
          <w:sz w:val="12"/>
          <w:szCs w:val="12"/>
        </w:rPr>
      </w:pPr>
    </w:p>
    <w:p w:rsidR="00BE1B1C" w:rsidRDefault="00A57DC5" w:rsidP="00E73869">
      <w:pPr>
        <w:spacing w:line="288" w:lineRule="auto"/>
        <w:ind w:firstLine="426"/>
      </w:pPr>
      <w:r w:rsidRPr="005827A1">
        <w:t>The decentralized OCP is represented in Fig</w:t>
      </w:r>
      <w:r w:rsidRPr="005827A1">
        <w:rPr>
          <w:lang w:eastAsia="zh-CN"/>
        </w:rPr>
        <w:t>ure</w:t>
      </w:r>
      <w:r w:rsidRPr="005827A1">
        <w:t xml:space="preserve"> </w:t>
      </w:r>
      <w:r w:rsidR="00337416" w:rsidRPr="005827A1">
        <w:rPr>
          <w:lang w:eastAsia="zh-CN"/>
        </w:rPr>
        <w:t>1</w:t>
      </w:r>
      <w:r w:rsidRPr="005827A1">
        <w:t xml:space="preserve"> using the notion of </w:t>
      </w:r>
      <w:r w:rsidR="00975854">
        <w:t>'</w:t>
      </w:r>
      <w:r w:rsidRPr="005827A1">
        <w:t>policy fertility</w:t>
      </w:r>
      <w:r w:rsidR="00975854">
        <w:t>'</w:t>
      </w:r>
      <w:r w:rsidRPr="005827A1">
        <w:t xml:space="preserve"> as reported by </w:t>
      </w:r>
      <w:proofErr w:type="spellStart"/>
      <w:r w:rsidRPr="005827A1">
        <w:t>Gu</w:t>
      </w:r>
      <w:proofErr w:type="spellEnd"/>
      <w:r w:rsidRPr="005827A1">
        <w:t xml:space="preserve"> </w:t>
      </w:r>
      <w:r w:rsidRPr="00975854">
        <w:rPr>
          <w:i/>
        </w:rPr>
        <w:t>et al</w:t>
      </w:r>
      <w:r w:rsidRPr="00975854">
        <w:rPr>
          <w:i/>
          <w:lang w:eastAsia="zh-CN"/>
        </w:rPr>
        <w:t>.</w:t>
      </w:r>
      <w:r w:rsidRPr="005827A1">
        <w:t xml:space="preserve"> (2007). </w:t>
      </w:r>
      <w:r w:rsidR="00337416" w:rsidRPr="005827A1">
        <w:t xml:space="preserve">Policy fertility denotes the fertility levels that would obtain locally if married couples had births at exactly the levels permitted by local policy. The data in the figure come from 420 prefecture-level units in China in the late 1990s, with areas given a darker shade representing those where more couples were allowed to have more than one child. There </w:t>
      </w:r>
      <w:r w:rsidR="000C7F30" w:rsidRPr="005827A1">
        <w:t>wa</w:t>
      </w:r>
      <w:r w:rsidR="00337416" w:rsidRPr="005827A1">
        <w:t>s clearly large variation across the country, with parts of western China having policy fertility rates between 2.0 and 3.5, compared with much of central and southern China where the policy fertility rates were from 1.3 to 2.0. Only smal</w:t>
      </w:r>
      <w:r w:rsidR="00BE1B1C">
        <w:t>l parts of the country (</w:t>
      </w:r>
      <w:r w:rsidR="00337416" w:rsidRPr="005827A1">
        <w:t xml:space="preserve">areas with dense populations) had policy fertility rates that were as low as from 1.0 to 1.3. </w:t>
      </w:r>
    </w:p>
    <w:p w:rsidR="00E73869" w:rsidRDefault="00E73869" w:rsidP="00E73869">
      <w:pPr>
        <w:spacing w:line="288" w:lineRule="auto"/>
        <w:ind w:firstLine="426"/>
        <w:rPr>
          <w:b/>
          <w:sz w:val="22"/>
          <w:szCs w:val="22"/>
        </w:rPr>
      </w:pPr>
    </w:p>
    <w:p w:rsidR="00F1102D" w:rsidRPr="005827A1" w:rsidRDefault="00F1102D" w:rsidP="00B103AF">
      <w:pPr>
        <w:pStyle w:val="Caption"/>
        <w:keepNext/>
        <w:spacing w:line="288" w:lineRule="auto"/>
        <w:jc w:val="center"/>
        <w:rPr>
          <w:rFonts w:ascii="Times New Roman" w:eastAsiaTheme="minorEastAsia" w:hAnsi="Times New Roman" w:cs="Times New Roman"/>
          <w:b/>
          <w:color w:val="000000"/>
          <w:sz w:val="22"/>
          <w:szCs w:val="22"/>
        </w:rPr>
      </w:pPr>
      <w:r w:rsidRPr="005827A1">
        <w:rPr>
          <w:rFonts w:ascii="Times New Roman" w:hAnsi="Times New Roman" w:cs="Times New Roman"/>
          <w:b/>
          <w:sz w:val="22"/>
          <w:szCs w:val="22"/>
        </w:rPr>
        <w:t xml:space="preserve">Figure </w:t>
      </w:r>
      <w:r w:rsidRPr="005827A1">
        <w:rPr>
          <w:rFonts w:ascii="Times New Roman" w:hAnsi="Times New Roman" w:cs="Times New Roman"/>
          <w:b/>
          <w:sz w:val="22"/>
          <w:szCs w:val="22"/>
        </w:rPr>
        <w:fldChar w:fldCharType="begin"/>
      </w:r>
      <w:r w:rsidRPr="005827A1">
        <w:rPr>
          <w:rFonts w:ascii="Times New Roman" w:hAnsi="Times New Roman" w:cs="Times New Roman"/>
          <w:b/>
          <w:sz w:val="22"/>
          <w:szCs w:val="22"/>
        </w:rPr>
        <w:instrText xml:space="preserve"> SEQ Figure \* ARABIC </w:instrText>
      </w:r>
      <w:r w:rsidRPr="005827A1">
        <w:rPr>
          <w:rFonts w:ascii="Times New Roman" w:hAnsi="Times New Roman" w:cs="Times New Roman"/>
          <w:b/>
          <w:sz w:val="22"/>
          <w:szCs w:val="22"/>
        </w:rPr>
        <w:fldChar w:fldCharType="separate"/>
      </w:r>
      <w:r w:rsidR="004A5E7B">
        <w:rPr>
          <w:rFonts w:ascii="Times New Roman" w:hAnsi="Times New Roman" w:cs="Times New Roman"/>
          <w:b/>
          <w:noProof/>
          <w:sz w:val="22"/>
          <w:szCs w:val="22"/>
        </w:rPr>
        <w:t>1</w:t>
      </w:r>
      <w:r w:rsidRPr="005827A1">
        <w:rPr>
          <w:rFonts w:ascii="Times New Roman" w:hAnsi="Times New Roman" w:cs="Times New Roman"/>
          <w:b/>
          <w:noProof/>
          <w:sz w:val="22"/>
          <w:szCs w:val="22"/>
        </w:rPr>
        <w:fldChar w:fldCharType="end"/>
      </w:r>
      <w:r w:rsidR="005827A1">
        <w:rPr>
          <w:rFonts w:ascii="Times New Roman" w:hAnsi="Times New Roman" w:cs="Times New Roman"/>
          <w:b/>
          <w:noProof/>
          <w:sz w:val="22"/>
          <w:szCs w:val="22"/>
        </w:rPr>
        <w:t>:</w:t>
      </w:r>
      <w:r w:rsidRPr="005827A1">
        <w:rPr>
          <w:rFonts w:ascii="Times New Roman" w:hAnsi="Times New Roman" w:cs="Times New Roman"/>
          <w:b/>
          <w:color w:val="000000"/>
          <w:sz w:val="22"/>
          <w:szCs w:val="22"/>
        </w:rPr>
        <w:t xml:space="preserve"> </w:t>
      </w:r>
      <w:r w:rsidR="005827A1">
        <w:rPr>
          <w:rFonts w:ascii="Times New Roman" w:eastAsiaTheme="minorEastAsia" w:hAnsi="Times New Roman" w:cs="Times New Roman"/>
          <w:b/>
          <w:color w:val="000000"/>
          <w:sz w:val="22"/>
          <w:szCs w:val="22"/>
        </w:rPr>
        <w:t>Geographic Distribution of Policy Fertility at the Prefecture L</w:t>
      </w:r>
      <w:r w:rsidRPr="005827A1">
        <w:rPr>
          <w:rFonts w:ascii="Times New Roman" w:eastAsiaTheme="minorEastAsia" w:hAnsi="Times New Roman" w:cs="Times New Roman"/>
          <w:b/>
          <w:color w:val="000000"/>
          <w:sz w:val="22"/>
          <w:szCs w:val="22"/>
        </w:rPr>
        <w:t xml:space="preserve">evel, China, </w:t>
      </w:r>
      <w:proofErr w:type="gramStart"/>
      <w:r w:rsidRPr="005827A1">
        <w:rPr>
          <w:rFonts w:ascii="Times New Roman" w:eastAsiaTheme="minorEastAsia" w:hAnsi="Times New Roman" w:cs="Times New Roman"/>
          <w:b/>
          <w:color w:val="000000"/>
          <w:sz w:val="22"/>
          <w:szCs w:val="22"/>
        </w:rPr>
        <w:t>late</w:t>
      </w:r>
      <w:proofErr w:type="gramEnd"/>
      <w:r w:rsidRPr="005827A1">
        <w:rPr>
          <w:rFonts w:ascii="Times New Roman" w:eastAsiaTheme="minorEastAsia" w:hAnsi="Times New Roman" w:cs="Times New Roman"/>
          <w:b/>
          <w:color w:val="000000"/>
          <w:sz w:val="22"/>
          <w:szCs w:val="22"/>
        </w:rPr>
        <w:t xml:space="preserve"> 1990s</w:t>
      </w:r>
    </w:p>
    <w:p w:rsidR="00F1102D" w:rsidRPr="005827A1" w:rsidRDefault="00F1102D" w:rsidP="00F1102D">
      <w:pPr>
        <w:snapToGrid w:val="0"/>
        <w:spacing w:line="288" w:lineRule="auto"/>
        <w:contextualSpacing/>
        <w:jc w:val="center"/>
        <w:rPr>
          <w:lang w:val="en-NZ"/>
        </w:rPr>
      </w:pPr>
      <w:r w:rsidRPr="005827A1">
        <w:rPr>
          <w:noProof/>
          <w:lang w:val="en-NZ" w:eastAsia="en-NZ" w:bidi="ar-SA"/>
        </w:rPr>
        <w:drawing>
          <wp:inline distT="0" distB="0" distL="0" distR="0" wp14:anchorId="6D9C8082" wp14:editId="27FAEA32">
            <wp:extent cx="4628111" cy="3451860"/>
            <wp:effectExtent l="19050" t="0" r="103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8" name="Picture 2"/>
                    <pic:cNvPicPr>
                      <a:picLocks noChangeAspect="1" noChangeArrowheads="1"/>
                    </pic:cNvPicPr>
                  </pic:nvPicPr>
                  <pic:blipFill>
                    <a:blip r:embed="rId10" cstate="print"/>
                    <a:srcRect/>
                    <a:stretch>
                      <a:fillRect/>
                    </a:stretch>
                  </pic:blipFill>
                  <pic:spPr bwMode="auto">
                    <a:xfrm>
                      <a:off x="0" y="0"/>
                      <a:ext cx="4628111" cy="3451860"/>
                    </a:xfrm>
                    <a:prstGeom prst="rect">
                      <a:avLst/>
                    </a:prstGeom>
                    <a:noFill/>
                    <a:ln w="9525">
                      <a:noFill/>
                      <a:miter lim="800000"/>
                      <a:headEnd/>
                      <a:tailEnd/>
                    </a:ln>
                  </pic:spPr>
                </pic:pic>
              </a:graphicData>
            </a:graphic>
          </wp:inline>
        </w:drawing>
      </w:r>
    </w:p>
    <w:p w:rsidR="00F1102D" w:rsidRPr="005827A1" w:rsidRDefault="00F1102D" w:rsidP="00BE1B1C">
      <w:pPr>
        <w:rPr>
          <w:sz w:val="20"/>
          <w:szCs w:val="20"/>
          <w:lang w:val="en-NZ"/>
        </w:rPr>
      </w:pPr>
      <w:r w:rsidRPr="005827A1">
        <w:rPr>
          <w:i/>
          <w:sz w:val="20"/>
          <w:szCs w:val="20"/>
          <w:lang w:val="en-NZ"/>
        </w:rPr>
        <w:t>Source:</w:t>
      </w:r>
      <w:r w:rsidRPr="005827A1">
        <w:rPr>
          <w:sz w:val="20"/>
          <w:szCs w:val="20"/>
          <w:lang w:val="en-NZ"/>
        </w:rPr>
        <w:t xml:space="preserve"> </w:t>
      </w:r>
      <w:proofErr w:type="spellStart"/>
      <w:proofErr w:type="gramStart"/>
      <w:r w:rsidRPr="005827A1">
        <w:rPr>
          <w:sz w:val="20"/>
          <w:szCs w:val="20"/>
          <w:lang w:val="en-NZ"/>
        </w:rPr>
        <w:t>Gu</w:t>
      </w:r>
      <w:proofErr w:type="spellEnd"/>
      <w:proofErr w:type="gramEnd"/>
      <w:r w:rsidRPr="005827A1">
        <w:rPr>
          <w:sz w:val="20"/>
          <w:szCs w:val="20"/>
          <w:lang w:val="en-NZ"/>
        </w:rPr>
        <w:t xml:space="preserve">, B, Wang, F, </w:t>
      </w:r>
      <w:proofErr w:type="spellStart"/>
      <w:r w:rsidRPr="005827A1">
        <w:rPr>
          <w:sz w:val="20"/>
          <w:szCs w:val="20"/>
          <w:lang w:val="en-NZ"/>
        </w:rPr>
        <w:t>Guo</w:t>
      </w:r>
      <w:proofErr w:type="spellEnd"/>
      <w:r w:rsidRPr="005827A1">
        <w:rPr>
          <w:sz w:val="20"/>
          <w:szCs w:val="20"/>
          <w:lang w:val="en-NZ"/>
        </w:rPr>
        <w:t xml:space="preserve">, Z </w:t>
      </w:r>
      <w:r w:rsidR="00975854">
        <w:rPr>
          <w:sz w:val="20"/>
          <w:szCs w:val="20"/>
          <w:lang w:val="en-NZ"/>
        </w:rPr>
        <w:t>and</w:t>
      </w:r>
      <w:r w:rsidRPr="005827A1">
        <w:rPr>
          <w:sz w:val="20"/>
          <w:szCs w:val="20"/>
          <w:lang w:val="en-NZ"/>
        </w:rPr>
        <w:t xml:space="preserve"> Zhang, E </w:t>
      </w:r>
      <w:r w:rsidR="005827A1">
        <w:rPr>
          <w:sz w:val="20"/>
          <w:szCs w:val="20"/>
          <w:lang w:val="en-NZ"/>
        </w:rPr>
        <w:t>(</w:t>
      </w:r>
      <w:r w:rsidRPr="005827A1">
        <w:rPr>
          <w:sz w:val="20"/>
          <w:szCs w:val="20"/>
          <w:lang w:val="en-NZ"/>
        </w:rPr>
        <w:t>2007</w:t>
      </w:r>
      <w:r w:rsidR="005827A1">
        <w:rPr>
          <w:sz w:val="20"/>
          <w:szCs w:val="20"/>
          <w:lang w:val="en-NZ"/>
        </w:rPr>
        <w:t>)</w:t>
      </w:r>
      <w:r w:rsidRPr="005827A1">
        <w:rPr>
          <w:sz w:val="20"/>
          <w:szCs w:val="20"/>
          <w:lang w:val="en-NZ"/>
        </w:rPr>
        <w:t xml:space="preserve"> ‘China's Local and National Fertility Policies at th</w:t>
      </w:r>
      <w:r w:rsidR="005827A1">
        <w:rPr>
          <w:sz w:val="20"/>
          <w:szCs w:val="20"/>
          <w:lang w:val="en-NZ"/>
        </w:rPr>
        <w:t>e End of the Twentieth Century’</w:t>
      </w:r>
      <w:r w:rsidRPr="005827A1">
        <w:rPr>
          <w:sz w:val="20"/>
          <w:szCs w:val="20"/>
          <w:lang w:val="en-NZ"/>
        </w:rPr>
        <w:t xml:space="preserve"> </w:t>
      </w:r>
      <w:r w:rsidRPr="005827A1">
        <w:rPr>
          <w:i/>
          <w:sz w:val="20"/>
          <w:szCs w:val="20"/>
          <w:lang w:val="en-NZ"/>
        </w:rPr>
        <w:t>Population and Development Review</w:t>
      </w:r>
      <w:r w:rsidR="005827A1">
        <w:rPr>
          <w:sz w:val="20"/>
          <w:szCs w:val="20"/>
          <w:lang w:val="en-NZ"/>
        </w:rPr>
        <w:t>, 33(1) pp.143</w:t>
      </w:r>
      <w:r w:rsidR="00975854">
        <w:rPr>
          <w:sz w:val="20"/>
          <w:szCs w:val="20"/>
          <w:lang w:val="en-NZ"/>
        </w:rPr>
        <w:t>,</w:t>
      </w:r>
      <w:r w:rsidRPr="005827A1">
        <w:rPr>
          <w:sz w:val="20"/>
          <w:szCs w:val="20"/>
          <w:lang w:val="en-NZ"/>
        </w:rPr>
        <w:t xml:space="preserve"> Figure</w:t>
      </w:r>
      <w:r w:rsidR="00975854">
        <w:rPr>
          <w:sz w:val="20"/>
          <w:szCs w:val="20"/>
          <w:lang w:val="en-NZ"/>
        </w:rPr>
        <w:t xml:space="preserve"> </w:t>
      </w:r>
      <w:r w:rsidRPr="005827A1">
        <w:rPr>
          <w:sz w:val="20"/>
          <w:szCs w:val="20"/>
          <w:lang w:val="en-NZ"/>
        </w:rPr>
        <w:t>2.</w:t>
      </w:r>
    </w:p>
    <w:p w:rsidR="000C7F30" w:rsidRDefault="00337416" w:rsidP="00E73869">
      <w:pPr>
        <w:snapToGrid w:val="0"/>
        <w:spacing w:line="288" w:lineRule="auto"/>
        <w:ind w:firstLine="426"/>
        <w:contextualSpacing/>
        <w:rPr>
          <w:color w:val="000000" w:themeColor="text1"/>
          <w:lang w:val="en-NZ"/>
        </w:rPr>
      </w:pPr>
      <w:r w:rsidRPr="005827A1">
        <w:lastRenderedPageBreak/>
        <w:t xml:space="preserve">Further relaxation and decentralization </w:t>
      </w:r>
      <w:r w:rsidR="000C7F30" w:rsidRPr="005827A1">
        <w:t>follow</w:t>
      </w:r>
      <w:r w:rsidRPr="005827A1">
        <w:t>ed in 1997</w:t>
      </w:r>
      <w:r w:rsidR="00A57DC5" w:rsidRPr="005827A1">
        <w:t xml:space="preserve"> </w:t>
      </w:r>
      <w:r w:rsidR="000C7F30" w:rsidRPr="005827A1">
        <w:t>with</w:t>
      </w:r>
      <w:r w:rsidRPr="005827A1">
        <w:t xml:space="preserve"> the ‘Opinion of the Ministry of Public Security on </w:t>
      </w:r>
      <w:r w:rsidR="000C7F30" w:rsidRPr="005827A1">
        <w:t xml:space="preserve">Improving the Administrative System of </w:t>
      </w:r>
      <w:proofErr w:type="spellStart"/>
      <w:r w:rsidR="000C7F30" w:rsidRPr="005827A1">
        <w:rPr>
          <w:i/>
          <w:iCs/>
        </w:rPr>
        <w:t>Hukou</w:t>
      </w:r>
      <w:proofErr w:type="spellEnd"/>
      <w:r w:rsidR="000C7F30" w:rsidRPr="005827A1">
        <w:t xml:space="preserve"> in Rural Areas’. This Ministry controls the </w:t>
      </w:r>
      <w:proofErr w:type="spellStart"/>
      <w:r w:rsidR="000C7F30" w:rsidRPr="005827A1">
        <w:rPr>
          <w:i/>
          <w:iCs/>
        </w:rPr>
        <w:t>Hukou</w:t>
      </w:r>
      <w:proofErr w:type="spellEnd"/>
      <w:r w:rsidR="000C7F30" w:rsidRPr="005827A1">
        <w:rPr>
          <w:i/>
          <w:iCs/>
        </w:rPr>
        <w:t xml:space="preserve"> </w:t>
      </w:r>
      <w:r w:rsidR="000C7F30" w:rsidRPr="005827A1">
        <w:t xml:space="preserve">registration system and provides identity booklets. The 1997 changes </w:t>
      </w:r>
      <w:r w:rsidR="00A57DC5" w:rsidRPr="005827A1">
        <w:rPr>
          <w:color w:val="000000" w:themeColor="text1"/>
          <w:lang w:val="en-NZ"/>
        </w:rPr>
        <w:t xml:space="preserve">permitted out-of-plan children and </w:t>
      </w:r>
      <w:r w:rsidR="000C7F30" w:rsidRPr="005827A1">
        <w:rPr>
          <w:color w:val="000000" w:themeColor="text1"/>
          <w:lang w:val="en-NZ"/>
        </w:rPr>
        <w:t xml:space="preserve">the </w:t>
      </w:r>
      <w:r w:rsidR="00A57DC5" w:rsidRPr="005827A1">
        <w:rPr>
          <w:color w:val="000000" w:themeColor="text1"/>
          <w:lang w:val="en-NZ"/>
        </w:rPr>
        <w:t>children of</w:t>
      </w:r>
      <w:r w:rsidR="000C7F30" w:rsidRPr="005827A1">
        <w:rPr>
          <w:color w:val="000000" w:themeColor="text1"/>
          <w:lang w:val="en-NZ"/>
        </w:rPr>
        <w:t xml:space="preserve"> unmarried couples to receive birth registration, </w:t>
      </w:r>
      <w:r w:rsidR="00D12F65" w:rsidRPr="005827A1">
        <w:rPr>
          <w:color w:val="000000" w:themeColor="text1"/>
          <w:lang w:val="en-NZ"/>
        </w:rPr>
        <w:t>further</w:t>
      </w:r>
      <w:r w:rsidR="000C7F30" w:rsidRPr="005827A1">
        <w:rPr>
          <w:color w:val="000000" w:themeColor="text1"/>
          <w:lang w:val="en-NZ"/>
        </w:rPr>
        <w:t xml:space="preserve"> reducing effects of family p</w:t>
      </w:r>
      <w:r w:rsidR="00D12F65" w:rsidRPr="005827A1">
        <w:rPr>
          <w:color w:val="000000" w:themeColor="text1"/>
          <w:lang w:val="en-NZ"/>
        </w:rPr>
        <w:t>lanning policy</w:t>
      </w:r>
      <w:r w:rsidR="000C7F30" w:rsidRPr="005827A1">
        <w:rPr>
          <w:color w:val="000000" w:themeColor="text1"/>
          <w:lang w:val="en-NZ"/>
        </w:rPr>
        <w:t xml:space="preserve"> on fertility (Li et al.</w:t>
      </w:r>
      <w:r w:rsidR="00B810A1" w:rsidRPr="005827A1">
        <w:rPr>
          <w:color w:val="000000" w:themeColor="text1"/>
          <w:lang w:val="en-NZ"/>
        </w:rPr>
        <w:t xml:space="preserve">, </w:t>
      </w:r>
      <w:r w:rsidR="000C7F30" w:rsidRPr="005827A1">
        <w:rPr>
          <w:color w:val="000000" w:themeColor="text1"/>
          <w:lang w:val="en-NZ"/>
        </w:rPr>
        <w:t>2010).</w:t>
      </w:r>
      <w:r w:rsidR="00A57DC5" w:rsidRPr="005827A1">
        <w:rPr>
          <w:color w:val="000000" w:themeColor="text1"/>
          <w:lang w:val="en-NZ"/>
        </w:rPr>
        <w:t xml:space="preserve"> </w:t>
      </w:r>
      <w:r w:rsidR="000C7F30" w:rsidRPr="005827A1">
        <w:rPr>
          <w:color w:val="000000" w:themeColor="text1"/>
          <w:lang w:val="en-NZ"/>
        </w:rPr>
        <w:t xml:space="preserve">However, </w:t>
      </w:r>
      <w:r w:rsidR="00A57DC5" w:rsidRPr="005827A1">
        <w:rPr>
          <w:color w:val="000000" w:themeColor="text1"/>
          <w:lang w:val="en-NZ" w:eastAsia="zh-CN"/>
        </w:rPr>
        <w:t xml:space="preserve">some provinces </w:t>
      </w:r>
      <w:r w:rsidR="000C7F30" w:rsidRPr="005827A1">
        <w:rPr>
          <w:color w:val="000000" w:themeColor="text1"/>
          <w:lang w:val="en-NZ" w:eastAsia="zh-CN"/>
        </w:rPr>
        <w:t xml:space="preserve">still required </w:t>
      </w:r>
      <w:r w:rsidR="00A57DC5" w:rsidRPr="005827A1">
        <w:rPr>
          <w:color w:val="000000" w:themeColor="text1"/>
          <w:lang w:val="en-NZ" w:eastAsia="zh-CN"/>
        </w:rPr>
        <w:t xml:space="preserve">the </w:t>
      </w:r>
      <w:r w:rsidR="000C7F30" w:rsidRPr="005827A1">
        <w:rPr>
          <w:color w:val="000000" w:themeColor="text1"/>
          <w:lang w:val="en-NZ" w:eastAsia="zh-CN"/>
        </w:rPr>
        <w:t xml:space="preserve">local </w:t>
      </w:r>
      <w:r w:rsidR="00A57DC5" w:rsidRPr="005827A1">
        <w:rPr>
          <w:color w:val="000000" w:themeColor="text1"/>
          <w:lang w:val="en-NZ" w:eastAsia="zh-CN"/>
        </w:rPr>
        <w:t xml:space="preserve">Public Security Department </w:t>
      </w:r>
      <w:r w:rsidR="000C7F30" w:rsidRPr="005827A1">
        <w:rPr>
          <w:color w:val="000000" w:themeColor="text1"/>
          <w:lang w:val="en-NZ" w:eastAsia="zh-CN"/>
        </w:rPr>
        <w:t xml:space="preserve">to be notified of </w:t>
      </w:r>
      <w:r w:rsidR="00A57DC5" w:rsidRPr="005827A1">
        <w:rPr>
          <w:color w:val="000000" w:themeColor="text1"/>
          <w:lang w:val="en-NZ" w:eastAsia="zh-CN"/>
        </w:rPr>
        <w:t>unsanctioned birth</w:t>
      </w:r>
      <w:r w:rsidR="000C7F30" w:rsidRPr="005827A1">
        <w:rPr>
          <w:color w:val="000000" w:themeColor="text1"/>
          <w:lang w:val="en-NZ" w:eastAsia="zh-CN"/>
        </w:rPr>
        <w:t>s</w:t>
      </w:r>
      <w:r w:rsidR="00D12F65" w:rsidRPr="005827A1">
        <w:rPr>
          <w:color w:val="000000" w:themeColor="text1"/>
          <w:lang w:val="en-NZ" w:eastAsia="zh-CN"/>
        </w:rPr>
        <w:t xml:space="preserve"> </w:t>
      </w:r>
      <w:r w:rsidR="00EA5906" w:rsidRPr="005827A1">
        <w:rPr>
          <w:color w:val="000000" w:themeColor="text1"/>
          <w:lang w:val="en-NZ" w:eastAsia="zh-CN"/>
        </w:rPr>
        <w:t xml:space="preserve">in order for </w:t>
      </w:r>
      <w:r w:rsidR="00D12F65" w:rsidRPr="005827A1">
        <w:rPr>
          <w:color w:val="000000" w:themeColor="text1"/>
          <w:lang w:val="en-NZ" w:eastAsia="zh-CN"/>
        </w:rPr>
        <w:t xml:space="preserve">babies to be </w:t>
      </w:r>
      <w:proofErr w:type="gramStart"/>
      <w:r w:rsidR="00D12F65" w:rsidRPr="005827A1">
        <w:rPr>
          <w:color w:val="000000" w:themeColor="text1"/>
          <w:lang w:val="en-NZ" w:eastAsia="zh-CN"/>
        </w:rPr>
        <w:t>registered</w:t>
      </w:r>
      <w:r w:rsidR="00A57DC5" w:rsidRPr="005827A1">
        <w:rPr>
          <w:color w:val="000000" w:themeColor="text1"/>
          <w:lang w:val="en-NZ" w:eastAsia="zh-CN"/>
        </w:rPr>
        <w:t>,</w:t>
      </w:r>
      <w:proofErr w:type="gramEnd"/>
      <w:r w:rsidR="00A57DC5" w:rsidRPr="005827A1">
        <w:rPr>
          <w:color w:val="000000" w:themeColor="text1"/>
          <w:lang w:val="en-NZ" w:eastAsia="zh-CN"/>
        </w:rPr>
        <w:t xml:space="preserve"> or </w:t>
      </w:r>
      <w:r w:rsidR="00D12F65" w:rsidRPr="005827A1">
        <w:rPr>
          <w:color w:val="000000" w:themeColor="text1"/>
          <w:lang w:val="en-NZ" w:eastAsia="zh-CN"/>
        </w:rPr>
        <w:t xml:space="preserve">needed </w:t>
      </w:r>
      <w:r w:rsidR="00464332" w:rsidRPr="005827A1">
        <w:rPr>
          <w:color w:val="000000" w:themeColor="text1"/>
          <w:lang w:val="en-NZ" w:eastAsia="zh-CN"/>
        </w:rPr>
        <w:t xml:space="preserve">similar </w:t>
      </w:r>
      <w:r w:rsidR="00A57DC5" w:rsidRPr="005827A1">
        <w:rPr>
          <w:color w:val="000000" w:themeColor="text1"/>
          <w:lang w:val="en-NZ" w:eastAsia="zh-CN"/>
        </w:rPr>
        <w:t xml:space="preserve">documentation from the Population and Family Planning </w:t>
      </w:r>
      <w:r w:rsidR="00464332" w:rsidRPr="005827A1">
        <w:rPr>
          <w:color w:val="000000" w:themeColor="text1"/>
          <w:lang w:val="en-NZ" w:eastAsia="zh-CN"/>
        </w:rPr>
        <w:t xml:space="preserve">Bureau to allow birth registration </w:t>
      </w:r>
      <w:r w:rsidR="00A57DC5" w:rsidRPr="005827A1">
        <w:rPr>
          <w:color w:val="000000" w:themeColor="text1"/>
          <w:lang w:val="en-NZ"/>
        </w:rPr>
        <w:t xml:space="preserve">(Li et al. 2010). </w:t>
      </w:r>
      <w:r w:rsidR="000C7F30" w:rsidRPr="005827A1">
        <w:rPr>
          <w:color w:val="000000" w:themeColor="text1"/>
          <w:lang w:val="en-NZ"/>
        </w:rPr>
        <w:t>Thus it remained true that</w:t>
      </w:r>
      <w:r w:rsidR="00A57DC5" w:rsidRPr="005827A1">
        <w:rPr>
          <w:color w:val="000000" w:themeColor="text1"/>
          <w:lang w:val="en-NZ"/>
        </w:rPr>
        <w:t xml:space="preserve"> for </w:t>
      </w:r>
      <w:r w:rsidR="000C7F30" w:rsidRPr="005827A1">
        <w:rPr>
          <w:color w:val="000000" w:themeColor="text1"/>
          <w:lang w:val="en-NZ"/>
        </w:rPr>
        <w:t xml:space="preserve">many </w:t>
      </w:r>
      <w:r w:rsidR="00A57DC5" w:rsidRPr="005827A1">
        <w:rPr>
          <w:color w:val="000000" w:themeColor="text1"/>
          <w:lang w:val="en-NZ"/>
        </w:rPr>
        <w:t xml:space="preserve">Chinese parents the OCP </w:t>
      </w:r>
      <w:r w:rsidR="00A57DC5" w:rsidRPr="005827A1">
        <w:rPr>
          <w:color w:val="000000" w:themeColor="text1"/>
          <w:lang w:val="en-NZ" w:eastAsia="zh-CN"/>
        </w:rPr>
        <w:t>remained</w:t>
      </w:r>
      <w:r w:rsidR="00D12F65" w:rsidRPr="005827A1">
        <w:rPr>
          <w:color w:val="000000" w:themeColor="text1"/>
          <w:lang w:val="en-NZ"/>
        </w:rPr>
        <w:t xml:space="preserve"> an important</w:t>
      </w:r>
      <w:r w:rsidR="00A57DC5" w:rsidRPr="005827A1">
        <w:rPr>
          <w:color w:val="000000" w:themeColor="text1"/>
          <w:lang w:val="en-NZ"/>
        </w:rPr>
        <w:t xml:space="preserve"> exogenous factor affecting the</w:t>
      </w:r>
      <w:r w:rsidR="000C7F30" w:rsidRPr="005827A1">
        <w:rPr>
          <w:color w:val="000000" w:themeColor="text1"/>
          <w:lang w:val="en-NZ"/>
        </w:rPr>
        <w:t>ir</w:t>
      </w:r>
      <w:r w:rsidR="00A57DC5" w:rsidRPr="005827A1">
        <w:rPr>
          <w:color w:val="000000" w:themeColor="text1"/>
          <w:lang w:val="en-NZ"/>
        </w:rPr>
        <w:t xml:space="preserve"> number of children. </w:t>
      </w:r>
    </w:p>
    <w:p w:rsidR="00975854" w:rsidRPr="005827A1" w:rsidRDefault="00975854" w:rsidP="00F1102D">
      <w:pPr>
        <w:snapToGrid w:val="0"/>
        <w:spacing w:line="288" w:lineRule="auto"/>
        <w:ind w:firstLine="720"/>
        <w:contextualSpacing/>
        <w:rPr>
          <w:color w:val="000000" w:themeColor="text1"/>
          <w:lang w:val="en-NZ"/>
        </w:rPr>
      </w:pPr>
    </w:p>
    <w:p w:rsidR="001B3D59" w:rsidRDefault="00FB0D41" w:rsidP="00E73869">
      <w:pPr>
        <w:snapToGrid w:val="0"/>
        <w:spacing w:line="288" w:lineRule="auto"/>
        <w:ind w:firstLine="426"/>
        <w:contextualSpacing/>
      </w:pPr>
      <w:r w:rsidRPr="005827A1">
        <w:t xml:space="preserve">In 2002, the Law on Population and Family Planning was adopted and </w:t>
      </w:r>
      <w:r w:rsidRPr="005827A1">
        <w:rPr>
          <w:lang w:val="en-AU"/>
        </w:rPr>
        <w:t>formalised</w:t>
      </w:r>
      <w:r w:rsidRPr="005827A1">
        <w:t xml:space="preserve"> the </w:t>
      </w:r>
      <w:r w:rsidR="00EA5906" w:rsidRPr="005827A1">
        <w:t xml:space="preserve">family planning </w:t>
      </w:r>
      <w:r w:rsidRPr="005827A1">
        <w:t>principle of ‘advo</w:t>
      </w:r>
      <w:r w:rsidR="000651EB" w:rsidRPr="005827A1">
        <w:t>cate one-child per couple’ while allowing</w:t>
      </w:r>
      <w:r w:rsidRPr="005827A1">
        <w:t xml:space="preserve"> local exceptions for a </w:t>
      </w:r>
      <w:r w:rsidR="00C94F97" w:rsidRPr="005827A1">
        <w:rPr>
          <w:lang w:eastAsia="zh-CN"/>
        </w:rPr>
        <w:t>second</w:t>
      </w:r>
      <w:r w:rsidRPr="005827A1">
        <w:t xml:space="preserve"> child</w:t>
      </w:r>
      <w:r w:rsidR="00517C19" w:rsidRPr="005827A1">
        <w:t xml:space="preserve"> (</w:t>
      </w:r>
      <w:r w:rsidR="00F861D2" w:rsidRPr="005827A1">
        <w:t>The Legislative Affairs Commission of the Standing Committee of the National People’s Congress of the People’s Republic of China, 2002</w:t>
      </w:r>
      <w:r w:rsidR="00517C19" w:rsidRPr="005827A1">
        <w:t>)</w:t>
      </w:r>
      <w:r w:rsidR="001B3D59" w:rsidRPr="005827A1">
        <w:t>. Under the 2002 law, c</w:t>
      </w:r>
      <w:r w:rsidRPr="005827A1">
        <w:t>ouples volunteer</w:t>
      </w:r>
      <w:r w:rsidR="00EA5906" w:rsidRPr="005827A1">
        <w:t>ing</w:t>
      </w:r>
      <w:r w:rsidRPr="005827A1">
        <w:t xml:space="preserve"> to have only one child regardless of the local exceptions get a </w:t>
      </w:r>
      <w:r w:rsidR="00975854">
        <w:t>'</w:t>
      </w:r>
      <w:r w:rsidRPr="005827A1">
        <w:t xml:space="preserve">Certificate of </w:t>
      </w:r>
      <w:r w:rsidRPr="005827A1">
        <w:rPr>
          <w:lang w:val="en-AU"/>
        </w:rPr>
        <w:t>Honour</w:t>
      </w:r>
      <w:r w:rsidRPr="005827A1">
        <w:t xml:space="preserve"> for Single-Child Parents</w:t>
      </w:r>
      <w:r w:rsidR="00975854">
        <w:t>'</w:t>
      </w:r>
      <w:r w:rsidRPr="005827A1">
        <w:t xml:space="preserve"> </w:t>
      </w:r>
      <w:r w:rsidR="00EA5906" w:rsidRPr="005827A1">
        <w:t xml:space="preserve">and </w:t>
      </w:r>
      <w:r w:rsidR="001B3D59" w:rsidRPr="005827A1">
        <w:t xml:space="preserve">are eligible for </w:t>
      </w:r>
      <w:r w:rsidRPr="005827A1">
        <w:t>small c</w:t>
      </w:r>
      <w:r w:rsidR="001B3D59" w:rsidRPr="005827A1">
        <w:t xml:space="preserve">ash </w:t>
      </w:r>
      <w:r w:rsidR="00EA5906" w:rsidRPr="005827A1">
        <w:t>rew</w:t>
      </w:r>
      <w:r w:rsidR="001B3D59" w:rsidRPr="005827A1">
        <w:t>ards until their child</w:t>
      </w:r>
      <w:r w:rsidRPr="005827A1">
        <w:t xml:space="preserve"> </w:t>
      </w:r>
      <w:r w:rsidR="00EA5906" w:rsidRPr="005827A1">
        <w:t xml:space="preserve">is </w:t>
      </w:r>
      <w:r w:rsidR="001B3D59" w:rsidRPr="005827A1">
        <w:t>a certain age</w:t>
      </w:r>
      <w:r w:rsidRPr="005827A1">
        <w:t xml:space="preserve">.  On the other hand, couples </w:t>
      </w:r>
      <w:r w:rsidR="001B3D59" w:rsidRPr="005827A1">
        <w:t xml:space="preserve">who have more children than local policy allows </w:t>
      </w:r>
      <w:r w:rsidRPr="005827A1">
        <w:t xml:space="preserve">need to pay </w:t>
      </w:r>
      <w:r w:rsidR="001B3D59" w:rsidRPr="005827A1">
        <w:t xml:space="preserve">a </w:t>
      </w:r>
      <w:r w:rsidRPr="005827A1">
        <w:t>social maintenance fee for the unsanctioned birth</w:t>
      </w:r>
      <w:r w:rsidR="001B3D59" w:rsidRPr="005827A1">
        <w:t>(s), which is often a multiple</w:t>
      </w:r>
      <w:r w:rsidRPr="005827A1">
        <w:t xml:space="preserve"> of </w:t>
      </w:r>
      <w:r w:rsidR="001B3D59" w:rsidRPr="005827A1">
        <w:t xml:space="preserve">the </w:t>
      </w:r>
      <w:r w:rsidRPr="005827A1">
        <w:t xml:space="preserve">previous year’s average household disposable income in the area </w:t>
      </w:r>
      <w:r w:rsidR="00112920" w:rsidRPr="005827A1">
        <w:t xml:space="preserve">where </w:t>
      </w:r>
      <w:r w:rsidRPr="005827A1">
        <w:t>they live</w:t>
      </w:r>
      <w:r w:rsidR="00D12F65" w:rsidRPr="005827A1">
        <w:t>.</w:t>
      </w:r>
      <w:r w:rsidR="00E23007" w:rsidRPr="005827A1">
        <w:rPr>
          <w:rStyle w:val="FootnoteReference"/>
        </w:rPr>
        <w:footnoteReference w:id="3"/>
      </w:r>
      <w:r w:rsidRPr="005827A1">
        <w:t xml:space="preserve"> </w:t>
      </w:r>
    </w:p>
    <w:p w:rsidR="00975854" w:rsidRPr="005827A1" w:rsidRDefault="00975854" w:rsidP="00F1102D">
      <w:pPr>
        <w:snapToGrid w:val="0"/>
        <w:spacing w:line="288" w:lineRule="auto"/>
        <w:ind w:firstLine="720"/>
        <w:contextualSpacing/>
      </w:pPr>
    </w:p>
    <w:p w:rsidR="005E018A" w:rsidRDefault="00FB0D41" w:rsidP="00E73869">
      <w:pPr>
        <w:snapToGrid w:val="0"/>
        <w:spacing w:line="288" w:lineRule="auto"/>
        <w:ind w:firstLine="426"/>
        <w:contextualSpacing/>
        <w:rPr>
          <w:lang w:eastAsia="zh-CN"/>
        </w:rPr>
      </w:pPr>
      <w:r w:rsidRPr="005827A1">
        <w:t xml:space="preserve">In this research, we </w:t>
      </w:r>
      <w:r w:rsidR="001B3D59" w:rsidRPr="005827A1">
        <w:t>use survey data collected between 1991 and 2009</w:t>
      </w:r>
      <w:r w:rsidR="00396F50" w:rsidRPr="005827A1">
        <w:t>.</w:t>
      </w:r>
      <w:r w:rsidR="001B3D59" w:rsidRPr="005827A1">
        <w:t xml:space="preserve"> </w:t>
      </w:r>
      <w:r w:rsidR="00396F50" w:rsidRPr="005827A1">
        <w:t>O</w:t>
      </w:r>
      <w:r w:rsidR="001B3D59" w:rsidRPr="005827A1">
        <w:t>ver the</w:t>
      </w:r>
      <w:r w:rsidR="00D12F65" w:rsidRPr="005827A1">
        <w:t>se</w:t>
      </w:r>
      <w:r w:rsidR="001B3D59" w:rsidRPr="005827A1">
        <w:t xml:space="preserve"> two decades the strength of the </w:t>
      </w:r>
      <w:r w:rsidR="00A3472C" w:rsidRPr="005827A1">
        <w:t xml:space="preserve">one-child </w:t>
      </w:r>
      <w:r w:rsidR="001B3D59" w:rsidRPr="005827A1">
        <w:t xml:space="preserve">policy varied considerably. Thus we are able to examine impacts on </w:t>
      </w:r>
      <w:r w:rsidRPr="005827A1">
        <w:t xml:space="preserve">children </w:t>
      </w:r>
      <w:r w:rsidR="001B3D59" w:rsidRPr="005827A1">
        <w:t xml:space="preserve">who </w:t>
      </w:r>
      <w:r w:rsidR="00A3472C" w:rsidRPr="005827A1">
        <w:t xml:space="preserve">had been </w:t>
      </w:r>
      <w:r w:rsidRPr="005827A1">
        <w:t xml:space="preserve">born in periods </w:t>
      </w:r>
      <w:r w:rsidR="00A3472C" w:rsidRPr="005827A1">
        <w:t xml:space="preserve">when the </w:t>
      </w:r>
      <w:r w:rsidR="001B3D59" w:rsidRPr="005827A1">
        <w:t xml:space="preserve">OCP </w:t>
      </w:r>
      <w:r w:rsidR="00A3472C" w:rsidRPr="005827A1">
        <w:t xml:space="preserve">had been strictly applied, and also when it had been somewhat relaxed, </w:t>
      </w:r>
      <w:r w:rsidR="001B3D59" w:rsidRPr="005827A1">
        <w:t>in addition to variation over space in the stringency of the policy.</w:t>
      </w:r>
      <w:r w:rsidRPr="005827A1">
        <w:t xml:space="preserve">  </w:t>
      </w:r>
      <w:r w:rsidR="0000366A" w:rsidRPr="005827A1">
        <w:rPr>
          <w:color w:val="000000" w:themeColor="text1"/>
          <w:lang w:eastAsia="zh-CN"/>
        </w:rPr>
        <w:t xml:space="preserve">We successfully match each child to a mother, and hence </w:t>
      </w:r>
      <w:r w:rsidR="00D12F65" w:rsidRPr="005827A1">
        <w:rPr>
          <w:color w:val="000000" w:themeColor="text1"/>
          <w:lang w:eastAsia="zh-CN"/>
        </w:rPr>
        <w:t xml:space="preserve">are </w:t>
      </w:r>
      <w:r w:rsidR="0000366A" w:rsidRPr="005827A1">
        <w:rPr>
          <w:color w:val="000000" w:themeColor="text1"/>
          <w:lang w:eastAsia="zh-CN"/>
        </w:rPr>
        <w:t xml:space="preserve">able to </w:t>
      </w:r>
      <w:r w:rsidR="00D12F65" w:rsidRPr="005827A1">
        <w:rPr>
          <w:color w:val="000000" w:themeColor="text1"/>
          <w:lang w:eastAsia="zh-CN"/>
        </w:rPr>
        <w:t>see how the OCP applied</w:t>
      </w:r>
      <w:r w:rsidR="0000366A" w:rsidRPr="005827A1">
        <w:rPr>
          <w:color w:val="000000" w:themeColor="text1"/>
          <w:lang w:eastAsia="zh-CN"/>
        </w:rPr>
        <w:t xml:space="preserve"> to the mother</w:t>
      </w:r>
      <w:r w:rsidR="00D12F65" w:rsidRPr="005827A1">
        <w:rPr>
          <w:color w:val="000000" w:themeColor="text1"/>
          <w:lang w:eastAsia="zh-CN"/>
        </w:rPr>
        <w:t>,</w:t>
      </w:r>
      <w:r w:rsidR="0000366A" w:rsidRPr="005827A1">
        <w:rPr>
          <w:color w:val="000000" w:themeColor="text1"/>
          <w:lang w:eastAsia="zh-CN"/>
        </w:rPr>
        <w:t xml:space="preserve"> given h</w:t>
      </w:r>
      <w:r w:rsidR="00D12F65" w:rsidRPr="005827A1">
        <w:rPr>
          <w:color w:val="000000" w:themeColor="text1"/>
          <w:lang w:eastAsia="zh-CN"/>
        </w:rPr>
        <w:t xml:space="preserve">er birth history and the </w:t>
      </w:r>
      <w:r w:rsidR="0000366A" w:rsidRPr="005827A1">
        <w:rPr>
          <w:color w:val="000000" w:themeColor="text1"/>
          <w:lang w:eastAsia="zh-CN"/>
        </w:rPr>
        <w:t>status of her and her children.</w:t>
      </w:r>
      <w:r w:rsidR="0000366A" w:rsidRPr="005827A1">
        <w:rPr>
          <w:lang w:eastAsia="zh-CN"/>
        </w:rPr>
        <w:t xml:space="preserve"> </w:t>
      </w:r>
      <w:r w:rsidR="00AC259F" w:rsidRPr="005827A1">
        <w:rPr>
          <w:lang w:eastAsia="zh-CN"/>
        </w:rPr>
        <w:t xml:space="preserve">Consequently, the impacts from the OCP on the number of </w:t>
      </w:r>
      <w:r w:rsidR="00D12F65" w:rsidRPr="005827A1">
        <w:rPr>
          <w:lang w:eastAsia="zh-CN"/>
        </w:rPr>
        <w:t xml:space="preserve">siblings of </w:t>
      </w:r>
      <w:r w:rsidR="00AC259F" w:rsidRPr="005827A1">
        <w:rPr>
          <w:lang w:eastAsia="zh-CN"/>
        </w:rPr>
        <w:t>the sample children are well captured</w:t>
      </w:r>
      <w:r w:rsidR="00D12F65" w:rsidRPr="005827A1">
        <w:rPr>
          <w:lang w:eastAsia="zh-CN"/>
        </w:rPr>
        <w:t xml:space="preserve"> in these survey data</w:t>
      </w:r>
      <w:r w:rsidR="00AC259F" w:rsidRPr="005827A1">
        <w:rPr>
          <w:lang w:eastAsia="zh-CN"/>
        </w:rPr>
        <w:t>.</w:t>
      </w:r>
    </w:p>
    <w:p w:rsidR="00975854" w:rsidRPr="005827A1" w:rsidRDefault="00975854" w:rsidP="00F1102D">
      <w:pPr>
        <w:snapToGrid w:val="0"/>
        <w:spacing w:line="288" w:lineRule="auto"/>
        <w:ind w:firstLine="720"/>
        <w:contextualSpacing/>
        <w:rPr>
          <w:color w:val="FF0000"/>
          <w:lang w:eastAsia="zh-CN"/>
        </w:rPr>
      </w:pPr>
    </w:p>
    <w:p w:rsidR="00F660B3" w:rsidRPr="005827A1" w:rsidRDefault="00A3472C" w:rsidP="00E73869">
      <w:pPr>
        <w:snapToGrid w:val="0"/>
        <w:spacing w:line="288" w:lineRule="auto"/>
        <w:ind w:firstLine="426"/>
        <w:contextualSpacing/>
        <w:rPr>
          <w:lang w:eastAsia="zh-CN"/>
        </w:rPr>
      </w:pPr>
      <w:r w:rsidRPr="005827A1">
        <w:t>While it is outside of our sample pe</w:t>
      </w:r>
      <w:r w:rsidR="00126D3D">
        <w:t xml:space="preserve">riod, it is worth noting </w:t>
      </w:r>
      <w:r w:rsidR="00FB0D41" w:rsidRPr="005827A1">
        <w:t>recent change</w:t>
      </w:r>
      <w:r w:rsidRPr="005827A1">
        <w:t>s</w:t>
      </w:r>
      <w:r w:rsidR="00FB0D41" w:rsidRPr="005827A1">
        <w:t xml:space="preserve"> </w:t>
      </w:r>
      <w:r w:rsidRPr="005827A1">
        <w:t xml:space="preserve">to </w:t>
      </w:r>
      <w:r w:rsidR="006731B0" w:rsidRPr="005827A1">
        <w:t xml:space="preserve">China’s </w:t>
      </w:r>
      <w:r w:rsidR="00FB0D41" w:rsidRPr="005827A1">
        <w:t>family planning policy</w:t>
      </w:r>
      <w:r w:rsidRPr="005827A1">
        <w:t xml:space="preserve"> </w:t>
      </w:r>
      <w:r w:rsidR="00D12F65" w:rsidRPr="005827A1">
        <w:t xml:space="preserve">that let </w:t>
      </w:r>
      <w:r w:rsidR="00FB0D41" w:rsidRPr="005827A1">
        <w:t>all legally married coup</w:t>
      </w:r>
      <w:r w:rsidR="00EA5906" w:rsidRPr="005827A1">
        <w:t xml:space="preserve">les </w:t>
      </w:r>
      <w:r w:rsidRPr="005827A1">
        <w:t>have two children notwithstanding</w:t>
      </w:r>
      <w:r w:rsidR="00FB0D41" w:rsidRPr="005827A1">
        <w:t xml:space="preserve"> all </w:t>
      </w:r>
      <w:r w:rsidRPr="005827A1">
        <w:t xml:space="preserve">of </w:t>
      </w:r>
      <w:r w:rsidR="00FB0D41" w:rsidRPr="005827A1">
        <w:t>the limitations introduced in previous regulations</w:t>
      </w:r>
      <w:r w:rsidR="008715BC" w:rsidRPr="005827A1">
        <w:rPr>
          <w:lang w:eastAsia="zh-CN"/>
        </w:rPr>
        <w:t xml:space="preserve"> (Xinhua</w:t>
      </w:r>
      <w:r w:rsidR="00B810A1" w:rsidRPr="005827A1">
        <w:rPr>
          <w:lang w:eastAsia="zh-CN"/>
        </w:rPr>
        <w:t xml:space="preserve"> Net</w:t>
      </w:r>
      <w:r w:rsidR="00126D3D">
        <w:rPr>
          <w:lang w:eastAsia="zh-CN"/>
        </w:rPr>
        <w:t xml:space="preserve"> </w:t>
      </w:r>
      <w:r w:rsidR="008715BC" w:rsidRPr="005827A1">
        <w:rPr>
          <w:lang w:eastAsia="zh-CN"/>
        </w:rPr>
        <w:t>2015)</w:t>
      </w:r>
      <w:r w:rsidR="00FB0D41" w:rsidRPr="005827A1">
        <w:t xml:space="preserve">. This </w:t>
      </w:r>
      <w:r w:rsidRPr="005827A1">
        <w:t xml:space="preserve">large break from previous policy heralds </w:t>
      </w:r>
      <w:r w:rsidR="00D12F65" w:rsidRPr="005827A1">
        <w:t>the end of the one-child policy</w:t>
      </w:r>
      <w:r w:rsidRPr="005827A1">
        <w:t xml:space="preserve"> but not necessarily the end of </w:t>
      </w:r>
      <w:r w:rsidRPr="005827A1">
        <w:lastRenderedPageBreak/>
        <w:t xml:space="preserve">attempts by policy makers in China to intervene into fertility decisions. In other words, </w:t>
      </w:r>
      <w:r w:rsidR="00FB0D41" w:rsidRPr="005827A1">
        <w:t xml:space="preserve">the number of children is </w:t>
      </w:r>
      <w:r w:rsidRPr="005827A1">
        <w:t xml:space="preserve">still </w:t>
      </w:r>
      <w:r w:rsidR="00FB0D41" w:rsidRPr="005827A1">
        <w:t>not a completely free choice of the parents</w:t>
      </w:r>
      <w:r w:rsidRPr="005827A1">
        <w:t>, unlike in most of the rest of the world</w:t>
      </w:r>
      <w:r w:rsidR="00FB0D41" w:rsidRPr="005827A1">
        <w:t xml:space="preserve">. </w:t>
      </w:r>
      <w:r w:rsidRPr="005827A1">
        <w:t xml:space="preserve">The official end of the </w:t>
      </w:r>
      <w:r w:rsidR="00D12F65" w:rsidRPr="005827A1">
        <w:t xml:space="preserve">OCP </w:t>
      </w:r>
      <w:r w:rsidRPr="005827A1">
        <w:t>also bookends a generation of</w:t>
      </w:r>
      <w:r w:rsidR="00FB0D41" w:rsidRPr="005827A1">
        <w:t xml:space="preserve"> children</w:t>
      </w:r>
      <w:r w:rsidRPr="005827A1">
        <w:t>,</w:t>
      </w:r>
      <w:r w:rsidR="00FB0D41" w:rsidRPr="005827A1">
        <w:t xml:space="preserve"> born between 1980 and 2015</w:t>
      </w:r>
      <w:r w:rsidRPr="005827A1">
        <w:t xml:space="preserve">, where many of them grew </w:t>
      </w:r>
      <w:r w:rsidR="00FB0D41" w:rsidRPr="005827A1">
        <w:t>up without any siblings</w:t>
      </w:r>
      <w:r w:rsidR="00457AAB" w:rsidRPr="005827A1">
        <w:rPr>
          <w:lang w:eastAsia="zh-CN"/>
        </w:rPr>
        <w:t>.</w:t>
      </w:r>
      <w:r w:rsidRPr="005827A1">
        <w:t xml:space="preserve"> </w:t>
      </w:r>
      <w:r w:rsidR="00D12F65" w:rsidRPr="005827A1">
        <w:t xml:space="preserve">For example, </w:t>
      </w:r>
      <w:r w:rsidR="004B1664" w:rsidRPr="005827A1">
        <w:t xml:space="preserve">the share of children from sole-child families in our sample </w:t>
      </w:r>
      <w:r w:rsidR="00D12F65" w:rsidRPr="005827A1">
        <w:t xml:space="preserve">increased from about one-quarter in </w:t>
      </w:r>
      <w:r w:rsidR="004B1664" w:rsidRPr="005827A1">
        <w:t xml:space="preserve">1991 </w:t>
      </w:r>
      <w:r w:rsidR="00D12F65" w:rsidRPr="005827A1">
        <w:t xml:space="preserve">to over one-half by 2006, </w:t>
      </w:r>
      <w:r w:rsidR="004B1664" w:rsidRPr="005827A1">
        <w:t xml:space="preserve">and </w:t>
      </w:r>
      <w:r w:rsidR="00D12F65" w:rsidRPr="005827A1">
        <w:t xml:space="preserve">in urban areas </w:t>
      </w:r>
      <w:r w:rsidR="004B1664" w:rsidRPr="005827A1">
        <w:t xml:space="preserve">exceeded 70% in </w:t>
      </w:r>
      <w:r w:rsidR="00D12F65" w:rsidRPr="005827A1">
        <w:t>that year.</w:t>
      </w:r>
      <w:r w:rsidR="004B1664" w:rsidRPr="005827A1">
        <w:t xml:space="preserve"> </w:t>
      </w:r>
      <w:r w:rsidRPr="005827A1">
        <w:t>Thus it is not exaggerating to think of the OCP as one of the largest policy-induced natural experiments in human history.</w:t>
      </w:r>
    </w:p>
    <w:p w:rsidR="00F2412E" w:rsidRPr="005827A1" w:rsidRDefault="00F2412E" w:rsidP="00F1102D">
      <w:pPr>
        <w:snapToGrid w:val="0"/>
        <w:spacing w:line="288" w:lineRule="auto"/>
        <w:ind w:firstLine="720"/>
        <w:contextualSpacing/>
        <w:rPr>
          <w:lang w:eastAsia="zh-CN"/>
        </w:rPr>
      </w:pPr>
    </w:p>
    <w:p w:rsidR="00B72227" w:rsidRDefault="000E116D" w:rsidP="00975854">
      <w:pPr>
        <w:pStyle w:val="Heading1"/>
        <w:snapToGrid w:val="0"/>
        <w:spacing w:before="0" w:after="0" w:line="288" w:lineRule="auto"/>
        <w:contextualSpacing/>
        <w:rPr>
          <w:rFonts w:ascii="Times New Roman" w:hAnsi="Times New Roman"/>
          <w:sz w:val="24"/>
          <w:szCs w:val="24"/>
          <w:lang w:eastAsia="zh-CN"/>
        </w:rPr>
      </w:pPr>
      <w:bookmarkStart w:id="3" w:name="_Toc466899929"/>
      <w:r w:rsidRPr="005827A1">
        <w:rPr>
          <w:rFonts w:ascii="Times New Roman" w:hAnsi="Times New Roman"/>
          <w:sz w:val="24"/>
          <w:szCs w:val="24"/>
          <w:lang w:eastAsia="zh-CN"/>
        </w:rPr>
        <w:t>3</w:t>
      </w:r>
      <w:r w:rsidR="00B72227" w:rsidRPr="005827A1">
        <w:rPr>
          <w:rFonts w:ascii="Times New Roman" w:hAnsi="Times New Roman"/>
          <w:sz w:val="24"/>
          <w:szCs w:val="24"/>
          <w:lang w:eastAsia="zh-CN"/>
        </w:rPr>
        <w:t xml:space="preserve">. </w:t>
      </w:r>
      <w:r w:rsidR="00E446C2" w:rsidRPr="005827A1">
        <w:rPr>
          <w:rFonts w:ascii="Times New Roman" w:hAnsi="Times New Roman"/>
          <w:sz w:val="24"/>
          <w:szCs w:val="24"/>
          <w:lang w:eastAsia="zh-CN"/>
        </w:rPr>
        <w:t>EMPIRICAL METHODS</w:t>
      </w:r>
      <w:bookmarkEnd w:id="3"/>
    </w:p>
    <w:p w:rsidR="00975854" w:rsidRPr="00975854" w:rsidRDefault="00975854" w:rsidP="00975854">
      <w:pPr>
        <w:rPr>
          <w:sz w:val="12"/>
          <w:szCs w:val="12"/>
          <w:lang w:eastAsia="zh-CN"/>
        </w:rPr>
      </w:pPr>
    </w:p>
    <w:p w:rsidR="00FB7056" w:rsidRDefault="00FB7056" w:rsidP="00F1102D">
      <w:pPr>
        <w:widowControl w:val="0"/>
        <w:snapToGrid w:val="0"/>
        <w:spacing w:line="288" w:lineRule="auto"/>
        <w:contextualSpacing/>
        <w:rPr>
          <w:rFonts w:eastAsia="Calibri"/>
        </w:rPr>
      </w:pPr>
      <w:r w:rsidRPr="005827A1">
        <w:rPr>
          <w:lang w:eastAsia="zh-CN"/>
        </w:rPr>
        <w:t>We</w:t>
      </w:r>
      <w:r w:rsidR="00F7553B" w:rsidRPr="005827A1">
        <w:rPr>
          <w:rFonts w:eastAsia="Calibri"/>
        </w:rPr>
        <w:t xml:space="preserve"> start</w:t>
      </w:r>
      <w:r w:rsidRPr="005827A1">
        <w:rPr>
          <w:rFonts w:eastAsia="Calibri"/>
        </w:rPr>
        <w:t xml:space="preserve"> by regress</w:t>
      </w:r>
      <w:r w:rsidR="00F7553B" w:rsidRPr="005827A1">
        <w:rPr>
          <w:rFonts w:eastAsia="Calibri"/>
        </w:rPr>
        <w:t>ing</w:t>
      </w:r>
      <w:r w:rsidRPr="005827A1">
        <w:rPr>
          <w:rFonts w:eastAsia="Calibri"/>
        </w:rPr>
        <w:t xml:space="preserve"> nutrient intakes on measures of the number of children, along with other control variables</w:t>
      </w:r>
      <w:r w:rsidR="008E118E" w:rsidRPr="005827A1">
        <w:rPr>
          <w:rFonts w:eastAsia="Calibri"/>
        </w:rPr>
        <w:t>,</w:t>
      </w:r>
      <w:r w:rsidR="00B162AD" w:rsidRPr="005827A1">
        <w:rPr>
          <w:lang w:eastAsia="zh-CN"/>
        </w:rPr>
        <w:t xml:space="preserve"> </w:t>
      </w:r>
      <w:r w:rsidR="00B162AD" w:rsidRPr="005827A1">
        <w:rPr>
          <w:rFonts w:eastAsia="Calibri"/>
        </w:rPr>
        <w:t>using Ordinary Least Squares (OLS)</w:t>
      </w:r>
      <w:r w:rsidR="00F7553B" w:rsidRPr="005827A1">
        <w:rPr>
          <w:rFonts w:eastAsia="Calibri"/>
        </w:rPr>
        <w:t>. We initial</w:t>
      </w:r>
      <w:r w:rsidRPr="005827A1">
        <w:rPr>
          <w:rFonts w:eastAsia="Calibri"/>
        </w:rPr>
        <w:t>ly ignore the panel structure of the data</w:t>
      </w:r>
      <w:r w:rsidR="00F7553B" w:rsidRPr="005827A1">
        <w:rPr>
          <w:rFonts w:eastAsia="Calibri"/>
        </w:rPr>
        <w:t>. M</w:t>
      </w:r>
      <w:r w:rsidRPr="005827A1">
        <w:rPr>
          <w:rFonts w:eastAsia="Calibri"/>
        </w:rPr>
        <w:t xml:space="preserve">ost previous studies do not have panel data so we want to see if </w:t>
      </w:r>
      <w:r w:rsidR="00F7553B" w:rsidRPr="005827A1">
        <w:rPr>
          <w:rFonts w:eastAsia="Calibri"/>
        </w:rPr>
        <w:t>the lack of</w:t>
      </w:r>
      <w:r w:rsidRPr="005827A1">
        <w:rPr>
          <w:rFonts w:eastAsia="Calibri"/>
        </w:rPr>
        <w:t xml:space="preserve"> controls for unobservable fixed effects makes prior studies more likely to find a trade</w:t>
      </w:r>
      <w:r w:rsidR="00F7553B" w:rsidRPr="005827A1">
        <w:rPr>
          <w:rFonts w:eastAsia="Calibri"/>
        </w:rPr>
        <w:t>-</w:t>
      </w:r>
      <w:r w:rsidRPr="005827A1">
        <w:rPr>
          <w:rFonts w:eastAsia="Calibri"/>
        </w:rPr>
        <w:t>off between qu</w:t>
      </w:r>
      <w:r w:rsidR="00F7553B" w:rsidRPr="005827A1">
        <w:rPr>
          <w:rFonts w:eastAsia="Calibri"/>
        </w:rPr>
        <w:t>antity and quality that disappears once fixed effects are introduced.</w:t>
      </w:r>
    </w:p>
    <w:p w:rsidR="00975854" w:rsidRPr="005827A1" w:rsidRDefault="00975854" w:rsidP="00F1102D">
      <w:pPr>
        <w:widowControl w:val="0"/>
        <w:snapToGrid w:val="0"/>
        <w:spacing w:line="288" w:lineRule="auto"/>
        <w:contextualSpacing/>
        <w:rPr>
          <w:rFonts w:eastAsia="Calibri"/>
        </w:rPr>
      </w:pPr>
    </w:p>
    <w:p w:rsidR="00B72227" w:rsidRDefault="00B72227" w:rsidP="00BE1B1C">
      <w:pPr>
        <w:autoSpaceDE w:val="0"/>
        <w:autoSpaceDN w:val="0"/>
        <w:adjustRightInd w:val="0"/>
        <w:spacing w:line="288" w:lineRule="auto"/>
        <w:ind w:firstLine="426"/>
      </w:pPr>
      <w:r w:rsidRPr="005827A1">
        <w:t>Following the recent literature</w:t>
      </w:r>
      <w:r w:rsidR="00B142EB" w:rsidRPr="005827A1">
        <w:t xml:space="preserve">, our general estimation approach is </w:t>
      </w:r>
      <w:r w:rsidRPr="005827A1">
        <w:t xml:space="preserve">as </w:t>
      </w:r>
      <w:r w:rsidR="00B142EB" w:rsidRPr="005827A1">
        <w:t>seen below:</w:t>
      </w:r>
    </w:p>
    <w:p w:rsidR="00975854" w:rsidRDefault="00975854" w:rsidP="00F1102D">
      <w:pPr>
        <w:autoSpaceDE w:val="0"/>
        <w:autoSpaceDN w:val="0"/>
        <w:adjustRightInd w:val="0"/>
        <w:spacing w:line="288" w:lineRule="auto"/>
        <w:ind w:firstLine="720"/>
        <w:rPr>
          <w:sz w:val="16"/>
          <w:szCs w:val="16"/>
        </w:rPr>
      </w:pPr>
    </w:p>
    <w:p w:rsidR="00DF388C" w:rsidRPr="006B1E6D" w:rsidRDefault="00DF388C" w:rsidP="00F1102D">
      <w:pPr>
        <w:autoSpaceDE w:val="0"/>
        <w:autoSpaceDN w:val="0"/>
        <w:adjustRightInd w:val="0"/>
        <w:spacing w:line="288" w:lineRule="auto"/>
        <w:ind w:firstLine="720"/>
        <w:rPr>
          <w:sz w:val="16"/>
          <w:szCs w:val="16"/>
        </w:rPr>
      </w:pPr>
    </w:p>
    <w:p w:rsidR="00B72227" w:rsidRDefault="00B30788" w:rsidP="00F1102D">
      <w:pPr>
        <w:autoSpaceDE w:val="0"/>
        <w:autoSpaceDN w:val="0"/>
        <w:adjustRightInd w:val="0"/>
        <w:spacing w:line="288" w:lineRule="auto"/>
        <w:jc w:val="right"/>
      </w:pPr>
      <m:oMath>
        <m:r>
          <w:rPr>
            <w:rFonts w:ascii="Cambria Math" w:hAnsi="Cambria Math"/>
            <w:sz w:val="22"/>
            <w:szCs w:val="22"/>
          </w:rPr>
          <m:t>Nut</m:t>
        </m:r>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m:t>
            </m:r>
          </m:e>
          <m:sub>
            <m:r>
              <m:rPr>
                <m:sty m:val="p"/>
              </m:rPr>
              <w:rPr>
                <w:rFonts w:ascii="Cambria Math" w:hAnsi="Cambria Math"/>
                <w:sz w:val="22"/>
                <w:szCs w:val="22"/>
              </w:rPr>
              <m:t>0</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m:t>
            </m:r>
          </m:e>
          <m:sub>
            <m:r>
              <m:rPr>
                <m:sty m:val="p"/>
              </m:rPr>
              <w:rPr>
                <w:rFonts w:ascii="Cambria Math" w:hAnsi="Cambria Math"/>
                <w:sz w:val="22"/>
                <w:szCs w:val="22"/>
              </w:rPr>
              <m:t>1</m:t>
            </m:r>
          </m:sub>
        </m:sSub>
        <m:r>
          <w:rPr>
            <w:rFonts w:ascii="Cambria Math" w:hAnsi="Cambria Math"/>
            <w:sz w:val="22"/>
            <w:szCs w:val="22"/>
          </w:rPr>
          <m:t>Sibling</m:t>
        </m:r>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m:t>
            </m:r>
          </m:e>
          <m:sub>
            <m:r>
              <m:rPr>
                <m:sty m:val="p"/>
              </m:rPr>
              <w:rPr>
                <w:rFonts w:ascii="Cambria Math" w:hAnsi="Cambria Math"/>
                <w:sz w:val="22"/>
                <w:szCs w:val="22"/>
              </w:rPr>
              <m:t>2</m:t>
            </m:r>
          </m:sub>
        </m:sSub>
        <m:r>
          <w:rPr>
            <w:rFonts w:ascii="Cambria Math" w:hAnsi="Cambria Math"/>
            <w:sz w:val="22"/>
            <w:szCs w:val="22"/>
          </w:rPr>
          <m:t>X</m:t>
        </m:r>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m:t>
            </m:r>
          </m:e>
          <m:sub>
            <m:r>
              <m:rPr>
                <m:sty m:val="p"/>
              </m:rPr>
              <w:rPr>
                <w:rFonts w:ascii="Cambria Math" w:hAnsi="Cambria Math"/>
                <w:sz w:val="22"/>
                <w:szCs w:val="22"/>
              </w:rPr>
              <m:t>3</m:t>
            </m:r>
          </m:sub>
        </m:sSub>
        <m:r>
          <w:rPr>
            <w:rFonts w:ascii="Cambria Math" w:hAnsi="Cambria Math"/>
            <w:sz w:val="22"/>
            <w:szCs w:val="22"/>
          </w:rPr>
          <m:t>Z</m:t>
        </m:r>
        <m:r>
          <m:rPr>
            <m:sty m:val="p"/>
          </m:rPr>
          <w:rPr>
            <w:rFonts w:ascii="Cambria Math" w:hAnsi="Cambria Math"/>
            <w:sz w:val="22"/>
            <w:szCs w:val="22"/>
          </w:rPr>
          <m:t>+ε</m:t>
        </m:r>
      </m:oMath>
      <w:r w:rsidR="00B72227" w:rsidRPr="005827A1">
        <w:tab/>
      </w:r>
      <w:r w:rsidR="00D63E8C" w:rsidRPr="005827A1">
        <w:tab/>
      </w:r>
      <w:r w:rsidR="00D63E8C" w:rsidRPr="005827A1">
        <w:tab/>
      </w:r>
      <w:r w:rsidR="00B72227" w:rsidRPr="005827A1">
        <w:tab/>
      </w:r>
      <w:r w:rsidR="00B72227" w:rsidRPr="00975854">
        <w:rPr>
          <w:sz w:val="22"/>
          <w:szCs w:val="22"/>
        </w:rPr>
        <w:t>(1)</w:t>
      </w:r>
    </w:p>
    <w:p w:rsidR="00975854" w:rsidRDefault="00975854" w:rsidP="00F1102D">
      <w:pPr>
        <w:autoSpaceDE w:val="0"/>
        <w:autoSpaceDN w:val="0"/>
        <w:adjustRightInd w:val="0"/>
        <w:spacing w:line="288" w:lineRule="auto"/>
        <w:jc w:val="right"/>
        <w:rPr>
          <w:sz w:val="16"/>
          <w:szCs w:val="16"/>
          <w:lang w:eastAsia="zh-CN"/>
        </w:rPr>
      </w:pPr>
    </w:p>
    <w:p w:rsidR="00DF388C" w:rsidRPr="006B1E6D" w:rsidRDefault="00DF388C" w:rsidP="00F1102D">
      <w:pPr>
        <w:autoSpaceDE w:val="0"/>
        <w:autoSpaceDN w:val="0"/>
        <w:adjustRightInd w:val="0"/>
        <w:spacing w:line="288" w:lineRule="auto"/>
        <w:jc w:val="right"/>
        <w:rPr>
          <w:sz w:val="16"/>
          <w:szCs w:val="16"/>
          <w:lang w:eastAsia="zh-CN"/>
        </w:rPr>
      </w:pPr>
    </w:p>
    <w:p w:rsidR="00B72227" w:rsidRDefault="00B72227" w:rsidP="00F1102D">
      <w:pPr>
        <w:autoSpaceDE w:val="0"/>
        <w:autoSpaceDN w:val="0"/>
        <w:adjustRightInd w:val="0"/>
        <w:spacing w:line="288" w:lineRule="auto"/>
        <w:rPr>
          <w:lang w:eastAsia="zh-CN"/>
        </w:rPr>
      </w:pPr>
      <w:proofErr w:type="gramStart"/>
      <w:r w:rsidRPr="005827A1">
        <w:t>where</w:t>
      </w:r>
      <w:proofErr w:type="gramEnd"/>
      <w:r w:rsidRPr="005827A1">
        <w:t xml:space="preserve"> </w:t>
      </w:r>
      <w:r w:rsidRPr="005827A1">
        <w:rPr>
          <w:i/>
        </w:rPr>
        <w:t>Nut</w:t>
      </w:r>
      <w:r w:rsidRPr="005827A1">
        <w:t xml:space="preserve"> is the</w:t>
      </w:r>
      <w:r w:rsidR="00B30788" w:rsidRPr="005827A1">
        <w:rPr>
          <w:lang w:eastAsia="zh-CN"/>
        </w:rPr>
        <w:t xml:space="preserve"> vector of </w:t>
      </w:r>
      <w:r w:rsidRPr="005827A1">
        <w:t>intake</w:t>
      </w:r>
      <w:r w:rsidR="00F7553B" w:rsidRPr="005827A1">
        <w:t>s</w:t>
      </w:r>
      <w:r w:rsidRPr="005827A1">
        <w:t xml:space="preserve"> of energy, protein and fat</w:t>
      </w:r>
      <w:r w:rsidR="00F7553B" w:rsidRPr="005827A1">
        <w:t xml:space="preserve"> for each child</w:t>
      </w:r>
      <w:r w:rsidRPr="005827A1">
        <w:t xml:space="preserve">. </w:t>
      </w:r>
      <w:r w:rsidR="00F7553B" w:rsidRPr="005827A1">
        <w:t xml:space="preserve">The vector </w:t>
      </w:r>
      <w:r w:rsidRPr="005827A1">
        <w:rPr>
          <w:i/>
        </w:rPr>
        <w:t>X</w:t>
      </w:r>
      <w:r w:rsidRPr="005827A1">
        <w:t xml:space="preserve"> </w:t>
      </w:r>
      <w:r w:rsidR="00F7553B" w:rsidRPr="005827A1">
        <w:t xml:space="preserve">has </w:t>
      </w:r>
      <w:r w:rsidRPr="005827A1">
        <w:t xml:space="preserve">a set of child characteristics, </w:t>
      </w:r>
      <w:r w:rsidR="000E116D" w:rsidRPr="005827A1">
        <w:rPr>
          <w:lang w:eastAsia="zh-CN"/>
        </w:rPr>
        <w:t>including</w:t>
      </w:r>
      <w:r w:rsidR="004B7313" w:rsidRPr="005827A1">
        <w:rPr>
          <w:lang w:eastAsia="zh-CN"/>
        </w:rPr>
        <w:t xml:space="preserve"> gender,</w:t>
      </w:r>
      <w:r w:rsidRPr="005827A1">
        <w:t xml:space="preserve"> age (in </w:t>
      </w:r>
      <w:r w:rsidR="006E6537" w:rsidRPr="005827A1">
        <w:t>quadratic</w:t>
      </w:r>
      <w:r w:rsidRPr="005827A1">
        <w:t xml:space="preserve"> form), </w:t>
      </w:r>
      <w:r w:rsidR="00B04770" w:rsidRPr="005827A1">
        <w:rPr>
          <w:lang w:eastAsia="zh-CN"/>
        </w:rPr>
        <w:t>whether first-born</w:t>
      </w:r>
      <w:r w:rsidR="00796D0E" w:rsidRPr="005827A1">
        <w:rPr>
          <w:lang w:eastAsia="zh-CN"/>
        </w:rPr>
        <w:t xml:space="preserve">, </w:t>
      </w:r>
      <w:proofErr w:type="spellStart"/>
      <w:r w:rsidR="00F7553B" w:rsidRPr="005827A1">
        <w:rPr>
          <w:i/>
          <w:lang w:eastAsia="zh-CN"/>
        </w:rPr>
        <w:t>H</w:t>
      </w:r>
      <w:r w:rsidR="00563829" w:rsidRPr="005827A1">
        <w:rPr>
          <w:i/>
          <w:lang w:eastAsia="zh-CN"/>
        </w:rPr>
        <w:t>ukou</w:t>
      </w:r>
      <w:proofErr w:type="spellEnd"/>
      <w:r w:rsidR="00AD1C6D" w:rsidRPr="005827A1">
        <w:rPr>
          <w:lang w:eastAsia="zh-CN"/>
        </w:rPr>
        <w:t xml:space="preserve"> </w:t>
      </w:r>
      <w:r w:rsidR="00F7553B" w:rsidRPr="005827A1">
        <w:rPr>
          <w:lang w:eastAsia="zh-CN"/>
        </w:rPr>
        <w:t>status</w:t>
      </w:r>
      <w:r w:rsidR="00AD1C6D" w:rsidRPr="005827A1">
        <w:rPr>
          <w:lang w:eastAsia="zh-CN"/>
        </w:rPr>
        <w:t>,</w:t>
      </w:r>
      <w:r w:rsidR="00F7553B" w:rsidRPr="005827A1">
        <w:rPr>
          <w:lang w:eastAsia="zh-CN"/>
        </w:rPr>
        <w:t xml:space="preserve"> </w:t>
      </w:r>
      <w:r w:rsidR="005562CC" w:rsidRPr="005827A1">
        <w:rPr>
          <w:lang w:eastAsia="zh-CN"/>
        </w:rPr>
        <w:t xml:space="preserve">and province of residence. We use the urban/rural status from the </w:t>
      </w:r>
      <w:proofErr w:type="spellStart"/>
      <w:r w:rsidR="00F7553B" w:rsidRPr="005827A1">
        <w:rPr>
          <w:i/>
          <w:lang w:eastAsia="zh-CN"/>
        </w:rPr>
        <w:t>H</w:t>
      </w:r>
      <w:r w:rsidR="008D3EB5" w:rsidRPr="005827A1">
        <w:rPr>
          <w:i/>
          <w:lang w:eastAsia="zh-CN"/>
        </w:rPr>
        <w:t>ukou</w:t>
      </w:r>
      <w:proofErr w:type="spellEnd"/>
      <w:r w:rsidR="008D3EB5" w:rsidRPr="005827A1">
        <w:rPr>
          <w:lang w:eastAsia="zh-CN"/>
        </w:rPr>
        <w:t xml:space="preserve"> </w:t>
      </w:r>
      <w:r w:rsidR="00F7553B" w:rsidRPr="005827A1">
        <w:rPr>
          <w:lang w:eastAsia="zh-CN"/>
        </w:rPr>
        <w:t xml:space="preserve">registration (a </w:t>
      </w:r>
      <w:r w:rsidR="00F7553B" w:rsidRPr="005827A1">
        <w:rPr>
          <w:i/>
          <w:iCs/>
          <w:lang w:eastAsia="zh-CN"/>
        </w:rPr>
        <w:t>de jure</w:t>
      </w:r>
      <w:r w:rsidR="00AD1C6D" w:rsidRPr="005827A1">
        <w:rPr>
          <w:lang w:eastAsia="zh-CN"/>
        </w:rPr>
        <w:t xml:space="preserve"> measure) </w:t>
      </w:r>
      <w:r w:rsidR="005562CC" w:rsidRPr="005827A1">
        <w:rPr>
          <w:lang w:eastAsia="zh-CN"/>
        </w:rPr>
        <w:t xml:space="preserve">because the OCP restrictions </w:t>
      </w:r>
      <w:r w:rsidR="00F7553B" w:rsidRPr="005827A1">
        <w:rPr>
          <w:lang w:eastAsia="zh-CN"/>
        </w:rPr>
        <w:t xml:space="preserve">are based on </w:t>
      </w:r>
      <w:proofErr w:type="spellStart"/>
      <w:r w:rsidR="00F7553B" w:rsidRPr="005827A1">
        <w:rPr>
          <w:i/>
          <w:iCs/>
          <w:lang w:eastAsia="zh-CN"/>
        </w:rPr>
        <w:t>Hukou</w:t>
      </w:r>
      <w:proofErr w:type="spellEnd"/>
      <w:r w:rsidR="008E118E" w:rsidRPr="005827A1">
        <w:rPr>
          <w:lang w:eastAsia="zh-CN"/>
        </w:rPr>
        <w:t xml:space="preserve"> status</w:t>
      </w:r>
      <w:r w:rsidR="00F7553B" w:rsidRPr="005827A1">
        <w:rPr>
          <w:lang w:eastAsia="zh-CN"/>
        </w:rPr>
        <w:t>.</w:t>
      </w:r>
      <w:r w:rsidR="00E479A7" w:rsidRPr="005827A1">
        <w:rPr>
          <w:rStyle w:val="FootnoteReference"/>
          <w:lang w:eastAsia="zh-CN"/>
        </w:rPr>
        <w:footnoteReference w:id="4"/>
      </w:r>
      <w:r w:rsidR="005562CC" w:rsidRPr="005827A1">
        <w:rPr>
          <w:lang w:eastAsia="zh-CN"/>
        </w:rPr>
        <w:t xml:space="preserve"> </w:t>
      </w:r>
      <w:r w:rsidR="00E479A7" w:rsidRPr="005827A1">
        <w:rPr>
          <w:lang w:eastAsia="zh-CN"/>
        </w:rPr>
        <w:t>Also, the social benefits system provides different</w:t>
      </w:r>
      <w:r w:rsidR="00ED649F" w:rsidRPr="005827A1">
        <w:rPr>
          <w:lang w:eastAsia="zh-CN"/>
        </w:rPr>
        <w:t>ial access to food subsidies</w:t>
      </w:r>
      <w:r w:rsidR="00E479A7" w:rsidRPr="005827A1">
        <w:rPr>
          <w:lang w:eastAsia="zh-CN"/>
        </w:rPr>
        <w:t xml:space="preserve">, </w:t>
      </w:r>
      <w:r w:rsidR="00ED649F" w:rsidRPr="005827A1">
        <w:rPr>
          <w:lang w:eastAsia="zh-CN"/>
        </w:rPr>
        <w:t xml:space="preserve">and </w:t>
      </w:r>
      <w:r w:rsidR="00882D87" w:rsidRPr="005827A1">
        <w:rPr>
          <w:lang w:eastAsia="zh-CN"/>
        </w:rPr>
        <w:t xml:space="preserve">to </w:t>
      </w:r>
      <w:r w:rsidR="00ED649F" w:rsidRPr="005827A1">
        <w:rPr>
          <w:lang w:eastAsia="zh-CN"/>
        </w:rPr>
        <w:t>education and health facilities</w:t>
      </w:r>
      <w:r w:rsidR="00882D87" w:rsidRPr="005827A1">
        <w:rPr>
          <w:lang w:eastAsia="zh-CN"/>
        </w:rPr>
        <w:t>,</w:t>
      </w:r>
      <w:r w:rsidR="00ED649F" w:rsidRPr="005827A1">
        <w:rPr>
          <w:lang w:eastAsia="zh-CN"/>
        </w:rPr>
        <w:t xml:space="preserve"> based on registration status rather than </w:t>
      </w:r>
      <w:r w:rsidR="00B142EB" w:rsidRPr="005827A1">
        <w:rPr>
          <w:lang w:eastAsia="zh-CN"/>
        </w:rPr>
        <w:t xml:space="preserve">on </w:t>
      </w:r>
      <w:r w:rsidR="00ED649F" w:rsidRPr="005827A1">
        <w:rPr>
          <w:lang w:eastAsia="zh-CN"/>
        </w:rPr>
        <w:t xml:space="preserve">residency. </w:t>
      </w:r>
      <w:r w:rsidR="00E479A7" w:rsidRPr="005827A1">
        <w:rPr>
          <w:lang w:eastAsia="zh-CN"/>
        </w:rPr>
        <w:t xml:space="preserve"> </w:t>
      </w:r>
      <w:r w:rsidRPr="005827A1">
        <w:rPr>
          <w:lang w:eastAsia="zh-CN"/>
        </w:rPr>
        <w:t xml:space="preserve">The vector </w:t>
      </w:r>
      <w:r w:rsidRPr="005827A1">
        <w:rPr>
          <w:i/>
          <w:lang w:eastAsia="zh-CN"/>
        </w:rPr>
        <w:t>Z</w:t>
      </w:r>
      <w:r w:rsidRPr="005827A1">
        <w:rPr>
          <w:lang w:eastAsia="zh-CN"/>
        </w:rPr>
        <w:t xml:space="preserve"> </w:t>
      </w:r>
      <w:r w:rsidR="00ED649F" w:rsidRPr="005827A1">
        <w:rPr>
          <w:lang w:eastAsia="zh-CN"/>
        </w:rPr>
        <w:t>has th</w:t>
      </w:r>
      <w:r w:rsidR="00B162AD" w:rsidRPr="005827A1">
        <w:rPr>
          <w:lang w:eastAsia="zh-CN"/>
        </w:rPr>
        <w:t>e years of education of the parents</w:t>
      </w:r>
      <w:r w:rsidR="00ED649F" w:rsidRPr="005827A1">
        <w:rPr>
          <w:lang w:eastAsia="zh-CN"/>
        </w:rPr>
        <w:t xml:space="preserve">, </w:t>
      </w:r>
      <w:r w:rsidRPr="005827A1">
        <w:rPr>
          <w:lang w:eastAsia="zh-CN"/>
        </w:rPr>
        <w:t xml:space="preserve">the median nutrient intake levels of adults </w:t>
      </w:r>
      <w:r w:rsidR="00ED649F" w:rsidRPr="005827A1">
        <w:rPr>
          <w:lang w:eastAsia="zh-CN"/>
        </w:rPr>
        <w:t xml:space="preserve">in each </w:t>
      </w:r>
      <w:r w:rsidRPr="005827A1">
        <w:rPr>
          <w:lang w:eastAsia="zh-CN"/>
        </w:rPr>
        <w:t>community, the</w:t>
      </w:r>
      <w:r w:rsidR="00E332EB" w:rsidRPr="005827A1">
        <w:rPr>
          <w:lang w:eastAsia="zh-CN"/>
        </w:rPr>
        <w:t xml:space="preserve"> </w:t>
      </w:r>
      <w:r w:rsidRPr="005827A1">
        <w:rPr>
          <w:lang w:eastAsia="zh-CN"/>
        </w:rPr>
        <w:t>median household per-capita income</w:t>
      </w:r>
      <w:r w:rsidR="00427967" w:rsidRPr="005827A1">
        <w:rPr>
          <w:lang w:eastAsia="zh-CN"/>
        </w:rPr>
        <w:t xml:space="preserve"> </w:t>
      </w:r>
      <w:r w:rsidR="00ED649F" w:rsidRPr="005827A1">
        <w:rPr>
          <w:lang w:eastAsia="zh-CN"/>
        </w:rPr>
        <w:t xml:space="preserve">(in 2009 </w:t>
      </w:r>
      <w:r w:rsidR="00E7605E" w:rsidRPr="005827A1">
        <w:rPr>
          <w:lang w:eastAsia="zh-CN"/>
        </w:rPr>
        <w:t>prices</w:t>
      </w:r>
      <w:r w:rsidR="00ED649F" w:rsidRPr="005827A1">
        <w:rPr>
          <w:lang w:eastAsia="zh-CN"/>
        </w:rPr>
        <w:t>),</w:t>
      </w:r>
      <w:r w:rsidRPr="005827A1">
        <w:rPr>
          <w:lang w:eastAsia="zh-CN"/>
        </w:rPr>
        <w:t xml:space="preserve"> </w:t>
      </w:r>
      <w:r w:rsidR="00427967" w:rsidRPr="005827A1">
        <w:rPr>
          <w:lang w:eastAsia="zh-CN"/>
        </w:rPr>
        <w:t xml:space="preserve">and </w:t>
      </w:r>
      <w:r w:rsidR="00ED649F" w:rsidRPr="005827A1">
        <w:rPr>
          <w:lang w:eastAsia="zh-CN"/>
        </w:rPr>
        <w:t xml:space="preserve">an index of </w:t>
      </w:r>
      <w:r w:rsidR="0099640C" w:rsidRPr="005827A1">
        <w:rPr>
          <w:lang w:eastAsia="zh-CN"/>
        </w:rPr>
        <w:t xml:space="preserve">local </w:t>
      </w:r>
      <w:r w:rsidR="00427967" w:rsidRPr="005827A1">
        <w:rPr>
          <w:color w:val="000000" w:themeColor="text1"/>
          <w:lang w:eastAsia="zh-CN"/>
        </w:rPr>
        <w:t xml:space="preserve">development </w:t>
      </w:r>
      <w:r w:rsidR="0099640C" w:rsidRPr="005827A1">
        <w:rPr>
          <w:color w:val="000000" w:themeColor="text1"/>
          <w:lang w:eastAsia="zh-CN"/>
        </w:rPr>
        <w:t xml:space="preserve">based on 12 </w:t>
      </w:r>
      <w:r w:rsidR="00427967" w:rsidRPr="005827A1">
        <w:rPr>
          <w:color w:val="000000" w:themeColor="text1"/>
          <w:lang w:eastAsia="zh-CN"/>
        </w:rPr>
        <w:t>community</w:t>
      </w:r>
      <w:r w:rsidR="0099640C" w:rsidRPr="005827A1">
        <w:rPr>
          <w:color w:val="000000" w:themeColor="text1"/>
          <w:lang w:eastAsia="zh-CN"/>
        </w:rPr>
        <w:t>-level attributes.</w:t>
      </w:r>
      <w:r w:rsidR="00B162AD" w:rsidRPr="005827A1">
        <w:rPr>
          <w:rStyle w:val="FootnoteReference"/>
          <w:color w:val="000000" w:themeColor="text1"/>
          <w:lang w:eastAsia="zh-CN"/>
        </w:rPr>
        <w:footnoteReference w:id="5"/>
      </w:r>
      <w:r w:rsidRPr="005827A1">
        <w:rPr>
          <w:lang w:eastAsia="zh-CN"/>
        </w:rPr>
        <w:t xml:space="preserve"> </w:t>
      </w:r>
    </w:p>
    <w:p w:rsidR="00975854" w:rsidRPr="005827A1" w:rsidRDefault="00975854" w:rsidP="00F1102D">
      <w:pPr>
        <w:autoSpaceDE w:val="0"/>
        <w:autoSpaceDN w:val="0"/>
        <w:adjustRightInd w:val="0"/>
        <w:spacing w:line="288" w:lineRule="auto"/>
        <w:rPr>
          <w:lang w:eastAsia="zh-CN"/>
        </w:rPr>
      </w:pPr>
    </w:p>
    <w:p w:rsidR="00796D0E" w:rsidRDefault="00B72227" w:rsidP="00975854">
      <w:pPr>
        <w:autoSpaceDE w:val="0"/>
        <w:autoSpaceDN w:val="0"/>
        <w:adjustRightInd w:val="0"/>
        <w:spacing w:line="288" w:lineRule="auto"/>
        <w:ind w:firstLine="426"/>
        <w:rPr>
          <w:lang w:eastAsia="zh-CN"/>
        </w:rPr>
      </w:pPr>
      <w:r w:rsidRPr="005827A1">
        <w:t xml:space="preserve">The main </w:t>
      </w:r>
      <w:r w:rsidR="00D63E8C" w:rsidRPr="005827A1">
        <w:t xml:space="preserve">focus </w:t>
      </w:r>
      <w:r w:rsidRPr="005827A1">
        <w:t>is the coefficient</w:t>
      </w:r>
      <w:r w:rsidR="00B30788" w:rsidRPr="005827A1">
        <w:rPr>
          <w:lang w:eastAsia="zh-CN"/>
        </w:rPr>
        <w:t xml:space="preserve"> </w:t>
      </w:r>
      <m:oMath>
        <m:sSub>
          <m:sSubPr>
            <m:ctrlPr>
              <w:rPr>
                <w:rFonts w:ascii="Cambria Math" w:hAnsi="Cambria Math"/>
              </w:rPr>
            </m:ctrlPr>
          </m:sSubPr>
          <m:e>
            <m:r>
              <m:rPr>
                <m:sty m:val="p"/>
              </m:rPr>
              <w:rPr>
                <w:rFonts w:ascii="Cambria Math" w:hAnsi="Cambria Math"/>
              </w:rPr>
              <m:t>∝</m:t>
            </m:r>
          </m:e>
          <m:sub>
            <m:r>
              <m:rPr>
                <m:sty m:val="p"/>
              </m:rPr>
              <w:rPr>
                <w:rFonts w:ascii="Cambria Math" w:hAnsi="Cambria Math"/>
              </w:rPr>
              <m:t>1</m:t>
            </m:r>
          </m:sub>
        </m:sSub>
      </m:oMath>
      <w:r w:rsidR="00B30788" w:rsidRPr="005827A1">
        <w:rPr>
          <w:lang w:eastAsia="zh-CN"/>
        </w:rPr>
        <w:t xml:space="preserve"> </w:t>
      </w:r>
      <w:r w:rsidR="00D63E8C" w:rsidRPr="005827A1">
        <w:t>on</w:t>
      </w:r>
      <w:r w:rsidRPr="005827A1">
        <w:t xml:space="preserve"> the variable </w:t>
      </w:r>
      <w:r w:rsidRPr="005827A1">
        <w:rPr>
          <w:i/>
        </w:rPr>
        <w:t>Sibling</w:t>
      </w:r>
      <w:r w:rsidR="00D63E8C" w:rsidRPr="005827A1">
        <w:rPr>
          <w:iCs/>
        </w:rPr>
        <w:t xml:space="preserve">, which </w:t>
      </w:r>
      <w:r w:rsidR="00912871" w:rsidRPr="005827A1">
        <w:rPr>
          <w:lang w:eastAsia="zh-CN"/>
        </w:rPr>
        <w:t xml:space="preserve">is the number of siblings the </w:t>
      </w:r>
      <w:r w:rsidR="00D63E8C" w:rsidRPr="005827A1">
        <w:rPr>
          <w:lang w:eastAsia="zh-CN"/>
        </w:rPr>
        <w:t xml:space="preserve">child </w:t>
      </w:r>
      <w:r w:rsidR="00912871" w:rsidRPr="005827A1">
        <w:rPr>
          <w:lang w:eastAsia="zh-CN"/>
        </w:rPr>
        <w:t xml:space="preserve">had at the </w:t>
      </w:r>
      <w:r w:rsidR="00D63E8C" w:rsidRPr="005827A1">
        <w:rPr>
          <w:lang w:eastAsia="zh-CN"/>
        </w:rPr>
        <w:t xml:space="preserve">time of the </w:t>
      </w:r>
      <w:r w:rsidR="00912871" w:rsidRPr="005827A1">
        <w:rPr>
          <w:lang w:eastAsia="zh-CN"/>
        </w:rPr>
        <w:t xml:space="preserve">survey </w:t>
      </w:r>
      <w:r w:rsidR="00D63E8C" w:rsidRPr="005827A1">
        <w:rPr>
          <w:lang w:eastAsia="zh-CN"/>
        </w:rPr>
        <w:t>(</w:t>
      </w:r>
      <w:r w:rsidR="00912871" w:rsidRPr="005827A1">
        <w:rPr>
          <w:lang w:eastAsia="zh-CN"/>
        </w:rPr>
        <w:t>aged under 18 and living in the same household</w:t>
      </w:r>
      <w:r w:rsidR="00D63E8C" w:rsidRPr="005827A1">
        <w:rPr>
          <w:lang w:eastAsia="zh-CN"/>
        </w:rPr>
        <w:t>).</w:t>
      </w:r>
      <w:r w:rsidR="00912871" w:rsidRPr="005827A1">
        <w:rPr>
          <w:lang w:eastAsia="zh-CN"/>
        </w:rPr>
        <w:t xml:space="preserve"> </w:t>
      </w:r>
      <w:r w:rsidRPr="005827A1">
        <w:rPr>
          <w:lang w:eastAsia="zh-CN"/>
        </w:rPr>
        <w:t xml:space="preserve">This </w:t>
      </w:r>
      <w:r w:rsidRPr="005827A1">
        <w:t xml:space="preserve">estimates the impact </w:t>
      </w:r>
      <w:r w:rsidR="00D63E8C" w:rsidRPr="005827A1">
        <w:t xml:space="preserve">of </w:t>
      </w:r>
      <w:r w:rsidRPr="005827A1">
        <w:t>sibling</w:t>
      </w:r>
      <w:r w:rsidR="00E7605E" w:rsidRPr="005827A1">
        <w:rPr>
          <w:lang w:eastAsia="zh-CN"/>
        </w:rPr>
        <w:t xml:space="preserve"> number</w:t>
      </w:r>
      <w:r w:rsidR="00D63E8C" w:rsidRPr="005827A1">
        <w:t>s</w:t>
      </w:r>
      <w:r w:rsidRPr="005827A1">
        <w:t xml:space="preserve"> on the nutrient intake of the child, </w:t>
      </w:r>
      <w:r w:rsidR="00D63E8C" w:rsidRPr="005827A1">
        <w:t xml:space="preserve">and negative value would suggest a </w:t>
      </w:r>
      <w:r w:rsidRPr="005827A1">
        <w:t xml:space="preserve">trade-off between quantity and quality of children. </w:t>
      </w:r>
      <w:r w:rsidR="00D63E8C" w:rsidRPr="005827A1">
        <w:lastRenderedPageBreak/>
        <w:t xml:space="preserve">However, with </w:t>
      </w:r>
      <w:r w:rsidR="00FB7056" w:rsidRPr="005827A1">
        <w:rPr>
          <w:lang w:eastAsia="zh-CN"/>
        </w:rPr>
        <w:t xml:space="preserve">OLS </w:t>
      </w:r>
      <w:r w:rsidR="00D63E8C" w:rsidRPr="005827A1">
        <w:rPr>
          <w:lang w:eastAsia="zh-CN"/>
        </w:rPr>
        <w:t>this can only be interprete</w:t>
      </w:r>
      <w:r w:rsidR="008E118E" w:rsidRPr="005827A1">
        <w:rPr>
          <w:lang w:eastAsia="zh-CN"/>
        </w:rPr>
        <w:t>d as a conditional</w:t>
      </w:r>
      <w:r w:rsidRPr="005827A1">
        <w:rPr>
          <w:lang w:eastAsia="zh-CN"/>
        </w:rPr>
        <w:t xml:space="preserve"> correlation </w:t>
      </w:r>
      <w:r w:rsidR="00D63E8C" w:rsidRPr="005827A1">
        <w:rPr>
          <w:lang w:eastAsia="zh-CN"/>
        </w:rPr>
        <w:t xml:space="preserve">since </w:t>
      </w:r>
      <w:r w:rsidRPr="005827A1">
        <w:rPr>
          <w:lang w:eastAsia="zh-CN"/>
        </w:rPr>
        <w:t>family size is likely to be endogenous (</w:t>
      </w:r>
      <w:r w:rsidR="001B3481" w:rsidRPr="005827A1">
        <w:rPr>
          <w:lang w:eastAsia="zh-CN"/>
        </w:rPr>
        <w:t xml:space="preserve">Black </w:t>
      </w:r>
      <w:r w:rsidR="00126D3D" w:rsidRPr="00126D3D">
        <w:rPr>
          <w:i/>
          <w:color w:val="000000" w:themeColor="text1"/>
          <w:lang w:eastAsia="zh-CN"/>
        </w:rPr>
        <w:t>et al.</w:t>
      </w:r>
      <w:r w:rsidR="00126D3D" w:rsidRPr="005827A1">
        <w:rPr>
          <w:color w:val="000000" w:themeColor="text1"/>
          <w:lang w:eastAsia="zh-CN"/>
        </w:rPr>
        <w:t xml:space="preserve"> </w:t>
      </w:r>
      <w:r w:rsidR="00126D3D">
        <w:rPr>
          <w:lang w:eastAsia="zh-CN"/>
        </w:rPr>
        <w:t>2005,</w:t>
      </w:r>
      <w:r w:rsidR="001B3481" w:rsidRPr="005827A1">
        <w:rPr>
          <w:lang w:eastAsia="zh-CN"/>
        </w:rPr>
        <w:t xml:space="preserve"> </w:t>
      </w:r>
      <w:r w:rsidRPr="005827A1">
        <w:rPr>
          <w:lang w:eastAsia="zh-CN"/>
        </w:rPr>
        <w:t>Li</w:t>
      </w:r>
      <w:r w:rsidR="00BA591B" w:rsidRPr="005827A1">
        <w:rPr>
          <w:lang w:eastAsia="zh-CN"/>
        </w:rPr>
        <w:t xml:space="preserve"> </w:t>
      </w:r>
      <w:r w:rsidR="00126D3D" w:rsidRPr="00126D3D">
        <w:rPr>
          <w:i/>
          <w:color w:val="000000" w:themeColor="text1"/>
          <w:lang w:eastAsia="zh-CN"/>
        </w:rPr>
        <w:t>et al.</w:t>
      </w:r>
      <w:r w:rsidR="00126D3D" w:rsidRPr="005827A1">
        <w:rPr>
          <w:color w:val="000000" w:themeColor="text1"/>
          <w:lang w:eastAsia="zh-CN"/>
        </w:rPr>
        <w:t xml:space="preserve"> </w:t>
      </w:r>
      <w:r w:rsidR="00126D3D">
        <w:rPr>
          <w:lang w:eastAsia="zh-CN"/>
        </w:rPr>
        <w:t xml:space="preserve">2008 and </w:t>
      </w:r>
      <w:r w:rsidRPr="005827A1">
        <w:rPr>
          <w:lang w:eastAsia="zh-CN"/>
        </w:rPr>
        <w:t>Liu</w:t>
      </w:r>
      <w:r w:rsidR="00D63E8C" w:rsidRPr="005827A1">
        <w:rPr>
          <w:lang w:eastAsia="zh-CN"/>
        </w:rPr>
        <w:t xml:space="preserve"> 2014). Therefore, in this research</w:t>
      </w:r>
      <w:r w:rsidRPr="005827A1">
        <w:rPr>
          <w:lang w:eastAsia="zh-CN"/>
        </w:rPr>
        <w:t xml:space="preserve"> we </w:t>
      </w:r>
      <w:r w:rsidR="00D63E8C" w:rsidRPr="005827A1">
        <w:rPr>
          <w:lang w:eastAsia="zh-CN"/>
        </w:rPr>
        <w:t xml:space="preserve">also </w:t>
      </w:r>
      <w:r w:rsidRPr="005827A1">
        <w:rPr>
          <w:lang w:eastAsia="zh-CN"/>
        </w:rPr>
        <w:t xml:space="preserve">use </w:t>
      </w:r>
      <w:r w:rsidR="00796D0E" w:rsidRPr="005827A1">
        <w:rPr>
          <w:lang w:eastAsia="zh-CN"/>
        </w:rPr>
        <w:t>instrument</w:t>
      </w:r>
      <w:r w:rsidR="00EA5906" w:rsidRPr="005827A1">
        <w:rPr>
          <w:lang w:eastAsia="zh-CN"/>
        </w:rPr>
        <w:t>al</w:t>
      </w:r>
      <w:r w:rsidR="00796D0E" w:rsidRPr="005827A1">
        <w:rPr>
          <w:lang w:eastAsia="zh-CN"/>
        </w:rPr>
        <w:t xml:space="preserve"> variable</w:t>
      </w:r>
      <w:r w:rsidR="00D63E8C" w:rsidRPr="005827A1">
        <w:rPr>
          <w:lang w:eastAsia="zh-CN"/>
        </w:rPr>
        <w:t>s</w:t>
      </w:r>
      <w:r w:rsidR="00796D0E" w:rsidRPr="005827A1">
        <w:rPr>
          <w:lang w:eastAsia="zh-CN"/>
        </w:rPr>
        <w:t xml:space="preserve"> (IV) and fixed effect</w:t>
      </w:r>
      <w:r w:rsidR="00D63E8C" w:rsidRPr="005827A1">
        <w:rPr>
          <w:lang w:eastAsia="zh-CN"/>
        </w:rPr>
        <w:t>s</w:t>
      </w:r>
      <w:r w:rsidR="00796D0E" w:rsidRPr="005827A1">
        <w:rPr>
          <w:lang w:eastAsia="zh-CN"/>
        </w:rPr>
        <w:t xml:space="preserve"> (FE) approaches to get around this problem. </w:t>
      </w:r>
    </w:p>
    <w:p w:rsidR="00975854" w:rsidRPr="005827A1" w:rsidRDefault="00975854" w:rsidP="00975854">
      <w:pPr>
        <w:autoSpaceDE w:val="0"/>
        <w:autoSpaceDN w:val="0"/>
        <w:adjustRightInd w:val="0"/>
        <w:spacing w:line="288" w:lineRule="auto"/>
        <w:ind w:firstLine="426"/>
        <w:rPr>
          <w:lang w:eastAsia="zh-CN"/>
        </w:rPr>
      </w:pPr>
    </w:p>
    <w:p w:rsidR="00B72227" w:rsidRDefault="00D63E8C" w:rsidP="00BE1B1C">
      <w:pPr>
        <w:autoSpaceDE w:val="0"/>
        <w:autoSpaceDN w:val="0"/>
        <w:adjustRightInd w:val="0"/>
        <w:spacing w:line="288" w:lineRule="auto"/>
        <w:ind w:firstLine="426"/>
        <w:rPr>
          <w:lang w:eastAsia="zh-CN"/>
        </w:rPr>
      </w:pPr>
      <w:r w:rsidRPr="005827A1">
        <w:rPr>
          <w:lang w:eastAsia="zh-CN"/>
        </w:rPr>
        <w:t xml:space="preserve">We use the </w:t>
      </w:r>
      <w:r w:rsidR="00B72227" w:rsidRPr="005827A1">
        <w:rPr>
          <w:lang w:eastAsia="zh-CN"/>
        </w:rPr>
        <w:t xml:space="preserve">community level OCP strength </w:t>
      </w:r>
      <w:r w:rsidR="00B37828" w:rsidRPr="005827A1">
        <w:rPr>
          <w:lang w:eastAsia="zh-CN"/>
        </w:rPr>
        <w:t>as the identifying instrument</w:t>
      </w:r>
      <w:r w:rsidR="00B72227" w:rsidRPr="005827A1">
        <w:rPr>
          <w:lang w:eastAsia="zh-CN"/>
        </w:rPr>
        <w:t xml:space="preserve"> </w:t>
      </w:r>
      <w:r w:rsidRPr="005827A1">
        <w:rPr>
          <w:lang w:eastAsia="zh-CN"/>
        </w:rPr>
        <w:t xml:space="preserve">in the first stage regression for </w:t>
      </w:r>
      <w:r w:rsidR="00B72227" w:rsidRPr="005827A1">
        <w:rPr>
          <w:lang w:eastAsia="zh-CN"/>
        </w:rPr>
        <w:t>sibling number</w:t>
      </w:r>
      <w:r w:rsidRPr="005827A1">
        <w:rPr>
          <w:lang w:eastAsia="zh-CN"/>
        </w:rPr>
        <w:t>s, with the</w:t>
      </w:r>
      <w:r w:rsidR="00B72227" w:rsidRPr="005827A1">
        <w:rPr>
          <w:lang w:eastAsia="zh-CN"/>
        </w:rPr>
        <w:t xml:space="preserve"> same control</w:t>
      </w:r>
      <w:r w:rsidRPr="005827A1">
        <w:rPr>
          <w:lang w:eastAsia="zh-CN"/>
        </w:rPr>
        <w:t xml:space="preserve"> variable</w:t>
      </w:r>
      <w:r w:rsidR="00B72227" w:rsidRPr="005827A1">
        <w:rPr>
          <w:lang w:eastAsia="zh-CN"/>
        </w:rPr>
        <w:t>s as in equation (1)</w:t>
      </w:r>
      <w:r w:rsidRPr="005827A1">
        <w:rPr>
          <w:lang w:eastAsia="zh-CN"/>
        </w:rPr>
        <w:t>:</w:t>
      </w:r>
    </w:p>
    <w:p w:rsidR="00975854" w:rsidRDefault="00975854" w:rsidP="00F1102D">
      <w:pPr>
        <w:autoSpaceDE w:val="0"/>
        <w:autoSpaceDN w:val="0"/>
        <w:adjustRightInd w:val="0"/>
        <w:spacing w:line="288" w:lineRule="auto"/>
        <w:ind w:firstLine="720"/>
        <w:rPr>
          <w:sz w:val="16"/>
          <w:szCs w:val="16"/>
          <w:lang w:eastAsia="zh-CN"/>
        </w:rPr>
      </w:pPr>
    </w:p>
    <w:p w:rsidR="00DF388C" w:rsidRPr="006B1E6D" w:rsidRDefault="00DF388C" w:rsidP="00F1102D">
      <w:pPr>
        <w:autoSpaceDE w:val="0"/>
        <w:autoSpaceDN w:val="0"/>
        <w:adjustRightInd w:val="0"/>
        <w:spacing w:line="288" w:lineRule="auto"/>
        <w:ind w:firstLine="720"/>
        <w:rPr>
          <w:sz w:val="16"/>
          <w:szCs w:val="16"/>
          <w:lang w:eastAsia="zh-CN"/>
        </w:rPr>
      </w:pPr>
    </w:p>
    <w:p w:rsidR="00B72227" w:rsidRDefault="00131DD4" w:rsidP="00F1102D">
      <w:pPr>
        <w:autoSpaceDE w:val="0"/>
        <w:autoSpaceDN w:val="0"/>
        <w:adjustRightInd w:val="0"/>
        <w:spacing w:line="288" w:lineRule="auto"/>
        <w:jc w:val="right"/>
      </w:pPr>
      <m:oMath>
        <m:r>
          <w:rPr>
            <w:rFonts w:ascii="Cambria Math" w:hAnsi="Cambria Math"/>
          </w:rPr>
          <m:t>Sibling</m:t>
        </m:r>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r>
          <w:rPr>
            <w:rFonts w:ascii="Cambria Math" w:hAnsi="Cambria Math"/>
          </w:rPr>
          <m:t>OCP</m:t>
        </m:r>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r>
          <w:rPr>
            <w:rFonts w:ascii="Cambria Math" w:hAnsi="Cambria Math"/>
          </w:rPr>
          <m:t>X</m:t>
        </m:r>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3</m:t>
            </m:r>
          </m:sub>
        </m:sSub>
        <m:r>
          <w:rPr>
            <w:rFonts w:ascii="Cambria Math" w:hAnsi="Cambria Math"/>
          </w:rPr>
          <m:t>Z</m:t>
        </m:r>
        <m:r>
          <m:rPr>
            <m:sty m:val="p"/>
          </m:rPr>
          <w:rPr>
            <w:rFonts w:ascii="Cambria Math" w:hAnsi="Cambria Math"/>
          </w:rPr>
          <m:t>+</m:t>
        </m:r>
        <m:r>
          <w:rPr>
            <w:rFonts w:ascii="Cambria Math" w:hAnsi="Cambria Math"/>
          </w:rPr>
          <m:t>δ</m:t>
        </m:r>
      </m:oMath>
      <w:r w:rsidR="00B72227" w:rsidRPr="005827A1">
        <w:tab/>
      </w:r>
      <w:r w:rsidR="00B72227" w:rsidRPr="005827A1">
        <w:tab/>
      </w:r>
      <w:r w:rsidR="00D63E8C" w:rsidRPr="005827A1">
        <w:tab/>
      </w:r>
      <w:r w:rsidR="00D63E8C" w:rsidRPr="005827A1">
        <w:tab/>
      </w:r>
      <w:r w:rsidR="00B72227" w:rsidRPr="00975854">
        <w:rPr>
          <w:sz w:val="22"/>
          <w:szCs w:val="22"/>
        </w:rPr>
        <w:t>(</w:t>
      </w:r>
      <w:r w:rsidR="00B72227" w:rsidRPr="00975854">
        <w:rPr>
          <w:sz w:val="22"/>
          <w:szCs w:val="22"/>
          <w:lang w:eastAsia="zh-CN"/>
        </w:rPr>
        <w:t>2</w:t>
      </w:r>
      <w:r w:rsidR="00B72227" w:rsidRPr="00975854">
        <w:rPr>
          <w:sz w:val="22"/>
          <w:szCs w:val="22"/>
        </w:rPr>
        <w:t>)</w:t>
      </w:r>
    </w:p>
    <w:p w:rsidR="00975854" w:rsidRDefault="00975854" w:rsidP="00F1102D">
      <w:pPr>
        <w:autoSpaceDE w:val="0"/>
        <w:autoSpaceDN w:val="0"/>
        <w:adjustRightInd w:val="0"/>
        <w:spacing w:line="288" w:lineRule="auto"/>
        <w:jc w:val="right"/>
        <w:rPr>
          <w:sz w:val="16"/>
          <w:szCs w:val="16"/>
          <w:lang w:eastAsia="zh-CN"/>
        </w:rPr>
      </w:pPr>
    </w:p>
    <w:p w:rsidR="00DF388C" w:rsidRPr="006B1E6D" w:rsidRDefault="00DF388C" w:rsidP="00F1102D">
      <w:pPr>
        <w:autoSpaceDE w:val="0"/>
        <w:autoSpaceDN w:val="0"/>
        <w:adjustRightInd w:val="0"/>
        <w:spacing w:line="288" w:lineRule="auto"/>
        <w:jc w:val="right"/>
        <w:rPr>
          <w:sz w:val="16"/>
          <w:szCs w:val="16"/>
          <w:lang w:eastAsia="zh-CN"/>
        </w:rPr>
      </w:pPr>
    </w:p>
    <w:p w:rsidR="005D069F" w:rsidRDefault="005D069F" w:rsidP="00F1102D">
      <w:pPr>
        <w:widowControl w:val="0"/>
        <w:autoSpaceDE w:val="0"/>
        <w:autoSpaceDN w:val="0"/>
        <w:adjustRightInd w:val="0"/>
        <w:spacing w:line="288" w:lineRule="auto"/>
        <w:rPr>
          <w:lang w:val="en-NZ" w:eastAsia="zh-CN"/>
        </w:rPr>
      </w:pPr>
      <w:r w:rsidRPr="005827A1">
        <w:rPr>
          <w:lang w:eastAsia="zh-CN"/>
        </w:rPr>
        <w:t>T</w:t>
      </w:r>
      <w:r w:rsidR="005A7626" w:rsidRPr="005827A1">
        <w:rPr>
          <w:lang w:eastAsia="zh-CN"/>
        </w:rPr>
        <w:t xml:space="preserve">he variable </w:t>
      </w:r>
      <w:r w:rsidR="00B72227" w:rsidRPr="005827A1">
        <w:rPr>
          <w:i/>
          <w:lang w:eastAsia="zh-CN"/>
        </w:rPr>
        <w:t>OCP</w:t>
      </w:r>
      <w:r w:rsidR="00B72227" w:rsidRPr="005827A1">
        <w:rPr>
          <w:lang w:eastAsia="zh-CN"/>
        </w:rPr>
        <w:t xml:space="preserve"> </w:t>
      </w:r>
      <w:r w:rsidR="005A7626" w:rsidRPr="005827A1">
        <w:rPr>
          <w:lang w:eastAsia="zh-CN"/>
        </w:rPr>
        <w:t xml:space="preserve">is the share of women </w:t>
      </w:r>
      <w:r w:rsidR="00D63E8C" w:rsidRPr="005827A1">
        <w:rPr>
          <w:lang w:eastAsia="zh-CN"/>
        </w:rPr>
        <w:t xml:space="preserve">in the community </w:t>
      </w:r>
      <w:r w:rsidR="005A7626" w:rsidRPr="005827A1">
        <w:rPr>
          <w:lang w:eastAsia="zh-CN"/>
        </w:rPr>
        <w:t xml:space="preserve">eligible to have two children under the local OCP at any stage up to one year prior to the survey </w:t>
      </w:r>
      <w:r w:rsidR="00D63E8C" w:rsidRPr="005827A1">
        <w:rPr>
          <w:lang w:eastAsia="zh-CN"/>
        </w:rPr>
        <w:t>(for</w:t>
      </w:r>
      <w:r w:rsidR="005A7626" w:rsidRPr="005827A1">
        <w:rPr>
          <w:lang w:eastAsia="zh-CN"/>
        </w:rPr>
        <w:t xml:space="preserve"> women aged </w:t>
      </w:r>
      <w:r w:rsidR="00D63E8C" w:rsidRPr="005827A1">
        <w:rPr>
          <w:lang w:eastAsia="zh-CN"/>
        </w:rPr>
        <w:t>from 20 to 49 who were not single).</w:t>
      </w:r>
      <w:r w:rsidR="005A7626" w:rsidRPr="005827A1">
        <w:rPr>
          <w:lang w:eastAsia="zh-CN"/>
        </w:rPr>
        <w:t xml:space="preserve"> </w:t>
      </w:r>
      <w:r w:rsidRPr="005827A1">
        <w:rPr>
          <w:lang w:eastAsia="zh-CN"/>
        </w:rPr>
        <w:t>During the period covered by the data, a</w:t>
      </w:r>
      <w:r w:rsidRPr="005827A1">
        <w:rPr>
          <w:lang w:val="en-NZ" w:eastAsia="zh-CN"/>
        </w:rPr>
        <w:t xml:space="preserve"> </w:t>
      </w:r>
      <w:r w:rsidR="00F1362F" w:rsidRPr="005827A1">
        <w:rPr>
          <w:lang w:val="en-NZ" w:eastAsia="zh-CN"/>
        </w:rPr>
        <w:t xml:space="preserve">legally married </w:t>
      </w:r>
      <w:r w:rsidRPr="005827A1">
        <w:rPr>
          <w:lang w:val="en-NZ" w:eastAsia="zh-CN"/>
        </w:rPr>
        <w:t>woman in China could have an extra child if she satisfied the exceptions imposed by the local implementation of the OCP</w:t>
      </w:r>
      <w:r w:rsidR="00D63E8C" w:rsidRPr="005827A1">
        <w:rPr>
          <w:lang w:val="en-NZ" w:eastAsia="zh-CN"/>
        </w:rPr>
        <w:t>.</w:t>
      </w:r>
      <w:r w:rsidRPr="005827A1">
        <w:rPr>
          <w:rStyle w:val="FootnoteReference"/>
          <w:lang w:val="en-NZ" w:eastAsia="zh-CN"/>
        </w:rPr>
        <w:footnoteReference w:id="6"/>
      </w:r>
      <w:r w:rsidRPr="005827A1">
        <w:rPr>
          <w:lang w:val="en-NZ" w:eastAsia="zh-CN"/>
        </w:rPr>
        <w:t xml:space="preserve"> </w:t>
      </w:r>
      <w:r w:rsidR="00D53EB4">
        <w:rPr>
          <w:lang w:val="en-NZ" w:eastAsia="zh-CN"/>
        </w:rPr>
        <w:t xml:space="preserve"> </w:t>
      </w:r>
      <w:r w:rsidRPr="005827A1">
        <w:rPr>
          <w:lang w:val="en-NZ" w:eastAsia="zh-CN"/>
        </w:rPr>
        <w:t>Since women can choo</w:t>
      </w:r>
      <w:r w:rsidR="00B142EB" w:rsidRPr="005827A1">
        <w:rPr>
          <w:lang w:val="en-NZ" w:eastAsia="zh-CN"/>
        </w:rPr>
        <w:t>se to have their second child</w:t>
      </w:r>
      <w:r w:rsidRPr="005827A1">
        <w:rPr>
          <w:lang w:val="en-NZ" w:eastAsia="zh-CN"/>
        </w:rPr>
        <w:t xml:space="preserve"> </w:t>
      </w:r>
      <w:r w:rsidR="00B142EB" w:rsidRPr="005827A1">
        <w:rPr>
          <w:lang w:val="en-NZ" w:eastAsia="zh-CN"/>
        </w:rPr>
        <w:t xml:space="preserve">after </w:t>
      </w:r>
      <w:r w:rsidRPr="005827A1">
        <w:rPr>
          <w:lang w:val="en-NZ" w:eastAsia="zh-CN"/>
        </w:rPr>
        <w:t>meet</w:t>
      </w:r>
      <w:r w:rsidR="00D63E8C" w:rsidRPr="005827A1">
        <w:rPr>
          <w:lang w:val="en-NZ" w:eastAsia="zh-CN"/>
        </w:rPr>
        <w:t>ing</w:t>
      </w:r>
      <w:r w:rsidRPr="005827A1">
        <w:rPr>
          <w:lang w:val="en-NZ" w:eastAsia="zh-CN"/>
        </w:rPr>
        <w:t xml:space="preserve"> the conditions </w:t>
      </w:r>
      <w:r w:rsidR="00D63E8C" w:rsidRPr="005827A1">
        <w:rPr>
          <w:lang w:val="en-NZ" w:eastAsia="zh-CN"/>
        </w:rPr>
        <w:t>for the exception, we follow</w:t>
      </w:r>
      <w:r w:rsidRPr="005827A1">
        <w:rPr>
          <w:lang w:val="en-NZ" w:eastAsia="zh-CN"/>
        </w:rPr>
        <w:t xml:space="preserve"> Liu (2014)</w:t>
      </w:r>
      <w:r w:rsidR="00D63E8C" w:rsidRPr="005827A1">
        <w:rPr>
          <w:lang w:val="en-NZ" w:eastAsia="zh-CN"/>
        </w:rPr>
        <w:t xml:space="preserve"> in defining</w:t>
      </w:r>
      <w:r w:rsidRPr="005827A1">
        <w:rPr>
          <w:lang w:val="en-NZ" w:eastAsia="zh-CN"/>
        </w:rPr>
        <w:t xml:space="preserve"> a woman as eligible to have two children if she met the OCP conditions at any stage up to the year prior to the survey.</w:t>
      </w:r>
      <w:r w:rsidR="00F1362F" w:rsidRPr="005827A1">
        <w:rPr>
          <w:lang w:val="en-NZ" w:eastAsia="zh-CN"/>
        </w:rPr>
        <w:t xml:space="preserve"> </w:t>
      </w:r>
      <w:r w:rsidR="007656DE" w:rsidRPr="005827A1">
        <w:rPr>
          <w:lang w:eastAsia="zh-CN"/>
        </w:rPr>
        <w:t>T</w:t>
      </w:r>
      <w:r w:rsidRPr="005827A1">
        <w:rPr>
          <w:lang w:val="en-NZ" w:eastAsia="zh-CN"/>
        </w:rPr>
        <w:t xml:space="preserve">he following </w:t>
      </w:r>
      <w:r w:rsidR="00BC2265" w:rsidRPr="005827A1">
        <w:rPr>
          <w:lang w:val="en-NZ" w:eastAsia="zh-CN"/>
        </w:rPr>
        <w:t xml:space="preserve">four </w:t>
      </w:r>
      <w:r w:rsidRPr="005827A1">
        <w:rPr>
          <w:lang w:val="en-NZ" w:eastAsia="zh-CN"/>
        </w:rPr>
        <w:t>OCP exceptions</w:t>
      </w:r>
      <w:r w:rsidR="007656DE" w:rsidRPr="005827A1">
        <w:rPr>
          <w:lang w:val="en-NZ" w:eastAsia="zh-CN"/>
        </w:rPr>
        <w:t xml:space="preserve"> are </w:t>
      </w:r>
      <w:r w:rsidR="00BF6DA5" w:rsidRPr="005827A1">
        <w:rPr>
          <w:lang w:val="en-NZ" w:eastAsia="zh-CN"/>
        </w:rPr>
        <w:t>included</w:t>
      </w:r>
      <w:r w:rsidRPr="005827A1">
        <w:rPr>
          <w:lang w:val="en-NZ" w:eastAsia="zh-CN"/>
        </w:rPr>
        <w:t xml:space="preserve">, with </w:t>
      </w:r>
      <w:r w:rsidR="00BF6DA5" w:rsidRPr="005827A1">
        <w:rPr>
          <w:lang w:val="en-NZ" w:eastAsia="zh-CN"/>
        </w:rPr>
        <w:t>consideration</w:t>
      </w:r>
      <w:r w:rsidRPr="005827A1">
        <w:rPr>
          <w:lang w:val="en-NZ" w:eastAsia="zh-CN"/>
        </w:rPr>
        <w:t xml:space="preserve"> </w:t>
      </w:r>
      <w:r w:rsidR="00D63E8C" w:rsidRPr="005827A1">
        <w:rPr>
          <w:lang w:val="en-NZ" w:eastAsia="zh-CN"/>
        </w:rPr>
        <w:t xml:space="preserve">given to the </w:t>
      </w:r>
      <w:r w:rsidRPr="005827A1">
        <w:rPr>
          <w:lang w:val="en-NZ" w:eastAsia="zh-CN"/>
        </w:rPr>
        <w:t xml:space="preserve">birth gap constraints, </w:t>
      </w:r>
      <w:proofErr w:type="spellStart"/>
      <w:r w:rsidR="00D63E8C" w:rsidRPr="005827A1">
        <w:rPr>
          <w:i/>
          <w:lang w:val="en-NZ" w:eastAsia="zh-CN"/>
        </w:rPr>
        <w:t>H</w:t>
      </w:r>
      <w:r w:rsidR="00563829" w:rsidRPr="005827A1">
        <w:rPr>
          <w:i/>
          <w:lang w:val="en-NZ" w:eastAsia="zh-CN"/>
        </w:rPr>
        <w:t>ukou</w:t>
      </w:r>
      <w:proofErr w:type="spellEnd"/>
      <w:r w:rsidRPr="005827A1">
        <w:rPr>
          <w:lang w:val="en-NZ" w:eastAsia="zh-CN"/>
        </w:rPr>
        <w:t xml:space="preserve"> constrain</w:t>
      </w:r>
      <w:r w:rsidR="00D63E8C" w:rsidRPr="005827A1">
        <w:rPr>
          <w:lang w:val="en-NZ" w:eastAsia="zh-CN"/>
        </w:rPr>
        <w:t>t</w:t>
      </w:r>
      <w:r w:rsidR="00882D87" w:rsidRPr="005827A1">
        <w:rPr>
          <w:lang w:val="en-NZ" w:eastAsia="zh-CN"/>
        </w:rPr>
        <w:t xml:space="preserve">s, and the age constraints </w:t>
      </w:r>
      <w:r w:rsidRPr="005827A1">
        <w:rPr>
          <w:lang w:val="en-NZ" w:eastAsia="zh-CN"/>
        </w:rPr>
        <w:t>f</w:t>
      </w:r>
      <w:r w:rsidR="00882D87" w:rsidRPr="005827A1">
        <w:rPr>
          <w:lang w:val="en-NZ" w:eastAsia="zh-CN"/>
        </w:rPr>
        <w:t>or</w:t>
      </w:r>
      <w:r w:rsidRPr="005827A1">
        <w:rPr>
          <w:lang w:val="en-NZ" w:eastAsia="zh-CN"/>
        </w:rPr>
        <w:t xml:space="preserve"> the </w:t>
      </w:r>
      <w:r w:rsidR="00BF6DA5" w:rsidRPr="005827A1">
        <w:rPr>
          <w:lang w:val="en-NZ" w:eastAsia="zh-CN"/>
        </w:rPr>
        <w:t>mothers</w:t>
      </w:r>
      <w:r w:rsidR="00D63E8C" w:rsidRPr="005827A1">
        <w:rPr>
          <w:lang w:val="en-NZ" w:eastAsia="zh-CN"/>
        </w:rPr>
        <w:t>:</w:t>
      </w:r>
      <w:r w:rsidRPr="005827A1">
        <w:rPr>
          <w:lang w:val="en-NZ" w:eastAsia="zh-CN"/>
        </w:rPr>
        <w:t xml:space="preserve"> </w:t>
      </w:r>
    </w:p>
    <w:p w:rsidR="00975854" w:rsidRPr="005827A1" w:rsidRDefault="00975854" w:rsidP="00F1102D">
      <w:pPr>
        <w:widowControl w:val="0"/>
        <w:autoSpaceDE w:val="0"/>
        <w:autoSpaceDN w:val="0"/>
        <w:adjustRightInd w:val="0"/>
        <w:spacing w:line="288" w:lineRule="auto"/>
        <w:rPr>
          <w:lang w:val="en-NZ" w:eastAsia="zh-CN"/>
        </w:rPr>
      </w:pPr>
    </w:p>
    <w:p w:rsidR="005D069F" w:rsidRDefault="00BE1B1C" w:rsidP="00BE1B1C">
      <w:pPr>
        <w:pStyle w:val="ListParagraph"/>
        <w:numPr>
          <w:ilvl w:val="0"/>
          <w:numId w:val="7"/>
        </w:numPr>
        <w:snapToGrid w:val="0"/>
        <w:ind w:left="425" w:hanging="425"/>
        <w:rPr>
          <w:lang w:val="en-NZ" w:eastAsia="zh-CN"/>
        </w:rPr>
      </w:pPr>
      <w:r>
        <w:rPr>
          <w:lang w:val="en-NZ" w:eastAsia="zh-CN"/>
        </w:rPr>
        <w:t>W</w:t>
      </w:r>
      <w:r w:rsidR="005D069F" w:rsidRPr="005827A1">
        <w:rPr>
          <w:lang w:val="en-NZ" w:eastAsia="zh-CN"/>
        </w:rPr>
        <w:t>hether the community allowed all women to have two children</w:t>
      </w:r>
      <w:r>
        <w:rPr>
          <w:lang w:val="en-NZ" w:eastAsia="zh-CN"/>
        </w:rPr>
        <w:t>.</w:t>
      </w:r>
    </w:p>
    <w:p w:rsidR="00BE1B1C" w:rsidRPr="00126D3D" w:rsidRDefault="00BE1B1C" w:rsidP="00BE1B1C">
      <w:pPr>
        <w:pStyle w:val="ListParagraph"/>
        <w:snapToGrid w:val="0"/>
        <w:ind w:left="425"/>
        <w:rPr>
          <w:sz w:val="16"/>
          <w:szCs w:val="16"/>
          <w:lang w:val="en-NZ" w:eastAsia="zh-CN"/>
        </w:rPr>
      </w:pPr>
    </w:p>
    <w:p w:rsidR="005D069F" w:rsidRDefault="00BE1B1C" w:rsidP="00BE1B1C">
      <w:pPr>
        <w:pStyle w:val="ListParagraph"/>
        <w:numPr>
          <w:ilvl w:val="0"/>
          <w:numId w:val="7"/>
        </w:numPr>
        <w:snapToGrid w:val="0"/>
        <w:ind w:left="425" w:hanging="425"/>
        <w:rPr>
          <w:lang w:val="en-NZ" w:eastAsia="zh-CN"/>
        </w:rPr>
      </w:pPr>
      <w:r>
        <w:rPr>
          <w:lang w:val="en-NZ" w:eastAsia="zh-CN"/>
        </w:rPr>
        <w:t>W</w:t>
      </w:r>
      <w:r w:rsidR="005D069F" w:rsidRPr="005827A1">
        <w:rPr>
          <w:lang w:val="en-NZ" w:eastAsia="zh-CN"/>
        </w:rPr>
        <w:t>hether the community allowed women to have two children if the first child was a girl</w:t>
      </w:r>
      <w:r w:rsidR="00D63E8C" w:rsidRPr="005827A1">
        <w:rPr>
          <w:lang w:val="en-NZ" w:eastAsia="zh-CN"/>
        </w:rPr>
        <w:t>, called</w:t>
      </w:r>
      <w:r w:rsidR="004D338A" w:rsidRPr="005827A1">
        <w:rPr>
          <w:lang w:val="en-NZ" w:eastAsia="zh-CN"/>
        </w:rPr>
        <w:t xml:space="preserve"> the ‘girl</w:t>
      </w:r>
      <w:r w:rsidR="00F90036" w:rsidRPr="005827A1">
        <w:rPr>
          <w:lang w:val="en-NZ" w:eastAsia="zh-CN"/>
        </w:rPr>
        <w:t>-</w:t>
      </w:r>
      <w:r w:rsidR="004D338A" w:rsidRPr="005827A1">
        <w:rPr>
          <w:lang w:val="en-NZ" w:eastAsia="zh-CN"/>
        </w:rPr>
        <w:t>exception’</w:t>
      </w:r>
      <w:r>
        <w:rPr>
          <w:lang w:val="en-NZ" w:eastAsia="zh-CN"/>
        </w:rPr>
        <w:t>.</w:t>
      </w:r>
    </w:p>
    <w:p w:rsidR="00BE1B1C" w:rsidRPr="00126D3D" w:rsidRDefault="00BE1B1C" w:rsidP="00BE1B1C">
      <w:pPr>
        <w:pStyle w:val="ListParagraph"/>
        <w:snapToGrid w:val="0"/>
        <w:ind w:left="425"/>
        <w:rPr>
          <w:sz w:val="16"/>
          <w:szCs w:val="16"/>
          <w:lang w:val="en-NZ" w:eastAsia="zh-CN"/>
        </w:rPr>
      </w:pPr>
    </w:p>
    <w:p w:rsidR="005D069F" w:rsidRDefault="00BE1B1C" w:rsidP="00BE1B1C">
      <w:pPr>
        <w:pStyle w:val="ListParagraph"/>
        <w:numPr>
          <w:ilvl w:val="0"/>
          <w:numId w:val="7"/>
        </w:numPr>
        <w:snapToGrid w:val="0"/>
        <w:ind w:left="425" w:hanging="425"/>
        <w:rPr>
          <w:lang w:val="en-NZ" w:eastAsia="zh-CN"/>
        </w:rPr>
      </w:pPr>
      <w:r>
        <w:rPr>
          <w:lang w:val="en-NZ" w:eastAsia="zh-CN"/>
        </w:rPr>
        <w:t>W</w:t>
      </w:r>
      <w:r w:rsidR="005D069F" w:rsidRPr="005827A1">
        <w:rPr>
          <w:lang w:val="en-NZ" w:eastAsia="zh-CN"/>
        </w:rPr>
        <w:t>hether the community allowed women to have two children if the parents worked in special occupations</w:t>
      </w:r>
      <w:r w:rsidR="00DE7CE1" w:rsidRPr="005827A1">
        <w:rPr>
          <w:lang w:val="en-NZ" w:eastAsia="zh-CN"/>
        </w:rPr>
        <w:t>, called</w:t>
      </w:r>
      <w:r w:rsidR="00F90036" w:rsidRPr="005827A1">
        <w:rPr>
          <w:lang w:val="en-NZ" w:eastAsia="zh-CN"/>
        </w:rPr>
        <w:t xml:space="preserve"> the ‘occupation-exception’</w:t>
      </w:r>
      <w:r>
        <w:rPr>
          <w:lang w:val="en-NZ" w:eastAsia="zh-CN"/>
        </w:rPr>
        <w:t>.</w:t>
      </w:r>
    </w:p>
    <w:p w:rsidR="00BE1B1C" w:rsidRPr="00126D3D" w:rsidRDefault="00BE1B1C" w:rsidP="00BE1B1C">
      <w:pPr>
        <w:pStyle w:val="ListParagraph"/>
        <w:snapToGrid w:val="0"/>
        <w:ind w:left="425"/>
        <w:rPr>
          <w:sz w:val="16"/>
          <w:szCs w:val="16"/>
          <w:lang w:val="en-NZ" w:eastAsia="zh-CN"/>
        </w:rPr>
      </w:pPr>
    </w:p>
    <w:p w:rsidR="005D069F" w:rsidRPr="005827A1" w:rsidRDefault="00BE1B1C" w:rsidP="00BE1B1C">
      <w:pPr>
        <w:pStyle w:val="ListParagraph"/>
        <w:numPr>
          <w:ilvl w:val="0"/>
          <w:numId w:val="7"/>
        </w:numPr>
        <w:snapToGrid w:val="0"/>
        <w:ind w:left="425" w:hanging="425"/>
        <w:rPr>
          <w:lang w:val="en-NZ" w:eastAsia="zh-CN"/>
        </w:rPr>
      </w:pPr>
      <w:r>
        <w:rPr>
          <w:lang w:val="en-NZ" w:eastAsia="zh-CN"/>
        </w:rPr>
        <w:t>W</w:t>
      </w:r>
      <w:r w:rsidR="005D069F" w:rsidRPr="005827A1">
        <w:rPr>
          <w:lang w:val="en-NZ" w:eastAsia="zh-CN"/>
        </w:rPr>
        <w:t xml:space="preserve">hether the community </w:t>
      </w:r>
      <w:r w:rsidR="00EA5906" w:rsidRPr="005827A1">
        <w:rPr>
          <w:lang w:val="en-NZ" w:eastAsia="zh-CN"/>
        </w:rPr>
        <w:t xml:space="preserve">let women </w:t>
      </w:r>
      <w:r w:rsidR="005D069F" w:rsidRPr="005827A1">
        <w:rPr>
          <w:lang w:val="en-NZ" w:eastAsia="zh-CN"/>
        </w:rPr>
        <w:t xml:space="preserve">have two children if both parents are only-children, or one parent is only-child, or one parent and </w:t>
      </w:r>
      <w:r w:rsidR="008B0EF4" w:rsidRPr="005827A1">
        <w:rPr>
          <w:lang w:val="en-NZ" w:eastAsia="zh-CN"/>
        </w:rPr>
        <w:t>both</w:t>
      </w:r>
      <w:r w:rsidR="005D069F" w:rsidRPr="005827A1">
        <w:rPr>
          <w:lang w:val="en-NZ" w:eastAsia="zh-CN"/>
        </w:rPr>
        <w:t xml:space="preserve"> grand-parents </w:t>
      </w:r>
      <w:r w:rsidR="008B0EF4" w:rsidRPr="005827A1">
        <w:rPr>
          <w:lang w:val="en-NZ" w:eastAsia="zh-CN"/>
        </w:rPr>
        <w:t>are</w:t>
      </w:r>
      <w:r w:rsidR="005D069F" w:rsidRPr="005827A1">
        <w:rPr>
          <w:lang w:val="en-NZ" w:eastAsia="zh-CN"/>
        </w:rPr>
        <w:t xml:space="preserve"> only-children</w:t>
      </w:r>
      <w:r w:rsidR="00DE7CE1" w:rsidRPr="005827A1">
        <w:rPr>
          <w:lang w:val="en-NZ" w:eastAsia="zh-CN"/>
        </w:rPr>
        <w:t>, called</w:t>
      </w:r>
      <w:r w:rsidR="00F90036" w:rsidRPr="005827A1">
        <w:rPr>
          <w:lang w:val="en-NZ" w:eastAsia="zh-CN"/>
        </w:rPr>
        <w:t xml:space="preserve"> the ‘only-child-exception’</w:t>
      </w:r>
      <w:r>
        <w:rPr>
          <w:lang w:val="en-NZ" w:eastAsia="zh-CN"/>
        </w:rPr>
        <w:t>.</w:t>
      </w:r>
    </w:p>
    <w:p w:rsidR="00975854" w:rsidRDefault="00975854" w:rsidP="00F1102D">
      <w:pPr>
        <w:autoSpaceDE w:val="0"/>
        <w:autoSpaceDN w:val="0"/>
        <w:adjustRightInd w:val="0"/>
        <w:spacing w:line="288" w:lineRule="auto"/>
        <w:ind w:firstLine="720"/>
        <w:rPr>
          <w:lang w:val="en-NZ" w:eastAsia="zh-CN"/>
        </w:rPr>
      </w:pPr>
    </w:p>
    <w:p w:rsidR="00033C13" w:rsidRDefault="005D069F" w:rsidP="00975854">
      <w:pPr>
        <w:autoSpaceDE w:val="0"/>
        <w:autoSpaceDN w:val="0"/>
        <w:adjustRightInd w:val="0"/>
        <w:spacing w:line="288" w:lineRule="auto"/>
        <w:ind w:firstLine="426"/>
        <w:rPr>
          <w:color w:val="000000" w:themeColor="text1"/>
          <w:lang w:val="en-NZ" w:eastAsia="zh-CN"/>
        </w:rPr>
      </w:pPr>
      <w:r w:rsidRPr="005827A1">
        <w:rPr>
          <w:lang w:val="en-NZ" w:eastAsia="zh-CN"/>
        </w:rPr>
        <w:t xml:space="preserve">For example, if a woman </w:t>
      </w:r>
      <w:r w:rsidR="008B0EF4" w:rsidRPr="005827A1">
        <w:rPr>
          <w:lang w:val="en-NZ" w:eastAsia="zh-CN"/>
        </w:rPr>
        <w:t xml:space="preserve">had </w:t>
      </w:r>
      <w:r w:rsidR="00F709BA" w:rsidRPr="005827A1">
        <w:rPr>
          <w:lang w:val="en-NZ" w:eastAsia="zh-CN"/>
        </w:rPr>
        <w:t xml:space="preserve">a </w:t>
      </w:r>
      <w:r w:rsidR="008B0EF4" w:rsidRPr="005827A1">
        <w:rPr>
          <w:lang w:val="en-NZ" w:eastAsia="zh-CN"/>
        </w:rPr>
        <w:t xml:space="preserve">daughter and </w:t>
      </w:r>
      <w:r w:rsidRPr="005827A1">
        <w:rPr>
          <w:lang w:val="en-NZ" w:eastAsia="zh-CN"/>
        </w:rPr>
        <w:t xml:space="preserve">lived </w:t>
      </w:r>
      <w:r w:rsidR="00F709BA" w:rsidRPr="005827A1">
        <w:rPr>
          <w:lang w:val="en-NZ" w:eastAsia="zh-CN"/>
        </w:rPr>
        <w:t xml:space="preserve">somewhere </w:t>
      </w:r>
      <w:r w:rsidR="004D338A" w:rsidRPr="005827A1">
        <w:rPr>
          <w:lang w:val="en-NZ" w:eastAsia="zh-CN"/>
        </w:rPr>
        <w:t xml:space="preserve">with </w:t>
      </w:r>
      <w:r w:rsidR="00F90036" w:rsidRPr="005827A1">
        <w:rPr>
          <w:lang w:val="en-NZ" w:eastAsia="zh-CN"/>
        </w:rPr>
        <w:t xml:space="preserve">the </w:t>
      </w:r>
      <w:r w:rsidR="004D338A" w:rsidRPr="005827A1">
        <w:rPr>
          <w:lang w:val="en-NZ" w:eastAsia="zh-CN"/>
        </w:rPr>
        <w:t>girl</w:t>
      </w:r>
      <w:r w:rsidR="00F90036" w:rsidRPr="005827A1">
        <w:rPr>
          <w:lang w:val="en-NZ" w:eastAsia="zh-CN"/>
        </w:rPr>
        <w:t>-</w:t>
      </w:r>
      <w:r w:rsidR="004D338A" w:rsidRPr="005827A1">
        <w:rPr>
          <w:lang w:val="en-NZ" w:eastAsia="zh-CN"/>
        </w:rPr>
        <w:t>exception</w:t>
      </w:r>
      <w:r w:rsidRPr="005827A1">
        <w:rPr>
          <w:lang w:val="en-NZ" w:eastAsia="zh-CN"/>
        </w:rPr>
        <w:t xml:space="preserve"> and the birth gap constraint was four years, </w:t>
      </w:r>
      <w:proofErr w:type="gramStart"/>
      <w:r w:rsidRPr="005827A1">
        <w:rPr>
          <w:lang w:val="en-NZ" w:eastAsia="zh-CN"/>
        </w:rPr>
        <w:t>then</w:t>
      </w:r>
      <w:proofErr w:type="gramEnd"/>
      <w:r w:rsidRPr="005827A1">
        <w:rPr>
          <w:lang w:val="en-NZ" w:eastAsia="zh-CN"/>
        </w:rPr>
        <w:t xml:space="preserve"> </w:t>
      </w:r>
      <w:r w:rsidR="008B0EF4" w:rsidRPr="005827A1">
        <w:rPr>
          <w:lang w:val="en-NZ" w:eastAsia="zh-CN"/>
        </w:rPr>
        <w:t>the woman</w:t>
      </w:r>
      <w:r w:rsidRPr="005827A1">
        <w:rPr>
          <w:lang w:val="en-NZ" w:eastAsia="zh-CN"/>
        </w:rPr>
        <w:t xml:space="preserve"> is defined to be eligible for two children when her </w:t>
      </w:r>
      <w:r w:rsidR="008B0EF4" w:rsidRPr="005827A1">
        <w:rPr>
          <w:lang w:val="en-NZ" w:eastAsia="zh-CN"/>
        </w:rPr>
        <w:t>daughter</w:t>
      </w:r>
      <w:r w:rsidRPr="005827A1">
        <w:rPr>
          <w:lang w:val="en-NZ" w:eastAsia="zh-CN"/>
        </w:rPr>
        <w:t xml:space="preserve"> reached the age four. If she became eligible in 1992, then her status will be ‘yes’ from the 1993 </w:t>
      </w:r>
      <w:r w:rsidR="00F709BA" w:rsidRPr="005827A1">
        <w:rPr>
          <w:lang w:val="en-NZ" w:eastAsia="zh-CN"/>
        </w:rPr>
        <w:t>survey wa</w:t>
      </w:r>
      <w:r w:rsidR="0094309B" w:rsidRPr="005827A1">
        <w:rPr>
          <w:lang w:val="en-NZ" w:eastAsia="zh-CN"/>
        </w:rPr>
        <w:t>ve</w:t>
      </w:r>
      <w:r w:rsidR="00F709BA" w:rsidRPr="005827A1">
        <w:rPr>
          <w:lang w:val="en-NZ" w:eastAsia="zh-CN"/>
        </w:rPr>
        <w:t xml:space="preserve"> </w:t>
      </w:r>
      <w:r w:rsidRPr="005827A1">
        <w:rPr>
          <w:lang w:val="en-NZ" w:eastAsia="zh-CN"/>
        </w:rPr>
        <w:t xml:space="preserve">onwards. </w:t>
      </w:r>
      <w:r w:rsidRPr="005827A1">
        <w:rPr>
          <w:color w:val="000000" w:themeColor="text1"/>
          <w:lang w:val="en-NZ" w:eastAsia="zh-CN"/>
        </w:rPr>
        <w:t xml:space="preserve">We </w:t>
      </w:r>
      <w:r w:rsidR="008B0EF4" w:rsidRPr="005827A1">
        <w:rPr>
          <w:color w:val="000000" w:themeColor="text1"/>
          <w:lang w:val="en-NZ" w:eastAsia="zh-CN"/>
        </w:rPr>
        <w:t>then</w:t>
      </w:r>
      <w:r w:rsidRPr="005827A1">
        <w:rPr>
          <w:color w:val="000000" w:themeColor="text1"/>
          <w:lang w:val="en-NZ" w:eastAsia="zh-CN"/>
        </w:rPr>
        <w:t xml:space="preserve"> define </w:t>
      </w:r>
      <w:r w:rsidR="008B0EF4" w:rsidRPr="005827A1">
        <w:rPr>
          <w:color w:val="000000" w:themeColor="text1"/>
          <w:lang w:val="en-NZ" w:eastAsia="zh-CN"/>
        </w:rPr>
        <w:t>the</w:t>
      </w:r>
      <w:r w:rsidRPr="005827A1">
        <w:rPr>
          <w:color w:val="000000" w:themeColor="text1"/>
          <w:lang w:val="en-NZ" w:eastAsia="zh-CN"/>
        </w:rPr>
        <w:t xml:space="preserve"> local OCP strength as the proportion of </w:t>
      </w:r>
      <w:r w:rsidRPr="005827A1">
        <w:rPr>
          <w:color w:val="000000" w:themeColor="text1"/>
          <w:lang w:eastAsia="zh-CN"/>
        </w:rPr>
        <w:t xml:space="preserve">women </w:t>
      </w:r>
      <w:r w:rsidR="00882D87" w:rsidRPr="005827A1">
        <w:rPr>
          <w:color w:val="000000" w:themeColor="text1"/>
          <w:lang w:eastAsia="zh-CN"/>
        </w:rPr>
        <w:t xml:space="preserve">in each community </w:t>
      </w:r>
      <w:r w:rsidRPr="005827A1">
        <w:rPr>
          <w:color w:val="000000" w:themeColor="text1"/>
          <w:lang w:val="en-NZ" w:eastAsia="zh-CN"/>
        </w:rPr>
        <w:t xml:space="preserve">who were eligible to have two children according to the above </w:t>
      </w:r>
      <w:r w:rsidR="00211504" w:rsidRPr="005827A1">
        <w:rPr>
          <w:color w:val="000000" w:themeColor="text1"/>
          <w:lang w:val="en-NZ" w:eastAsia="zh-CN"/>
        </w:rPr>
        <w:t>rule</w:t>
      </w:r>
      <w:r w:rsidR="00882D87" w:rsidRPr="005827A1">
        <w:rPr>
          <w:color w:val="000000" w:themeColor="text1"/>
          <w:lang w:val="en-NZ" w:eastAsia="zh-CN"/>
        </w:rPr>
        <w:t>s, denominating by</w:t>
      </w:r>
      <w:r w:rsidRPr="005827A1">
        <w:rPr>
          <w:color w:val="000000" w:themeColor="text1"/>
          <w:lang w:val="en-NZ" w:eastAsia="zh-CN"/>
        </w:rPr>
        <w:t xml:space="preserve"> the </w:t>
      </w:r>
      <w:r w:rsidRPr="005827A1">
        <w:rPr>
          <w:color w:val="000000" w:themeColor="text1"/>
          <w:lang w:eastAsia="zh-CN"/>
        </w:rPr>
        <w:t xml:space="preserve">number of </w:t>
      </w:r>
      <w:r w:rsidR="00990D75" w:rsidRPr="005827A1">
        <w:rPr>
          <w:color w:val="000000" w:themeColor="text1"/>
          <w:lang w:eastAsia="zh-CN"/>
        </w:rPr>
        <w:t xml:space="preserve">ever-married </w:t>
      </w:r>
      <w:r w:rsidRPr="005827A1">
        <w:rPr>
          <w:color w:val="000000" w:themeColor="text1"/>
          <w:lang w:eastAsia="zh-CN"/>
        </w:rPr>
        <w:t xml:space="preserve">women aged </w:t>
      </w:r>
      <w:r w:rsidR="00F709BA" w:rsidRPr="005827A1">
        <w:rPr>
          <w:color w:val="000000" w:themeColor="text1"/>
          <w:lang w:eastAsia="zh-CN"/>
        </w:rPr>
        <w:t>from 20 to</w:t>
      </w:r>
      <w:r w:rsidRPr="005827A1">
        <w:rPr>
          <w:color w:val="000000" w:themeColor="text1"/>
          <w:lang w:eastAsia="zh-CN"/>
        </w:rPr>
        <w:t xml:space="preserve"> 49</w:t>
      </w:r>
      <w:r w:rsidR="00F709BA" w:rsidRPr="005827A1">
        <w:rPr>
          <w:color w:val="000000" w:themeColor="text1"/>
          <w:lang w:val="en-NZ" w:eastAsia="zh-CN"/>
        </w:rPr>
        <w:t>.</w:t>
      </w:r>
      <w:r w:rsidR="00D75DAE" w:rsidRPr="005827A1">
        <w:rPr>
          <w:color w:val="000000" w:themeColor="text1"/>
          <w:lang w:val="en-NZ" w:eastAsia="zh-CN"/>
        </w:rPr>
        <w:t xml:space="preserve"> </w:t>
      </w:r>
      <w:r w:rsidR="006075AC" w:rsidRPr="005827A1">
        <w:rPr>
          <w:color w:val="000000" w:themeColor="text1"/>
          <w:lang w:val="en-NZ" w:eastAsia="zh-CN"/>
        </w:rPr>
        <w:t>Higher value</w:t>
      </w:r>
      <w:r w:rsidR="00F709BA" w:rsidRPr="005827A1">
        <w:rPr>
          <w:color w:val="000000" w:themeColor="text1"/>
          <w:lang w:val="en-NZ" w:eastAsia="zh-CN"/>
        </w:rPr>
        <w:t>s</w:t>
      </w:r>
      <w:r w:rsidR="006075AC" w:rsidRPr="005827A1">
        <w:rPr>
          <w:color w:val="000000" w:themeColor="text1"/>
          <w:lang w:val="en-NZ" w:eastAsia="zh-CN"/>
        </w:rPr>
        <w:t xml:space="preserve"> of this measur</w:t>
      </w:r>
      <w:r w:rsidR="00EB0709" w:rsidRPr="005827A1">
        <w:rPr>
          <w:color w:val="000000" w:themeColor="text1"/>
          <w:lang w:val="en-NZ" w:eastAsia="zh-CN"/>
        </w:rPr>
        <w:t>e</w:t>
      </w:r>
      <w:r w:rsidR="00F709BA" w:rsidRPr="005827A1">
        <w:rPr>
          <w:color w:val="000000" w:themeColor="text1"/>
          <w:lang w:val="en-NZ" w:eastAsia="zh-CN"/>
        </w:rPr>
        <w:t xml:space="preserve"> indicate</w:t>
      </w:r>
      <w:r w:rsidR="006075AC" w:rsidRPr="005827A1">
        <w:rPr>
          <w:color w:val="000000" w:themeColor="text1"/>
          <w:lang w:val="en-NZ" w:eastAsia="zh-CN"/>
        </w:rPr>
        <w:t xml:space="preserve"> more relaxed local regulations, and </w:t>
      </w:r>
      <w:r w:rsidR="0096537A" w:rsidRPr="005827A1">
        <w:rPr>
          <w:color w:val="000000" w:themeColor="text1"/>
          <w:lang w:val="en-NZ" w:eastAsia="zh-CN"/>
        </w:rPr>
        <w:t xml:space="preserve">this should be </w:t>
      </w:r>
      <w:r w:rsidR="006075AC" w:rsidRPr="005827A1">
        <w:rPr>
          <w:color w:val="000000" w:themeColor="text1"/>
          <w:lang w:val="en-NZ" w:eastAsia="zh-CN"/>
        </w:rPr>
        <w:t xml:space="preserve">positively related to the number of siblings. </w:t>
      </w:r>
      <w:r w:rsidR="0096537A" w:rsidRPr="005827A1">
        <w:rPr>
          <w:color w:val="000000" w:themeColor="text1"/>
          <w:lang w:val="en-NZ" w:eastAsia="zh-CN"/>
        </w:rPr>
        <w:t>Moreover, b</w:t>
      </w:r>
      <w:r w:rsidR="00832F19" w:rsidRPr="005827A1">
        <w:rPr>
          <w:color w:val="000000" w:themeColor="text1"/>
          <w:lang w:val="en-NZ" w:eastAsia="zh-CN"/>
        </w:rPr>
        <w:t xml:space="preserve">y controlling </w:t>
      </w:r>
      <w:r w:rsidR="0096537A" w:rsidRPr="005827A1">
        <w:rPr>
          <w:color w:val="000000" w:themeColor="text1"/>
          <w:lang w:val="en-NZ" w:eastAsia="zh-CN"/>
        </w:rPr>
        <w:t xml:space="preserve">for </w:t>
      </w:r>
      <w:r w:rsidR="00832F19" w:rsidRPr="005827A1">
        <w:rPr>
          <w:color w:val="000000" w:themeColor="text1"/>
          <w:lang w:val="en-NZ" w:eastAsia="zh-CN"/>
        </w:rPr>
        <w:lastRenderedPageBreak/>
        <w:t xml:space="preserve">the </w:t>
      </w:r>
      <w:r w:rsidR="0096537A" w:rsidRPr="005827A1">
        <w:rPr>
          <w:color w:val="000000" w:themeColor="text1"/>
          <w:lang w:val="en-NZ" w:eastAsia="zh-CN"/>
        </w:rPr>
        <w:t xml:space="preserve">local development index, </w:t>
      </w:r>
      <w:r w:rsidR="00832F19" w:rsidRPr="005827A1">
        <w:rPr>
          <w:color w:val="000000" w:themeColor="text1"/>
          <w:lang w:val="en-NZ" w:eastAsia="zh-CN"/>
        </w:rPr>
        <w:t xml:space="preserve">and </w:t>
      </w:r>
      <w:r w:rsidR="0096537A" w:rsidRPr="005827A1">
        <w:rPr>
          <w:color w:val="000000" w:themeColor="text1"/>
          <w:lang w:val="en-NZ" w:eastAsia="zh-CN"/>
        </w:rPr>
        <w:t xml:space="preserve">for </w:t>
      </w:r>
      <w:r w:rsidR="00832F19" w:rsidRPr="005827A1">
        <w:rPr>
          <w:color w:val="000000" w:themeColor="text1"/>
          <w:lang w:val="en-NZ" w:eastAsia="zh-CN"/>
        </w:rPr>
        <w:t xml:space="preserve">nutrient intakes of </w:t>
      </w:r>
      <w:r w:rsidR="00E332EB" w:rsidRPr="005827A1">
        <w:rPr>
          <w:color w:val="000000" w:themeColor="text1"/>
          <w:lang w:val="en-NZ" w:eastAsia="zh-CN"/>
        </w:rPr>
        <w:t>adults</w:t>
      </w:r>
      <w:r w:rsidR="00832F19" w:rsidRPr="005827A1">
        <w:rPr>
          <w:color w:val="000000" w:themeColor="text1"/>
          <w:lang w:val="en-NZ" w:eastAsia="zh-CN"/>
        </w:rPr>
        <w:t>, the potential correlation between parental preference</w:t>
      </w:r>
      <w:r w:rsidR="0096537A" w:rsidRPr="005827A1">
        <w:rPr>
          <w:color w:val="000000" w:themeColor="text1"/>
          <w:lang w:val="en-NZ" w:eastAsia="zh-CN"/>
        </w:rPr>
        <w:t>s</w:t>
      </w:r>
      <w:r w:rsidR="00832F19" w:rsidRPr="005827A1">
        <w:rPr>
          <w:color w:val="000000" w:themeColor="text1"/>
          <w:lang w:val="en-NZ" w:eastAsia="zh-CN"/>
        </w:rPr>
        <w:t xml:space="preserve"> for child quality and the relaxation of </w:t>
      </w:r>
      <w:r w:rsidR="0096537A" w:rsidRPr="005827A1">
        <w:rPr>
          <w:color w:val="000000" w:themeColor="text1"/>
          <w:lang w:val="en-NZ" w:eastAsia="zh-CN"/>
        </w:rPr>
        <w:t xml:space="preserve">the </w:t>
      </w:r>
      <w:r w:rsidR="00832F19" w:rsidRPr="005827A1">
        <w:rPr>
          <w:color w:val="000000" w:themeColor="text1"/>
          <w:lang w:val="en-NZ" w:eastAsia="zh-CN"/>
        </w:rPr>
        <w:t xml:space="preserve">OCP </w:t>
      </w:r>
      <w:r w:rsidR="0096537A" w:rsidRPr="005827A1">
        <w:rPr>
          <w:color w:val="000000" w:themeColor="text1"/>
          <w:lang w:val="en-NZ" w:eastAsia="zh-CN"/>
        </w:rPr>
        <w:t xml:space="preserve">is controlled for, so the variation in </w:t>
      </w:r>
      <w:r w:rsidR="00832F19" w:rsidRPr="005827A1">
        <w:rPr>
          <w:color w:val="000000" w:themeColor="text1"/>
          <w:lang w:val="en-NZ" w:eastAsia="zh-CN"/>
        </w:rPr>
        <w:t xml:space="preserve">the </w:t>
      </w:r>
      <w:r w:rsidR="0096537A" w:rsidRPr="005827A1">
        <w:rPr>
          <w:color w:val="000000" w:themeColor="text1"/>
          <w:lang w:val="en-NZ" w:eastAsia="zh-CN"/>
        </w:rPr>
        <w:t xml:space="preserve">measure of </w:t>
      </w:r>
      <w:r w:rsidR="00832F19" w:rsidRPr="005827A1">
        <w:rPr>
          <w:color w:val="000000" w:themeColor="text1"/>
          <w:lang w:val="en-NZ" w:eastAsia="zh-CN"/>
        </w:rPr>
        <w:t xml:space="preserve">OCP </w:t>
      </w:r>
      <w:r w:rsidR="0096537A" w:rsidRPr="005827A1">
        <w:rPr>
          <w:color w:val="000000" w:themeColor="text1"/>
          <w:lang w:val="en-NZ" w:eastAsia="zh-CN"/>
        </w:rPr>
        <w:t xml:space="preserve">strength </w:t>
      </w:r>
      <w:r w:rsidR="00832F19" w:rsidRPr="005827A1">
        <w:rPr>
          <w:color w:val="000000" w:themeColor="text1"/>
          <w:lang w:val="en-NZ" w:eastAsia="zh-CN"/>
        </w:rPr>
        <w:t xml:space="preserve">should have no direct impact on child nutrient intakes except via its </w:t>
      </w:r>
      <w:r w:rsidR="00033C13">
        <w:rPr>
          <w:color w:val="000000" w:themeColor="text1"/>
          <w:lang w:val="en-NZ" w:eastAsia="zh-CN"/>
        </w:rPr>
        <w:t>impact on fertility choice (Liu</w:t>
      </w:r>
      <w:r w:rsidR="00832F19" w:rsidRPr="005827A1">
        <w:rPr>
          <w:color w:val="000000" w:themeColor="text1"/>
          <w:lang w:val="en-NZ" w:eastAsia="zh-CN"/>
        </w:rPr>
        <w:t xml:space="preserve"> 2014).</w:t>
      </w:r>
    </w:p>
    <w:p w:rsidR="00126D3D" w:rsidRDefault="00126D3D" w:rsidP="00975854">
      <w:pPr>
        <w:autoSpaceDE w:val="0"/>
        <w:autoSpaceDN w:val="0"/>
        <w:adjustRightInd w:val="0"/>
        <w:spacing w:line="288" w:lineRule="auto"/>
        <w:ind w:firstLine="426"/>
        <w:rPr>
          <w:color w:val="000000" w:themeColor="text1"/>
          <w:lang w:val="en-NZ" w:eastAsia="zh-CN"/>
        </w:rPr>
      </w:pPr>
    </w:p>
    <w:p w:rsidR="005D069F" w:rsidRDefault="00832F19" w:rsidP="00033C13">
      <w:pPr>
        <w:autoSpaceDE w:val="0"/>
        <w:autoSpaceDN w:val="0"/>
        <w:adjustRightInd w:val="0"/>
        <w:spacing w:line="288" w:lineRule="auto"/>
        <w:ind w:firstLine="426"/>
        <w:rPr>
          <w:color w:val="000000" w:themeColor="text1"/>
          <w:lang w:val="en-NZ" w:eastAsia="zh-CN"/>
        </w:rPr>
      </w:pPr>
      <w:r w:rsidRPr="005827A1">
        <w:rPr>
          <w:i/>
          <w:color w:val="000000" w:themeColor="text1"/>
          <w:lang w:val="en-NZ" w:eastAsia="zh-CN"/>
        </w:rPr>
        <w:t xml:space="preserve"> </w:t>
      </w:r>
      <w:r w:rsidR="0096537A" w:rsidRPr="005827A1">
        <w:rPr>
          <w:color w:val="000000" w:themeColor="text1"/>
          <w:lang w:val="en-NZ" w:eastAsia="zh-CN"/>
        </w:rPr>
        <w:t xml:space="preserve">Our OCP variable based on four types of exceptions is more </w:t>
      </w:r>
      <w:r w:rsidR="004E4572" w:rsidRPr="005827A1">
        <w:rPr>
          <w:color w:val="000000" w:themeColor="text1"/>
          <w:lang w:val="en-NZ" w:eastAsia="zh-CN"/>
        </w:rPr>
        <w:t xml:space="preserve">comprehensive </w:t>
      </w:r>
      <w:r w:rsidR="0096537A" w:rsidRPr="005827A1">
        <w:rPr>
          <w:color w:val="000000" w:themeColor="text1"/>
          <w:lang w:val="en-NZ" w:eastAsia="zh-CN"/>
        </w:rPr>
        <w:t xml:space="preserve">than some </w:t>
      </w:r>
      <w:r w:rsidR="004E4572" w:rsidRPr="005827A1">
        <w:rPr>
          <w:color w:val="000000" w:themeColor="text1"/>
          <w:lang w:val="en-NZ" w:eastAsia="zh-CN"/>
        </w:rPr>
        <w:t>measure</w:t>
      </w:r>
      <w:r w:rsidR="0096537A" w:rsidRPr="005827A1">
        <w:rPr>
          <w:color w:val="000000" w:themeColor="text1"/>
          <w:lang w:val="en-NZ" w:eastAsia="zh-CN"/>
        </w:rPr>
        <w:t>s</w:t>
      </w:r>
      <w:r w:rsidR="004E4572" w:rsidRPr="005827A1">
        <w:rPr>
          <w:color w:val="000000" w:themeColor="text1"/>
          <w:lang w:val="en-NZ" w:eastAsia="zh-CN"/>
        </w:rPr>
        <w:t xml:space="preserve"> </w:t>
      </w:r>
      <w:r w:rsidR="0096537A" w:rsidRPr="005827A1">
        <w:rPr>
          <w:color w:val="000000" w:themeColor="text1"/>
          <w:lang w:val="en-NZ" w:eastAsia="zh-CN"/>
        </w:rPr>
        <w:t xml:space="preserve">in the literature that relate </w:t>
      </w:r>
      <w:r w:rsidR="004E4572" w:rsidRPr="005827A1">
        <w:rPr>
          <w:color w:val="000000" w:themeColor="text1"/>
          <w:lang w:eastAsia="zh-CN"/>
        </w:rPr>
        <w:t xml:space="preserve">women’s eligibility </w:t>
      </w:r>
      <w:r w:rsidR="0096537A" w:rsidRPr="005827A1">
        <w:rPr>
          <w:color w:val="000000" w:themeColor="text1"/>
          <w:lang w:eastAsia="zh-CN"/>
        </w:rPr>
        <w:t xml:space="preserve">to a </w:t>
      </w:r>
      <w:r w:rsidR="004E4572" w:rsidRPr="005827A1">
        <w:rPr>
          <w:color w:val="000000" w:themeColor="text1"/>
          <w:lang w:eastAsia="zh-CN"/>
        </w:rPr>
        <w:t>limited number of exceptions</w:t>
      </w:r>
      <w:r w:rsidR="00E7605E" w:rsidRPr="005827A1">
        <w:rPr>
          <w:color w:val="000000" w:themeColor="text1"/>
          <w:lang w:eastAsia="zh-CN"/>
        </w:rPr>
        <w:t xml:space="preserve"> (</w:t>
      </w:r>
      <w:r w:rsidR="00033C13">
        <w:rPr>
          <w:color w:val="000000" w:themeColor="text1"/>
          <w:lang w:eastAsia="zh-CN"/>
        </w:rPr>
        <w:t xml:space="preserve">for example, Short </w:t>
      </w:r>
      <w:r w:rsidR="00126D3D" w:rsidRPr="00126D3D">
        <w:rPr>
          <w:i/>
          <w:color w:val="000000" w:themeColor="text1"/>
          <w:lang w:eastAsia="zh-CN"/>
        </w:rPr>
        <w:t>et al.</w:t>
      </w:r>
      <w:r w:rsidR="00126D3D" w:rsidRPr="005827A1">
        <w:rPr>
          <w:color w:val="000000" w:themeColor="text1"/>
          <w:lang w:eastAsia="zh-CN"/>
        </w:rPr>
        <w:t xml:space="preserve"> </w:t>
      </w:r>
      <w:r w:rsidR="00126D3D">
        <w:rPr>
          <w:color w:val="000000" w:themeColor="text1"/>
          <w:lang w:eastAsia="zh-CN"/>
        </w:rPr>
        <w:t xml:space="preserve">2001 and </w:t>
      </w:r>
      <w:r w:rsidR="00E7605E" w:rsidRPr="005827A1">
        <w:rPr>
          <w:color w:val="000000" w:themeColor="text1"/>
          <w:lang w:eastAsia="zh-CN"/>
        </w:rPr>
        <w:t>Y</w:t>
      </w:r>
      <w:r w:rsidR="00033C13">
        <w:rPr>
          <w:color w:val="000000" w:themeColor="text1"/>
          <w:lang w:eastAsia="zh-CN"/>
        </w:rPr>
        <w:t>ang</w:t>
      </w:r>
      <w:r w:rsidR="00126D3D">
        <w:rPr>
          <w:color w:val="000000" w:themeColor="text1"/>
          <w:lang w:eastAsia="zh-CN"/>
        </w:rPr>
        <w:t xml:space="preserve"> 2007)</w:t>
      </w:r>
      <w:r w:rsidR="004E4572" w:rsidRPr="005827A1">
        <w:rPr>
          <w:color w:val="000000" w:themeColor="text1"/>
          <w:lang w:eastAsia="zh-CN"/>
        </w:rPr>
        <w:t xml:space="preserve">, </w:t>
      </w:r>
      <w:r w:rsidR="0096537A" w:rsidRPr="005827A1">
        <w:rPr>
          <w:color w:val="000000" w:themeColor="text1"/>
          <w:lang w:eastAsia="zh-CN"/>
        </w:rPr>
        <w:t xml:space="preserve">and this should increase </w:t>
      </w:r>
      <w:r w:rsidR="00131DD4" w:rsidRPr="005827A1">
        <w:rPr>
          <w:color w:val="000000" w:themeColor="text1"/>
          <w:lang w:val="en-NZ" w:eastAsia="zh-CN"/>
        </w:rPr>
        <w:t xml:space="preserve">the </w:t>
      </w:r>
      <w:r w:rsidR="000C42BC" w:rsidRPr="005827A1">
        <w:rPr>
          <w:color w:val="000000" w:themeColor="text1"/>
          <w:lang w:val="en-NZ" w:eastAsia="zh-CN"/>
        </w:rPr>
        <w:t>correlation</w:t>
      </w:r>
      <w:r w:rsidR="00131DD4" w:rsidRPr="005827A1">
        <w:rPr>
          <w:color w:val="000000" w:themeColor="text1"/>
          <w:lang w:val="en-NZ" w:eastAsia="zh-CN"/>
        </w:rPr>
        <w:t xml:space="preserve"> between </w:t>
      </w:r>
      <w:r w:rsidR="0096537A" w:rsidRPr="005827A1">
        <w:rPr>
          <w:color w:val="000000" w:themeColor="text1"/>
          <w:lang w:val="en-NZ" w:eastAsia="zh-CN"/>
        </w:rPr>
        <w:t xml:space="preserve">our measure of </w:t>
      </w:r>
      <w:r w:rsidR="00131DD4" w:rsidRPr="005827A1">
        <w:rPr>
          <w:color w:val="000000" w:themeColor="text1"/>
          <w:lang w:val="en-NZ" w:eastAsia="zh-CN"/>
        </w:rPr>
        <w:t xml:space="preserve">OCP </w:t>
      </w:r>
      <w:r w:rsidR="0096537A" w:rsidRPr="005827A1">
        <w:rPr>
          <w:color w:val="000000" w:themeColor="text1"/>
          <w:lang w:val="en-NZ" w:eastAsia="zh-CN"/>
        </w:rPr>
        <w:t xml:space="preserve">strength </w:t>
      </w:r>
      <w:r w:rsidR="00131DD4" w:rsidRPr="005827A1">
        <w:rPr>
          <w:color w:val="000000" w:themeColor="text1"/>
          <w:lang w:val="en-NZ" w:eastAsia="zh-CN"/>
        </w:rPr>
        <w:t xml:space="preserve">and family size. </w:t>
      </w:r>
      <w:r w:rsidR="0096537A" w:rsidRPr="005827A1">
        <w:rPr>
          <w:color w:val="000000" w:themeColor="text1"/>
          <w:lang w:val="en-NZ" w:eastAsia="zh-CN"/>
        </w:rPr>
        <w:t>Also, by defining this measure at</w:t>
      </w:r>
      <w:r w:rsidR="00131DD4" w:rsidRPr="005827A1">
        <w:rPr>
          <w:color w:val="000000" w:themeColor="text1"/>
          <w:lang w:val="en-NZ" w:eastAsia="zh-CN"/>
        </w:rPr>
        <w:t xml:space="preserve"> the community level instead of </w:t>
      </w:r>
      <w:r w:rsidR="0096537A" w:rsidRPr="005827A1">
        <w:rPr>
          <w:color w:val="000000" w:themeColor="text1"/>
          <w:lang w:val="en-NZ" w:eastAsia="zh-CN"/>
        </w:rPr>
        <w:t xml:space="preserve">considering </w:t>
      </w:r>
      <w:r w:rsidR="00131DD4" w:rsidRPr="005827A1">
        <w:rPr>
          <w:color w:val="000000" w:themeColor="text1"/>
          <w:lang w:val="en-NZ" w:eastAsia="zh-CN"/>
        </w:rPr>
        <w:t xml:space="preserve">the eligibility of individuals, this measure is </w:t>
      </w:r>
      <w:r w:rsidRPr="005827A1">
        <w:rPr>
          <w:color w:val="000000" w:themeColor="text1"/>
          <w:lang w:val="en-NZ" w:eastAsia="zh-CN"/>
        </w:rPr>
        <w:t xml:space="preserve">less </w:t>
      </w:r>
      <w:r w:rsidR="00131DD4" w:rsidRPr="005827A1">
        <w:rPr>
          <w:color w:val="000000" w:themeColor="text1"/>
          <w:lang w:val="en-NZ" w:eastAsia="zh-CN"/>
        </w:rPr>
        <w:t xml:space="preserve">likely to affect the children’s nutrient intakes through channels other than its </w:t>
      </w:r>
      <w:r w:rsidR="009E045F" w:rsidRPr="005827A1">
        <w:rPr>
          <w:color w:val="000000" w:themeColor="text1"/>
          <w:lang w:val="en-NZ" w:eastAsia="zh-CN"/>
        </w:rPr>
        <w:t>influence</w:t>
      </w:r>
      <w:r w:rsidR="00131DD4" w:rsidRPr="005827A1">
        <w:rPr>
          <w:color w:val="000000" w:themeColor="text1"/>
          <w:lang w:val="en-NZ" w:eastAsia="zh-CN"/>
        </w:rPr>
        <w:t xml:space="preserve"> on the family size. </w:t>
      </w:r>
    </w:p>
    <w:p w:rsidR="00033C13" w:rsidRPr="005827A1" w:rsidRDefault="00033C13" w:rsidP="00033C13">
      <w:pPr>
        <w:autoSpaceDE w:val="0"/>
        <w:autoSpaceDN w:val="0"/>
        <w:adjustRightInd w:val="0"/>
        <w:spacing w:line="288" w:lineRule="auto"/>
        <w:ind w:firstLine="426"/>
        <w:rPr>
          <w:color w:val="000000" w:themeColor="text1"/>
          <w:lang w:val="en-NZ" w:eastAsia="zh-CN"/>
        </w:rPr>
      </w:pPr>
    </w:p>
    <w:p w:rsidR="00B37828" w:rsidRPr="005827A1" w:rsidRDefault="00796D0E" w:rsidP="00033C13">
      <w:pPr>
        <w:autoSpaceDE w:val="0"/>
        <w:autoSpaceDN w:val="0"/>
        <w:adjustRightInd w:val="0"/>
        <w:spacing w:line="288" w:lineRule="auto"/>
        <w:ind w:firstLine="426"/>
        <w:rPr>
          <w:lang w:eastAsia="zh-CN"/>
        </w:rPr>
      </w:pPr>
      <w:r w:rsidRPr="005827A1">
        <w:rPr>
          <w:lang w:eastAsia="zh-CN"/>
        </w:rPr>
        <w:t>For the FE approach, we estimate impacts from the chang</w:t>
      </w:r>
      <w:r w:rsidR="0096537A" w:rsidRPr="005827A1">
        <w:rPr>
          <w:lang w:eastAsia="zh-CN"/>
        </w:rPr>
        <w:t>e in</w:t>
      </w:r>
      <w:r w:rsidRPr="005827A1">
        <w:rPr>
          <w:lang w:eastAsia="zh-CN"/>
        </w:rPr>
        <w:t xml:space="preserve"> sibling numbers</w:t>
      </w:r>
      <w:r w:rsidR="0096537A" w:rsidRPr="005827A1">
        <w:rPr>
          <w:lang w:eastAsia="zh-CN"/>
        </w:rPr>
        <w:t>,</w:t>
      </w:r>
      <w:r w:rsidRPr="005827A1">
        <w:rPr>
          <w:lang w:eastAsia="zh-CN"/>
        </w:rPr>
        <w:t xml:space="preserve"> </w:t>
      </w:r>
      <w:r w:rsidR="007656DE" w:rsidRPr="005827A1">
        <w:rPr>
          <w:lang w:eastAsia="zh-CN"/>
        </w:rPr>
        <w:t>using the panel structure of the data</w:t>
      </w:r>
      <w:r w:rsidR="00785562" w:rsidRPr="005827A1">
        <w:rPr>
          <w:lang w:eastAsia="zh-CN"/>
        </w:rPr>
        <w:t>, and also test other possible determine factors of children’s nutrient intakes</w:t>
      </w:r>
      <w:r w:rsidRPr="005827A1">
        <w:rPr>
          <w:lang w:eastAsia="zh-CN"/>
        </w:rPr>
        <w:t xml:space="preserve">. In this approach, the </w:t>
      </w:r>
      <w:r w:rsidR="00785562" w:rsidRPr="005827A1">
        <w:rPr>
          <w:lang w:eastAsia="zh-CN"/>
        </w:rPr>
        <w:t xml:space="preserve">dependent and independent variables are all measures of changes. The variables in the control vectors X and Z </w:t>
      </w:r>
      <w:r w:rsidRPr="005827A1">
        <w:rPr>
          <w:lang w:eastAsia="zh-CN"/>
        </w:rPr>
        <w:t xml:space="preserve">in equation (1) that </w:t>
      </w:r>
      <w:r w:rsidR="00785562" w:rsidRPr="005827A1">
        <w:rPr>
          <w:lang w:eastAsia="zh-CN"/>
        </w:rPr>
        <w:t xml:space="preserve">can change over time are kept for the panel analysis, and those </w:t>
      </w:r>
      <w:r w:rsidR="0096537A" w:rsidRPr="005827A1">
        <w:rPr>
          <w:lang w:eastAsia="zh-CN"/>
        </w:rPr>
        <w:t>that are time-invariant</w:t>
      </w:r>
      <w:r w:rsidR="00785562" w:rsidRPr="005827A1">
        <w:rPr>
          <w:lang w:eastAsia="zh-CN"/>
        </w:rPr>
        <w:t xml:space="preserve">, including the gender, whether being the first child in the family and the province of residence, </w:t>
      </w:r>
      <w:r w:rsidRPr="005827A1">
        <w:rPr>
          <w:lang w:eastAsia="zh-CN"/>
        </w:rPr>
        <w:t>are dropped from the</w:t>
      </w:r>
      <w:r w:rsidR="00785562" w:rsidRPr="005827A1">
        <w:rPr>
          <w:lang w:eastAsia="zh-CN"/>
        </w:rPr>
        <w:t xml:space="preserve"> </w:t>
      </w:r>
      <w:r w:rsidR="0096537A" w:rsidRPr="005827A1">
        <w:rPr>
          <w:lang w:eastAsia="zh-CN"/>
        </w:rPr>
        <w:t>vectors of control variables</w:t>
      </w:r>
      <w:r w:rsidR="008F2A89" w:rsidRPr="005827A1">
        <w:rPr>
          <w:lang w:eastAsia="zh-CN"/>
        </w:rPr>
        <w:t xml:space="preserve">. </w:t>
      </w:r>
      <w:r w:rsidR="0096537A" w:rsidRPr="005827A1">
        <w:rPr>
          <w:lang w:eastAsia="zh-CN"/>
        </w:rPr>
        <w:t>In both the FE and IV analys</w:t>
      </w:r>
      <w:r w:rsidR="0055568E" w:rsidRPr="005827A1">
        <w:rPr>
          <w:lang w:eastAsia="zh-CN"/>
        </w:rPr>
        <w:t>i</w:t>
      </w:r>
      <w:r w:rsidR="0096537A" w:rsidRPr="005827A1">
        <w:rPr>
          <w:lang w:eastAsia="zh-CN"/>
        </w:rPr>
        <w:t xml:space="preserve">s, to </w:t>
      </w:r>
      <w:r w:rsidR="006C079A" w:rsidRPr="005827A1">
        <w:rPr>
          <w:lang w:eastAsia="zh-CN"/>
        </w:rPr>
        <w:t>allow the effect</w:t>
      </w:r>
      <w:r w:rsidR="00D53392" w:rsidRPr="005827A1">
        <w:rPr>
          <w:lang w:eastAsia="zh-CN"/>
        </w:rPr>
        <w:t>s</w:t>
      </w:r>
      <w:r w:rsidR="006C079A" w:rsidRPr="005827A1">
        <w:rPr>
          <w:lang w:eastAsia="zh-CN"/>
        </w:rPr>
        <w:t xml:space="preserve"> </w:t>
      </w:r>
      <w:r w:rsidR="00D53392" w:rsidRPr="005827A1">
        <w:rPr>
          <w:lang w:eastAsia="zh-CN"/>
        </w:rPr>
        <w:t>on the nutrient intakes</w:t>
      </w:r>
      <w:r w:rsidR="006C079A" w:rsidRPr="005827A1">
        <w:rPr>
          <w:lang w:eastAsia="zh-CN"/>
        </w:rPr>
        <w:t xml:space="preserve"> t</w:t>
      </w:r>
      <w:r w:rsidR="008F2A89" w:rsidRPr="005827A1">
        <w:rPr>
          <w:lang w:eastAsia="zh-CN"/>
        </w:rPr>
        <w:t xml:space="preserve">o interact with gender, we </w:t>
      </w:r>
      <w:r w:rsidR="006C079A" w:rsidRPr="005827A1">
        <w:rPr>
          <w:lang w:eastAsia="zh-CN"/>
        </w:rPr>
        <w:t xml:space="preserve">run regressions separately for boys and girls. </w:t>
      </w:r>
    </w:p>
    <w:p w:rsidR="00F2412E" w:rsidRPr="005827A1" w:rsidRDefault="00F2412E" w:rsidP="00F1102D">
      <w:pPr>
        <w:autoSpaceDE w:val="0"/>
        <w:autoSpaceDN w:val="0"/>
        <w:adjustRightInd w:val="0"/>
        <w:spacing w:line="288" w:lineRule="auto"/>
        <w:ind w:firstLine="720"/>
        <w:rPr>
          <w:i/>
          <w:lang w:eastAsia="zh-CN"/>
        </w:rPr>
      </w:pPr>
    </w:p>
    <w:p w:rsidR="00F40C99" w:rsidRDefault="0077331C" w:rsidP="00033C13">
      <w:pPr>
        <w:pStyle w:val="Heading1"/>
        <w:snapToGrid w:val="0"/>
        <w:spacing w:before="0" w:after="0" w:line="288" w:lineRule="auto"/>
        <w:contextualSpacing/>
        <w:rPr>
          <w:rFonts w:ascii="Times New Roman" w:hAnsi="Times New Roman"/>
          <w:sz w:val="24"/>
          <w:szCs w:val="24"/>
          <w:lang w:eastAsia="zh-CN"/>
        </w:rPr>
      </w:pPr>
      <w:bookmarkStart w:id="4" w:name="_Toc466899930"/>
      <w:r w:rsidRPr="005827A1">
        <w:rPr>
          <w:rFonts w:ascii="Times New Roman" w:hAnsi="Times New Roman"/>
          <w:sz w:val="24"/>
          <w:szCs w:val="24"/>
          <w:lang w:eastAsia="zh-CN"/>
        </w:rPr>
        <w:t>4</w:t>
      </w:r>
      <w:r w:rsidR="00F40C99" w:rsidRPr="005827A1">
        <w:rPr>
          <w:rFonts w:ascii="Times New Roman" w:hAnsi="Times New Roman"/>
          <w:sz w:val="24"/>
          <w:szCs w:val="24"/>
          <w:lang w:eastAsia="zh-CN"/>
        </w:rPr>
        <w:t xml:space="preserve">. </w:t>
      </w:r>
      <w:r w:rsidR="003C1D12" w:rsidRPr="005827A1">
        <w:rPr>
          <w:rFonts w:ascii="Times New Roman" w:hAnsi="Times New Roman"/>
          <w:sz w:val="24"/>
          <w:szCs w:val="24"/>
          <w:lang w:eastAsia="zh-CN"/>
        </w:rPr>
        <w:t>D</w:t>
      </w:r>
      <w:r w:rsidR="00A753DC" w:rsidRPr="005827A1">
        <w:rPr>
          <w:rFonts w:ascii="Times New Roman" w:hAnsi="Times New Roman"/>
          <w:sz w:val="24"/>
          <w:szCs w:val="24"/>
          <w:lang w:eastAsia="zh-CN"/>
        </w:rPr>
        <w:t>ATA</w:t>
      </w:r>
      <w:r w:rsidR="008A4CAC" w:rsidRPr="005827A1">
        <w:rPr>
          <w:rFonts w:ascii="Times New Roman" w:hAnsi="Times New Roman"/>
          <w:sz w:val="24"/>
          <w:szCs w:val="24"/>
          <w:lang w:eastAsia="zh-CN"/>
        </w:rPr>
        <w:t xml:space="preserve"> AND DESCRIPTIVE ANALYSIS</w:t>
      </w:r>
      <w:bookmarkEnd w:id="4"/>
    </w:p>
    <w:p w:rsidR="00033C13" w:rsidRPr="00033C13" w:rsidRDefault="00033C13" w:rsidP="00033C13">
      <w:pPr>
        <w:rPr>
          <w:sz w:val="12"/>
          <w:szCs w:val="12"/>
          <w:lang w:eastAsia="zh-CN"/>
        </w:rPr>
      </w:pPr>
    </w:p>
    <w:p w:rsidR="003B6750" w:rsidRDefault="00BD0EA0" w:rsidP="00F1102D">
      <w:pPr>
        <w:snapToGrid w:val="0"/>
        <w:spacing w:line="288" w:lineRule="auto"/>
        <w:contextualSpacing/>
        <w:rPr>
          <w:lang w:eastAsia="zh-CN"/>
        </w:rPr>
      </w:pPr>
      <w:r w:rsidRPr="005827A1">
        <w:rPr>
          <w:lang w:eastAsia="zh-CN"/>
        </w:rPr>
        <w:t xml:space="preserve">The main source of data for the analysis is the China Health and Nutrition Survey (CHNS), provided by Carolina Population Centre and the Chinese Centre for Disease Control and Prevention. The CHNS survey is an ongoing international collaborative project, which amongst other things, aims to examine the effects of health, nutrition, and family planning policies and programs. </w:t>
      </w:r>
      <w:r w:rsidR="009A538E" w:rsidRPr="005827A1">
        <w:rPr>
          <w:lang w:eastAsia="zh-CN"/>
        </w:rPr>
        <w:t>It</w:t>
      </w:r>
      <w:r w:rsidR="0012251B" w:rsidRPr="005827A1">
        <w:rPr>
          <w:lang w:eastAsia="zh-CN"/>
        </w:rPr>
        <w:t xml:space="preserve"> </w:t>
      </w:r>
      <w:r w:rsidR="003B6750" w:rsidRPr="005827A1">
        <w:rPr>
          <w:lang w:val="en-NZ" w:eastAsia="zh-CN"/>
        </w:rPr>
        <w:t>is one of the few</w:t>
      </w:r>
      <w:r w:rsidR="00146B76" w:rsidRPr="005827A1">
        <w:rPr>
          <w:lang w:val="en-NZ" w:eastAsia="zh-CN"/>
        </w:rPr>
        <w:t xml:space="preserve"> surveys to</w:t>
      </w:r>
      <w:r w:rsidR="003B6750" w:rsidRPr="005827A1">
        <w:rPr>
          <w:lang w:val="en-NZ" w:eastAsia="zh-CN"/>
        </w:rPr>
        <w:t xml:space="preserve"> </w:t>
      </w:r>
      <w:r w:rsidR="0039342D" w:rsidRPr="005827A1">
        <w:rPr>
          <w:lang w:val="en-NZ" w:eastAsia="zh-CN"/>
        </w:rPr>
        <w:t>provide</w:t>
      </w:r>
      <w:r w:rsidR="003B6750" w:rsidRPr="005827A1">
        <w:rPr>
          <w:lang w:val="en-NZ" w:eastAsia="zh-CN"/>
        </w:rPr>
        <w:t xml:space="preserve"> information on variation in the local </w:t>
      </w:r>
      <w:r w:rsidR="00396F50" w:rsidRPr="005827A1">
        <w:rPr>
          <w:lang w:val="en-NZ" w:eastAsia="zh-CN"/>
        </w:rPr>
        <w:t xml:space="preserve">stringency </w:t>
      </w:r>
      <w:r w:rsidR="003B6750" w:rsidRPr="005827A1">
        <w:rPr>
          <w:lang w:val="en-NZ" w:eastAsia="zh-CN"/>
        </w:rPr>
        <w:t xml:space="preserve">of the OCP. </w:t>
      </w:r>
      <w:r w:rsidR="009A538E" w:rsidRPr="005827A1">
        <w:rPr>
          <w:lang w:val="en-NZ" w:eastAsia="zh-CN"/>
        </w:rPr>
        <w:t>The CHNS is a longitudinal survey</w:t>
      </w:r>
      <w:r w:rsidR="00146B76" w:rsidRPr="005827A1">
        <w:rPr>
          <w:lang w:val="en-NZ" w:eastAsia="zh-CN"/>
        </w:rPr>
        <w:t>,</w:t>
      </w:r>
      <w:r w:rsidR="009A538E" w:rsidRPr="005827A1">
        <w:rPr>
          <w:lang w:val="en-NZ" w:eastAsia="zh-CN"/>
        </w:rPr>
        <w:t xml:space="preserve"> </w:t>
      </w:r>
      <w:r w:rsidR="009A538E" w:rsidRPr="005827A1">
        <w:t>follow</w:t>
      </w:r>
      <w:r w:rsidR="009A538E" w:rsidRPr="005827A1">
        <w:rPr>
          <w:lang w:eastAsia="zh-CN"/>
        </w:rPr>
        <w:t>ing</w:t>
      </w:r>
      <w:r w:rsidR="009A538E" w:rsidRPr="005827A1">
        <w:t xml:space="preserve"> the same households</w:t>
      </w:r>
      <w:r w:rsidR="00146B76" w:rsidRPr="005827A1">
        <w:t xml:space="preserve"> over time and collecting</w:t>
      </w:r>
      <w:r w:rsidR="006F52C4" w:rsidRPr="005827A1">
        <w:rPr>
          <w:lang w:eastAsia="zh-CN"/>
        </w:rPr>
        <w:t xml:space="preserve"> </w:t>
      </w:r>
      <w:r w:rsidR="006F52C4" w:rsidRPr="005827A1">
        <w:rPr>
          <w:lang w:val="en-NZ" w:eastAsia="zh-CN"/>
        </w:rPr>
        <w:t xml:space="preserve">relationship information </w:t>
      </w:r>
      <w:r w:rsidR="00146B76" w:rsidRPr="005827A1">
        <w:rPr>
          <w:lang w:val="en-NZ" w:eastAsia="zh-CN"/>
        </w:rPr>
        <w:t xml:space="preserve">on </w:t>
      </w:r>
      <w:r w:rsidR="006F52C4" w:rsidRPr="005827A1">
        <w:rPr>
          <w:lang w:val="en-NZ" w:eastAsia="zh-CN"/>
        </w:rPr>
        <w:t>all family members</w:t>
      </w:r>
      <w:r w:rsidR="00146B76" w:rsidRPr="005827A1">
        <w:rPr>
          <w:lang w:val="en-NZ" w:eastAsia="zh-CN"/>
        </w:rPr>
        <w:t>,</w:t>
      </w:r>
      <w:r w:rsidR="006F52C4" w:rsidRPr="005827A1">
        <w:rPr>
          <w:lang w:val="en-NZ" w:eastAsia="zh-CN"/>
        </w:rPr>
        <w:t xml:space="preserve"> even </w:t>
      </w:r>
      <w:r w:rsidR="00146B76" w:rsidRPr="005827A1">
        <w:rPr>
          <w:lang w:val="en-NZ" w:eastAsia="zh-CN"/>
        </w:rPr>
        <w:t>those outside the household</w:t>
      </w:r>
      <w:r w:rsidR="006F52C4" w:rsidRPr="005827A1">
        <w:rPr>
          <w:lang w:val="en-NZ" w:eastAsia="zh-CN"/>
        </w:rPr>
        <w:t xml:space="preserve">. For example, all children </w:t>
      </w:r>
      <w:r w:rsidR="00146B76" w:rsidRPr="005827A1">
        <w:rPr>
          <w:lang w:val="en-NZ" w:eastAsia="zh-CN"/>
        </w:rPr>
        <w:t xml:space="preserve">of each </w:t>
      </w:r>
      <w:r w:rsidR="00E911D4" w:rsidRPr="005827A1">
        <w:rPr>
          <w:lang w:val="en-NZ" w:eastAsia="zh-CN"/>
        </w:rPr>
        <w:t xml:space="preserve">woman </w:t>
      </w:r>
      <w:r w:rsidR="00146B76" w:rsidRPr="005827A1">
        <w:rPr>
          <w:lang w:val="en-NZ" w:eastAsia="zh-CN"/>
        </w:rPr>
        <w:t xml:space="preserve">are covered </w:t>
      </w:r>
      <w:r w:rsidR="006F52C4" w:rsidRPr="005827A1">
        <w:rPr>
          <w:lang w:val="en-NZ" w:eastAsia="zh-CN"/>
        </w:rPr>
        <w:t>no matter whether living with the mother</w:t>
      </w:r>
      <w:r w:rsidR="004B00D0" w:rsidRPr="005827A1">
        <w:rPr>
          <w:lang w:val="en-NZ" w:eastAsia="zh-CN"/>
        </w:rPr>
        <w:t xml:space="preserve"> at the </w:t>
      </w:r>
      <w:r w:rsidR="00C86AFB" w:rsidRPr="005827A1">
        <w:rPr>
          <w:lang w:val="en-NZ" w:eastAsia="zh-CN"/>
        </w:rPr>
        <w:t>time of the s</w:t>
      </w:r>
      <w:r w:rsidR="004B00D0" w:rsidRPr="005827A1">
        <w:rPr>
          <w:lang w:val="en-NZ" w:eastAsia="zh-CN"/>
        </w:rPr>
        <w:t>urvey</w:t>
      </w:r>
      <w:r w:rsidR="006F52C4" w:rsidRPr="005827A1">
        <w:rPr>
          <w:lang w:val="en-NZ" w:eastAsia="zh-CN"/>
        </w:rPr>
        <w:t xml:space="preserve">. </w:t>
      </w:r>
      <w:r w:rsidR="004B00D0" w:rsidRPr="005827A1">
        <w:rPr>
          <w:lang w:val="en-NZ" w:eastAsia="zh-CN"/>
        </w:rPr>
        <w:t>T</w:t>
      </w:r>
      <w:r w:rsidR="00146B76" w:rsidRPr="005827A1">
        <w:rPr>
          <w:lang w:val="en-NZ" w:eastAsia="zh-CN"/>
        </w:rPr>
        <w:t>his helps us better define</w:t>
      </w:r>
      <w:r w:rsidR="004B00D0" w:rsidRPr="005827A1">
        <w:rPr>
          <w:lang w:val="en-NZ" w:eastAsia="zh-CN"/>
        </w:rPr>
        <w:t xml:space="preserve"> eligibility</w:t>
      </w:r>
      <w:r w:rsidR="00146B76" w:rsidRPr="005827A1">
        <w:rPr>
          <w:lang w:val="en-NZ" w:eastAsia="zh-CN"/>
        </w:rPr>
        <w:t xml:space="preserve"> </w:t>
      </w:r>
      <w:r w:rsidR="004B00D0" w:rsidRPr="005827A1">
        <w:rPr>
          <w:lang w:val="en-NZ" w:eastAsia="zh-CN"/>
        </w:rPr>
        <w:t>f</w:t>
      </w:r>
      <w:r w:rsidR="00146B76" w:rsidRPr="005827A1">
        <w:rPr>
          <w:lang w:val="en-NZ" w:eastAsia="zh-CN"/>
        </w:rPr>
        <w:t>or</w:t>
      </w:r>
      <w:r w:rsidR="004B00D0" w:rsidRPr="005827A1">
        <w:rPr>
          <w:lang w:val="en-NZ" w:eastAsia="zh-CN"/>
        </w:rPr>
        <w:t xml:space="preserve"> having two children because the birth </w:t>
      </w:r>
      <w:r w:rsidR="00146B76" w:rsidRPr="005827A1">
        <w:rPr>
          <w:lang w:val="en-NZ" w:eastAsia="zh-CN"/>
        </w:rPr>
        <w:t xml:space="preserve">rules are based on </w:t>
      </w:r>
      <w:r w:rsidR="00383181" w:rsidRPr="005827A1">
        <w:rPr>
          <w:lang w:val="en-NZ" w:eastAsia="zh-CN"/>
        </w:rPr>
        <w:t xml:space="preserve">all </w:t>
      </w:r>
      <w:r w:rsidR="004B00D0" w:rsidRPr="005827A1">
        <w:rPr>
          <w:lang w:val="en-NZ" w:eastAsia="zh-CN"/>
        </w:rPr>
        <w:t>children</w:t>
      </w:r>
      <w:r w:rsidR="00383181" w:rsidRPr="005827A1">
        <w:rPr>
          <w:lang w:val="en-NZ" w:eastAsia="zh-CN"/>
        </w:rPr>
        <w:t xml:space="preserve"> </w:t>
      </w:r>
      <w:r w:rsidR="00146B76" w:rsidRPr="005827A1">
        <w:rPr>
          <w:lang w:val="en-NZ" w:eastAsia="zh-CN"/>
        </w:rPr>
        <w:t xml:space="preserve">that </w:t>
      </w:r>
      <w:r w:rsidR="00B142EB" w:rsidRPr="005827A1">
        <w:rPr>
          <w:lang w:val="en-NZ" w:eastAsia="zh-CN"/>
        </w:rPr>
        <w:t>each woma</w:t>
      </w:r>
      <w:r w:rsidR="00146B76" w:rsidRPr="005827A1">
        <w:rPr>
          <w:lang w:val="en-NZ" w:eastAsia="zh-CN"/>
        </w:rPr>
        <w:t xml:space="preserve">n </w:t>
      </w:r>
      <w:r w:rsidR="00B142EB" w:rsidRPr="005827A1">
        <w:rPr>
          <w:lang w:val="en-NZ" w:eastAsia="zh-CN"/>
        </w:rPr>
        <w:t>ever had</w:t>
      </w:r>
      <w:r w:rsidR="004B00D0" w:rsidRPr="005827A1">
        <w:rPr>
          <w:lang w:val="en-NZ" w:eastAsia="zh-CN"/>
        </w:rPr>
        <w:t xml:space="preserve">.  </w:t>
      </w:r>
      <w:r w:rsidR="009A538E" w:rsidRPr="005827A1">
        <w:rPr>
          <w:lang w:eastAsia="zh-CN"/>
        </w:rPr>
        <w:t xml:space="preserve">The surveys cover </w:t>
      </w:r>
      <w:r w:rsidR="00146B76" w:rsidRPr="005827A1">
        <w:rPr>
          <w:lang w:eastAsia="zh-CN"/>
        </w:rPr>
        <w:t xml:space="preserve">economic </w:t>
      </w:r>
      <w:r w:rsidR="009A538E" w:rsidRPr="005827A1">
        <w:rPr>
          <w:lang w:eastAsia="zh-CN"/>
        </w:rPr>
        <w:t xml:space="preserve">status, such as household income and subsidies; social status such as </w:t>
      </w:r>
      <w:proofErr w:type="spellStart"/>
      <w:r w:rsidR="00C86AFB" w:rsidRPr="005827A1">
        <w:rPr>
          <w:i/>
          <w:lang w:eastAsia="zh-CN"/>
        </w:rPr>
        <w:t>H</w:t>
      </w:r>
      <w:r w:rsidR="009A538E" w:rsidRPr="005827A1">
        <w:rPr>
          <w:i/>
          <w:lang w:eastAsia="zh-CN"/>
        </w:rPr>
        <w:t>ukou</w:t>
      </w:r>
      <w:proofErr w:type="spellEnd"/>
      <w:r w:rsidR="009A538E" w:rsidRPr="005827A1">
        <w:rPr>
          <w:lang w:eastAsia="zh-CN"/>
        </w:rPr>
        <w:t xml:space="preserve"> and family composition; and parental investments in children such as the spending on inputs into their human capital formation. In particular, it has detailed data on individual diets, which provides our outcome measures.</w:t>
      </w:r>
    </w:p>
    <w:p w:rsidR="00033C13" w:rsidRPr="00033C13" w:rsidRDefault="00033C13" w:rsidP="00F1102D">
      <w:pPr>
        <w:snapToGrid w:val="0"/>
        <w:spacing w:line="288" w:lineRule="auto"/>
        <w:contextualSpacing/>
        <w:rPr>
          <w:lang w:eastAsia="zh-CN"/>
        </w:rPr>
      </w:pPr>
    </w:p>
    <w:p w:rsidR="004B00D0" w:rsidRDefault="004B00D0" w:rsidP="00033C13">
      <w:pPr>
        <w:pStyle w:val="Heading2"/>
        <w:snapToGrid w:val="0"/>
        <w:spacing w:before="0" w:after="0" w:line="288" w:lineRule="auto"/>
        <w:ind w:left="426" w:hanging="426"/>
        <w:contextualSpacing/>
        <w:rPr>
          <w:rFonts w:ascii="Times New Roman" w:hAnsi="Times New Roman"/>
          <w:i w:val="0"/>
          <w:sz w:val="24"/>
          <w:szCs w:val="24"/>
        </w:rPr>
      </w:pPr>
      <w:bookmarkStart w:id="5" w:name="_Toc466899931"/>
      <w:r w:rsidRPr="00033C13">
        <w:rPr>
          <w:rFonts w:ascii="Times New Roman" w:hAnsi="Times New Roman"/>
          <w:i w:val="0"/>
          <w:sz w:val="24"/>
          <w:szCs w:val="24"/>
          <w:lang w:eastAsia="zh-CN"/>
        </w:rPr>
        <w:t>4</w:t>
      </w:r>
      <w:r w:rsidRPr="00033C13">
        <w:rPr>
          <w:rFonts w:ascii="Times New Roman" w:hAnsi="Times New Roman"/>
          <w:i w:val="0"/>
          <w:sz w:val="24"/>
          <w:szCs w:val="24"/>
        </w:rPr>
        <w:t>.</w:t>
      </w:r>
      <w:r w:rsidR="002231E5" w:rsidRPr="00033C13">
        <w:rPr>
          <w:rFonts w:ascii="Times New Roman" w:hAnsi="Times New Roman"/>
          <w:i w:val="0"/>
          <w:sz w:val="24"/>
          <w:szCs w:val="24"/>
          <w:lang w:eastAsia="zh-CN"/>
        </w:rPr>
        <w:t>1</w:t>
      </w:r>
      <w:r w:rsidRPr="00033C13">
        <w:rPr>
          <w:rFonts w:ascii="Times New Roman" w:hAnsi="Times New Roman"/>
          <w:i w:val="0"/>
          <w:sz w:val="24"/>
          <w:szCs w:val="24"/>
        </w:rPr>
        <w:tab/>
        <w:t>Measures of the One-Child Policy Strength</w:t>
      </w:r>
      <w:bookmarkEnd w:id="5"/>
    </w:p>
    <w:p w:rsidR="006B1E6D" w:rsidRPr="006B1E6D" w:rsidRDefault="006B1E6D" w:rsidP="006B1E6D">
      <w:pPr>
        <w:rPr>
          <w:sz w:val="12"/>
          <w:szCs w:val="12"/>
        </w:rPr>
      </w:pPr>
    </w:p>
    <w:p w:rsidR="004B00D0" w:rsidRDefault="00BB457A" w:rsidP="00F1102D">
      <w:pPr>
        <w:snapToGrid w:val="0"/>
        <w:spacing w:line="288" w:lineRule="auto"/>
        <w:contextualSpacing/>
        <w:rPr>
          <w:lang w:val="en-NZ" w:eastAsia="zh-CN"/>
        </w:rPr>
      </w:pPr>
      <w:r w:rsidRPr="005827A1">
        <w:rPr>
          <w:lang w:val="en-NZ" w:eastAsia="zh-CN"/>
        </w:rPr>
        <w:t xml:space="preserve">Two sources are used to </w:t>
      </w:r>
      <w:r w:rsidR="00E66B40" w:rsidRPr="005827A1">
        <w:rPr>
          <w:lang w:val="en-NZ" w:eastAsia="zh-CN"/>
        </w:rPr>
        <w:t>define</w:t>
      </w:r>
      <w:r w:rsidRPr="005827A1">
        <w:rPr>
          <w:lang w:val="en-NZ" w:eastAsia="zh-CN"/>
        </w:rPr>
        <w:t xml:space="preserve"> the OCP regulations</w:t>
      </w:r>
      <w:r w:rsidR="00FF0B18" w:rsidRPr="005827A1">
        <w:rPr>
          <w:lang w:val="en-NZ" w:eastAsia="zh-CN"/>
        </w:rPr>
        <w:t xml:space="preserve"> in each community</w:t>
      </w:r>
      <w:r w:rsidRPr="005827A1">
        <w:rPr>
          <w:lang w:val="en-NZ" w:eastAsia="zh-CN"/>
        </w:rPr>
        <w:t xml:space="preserve">. </w:t>
      </w:r>
      <w:r w:rsidR="00FF0B18" w:rsidRPr="005827A1">
        <w:rPr>
          <w:lang w:val="en-NZ" w:eastAsia="zh-CN"/>
        </w:rPr>
        <w:t xml:space="preserve">One source is the CHNS community level data, where the local exceptions for a second or third child are </w:t>
      </w:r>
      <w:r w:rsidR="00FF0B18" w:rsidRPr="005827A1">
        <w:rPr>
          <w:lang w:val="en-NZ" w:eastAsia="zh-CN"/>
        </w:rPr>
        <w:lastRenderedPageBreak/>
        <w:t>reported by the public officials responsible for the OCP implementation. Three out of four exceptions covered by the questionnaire are used in defining the local OCP strength, in terms of whether all women in the community were allowed to have two children, the girl-exception and the only-child-exception.</w:t>
      </w:r>
      <w:r w:rsidR="00FF0B18" w:rsidRPr="005827A1">
        <w:rPr>
          <w:rStyle w:val="FootnoteReference"/>
          <w:lang w:val="en-NZ" w:eastAsia="zh-CN"/>
        </w:rPr>
        <w:footnoteReference w:id="7"/>
      </w:r>
      <w:r w:rsidR="00DF24B1" w:rsidRPr="005827A1">
        <w:rPr>
          <w:lang w:val="en-NZ" w:eastAsia="zh-CN"/>
        </w:rPr>
        <w:t xml:space="preserve"> The second </w:t>
      </w:r>
      <w:r w:rsidR="00E66B40" w:rsidRPr="005827A1">
        <w:rPr>
          <w:lang w:val="en-NZ" w:eastAsia="zh-CN"/>
        </w:rPr>
        <w:t>source is</w:t>
      </w:r>
      <w:r w:rsidRPr="005827A1">
        <w:rPr>
          <w:lang w:val="en-NZ" w:eastAsia="zh-CN"/>
        </w:rPr>
        <w:t xml:space="preserve"> government documents </w:t>
      </w:r>
      <w:r w:rsidR="0010157E" w:rsidRPr="005827A1">
        <w:rPr>
          <w:lang w:val="en-NZ" w:eastAsia="zh-CN"/>
        </w:rPr>
        <w:t xml:space="preserve">about </w:t>
      </w:r>
      <w:r w:rsidRPr="005827A1">
        <w:rPr>
          <w:lang w:val="en-NZ" w:eastAsia="zh-CN"/>
        </w:rPr>
        <w:t>provincial OCP regulations</w:t>
      </w:r>
      <w:r w:rsidR="0010157E" w:rsidRPr="005827A1">
        <w:rPr>
          <w:lang w:val="en-NZ" w:eastAsia="zh-CN"/>
        </w:rPr>
        <w:t>, which</w:t>
      </w:r>
      <w:r w:rsidRPr="005827A1">
        <w:rPr>
          <w:lang w:val="en-NZ" w:eastAsia="zh-CN"/>
        </w:rPr>
        <w:t xml:space="preserve"> are used to </w:t>
      </w:r>
      <w:r w:rsidR="00E66B40" w:rsidRPr="005827A1">
        <w:rPr>
          <w:lang w:val="en-NZ" w:eastAsia="zh-CN"/>
        </w:rPr>
        <w:t>identify the girl-exception, the only-child-exception and the occupation-exception</w:t>
      </w:r>
      <w:r w:rsidR="00DF24B1" w:rsidRPr="005827A1">
        <w:rPr>
          <w:lang w:val="en-NZ" w:eastAsia="zh-CN"/>
        </w:rPr>
        <w:t xml:space="preserve"> whe</w:t>
      </w:r>
      <w:r w:rsidR="00A264D9" w:rsidRPr="005827A1">
        <w:rPr>
          <w:lang w:val="en-NZ" w:eastAsia="zh-CN"/>
        </w:rPr>
        <w:t>n</w:t>
      </w:r>
      <w:r w:rsidR="00DF24B1" w:rsidRPr="005827A1">
        <w:rPr>
          <w:lang w:val="en-NZ" w:eastAsia="zh-CN"/>
        </w:rPr>
        <w:t xml:space="preserve"> the CHNS </w:t>
      </w:r>
      <w:r w:rsidR="00A264D9" w:rsidRPr="005827A1">
        <w:rPr>
          <w:lang w:val="en-NZ" w:eastAsia="zh-CN"/>
        </w:rPr>
        <w:t>information is missing. In addition, these documents provide information about</w:t>
      </w:r>
      <w:r w:rsidR="00E66B40" w:rsidRPr="005827A1">
        <w:rPr>
          <w:lang w:val="en-NZ" w:eastAsia="zh-CN"/>
        </w:rPr>
        <w:t xml:space="preserve"> the constraints </w:t>
      </w:r>
      <w:r w:rsidR="0010157E" w:rsidRPr="005827A1">
        <w:rPr>
          <w:lang w:val="en-NZ" w:eastAsia="zh-CN"/>
        </w:rPr>
        <w:t xml:space="preserve">on applying </w:t>
      </w:r>
      <w:r w:rsidR="008C20CF" w:rsidRPr="005827A1">
        <w:rPr>
          <w:lang w:val="en-NZ" w:eastAsia="zh-CN"/>
        </w:rPr>
        <w:t>the</w:t>
      </w:r>
      <w:r w:rsidR="00A264D9" w:rsidRPr="005827A1">
        <w:rPr>
          <w:lang w:val="en-NZ" w:eastAsia="zh-CN"/>
        </w:rPr>
        <w:t xml:space="preserve"> exception</w:t>
      </w:r>
      <w:r w:rsidR="008C20CF" w:rsidRPr="005827A1">
        <w:rPr>
          <w:lang w:val="en-NZ" w:eastAsia="zh-CN"/>
        </w:rPr>
        <w:t>s</w:t>
      </w:r>
      <w:r w:rsidR="0004340D" w:rsidRPr="005827A1">
        <w:rPr>
          <w:lang w:val="en-NZ" w:eastAsia="zh-CN"/>
        </w:rPr>
        <w:t xml:space="preserve"> in each province</w:t>
      </w:r>
      <w:r w:rsidR="008C20CF" w:rsidRPr="005827A1">
        <w:rPr>
          <w:lang w:val="en-NZ" w:eastAsia="zh-CN"/>
        </w:rPr>
        <w:t xml:space="preserve"> in different years</w:t>
      </w:r>
      <w:r w:rsidR="00A264D9" w:rsidRPr="005827A1">
        <w:rPr>
          <w:lang w:val="en-NZ" w:eastAsia="zh-CN"/>
        </w:rPr>
        <w:t>, including</w:t>
      </w:r>
      <w:r w:rsidR="00E66B40" w:rsidRPr="005827A1">
        <w:rPr>
          <w:lang w:val="en-NZ" w:eastAsia="zh-CN"/>
        </w:rPr>
        <w:t xml:space="preserve"> </w:t>
      </w:r>
      <w:r w:rsidR="00A264D9" w:rsidRPr="005827A1">
        <w:rPr>
          <w:lang w:val="en-NZ" w:eastAsia="zh-CN"/>
        </w:rPr>
        <w:t xml:space="preserve">the </w:t>
      </w:r>
      <w:r w:rsidR="0010157E" w:rsidRPr="005827A1">
        <w:rPr>
          <w:lang w:val="en-NZ" w:eastAsia="zh-CN"/>
        </w:rPr>
        <w:t xml:space="preserve">birth-gap </w:t>
      </w:r>
      <w:r w:rsidR="00E66B40" w:rsidRPr="005827A1">
        <w:rPr>
          <w:lang w:val="en-NZ" w:eastAsia="zh-CN"/>
        </w:rPr>
        <w:t>f</w:t>
      </w:r>
      <w:r w:rsidR="0010157E" w:rsidRPr="005827A1">
        <w:rPr>
          <w:lang w:val="en-NZ" w:eastAsia="zh-CN"/>
        </w:rPr>
        <w:t>or</w:t>
      </w:r>
      <w:r w:rsidR="00A264D9" w:rsidRPr="005827A1">
        <w:rPr>
          <w:lang w:val="en-NZ" w:eastAsia="zh-CN"/>
        </w:rPr>
        <w:t xml:space="preserve"> consecutive </w:t>
      </w:r>
      <w:r w:rsidR="00E66B40" w:rsidRPr="005827A1">
        <w:rPr>
          <w:lang w:val="en-NZ" w:eastAsia="zh-CN"/>
        </w:rPr>
        <w:t xml:space="preserve">children, </w:t>
      </w:r>
      <w:r w:rsidR="00A264D9" w:rsidRPr="005827A1">
        <w:rPr>
          <w:lang w:val="en-NZ" w:eastAsia="zh-CN"/>
        </w:rPr>
        <w:t xml:space="preserve">the </w:t>
      </w:r>
      <w:r w:rsidR="00E66B40" w:rsidRPr="005827A1">
        <w:rPr>
          <w:lang w:val="en-NZ" w:eastAsia="zh-CN"/>
        </w:rPr>
        <w:t>age limitation</w:t>
      </w:r>
      <w:r w:rsidR="00A264D9" w:rsidRPr="005827A1">
        <w:rPr>
          <w:lang w:val="en-NZ" w:eastAsia="zh-CN"/>
        </w:rPr>
        <w:t>s</w:t>
      </w:r>
      <w:r w:rsidR="0010157E" w:rsidRPr="005827A1">
        <w:rPr>
          <w:lang w:val="en-NZ" w:eastAsia="zh-CN"/>
        </w:rPr>
        <w:t xml:space="preserve"> on</w:t>
      </w:r>
      <w:r w:rsidR="00E66B40" w:rsidRPr="005827A1">
        <w:rPr>
          <w:lang w:val="en-NZ" w:eastAsia="zh-CN"/>
        </w:rPr>
        <w:t xml:space="preserve"> mother</w:t>
      </w:r>
      <w:r w:rsidR="00A264D9" w:rsidRPr="005827A1">
        <w:rPr>
          <w:lang w:val="en-NZ" w:eastAsia="zh-CN"/>
        </w:rPr>
        <w:t>s</w:t>
      </w:r>
      <w:r w:rsidR="00E66B40" w:rsidRPr="005827A1">
        <w:rPr>
          <w:lang w:val="en-NZ" w:eastAsia="zh-CN"/>
        </w:rPr>
        <w:t xml:space="preserve"> and </w:t>
      </w:r>
      <w:r w:rsidR="00A264D9" w:rsidRPr="005827A1">
        <w:rPr>
          <w:lang w:val="en-NZ" w:eastAsia="zh-CN"/>
        </w:rPr>
        <w:t xml:space="preserve">the </w:t>
      </w:r>
      <w:proofErr w:type="spellStart"/>
      <w:r w:rsidR="00E66B40" w:rsidRPr="005827A1">
        <w:rPr>
          <w:i/>
          <w:lang w:val="en-NZ" w:eastAsia="zh-CN"/>
        </w:rPr>
        <w:t>Hukou</w:t>
      </w:r>
      <w:proofErr w:type="spellEnd"/>
      <w:r w:rsidR="00E66B40" w:rsidRPr="005827A1">
        <w:rPr>
          <w:lang w:val="en-NZ" w:eastAsia="zh-CN"/>
        </w:rPr>
        <w:t xml:space="preserve"> requirement.</w:t>
      </w:r>
      <w:r w:rsidR="00383B62" w:rsidRPr="005827A1">
        <w:rPr>
          <w:rStyle w:val="FootnoteReference"/>
          <w:lang w:val="en-NZ" w:eastAsia="zh-CN"/>
        </w:rPr>
        <w:footnoteReference w:id="8"/>
      </w:r>
      <w:r w:rsidR="00E66B40" w:rsidRPr="005827A1">
        <w:rPr>
          <w:lang w:val="en-NZ" w:eastAsia="zh-CN"/>
        </w:rPr>
        <w:t xml:space="preserve"> </w:t>
      </w:r>
      <w:r w:rsidR="0004340D" w:rsidRPr="005827A1">
        <w:rPr>
          <w:lang w:val="en-NZ" w:eastAsia="zh-CN"/>
        </w:rPr>
        <w:t>The four exceptions</w:t>
      </w:r>
      <w:r w:rsidR="0010157E" w:rsidRPr="005827A1">
        <w:rPr>
          <w:lang w:val="en-NZ" w:eastAsia="zh-CN"/>
        </w:rPr>
        <w:t>,</w:t>
      </w:r>
      <w:r w:rsidR="0004340D" w:rsidRPr="005827A1">
        <w:rPr>
          <w:lang w:val="en-NZ" w:eastAsia="zh-CN"/>
        </w:rPr>
        <w:t xml:space="preserve"> along with the constraints</w:t>
      </w:r>
      <w:r w:rsidR="0010157E" w:rsidRPr="005827A1">
        <w:rPr>
          <w:lang w:val="en-NZ" w:eastAsia="zh-CN"/>
        </w:rPr>
        <w:t>,</w:t>
      </w:r>
      <w:r w:rsidR="0004340D" w:rsidRPr="005827A1">
        <w:rPr>
          <w:lang w:val="en-NZ" w:eastAsia="zh-CN"/>
        </w:rPr>
        <w:t xml:space="preserve"> are then applied to the families </w:t>
      </w:r>
      <w:r w:rsidR="0010157E" w:rsidRPr="005827A1">
        <w:rPr>
          <w:lang w:val="en-NZ" w:eastAsia="zh-CN"/>
        </w:rPr>
        <w:t xml:space="preserve">in the sample </w:t>
      </w:r>
      <w:r w:rsidR="0004340D" w:rsidRPr="005827A1">
        <w:rPr>
          <w:lang w:val="en-NZ" w:eastAsia="zh-CN"/>
        </w:rPr>
        <w:t>to define women’</w:t>
      </w:r>
      <w:r w:rsidR="0010157E" w:rsidRPr="005827A1">
        <w:rPr>
          <w:lang w:val="en-NZ" w:eastAsia="zh-CN"/>
        </w:rPr>
        <w:t>s eligibility for</w:t>
      </w:r>
      <w:r w:rsidR="0004340D" w:rsidRPr="005827A1">
        <w:rPr>
          <w:lang w:val="en-NZ" w:eastAsia="zh-CN"/>
        </w:rPr>
        <w:t xml:space="preserve"> having two children. </w:t>
      </w:r>
    </w:p>
    <w:p w:rsidR="00033C13" w:rsidRDefault="00033C13" w:rsidP="00F1102D">
      <w:pPr>
        <w:snapToGrid w:val="0"/>
        <w:spacing w:line="288" w:lineRule="auto"/>
        <w:contextualSpacing/>
        <w:rPr>
          <w:lang w:val="en-NZ" w:eastAsia="zh-CN"/>
        </w:rPr>
      </w:pPr>
    </w:p>
    <w:p w:rsidR="006F52C4" w:rsidRDefault="006F52C4" w:rsidP="00033C13">
      <w:pPr>
        <w:pStyle w:val="Heading2"/>
        <w:snapToGrid w:val="0"/>
        <w:spacing w:before="0" w:after="0" w:line="288" w:lineRule="auto"/>
        <w:ind w:left="426" w:hanging="426"/>
        <w:contextualSpacing/>
        <w:rPr>
          <w:rFonts w:ascii="Times New Roman" w:hAnsi="Times New Roman"/>
          <w:i w:val="0"/>
          <w:sz w:val="24"/>
          <w:szCs w:val="24"/>
        </w:rPr>
      </w:pPr>
      <w:bookmarkStart w:id="6" w:name="_Toc466899932"/>
      <w:r w:rsidRPr="00033C13">
        <w:rPr>
          <w:rFonts w:ascii="Times New Roman" w:hAnsi="Times New Roman"/>
          <w:i w:val="0"/>
          <w:sz w:val="24"/>
          <w:szCs w:val="24"/>
        </w:rPr>
        <w:t>4.</w:t>
      </w:r>
      <w:r w:rsidRPr="00033C13">
        <w:rPr>
          <w:rFonts w:ascii="Times New Roman" w:hAnsi="Times New Roman"/>
          <w:i w:val="0"/>
          <w:sz w:val="24"/>
          <w:szCs w:val="24"/>
          <w:lang w:eastAsia="zh-CN"/>
        </w:rPr>
        <w:t>2</w:t>
      </w:r>
      <w:r w:rsidRPr="00033C13">
        <w:rPr>
          <w:rFonts w:ascii="Times New Roman" w:hAnsi="Times New Roman"/>
          <w:i w:val="0"/>
          <w:sz w:val="24"/>
          <w:szCs w:val="24"/>
        </w:rPr>
        <w:tab/>
        <w:t>Nutrient Intakes</w:t>
      </w:r>
      <w:bookmarkEnd w:id="6"/>
      <w:r w:rsidRPr="00033C13">
        <w:rPr>
          <w:rFonts w:ascii="Times New Roman" w:hAnsi="Times New Roman"/>
          <w:i w:val="0"/>
          <w:sz w:val="24"/>
          <w:szCs w:val="24"/>
        </w:rPr>
        <w:t xml:space="preserve"> </w:t>
      </w:r>
    </w:p>
    <w:p w:rsidR="006B1E6D" w:rsidRPr="006B1E6D" w:rsidRDefault="006B1E6D" w:rsidP="006B1E6D">
      <w:pPr>
        <w:rPr>
          <w:sz w:val="12"/>
          <w:szCs w:val="12"/>
        </w:rPr>
      </w:pPr>
    </w:p>
    <w:p w:rsidR="006F52C4" w:rsidRDefault="006F52C4" w:rsidP="00F1102D">
      <w:pPr>
        <w:snapToGrid w:val="0"/>
        <w:spacing w:line="288" w:lineRule="auto"/>
        <w:contextualSpacing/>
      </w:pPr>
      <w:r w:rsidRPr="005827A1">
        <w:t>The CHNS has respondents keep three-day records of their food consumption, in terms of meals per person per day, and daily food intake. This information is then cleaned and reported as three-day average daily intakes for fat, protein, energy and carbohydrate, where energy is measured in kilocalories (kcal) and the others are in grams. Among these, daily energy is typically used as a general measure of the nutrition level</w:t>
      </w:r>
      <w:r w:rsidR="00146B76" w:rsidRPr="005827A1">
        <w:t>. Diets with more</w:t>
      </w:r>
      <w:r w:rsidRPr="005827A1">
        <w:t xml:space="preserve"> fat and protein are traditionally </w:t>
      </w:r>
      <w:r w:rsidR="00146B76" w:rsidRPr="005827A1">
        <w:t xml:space="preserve">seen </w:t>
      </w:r>
      <w:r w:rsidRPr="005827A1">
        <w:t>as better nutrition than carbohydrate</w:t>
      </w:r>
      <w:r w:rsidR="00146B76" w:rsidRPr="005827A1">
        <w:t>-rich diets</w:t>
      </w:r>
      <w:r w:rsidRPr="005827A1">
        <w:t xml:space="preserve"> in China</w:t>
      </w:r>
      <w:r w:rsidRPr="005827A1">
        <w:rPr>
          <w:lang w:eastAsia="zh-CN"/>
        </w:rPr>
        <w:t xml:space="preserve"> </w:t>
      </w:r>
      <w:r w:rsidR="00033C13">
        <w:t xml:space="preserve">(Zhang </w:t>
      </w:r>
      <w:r w:rsidR="00033C13" w:rsidRPr="00126D3D">
        <w:rPr>
          <w:i/>
        </w:rPr>
        <w:t>et al.</w:t>
      </w:r>
      <w:r w:rsidRPr="005827A1">
        <w:t xml:space="preserve"> 2016)</w:t>
      </w:r>
      <w:r w:rsidR="00146B76" w:rsidRPr="005827A1">
        <w:t xml:space="preserve"> and the higher income elasticity for</w:t>
      </w:r>
      <w:r w:rsidRPr="005827A1">
        <w:t xml:space="preserve"> protein and fat </w:t>
      </w:r>
      <w:r w:rsidR="00146B76" w:rsidRPr="005827A1">
        <w:t xml:space="preserve">reflects this. Thus, intakes of these two nutrients </w:t>
      </w:r>
      <w:r w:rsidRPr="005827A1">
        <w:t>sho</w:t>
      </w:r>
      <w:r w:rsidR="00146B76" w:rsidRPr="005827A1">
        <w:t>uld capture dietary preferences and reflect investments in each child.</w:t>
      </w:r>
      <w:r w:rsidRPr="005827A1">
        <w:t xml:space="preserve"> </w:t>
      </w:r>
    </w:p>
    <w:p w:rsidR="00033C13" w:rsidRPr="005827A1" w:rsidRDefault="00033C13" w:rsidP="00F1102D">
      <w:pPr>
        <w:snapToGrid w:val="0"/>
        <w:spacing w:line="288" w:lineRule="auto"/>
        <w:contextualSpacing/>
      </w:pPr>
    </w:p>
    <w:p w:rsidR="006F52C4" w:rsidRDefault="006F52C4" w:rsidP="00033C13">
      <w:pPr>
        <w:snapToGrid w:val="0"/>
        <w:spacing w:line="288" w:lineRule="auto"/>
        <w:ind w:firstLine="426"/>
        <w:contextualSpacing/>
        <w:rPr>
          <w:lang w:val="en-NZ" w:eastAsia="zh-CN"/>
        </w:rPr>
      </w:pPr>
      <w:r w:rsidRPr="005827A1">
        <w:rPr>
          <w:lang w:val="en-NZ" w:eastAsia="zh-CN"/>
        </w:rPr>
        <w:t xml:space="preserve">We </w:t>
      </w:r>
      <w:r w:rsidR="00146B76" w:rsidRPr="005827A1">
        <w:rPr>
          <w:lang w:val="en-NZ" w:eastAsia="zh-CN"/>
        </w:rPr>
        <w:t xml:space="preserve">use </w:t>
      </w:r>
      <w:r w:rsidRPr="005827A1">
        <w:rPr>
          <w:lang w:val="en-NZ" w:eastAsia="zh-CN"/>
        </w:rPr>
        <w:t xml:space="preserve">‘relative nutrient intake’ </w:t>
      </w:r>
      <w:r w:rsidR="00146B76" w:rsidRPr="005827A1">
        <w:rPr>
          <w:lang w:val="en-NZ" w:eastAsia="zh-CN"/>
        </w:rPr>
        <w:t xml:space="preserve">as </w:t>
      </w:r>
      <w:r w:rsidRPr="005827A1">
        <w:rPr>
          <w:lang w:val="en-NZ" w:eastAsia="zh-CN"/>
        </w:rPr>
        <w:t>the dependent variable</w:t>
      </w:r>
      <w:r w:rsidR="008B1B11" w:rsidRPr="005827A1">
        <w:rPr>
          <w:lang w:val="en-NZ" w:eastAsia="zh-CN"/>
        </w:rPr>
        <w:t>s</w:t>
      </w:r>
      <w:r w:rsidRPr="005827A1">
        <w:rPr>
          <w:lang w:val="en-NZ" w:eastAsia="zh-CN"/>
        </w:rPr>
        <w:t xml:space="preserve"> in the regressions. This is the ratio of each child's three-day average nutrient intake level to the </w:t>
      </w:r>
      <w:r w:rsidRPr="005827A1">
        <w:t>Recommended Nutrient Intake (RNI)</w:t>
      </w:r>
      <w:r w:rsidR="00B66D05" w:rsidRPr="005827A1">
        <w:rPr>
          <w:lang w:val="en-NZ" w:eastAsia="zh-CN"/>
        </w:rPr>
        <w:t xml:space="preserve"> for</w:t>
      </w:r>
      <w:r w:rsidRPr="005827A1">
        <w:rPr>
          <w:lang w:val="en-NZ" w:eastAsia="zh-CN"/>
        </w:rPr>
        <w:t xml:space="preserve"> the</w:t>
      </w:r>
      <w:r w:rsidR="00146B76" w:rsidRPr="005827A1">
        <w:rPr>
          <w:lang w:val="en-NZ" w:eastAsia="zh-CN"/>
        </w:rPr>
        <w:t>ir</w:t>
      </w:r>
      <w:r w:rsidRPr="005827A1">
        <w:rPr>
          <w:lang w:val="en-NZ" w:eastAsia="zh-CN"/>
        </w:rPr>
        <w:t xml:space="preserve"> age-gender group. </w:t>
      </w:r>
      <w:r w:rsidR="00B66D05" w:rsidRPr="005827A1">
        <w:rPr>
          <w:lang w:val="en-NZ" w:eastAsia="zh-CN"/>
        </w:rPr>
        <w:t>The RNI are</w:t>
      </w:r>
      <w:r w:rsidRPr="005827A1">
        <w:rPr>
          <w:lang w:val="en-NZ" w:eastAsia="zh-CN"/>
        </w:rPr>
        <w:t xml:space="preserve"> </w:t>
      </w:r>
      <w:r w:rsidR="00B66D05" w:rsidRPr="005827A1">
        <w:rPr>
          <w:lang w:val="en-NZ" w:eastAsia="zh-CN"/>
        </w:rPr>
        <w:t>from</w:t>
      </w:r>
      <w:r w:rsidRPr="005827A1">
        <w:rPr>
          <w:lang w:val="en-NZ" w:eastAsia="zh-CN"/>
        </w:rPr>
        <w:t xml:space="preserve"> the </w:t>
      </w:r>
      <w:r w:rsidRPr="005827A1">
        <w:t>Chinese Dietary Reference Intakes (DRIs), which are based on Recommended Dietary Allowances (RDA)</w:t>
      </w:r>
      <w:r w:rsidR="00B66D05" w:rsidRPr="005827A1">
        <w:t>, and are</w:t>
      </w:r>
      <w:r w:rsidRPr="005827A1">
        <w:t xml:space="preserve"> the level of intake that satisfies most individuals’ needs in certain age, gender, and physiological status groups, and is set as 1.2×EAR</w:t>
      </w:r>
      <w:r w:rsidRPr="005827A1">
        <w:rPr>
          <w:lang w:eastAsia="zh-CN"/>
        </w:rPr>
        <w:t xml:space="preserve"> (</w:t>
      </w:r>
      <w:r w:rsidRPr="005827A1">
        <w:t>Estimated Average Requirement</w:t>
      </w:r>
      <w:r w:rsidRPr="005827A1">
        <w:rPr>
          <w:lang w:eastAsia="zh-CN"/>
        </w:rPr>
        <w:t>)</w:t>
      </w:r>
      <w:r w:rsidRPr="005827A1">
        <w:t>.</w:t>
      </w:r>
      <w:r w:rsidRPr="005827A1">
        <w:rPr>
          <w:rStyle w:val="FootnoteReference"/>
        </w:rPr>
        <w:footnoteReference w:id="9"/>
      </w:r>
      <w:r w:rsidRPr="005827A1">
        <w:t xml:space="preserve">  For infants, </w:t>
      </w:r>
      <w:r w:rsidR="00B66D05" w:rsidRPr="005827A1">
        <w:t>we use</w:t>
      </w:r>
      <w:r w:rsidRPr="005827A1">
        <w:t xml:space="preserve"> </w:t>
      </w:r>
      <w:r w:rsidRPr="005827A1">
        <w:lastRenderedPageBreak/>
        <w:t xml:space="preserve">Adequate Intakes </w:t>
      </w:r>
      <w:r w:rsidRPr="005827A1">
        <w:rPr>
          <w:lang w:eastAsia="zh-CN"/>
        </w:rPr>
        <w:t>(</w:t>
      </w:r>
      <w:r w:rsidRPr="005827A1">
        <w:t>AI</w:t>
      </w:r>
      <w:r w:rsidRPr="005827A1">
        <w:rPr>
          <w:lang w:eastAsia="zh-CN"/>
        </w:rPr>
        <w:t>)</w:t>
      </w:r>
      <w:r w:rsidRPr="005827A1">
        <w:t xml:space="preserve"> as the reference nutrient intake level instead of RNI</w:t>
      </w:r>
      <w:r w:rsidR="00B66D05" w:rsidRPr="005827A1">
        <w:t>, due to lack of information. T</w:t>
      </w:r>
      <w:r w:rsidRPr="005827A1">
        <w:t>he AI also sugges</w:t>
      </w:r>
      <w:r w:rsidR="0010157E" w:rsidRPr="005827A1">
        <w:t>ts the level of nutrients that sh</w:t>
      </w:r>
      <w:r w:rsidRPr="005827A1">
        <w:t>ould satisfy most individuals’ daily needs although not as accurately as RNI.</w:t>
      </w:r>
      <w:r w:rsidRPr="005827A1">
        <w:rPr>
          <w:lang w:eastAsia="zh-CN"/>
        </w:rPr>
        <w:t xml:space="preserve"> </w:t>
      </w:r>
      <w:r w:rsidRPr="005827A1">
        <w:rPr>
          <w:lang w:val="en-NZ" w:eastAsia="zh-CN"/>
        </w:rPr>
        <w:t xml:space="preserve">Thus, </w:t>
      </w:r>
      <w:r w:rsidR="00146B76" w:rsidRPr="005827A1">
        <w:rPr>
          <w:lang w:val="en-NZ" w:eastAsia="zh-CN"/>
        </w:rPr>
        <w:t>we consider</w:t>
      </w:r>
      <w:r w:rsidR="00B66D05" w:rsidRPr="005827A1">
        <w:rPr>
          <w:lang w:val="en-NZ" w:eastAsia="zh-CN"/>
        </w:rPr>
        <w:t xml:space="preserve"> </w:t>
      </w:r>
      <w:r w:rsidRPr="005827A1">
        <w:rPr>
          <w:lang w:val="en-NZ" w:eastAsia="zh-CN"/>
        </w:rPr>
        <w:t>physical differences between boys and girls, and between children of differ</w:t>
      </w:r>
      <w:r w:rsidR="00146B76" w:rsidRPr="005827A1">
        <w:rPr>
          <w:lang w:val="en-NZ" w:eastAsia="zh-CN"/>
        </w:rPr>
        <w:t xml:space="preserve">ent age groups, which makes </w:t>
      </w:r>
      <w:r w:rsidRPr="005827A1">
        <w:rPr>
          <w:lang w:val="en-NZ" w:eastAsia="zh-CN"/>
        </w:rPr>
        <w:t xml:space="preserve">inter-personal comparison of nutrient intakes easier. Ratios smaller than one show insufficiency of the nutrients and ratios exceeding one indicate that the daily intakes are more than sufficient. </w:t>
      </w:r>
    </w:p>
    <w:p w:rsidR="00033C13" w:rsidRPr="005827A1" w:rsidRDefault="00033C13" w:rsidP="00033C13">
      <w:pPr>
        <w:snapToGrid w:val="0"/>
        <w:spacing w:line="288" w:lineRule="auto"/>
        <w:ind w:firstLine="426"/>
        <w:contextualSpacing/>
        <w:rPr>
          <w:lang w:val="en-NZ" w:eastAsia="zh-CN"/>
        </w:rPr>
      </w:pPr>
    </w:p>
    <w:p w:rsidR="00F4620D" w:rsidRDefault="00F4620D" w:rsidP="00033C13">
      <w:pPr>
        <w:pStyle w:val="Heading2"/>
        <w:snapToGrid w:val="0"/>
        <w:spacing w:before="0" w:after="0" w:line="288" w:lineRule="auto"/>
        <w:ind w:left="426" w:hanging="426"/>
        <w:contextualSpacing/>
        <w:rPr>
          <w:rFonts w:ascii="Times New Roman" w:hAnsi="Times New Roman"/>
          <w:i w:val="0"/>
          <w:sz w:val="24"/>
          <w:szCs w:val="24"/>
        </w:rPr>
      </w:pPr>
      <w:bookmarkStart w:id="7" w:name="_Toc466899933"/>
      <w:r w:rsidRPr="00033C13">
        <w:rPr>
          <w:rFonts w:ascii="Times New Roman" w:hAnsi="Times New Roman"/>
          <w:i w:val="0"/>
          <w:sz w:val="24"/>
          <w:szCs w:val="24"/>
        </w:rPr>
        <w:t>4.</w:t>
      </w:r>
      <w:r w:rsidR="002231E5" w:rsidRPr="00033C13">
        <w:rPr>
          <w:rFonts w:ascii="Times New Roman" w:hAnsi="Times New Roman"/>
          <w:i w:val="0"/>
          <w:sz w:val="24"/>
          <w:szCs w:val="24"/>
          <w:lang w:eastAsia="zh-CN"/>
        </w:rPr>
        <w:t>3</w:t>
      </w:r>
      <w:r w:rsidRPr="00033C13">
        <w:rPr>
          <w:rFonts w:ascii="Times New Roman" w:hAnsi="Times New Roman"/>
          <w:i w:val="0"/>
          <w:sz w:val="24"/>
          <w:szCs w:val="24"/>
        </w:rPr>
        <w:tab/>
        <w:t>Sample Selection</w:t>
      </w:r>
      <w:bookmarkEnd w:id="7"/>
      <w:r w:rsidRPr="00033C13">
        <w:rPr>
          <w:rFonts w:ascii="Times New Roman" w:hAnsi="Times New Roman"/>
          <w:i w:val="0"/>
          <w:sz w:val="24"/>
          <w:szCs w:val="24"/>
        </w:rPr>
        <w:t xml:space="preserve"> </w:t>
      </w:r>
    </w:p>
    <w:p w:rsidR="00BE1B1C" w:rsidRPr="00BE1B1C" w:rsidRDefault="00BE1B1C" w:rsidP="00BE1B1C">
      <w:pPr>
        <w:rPr>
          <w:sz w:val="12"/>
          <w:szCs w:val="12"/>
        </w:rPr>
      </w:pPr>
    </w:p>
    <w:p w:rsidR="00B3289D" w:rsidRDefault="00F4620D" w:rsidP="00F1102D">
      <w:pPr>
        <w:snapToGrid w:val="0"/>
        <w:spacing w:line="288" w:lineRule="auto"/>
        <w:contextualSpacing/>
        <w:rPr>
          <w:lang w:eastAsia="zh-CN"/>
        </w:rPr>
      </w:pPr>
      <w:r w:rsidRPr="005827A1">
        <w:t xml:space="preserve">Seven waves of CHNS data, </w:t>
      </w:r>
      <w:r w:rsidR="00D853EB" w:rsidRPr="005827A1">
        <w:t>from</w:t>
      </w:r>
      <w:r w:rsidRPr="005827A1">
        <w:t xml:space="preserve"> 1991, 1993, 1997, 2000, 2004, 2006 and 2009 are used.</w:t>
      </w:r>
      <w:r w:rsidR="00D853EB" w:rsidRPr="005827A1">
        <w:t xml:space="preserve"> Nine provinces are covered by the survey, except</w:t>
      </w:r>
      <w:r w:rsidR="009A538E" w:rsidRPr="005827A1">
        <w:rPr>
          <w:lang w:val="en-NZ" w:eastAsia="zh-CN"/>
        </w:rPr>
        <w:t xml:space="preserve"> Liaoning </w:t>
      </w:r>
      <w:r w:rsidR="00D853EB" w:rsidRPr="005827A1">
        <w:rPr>
          <w:lang w:val="en-NZ" w:eastAsia="zh-CN"/>
        </w:rPr>
        <w:t xml:space="preserve">was </w:t>
      </w:r>
      <w:r w:rsidR="009A538E" w:rsidRPr="005827A1">
        <w:rPr>
          <w:lang w:val="en-NZ" w:eastAsia="zh-CN"/>
        </w:rPr>
        <w:t xml:space="preserve">absent in 1997 and Heilongjiang </w:t>
      </w:r>
      <w:r w:rsidR="00435405" w:rsidRPr="005827A1">
        <w:rPr>
          <w:lang w:val="en-NZ" w:eastAsia="zh-CN"/>
        </w:rPr>
        <w:t>was absent in 1991 and 1993</w:t>
      </w:r>
      <w:r w:rsidR="002231E5" w:rsidRPr="005827A1">
        <w:rPr>
          <w:lang w:val="en-NZ" w:eastAsia="zh-CN"/>
        </w:rPr>
        <w:t xml:space="preserve">. We do not require a balanced sample for our analysis so we begin </w:t>
      </w:r>
      <w:r w:rsidR="00D853EB" w:rsidRPr="005827A1">
        <w:rPr>
          <w:lang w:val="en-NZ" w:eastAsia="zh-CN"/>
        </w:rPr>
        <w:t xml:space="preserve">by using </w:t>
      </w:r>
      <w:r w:rsidR="00CA3F31" w:rsidRPr="005827A1">
        <w:rPr>
          <w:lang w:val="en-NZ" w:eastAsia="zh-CN"/>
        </w:rPr>
        <w:t>all the observations</w:t>
      </w:r>
      <w:r w:rsidR="002231E5" w:rsidRPr="005827A1">
        <w:rPr>
          <w:lang w:val="en-NZ" w:eastAsia="zh-CN"/>
        </w:rPr>
        <w:t xml:space="preserve">. </w:t>
      </w:r>
      <w:r w:rsidR="00D853EB" w:rsidRPr="005827A1">
        <w:rPr>
          <w:lang w:val="en-NZ" w:eastAsia="zh-CN"/>
        </w:rPr>
        <w:t>We include children with</w:t>
      </w:r>
      <w:r w:rsidR="002231E5" w:rsidRPr="005827A1">
        <w:rPr>
          <w:lang w:val="en-NZ" w:eastAsia="zh-CN"/>
        </w:rPr>
        <w:t xml:space="preserve"> biological, step and </w:t>
      </w:r>
      <w:r w:rsidR="00CA3F31" w:rsidRPr="005827A1">
        <w:rPr>
          <w:lang w:val="en-NZ" w:eastAsia="zh-CN"/>
        </w:rPr>
        <w:t>foster</w:t>
      </w:r>
      <w:r w:rsidR="002231E5" w:rsidRPr="005827A1">
        <w:rPr>
          <w:lang w:val="en-NZ" w:eastAsia="zh-CN"/>
        </w:rPr>
        <w:t xml:space="preserve"> parent-child relation</w:t>
      </w:r>
      <w:r w:rsidR="00D853EB" w:rsidRPr="005827A1">
        <w:rPr>
          <w:lang w:val="en-NZ" w:eastAsia="zh-CN"/>
        </w:rPr>
        <w:t>s</w:t>
      </w:r>
      <w:r w:rsidR="00E60020" w:rsidRPr="005827A1">
        <w:rPr>
          <w:lang w:val="en-NZ" w:eastAsia="zh-CN"/>
        </w:rPr>
        <w:t xml:space="preserve"> and prioritize child-parent dyads where the parent is in the same household as the child, since that is the parent who should determine the diet of the child. We only consider </w:t>
      </w:r>
      <w:r w:rsidR="0010157E" w:rsidRPr="005827A1">
        <w:rPr>
          <w:lang w:val="en-NZ" w:eastAsia="zh-CN"/>
        </w:rPr>
        <w:t xml:space="preserve">children of </w:t>
      </w:r>
      <w:r w:rsidR="00E60020" w:rsidRPr="005827A1">
        <w:rPr>
          <w:lang w:val="en-NZ" w:eastAsia="zh-CN"/>
        </w:rPr>
        <w:t>the majority</w:t>
      </w:r>
      <w:r w:rsidR="002231E5" w:rsidRPr="005827A1">
        <w:rPr>
          <w:lang w:val="en-NZ" w:eastAsia="zh-CN"/>
        </w:rPr>
        <w:t xml:space="preserve"> </w:t>
      </w:r>
      <w:r w:rsidR="00B3289D" w:rsidRPr="005827A1">
        <w:t xml:space="preserve">Han ethnicity, </w:t>
      </w:r>
      <w:r w:rsidR="00E60020" w:rsidRPr="005827A1">
        <w:t xml:space="preserve">and exclude Han children living in communities where Han are not a majority, since diets </w:t>
      </w:r>
      <w:r w:rsidR="0010157E" w:rsidRPr="005827A1">
        <w:t xml:space="preserve">in </w:t>
      </w:r>
      <w:r w:rsidR="00E60020" w:rsidRPr="005827A1">
        <w:t xml:space="preserve">non-Han </w:t>
      </w:r>
      <w:r w:rsidR="0010157E" w:rsidRPr="005827A1">
        <w:t xml:space="preserve">areas may be </w:t>
      </w:r>
      <w:r w:rsidR="00E60020" w:rsidRPr="005827A1">
        <w:t>quite different.</w:t>
      </w:r>
      <w:r w:rsidR="00B3289D" w:rsidRPr="005827A1">
        <w:rPr>
          <w:lang w:eastAsia="zh-CN"/>
        </w:rPr>
        <w:t xml:space="preserve"> </w:t>
      </w:r>
    </w:p>
    <w:p w:rsidR="00033C13" w:rsidRPr="005827A1" w:rsidRDefault="00033C13" w:rsidP="00F1102D">
      <w:pPr>
        <w:snapToGrid w:val="0"/>
        <w:spacing w:line="288" w:lineRule="auto"/>
        <w:contextualSpacing/>
        <w:rPr>
          <w:lang w:eastAsia="zh-CN"/>
        </w:rPr>
      </w:pPr>
    </w:p>
    <w:p w:rsidR="00F4620D" w:rsidRDefault="00A331C4" w:rsidP="00033C13">
      <w:pPr>
        <w:snapToGrid w:val="0"/>
        <w:spacing w:line="288" w:lineRule="auto"/>
        <w:ind w:firstLine="426"/>
        <w:contextualSpacing/>
        <w:rPr>
          <w:lang w:val="en-NZ"/>
        </w:rPr>
      </w:pPr>
      <w:r w:rsidRPr="005827A1">
        <w:t xml:space="preserve">We also exclude </w:t>
      </w:r>
      <w:r w:rsidR="000874C7" w:rsidRPr="005827A1">
        <w:t xml:space="preserve">households whose residents include </w:t>
      </w:r>
      <w:r w:rsidRPr="005827A1">
        <w:t xml:space="preserve">children </w:t>
      </w:r>
      <w:r w:rsidR="00F4620D" w:rsidRPr="005827A1">
        <w:t>aged over 18</w:t>
      </w:r>
      <w:r w:rsidRPr="005827A1">
        <w:t xml:space="preserve">, </w:t>
      </w:r>
      <w:r w:rsidR="000874C7" w:rsidRPr="005827A1">
        <w:t xml:space="preserve">since </w:t>
      </w:r>
      <w:r w:rsidRPr="005827A1">
        <w:t>diets</w:t>
      </w:r>
      <w:r w:rsidR="00F4620D" w:rsidRPr="005827A1">
        <w:t xml:space="preserve"> </w:t>
      </w:r>
      <w:r w:rsidR="000874C7" w:rsidRPr="005827A1">
        <w:t xml:space="preserve">of these adult children </w:t>
      </w:r>
      <w:r w:rsidR="00F4620D" w:rsidRPr="005827A1">
        <w:t>are less l</w:t>
      </w:r>
      <w:r w:rsidR="002231E5" w:rsidRPr="005827A1">
        <w:t>ikely to be determined by their</w:t>
      </w:r>
      <w:r w:rsidR="002231E5" w:rsidRPr="005827A1">
        <w:rPr>
          <w:lang w:eastAsia="zh-CN"/>
        </w:rPr>
        <w:t xml:space="preserve"> </w:t>
      </w:r>
      <w:r w:rsidR="00F4620D" w:rsidRPr="005827A1">
        <w:t xml:space="preserve">parents. </w:t>
      </w:r>
      <w:r w:rsidR="00F4620D" w:rsidRPr="005827A1">
        <w:rPr>
          <w:lang w:eastAsia="zh-CN"/>
        </w:rPr>
        <w:t>In addition, children born before 1976 are excluded because the fertility choices of those families wer</w:t>
      </w:r>
      <w:r w:rsidR="00033C13">
        <w:rPr>
          <w:lang w:eastAsia="zh-CN"/>
        </w:rPr>
        <w:t xml:space="preserve">e not </w:t>
      </w:r>
      <w:r w:rsidR="00126D3D">
        <w:rPr>
          <w:lang w:eastAsia="zh-CN"/>
        </w:rPr>
        <w:t xml:space="preserve">affected by the OCP (Qian 2009 and </w:t>
      </w:r>
      <w:r w:rsidR="00033C13">
        <w:rPr>
          <w:lang w:eastAsia="zh-CN"/>
        </w:rPr>
        <w:t xml:space="preserve">Zhang </w:t>
      </w:r>
      <w:r w:rsidR="00126D3D" w:rsidRPr="00126D3D">
        <w:rPr>
          <w:i/>
          <w:color w:val="000000" w:themeColor="text1"/>
          <w:lang w:eastAsia="zh-CN"/>
        </w:rPr>
        <w:t>et al.</w:t>
      </w:r>
      <w:r w:rsidR="00126D3D" w:rsidRPr="005827A1">
        <w:rPr>
          <w:color w:val="000000" w:themeColor="text1"/>
          <w:lang w:eastAsia="zh-CN"/>
        </w:rPr>
        <w:t xml:space="preserve"> </w:t>
      </w:r>
      <w:r w:rsidR="00F4620D" w:rsidRPr="005827A1">
        <w:rPr>
          <w:lang w:eastAsia="zh-CN"/>
        </w:rPr>
        <w:t xml:space="preserve">2016). </w:t>
      </w:r>
      <w:r w:rsidR="00F4620D" w:rsidRPr="005827A1">
        <w:t>Households with twins are also excluded from our sample</w:t>
      </w:r>
      <w:r w:rsidRPr="005827A1">
        <w:t>, since</w:t>
      </w:r>
      <w:r w:rsidR="00F4620D" w:rsidRPr="005827A1">
        <w:t xml:space="preserve"> </w:t>
      </w:r>
      <w:r w:rsidR="00F4620D" w:rsidRPr="005827A1">
        <w:rPr>
          <w:lang w:eastAsia="zh-CN"/>
        </w:rPr>
        <w:t xml:space="preserve">the investments </w:t>
      </w:r>
      <w:r w:rsidRPr="005827A1">
        <w:rPr>
          <w:lang w:eastAsia="zh-CN"/>
        </w:rPr>
        <w:t>by parents in the</w:t>
      </w:r>
      <w:r w:rsidR="00F4620D" w:rsidRPr="005827A1">
        <w:rPr>
          <w:lang w:eastAsia="zh-CN"/>
        </w:rPr>
        <w:t xml:space="preserve"> </w:t>
      </w:r>
      <w:r w:rsidR="00742008" w:rsidRPr="005827A1">
        <w:rPr>
          <w:lang w:eastAsia="zh-CN"/>
        </w:rPr>
        <w:t xml:space="preserve">twins and in the </w:t>
      </w:r>
      <w:r w:rsidR="00F4620D" w:rsidRPr="005827A1">
        <w:rPr>
          <w:lang w:eastAsia="zh-CN"/>
        </w:rPr>
        <w:t xml:space="preserve">siblings of the twins </w:t>
      </w:r>
      <w:r w:rsidRPr="005827A1">
        <w:rPr>
          <w:lang w:eastAsia="zh-CN"/>
        </w:rPr>
        <w:t xml:space="preserve">may not be </w:t>
      </w:r>
      <w:r w:rsidR="00F4620D" w:rsidRPr="005827A1">
        <w:rPr>
          <w:lang w:eastAsia="zh-CN"/>
        </w:rPr>
        <w:t xml:space="preserve">comparable with </w:t>
      </w:r>
      <w:r w:rsidRPr="005827A1">
        <w:rPr>
          <w:lang w:eastAsia="zh-CN"/>
        </w:rPr>
        <w:t xml:space="preserve">those for </w:t>
      </w:r>
      <w:r w:rsidR="00F4620D" w:rsidRPr="005827A1">
        <w:rPr>
          <w:lang w:eastAsia="zh-CN"/>
        </w:rPr>
        <w:t xml:space="preserve">other </w:t>
      </w:r>
      <w:r w:rsidRPr="005827A1">
        <w:rPr>
          <w:lang w:eastAsia="zh-CN"/>
        </w:rPr>
        <w:t xml:space="preserve">children </w:t>
      </w:r>
      <w:r w:rsidR="00F4620D" w:rsidRPr="005827A1">
        <w:t>(</w:t>
      </w:r>
      <w:r w:rsidR="001B3481" w:rsidRPr="005827A1">
        <w:t xml:space="preserve">Li </w:t>
      </w:r>
      <w:r w:rsidR="00126D3D" w:rsidRPr="00126D3D">
        <w:rPr>
          <w:i/>
          <w:color w:val="000000" w:themeColor="text1"/>
          <w:lang w:eastAsia="zh-CN"/>
        </w:rPr>
        <w:t>et al.</w:t>
      </w:r>
      <w:r w:rsidR="00126D3D" w:rsidRPr="005827A1">
        <w:rPr>
          <w:color w:val="000000" w:themeColor="text1"/>
          <w:lang w:eastAsia="zh-CN"/>
        </w:rPr>
        <w:t xml:space="preserve"> </w:t>
      </w:r>
      <w:r w:rsidR="00126D3D">
        <w:rPr>
          <w:lang w:eastAsia="zh-CN"/>
        </w:rPr>
        <w:t>2008,</w:t>
      </w:r>
      <w:r w:rsidR="001B3481" w:rsidRPr="005827A1">
        <w:rPr>
          <w:lang w:eastAsia="zh-CN"/>
        </w:rPr>
        <w:t xml:space="preserve"> </w:t>
      </w:r>
      <w:proofErr w:type="spellStart"/>
      <w:r w:rsidR="00F4620D" w:rsidRPr="005827A1">
        <w:t>Rosenzweig</w:t>
      </w:r>
      <w:proofErr w:type="spellEnd"/>
      <w:r w:rsidR="00F4620D" w:rsidRPr="005827A1">
        <w:t xml:space="preserve"> and Zhang</w:t>
      </w:r>
      <w:r w:rsidR="00126D3D">
        <w:rPr>
          <w:lang w:eastAsia="zh-CN"/>
        </w:rPr>
        <w:t xml:space="preserve"> </w:t>
      </w:r>
      <w:r w:rsidR="00F4620D" w:rsidRPr="005827A1">
        <w:t>2009</w:t>
      </w:r>
      <w:r w:rsidR="00126D3D">
        <w:rPr>
          <w:lang w:eastAsia="zh-CN"/>
        </w:rPr>
        <w:t xml:space="preserve"> and</w:t>
      </w:r>
      <w:r w:rsidR="00F4620D" w:rsidRPr="005827A1">
        <w:t xml:space="preserve"> Liu</w:t>
      </w:r>
      <w:r w:rsidR="00126D3D">
        <w:rPr>
          <w:lang w:eastAsia="zh-CN"/>
        </w:rPr>
        <w:t xml:space="preserve"> </w:t>
      </w:r>
      <w:r w:rsidR="00F4620D" w:rsidRPr="005827A1">
        <w:t>2014)</w:t>
      </w:r>
      <w:r w:rsidR="008B1B11" w:rsidRPr="005827A1">
        <w:t>.</w:t>
      </w:r>
      <w:r w:rsidRPr="005827A1">
        <w:rPr>
          <w:lang w:eastAsia="zh-CN"/>
        </w:rPr>
        <w:t xml:space="preserve"> We further require that children are present in</w:t>
      </w:r>
      <w:r w:rsidR="00F4620D" w:rsidRPr="005827A1">
        <w:rPr>
          <w:lang w:eastAsia="zh-CN"/>
        </w:rPr>
        <w:t xml:space="preserve"> at least two waves of </w:t>
      </w:r>
      <w:r w:rsidRPr="005827A1">
        <w:rPr>
          <w:lang w:eastAsia="zh-CN"/>
        </w:rPr>
        <w:t>the survey, since we need this</w:t>
      </w:r>
      <w:r w:rsidR="00742008" w:rsidRPr="005827A1">
        <w:rPr>
          <w:lang w:eastAsia="zh-CN"/>
        </w:rPr>
        <w:t xml:space="preserve"> for the fixed effects analysis</w:t>
      </w:r>
      <w:r w:rsidR="00F4620D" w:rsidRPr="005827A1">
        <w:rPr>
          <w:lang w:eastAsia="zh-CN"/>
        </w:rPr>
        <w:t xml:space="preserve">. </w:t>
      </w:r>
      <w:r w:rsidRPr="005827A1">
        <w:rPr>
          <w:lang w:eastAsia="zh-CN"/>
        </w:rPr>
        <w:t>In order to calculate</w:t>
      </w:r>
      <w:r w:rsidR="008463A2" w:rsidRPr="005827A1">
        <w:rPr>
          <w:lang w:eastAsia="zh-CN"/>
        </w:rPr>
        <w:t xml:space="preserve"> community level OCP strength, we also drop communities with fewer than three </w:t>
      </w:r>
      <w:r w:rsidRPr="005827A1">
        <w:rPr>
          <w:lang w:eastAsia="zh-CN"/>
        </w:rPr>
        <w:t xml:space="preserve">ever-married </w:t>
      </w:r>
      <w:r w:rsidR="008463A2" w:rsidRPr="005827A1">
        <w:rPr>
          <w:lang w:eastAsia="zh-CN"/>
        </w:rPr>
        <w:t>women aged from 20 to 49.</w:t>
      </w:r>
      <w:r w:rsidR="00990D75" w:rsidRPr="005827A1">
        <w:rPr>
          <w:rStyle w:val="FootnoteReference"/>
          <w:color w:val="000000" w:themeColor="text1"/>
          <w:lang w:val="en-NZ" w:eastAsia="zh-CN"/>
        </w:rPr>
        <w:footnoteReference w:id="10"/>
      </w:r>
      <w:r w:rsidR="008463A2" w:rsidRPr="005827A1">
        <w:rPr>
          <w:lang w:eastAsia="zh-CN"/>
        </w:rPr>
        <w:t xml:space="preserve"> </w:t>
      </w:r>
      <w:r w:rsidR="00126D3D">
        <w:rPr>
          <w:lang w:eastAsia="zh-CN"/>
        </w:rPr>
        <w:t xml:space="preserve"> </w:t>
      </w:r>
      <w:r w:rsidR="00F4620D" w:rsidRPr="005827A1">
        <w:rPr>
          <w:lang w:eastAsia="zh-CN"/>
        </w:rPr>
        <w:t>As a result of the selection</w:t>
      </w:r>
      <w:r w:rsidR="004B00D0" w:rsidRPr="005827A1">
        <w:rPr>
          <w:lang w:eastAsia="zh-CN"/>
        </w:rPr>
        <w:t xml:space="preserve"> criteria</w:t>
      </w:r>
      <w:r w:rsidR="00F4620D" w:rsidRPr="005827A1">
        <w:rPr>
          <w:lang w:eastAsia="zh-CN"/>
        </w:rPr>
        <w:t>, our sample is not a balanced sample</w:t>
      </w:r>
      <w:r w:rsidRPr="005827A1">
        <w:rPr>
          <w:lang w:eastAsia="zh-CN"/>
        </w:rPr>
        <w:t xml:space="preserve"> although it is still quite large with almost 11,000 observations</w:t>
      </w:r>
      <w:r w:rsidR="00543C17" w:rsidRPr="005827A1">
        <w:rPr>
          <w:lang w:eastAsia="zh-CN"/>
        </w:rPr>
        <w:t xml:space="preserve">. </w:t>
      </w:r>
      <w:r w:rsidR="004B00D0" w:rsidRPr="005827A1">
        <w:rPr>
          <w:lang w:val="en-NZ" w:eastAsia="zh-CN"/>
        </w:rPr>
        <w:t>T</w:t>
      </w:r>
      <w:r w:rsidR="004B00D0" w:rsidRPr="005827A1">
        <w:rPr>
          <w:lang w:val="en-NZ"/>
        </w:rPr>
        <w:t xml:space="preserve">he number of communities </w:t>
      </w:r>
      <w:r w:rsidR="004B00D0" w:rsidRPr="005827A1">
        <w:rPr>
          <w:lang w:val="en-NZ" w:eastAsia="zh-CN"/>
        </w:rPr>
        <w:t xml:space="preserve">also varies </w:t>
      </w:r>
      <w:r w:rsidRPr="005827A1">
        <w:rPr>
          <w:lang w:val="en-NZ" w:eastAsia="zh-CN"/>
        </w:rPr>
        <w:t xml:space="preserve">over time, since </w:t>
      </w:r>
      <w:r w:rsidR="004B00D0" w:rsidRPr="005827A1">
        <w:rPr>
          <w:lang w:val="en-NZ" w:eastAsia="zh-CN"/>
        </w:rPr>
        <w:t>communities with</w:t>
      </w:r>
      <w:r w:rsidR="004F6E2C" w:rsidRPr="005827A1">
        <w:rPr>
          <w:lang w:val="en-NZ" w:eastAsia="zh-CN"/>
        </w:rPr>
        <w:t>out</w:t>
      </w:r>
      <w:r w:rsidR="004B00D0" w:rsidRPr="005827A1">
        <w:rPr>
          <w:lang w:val="en-NZ" w:eastAsia="zh-CN"/>
        </w:rPr>
        <w:t xml:space="preserve"> eligible children are </w:t>
      </w:r>
      <w:r w:rsidR="004F6E2C" w:rsidRPr="005827A1">
        <w:rPr>
          <w:lang w:val="en-NZ" w:eastAsia="zh-CN"/>
        </w:rPr>
        <w:t>excluded from the sample</w:t>
      </w:r>
      <w:r w:rsidR="004B00D0" w:rsidRPr="005827A1">
        <w:rPr>
          <w:lang w:val="en-NZ" w:eastAsia="zh-CN"/>
        </w:rPr>
        <w:t xml:space="preserve">. </w:t>
      </w:r>
      <w:r w:rsidRPr="005827A1">
        <w:rPr>
          <w:lang w:val="en-NZ" w:eastAsia="zh-CN"/>
        </w:rPr>
        <w:t xml:space="preserve">For </w:t>
      </w:r>
      <w:r w:rsidR="00E30B32" w:rsidRPr="005827A1">
        <w:rPr>
          <w:lang w:val="en-NZ"/>
        </w:rPr>
        <w:t xml:space="preserve">rural communities </w:t>
      </w:r>
      <w:r w:rsidRPr="005827A1">
        <w:rPr>
          <w:lang w:val="en-NZ"/>
        </w:rPr>
        <w:t xml:space="preserve">the </w:t>
      </w:r>
      <w:r w:rsidR="00E30B32" w:rsidRPr="005827A1">
        <w:rPr>
          <w:lang w:val="en-NZ"/>
        </w:rPr>
        <w:t>range</w:t>
      </w:r>
      <w:r w:rsidRPr="005827A1">
        <w:rPr>
          <w:lang w:val="en-NZ"/>
        </w:rPr>
        <w:t xml:space="preserve"> i</w:t>
      </w:r>
      <w:r w:rsidR="00E30B32" w:rsidRPr="005827A1">
        <w:rPr>
          <w:lang w:val="en-NZ"/>
        </w:rPr>
        <w:t xml:space="preserve">s from </w:t>
      </w:r>
      <w:r w:rsidR="00E30B32" w:rsidRPr="005827A1">
        <w:rPr>
          <w:i/>
          <w:lang w:val="en-NZ"/>
        </w:rPr>
        <w:t>n</w:t>
      </w:r>
      <w:r w:rsidR="00E30B32" w:rsidRPr="005827A1">
        <w:rPr>
          <w:lang w:val="en-NZ"/>
        </w:rPr>
        <w:t>=1</w:t>
      </w:r>
      <w:r w:rsidR="00E30B32" w:rsidRPr="005827A1">
        <w:rPr>
          <w:lang w:val="en-NZ" w:eastAsia="zh-CN"/>
        </w:rPr>
        <w:t>05</w:t>
      </w:r>
      <w:r w:rsidR="00E30B32" w:rsidRPr="005827A1">
        <w:rPr>
          <w:lang w:val="en-NZ"/>
        </w:rPr>
        <w:t xml:space="preserve"> in </w:t>
      </w:r>
      <w:r w:rsidR="00E30B32" w:rsidRPr="005827A1">
        <w:rPr>
          <w:lang w:val="en-NZ" w:eastAsia="zh-CN"/>
        </w:rPr>
        <w:t>2009</w:t>
      </w:r>
      <w:r w:rsidR="00E30B32" w:rsidRPr="005827A1">
        <w:rPr>
          <w:lang w:val="en-NZ"/>
        </w:rPr>
        <w:t xml:space="preserve"> to </w:t>
      </w:r>
      <w:r w:rsidR="00E30B32" w:rsidRPr="005827A1">
        <w:rPr>
          <w:i/>
          <w:lang w:val="en-NZ"/>
        </w:rPr>
        <w:t>n</w:t>
      </w:r>
      <w:r w:rsidR="00E30B32" w:rsidRPr="005827A1">
        <w:rPr>
          <w:lang w:val="en-NZ"/>
        </w:rPr>
        <w:t>=</w:t>
      </w:r>
      <w:r w:rsidR="00E30B32" w:rsidRPr="005827A1">
        <w:rPr>
          <w:lang w:val="en-NZ" w:eastAsia="zh-CN"/>
        </w:rPr>
        <w:t>126</w:t>
      </w:r>
      <w:r w:rsidR="00E30B32" w:rsidRPr="005827A1">
        <w:rPr>
          <w:lang w:val="en-NZ"/>
        </w:rPr>
        <w:t xml:space="preserve"> in 2000, and from </w:t>
      </w:r>
      <w:r w:rsidR="00E30B32" w:rsidRPr="005827A1">
        <w:rPr>
          <w:i/>
          <w:lang w:val="en-NZ"/>
        </w:rPr>
        <w:t>n</w:t>
      </w:r>
      <w:r w:rsidR="00E30B32" w:rsidRPr="005827A1">
        <w:rPr>
          <w:lang w:val="en-NZ"/>
        </w:rPr>
        <w:t>=</w:t>
      </w:r>
      <w:r w:rsidR="00E30B32" w:rsidRPr="005827A1">
        <w:rPr>
          <w:lang w:val="en-NZ" w:eastAsia="zh-CN"/>
        </w:rPr>
        <w:t>46</w:t>
      </w:r>
      <w:r w:rsidR="00E30B32" w:rsidRPr="005827A1">
        <w:rPr>
          <w:lang w:val="en-NZ"/>
        </w:rPr>
        <w:t xml:space="preserve"> in </w:t>
      </w:r>
      <w:r w:rsidR="00E30B32" w:rsidRPr="005827A1">
        <w:rPr>
          <w:lang w:val="en-NZ" w:eastAsia="zh-CN"/>
        </w:rPr>
        <w:t>2009</w:t>
      </w:r>
      <w:r w:rsidR="00E30B32" w:rsidRPr="005827A1">
        <w:rPr>
          <w:lang w:val="en-NZ"/>
        </w:rPr>
        <w:t xml:space="preserve"> to </w:t>
      </w:r>
      <w:r w:rsidR="00E30B32" w:rsidRPr="005827A1">
        <w:rPr>
          <w:i/>
          <w:lang w:val="en-NZ"/>
        </w:rPr>
        <w:t>n</w:t>
      </w:r>
      <w:r w:rsidR="00E30B32" w:rsidRPr="005827A1">
        <w:rPr>
          <w:lang w:val="en-NZ"/>
        </w:rPr>
        <w:t>=69 in 200</w:t>
      </w:r>
      <w:r w:rsidR="00E30B32" w:rsidRPr="005827A1">
        <w:rPr>
          <w:lang w:val="en-NZ" w:eastAsia="zh-CN"/>
        </w:rPr>
        <w:t>0</w:t>
      </w:r>
      <w:r w:rsidRPr="005827A1">
        <w:rPr>
          <w:lang w:val="en-NZ" w:eastAsia="zh-CN"/>
        </w:rPr>
        <w:t xml:space="preserve"> for urban communities</w:t>
      </w:r>
      <w:r w:rsidR="00E30B32" w:rsidRPr="005827A1">
        <w:rPr>
          <w:lang w:val="en-NZ"/>
        </w:rPr>
        <w:t xml:space="preserve">. </w:t>
      </w:r>
    </w:p>
    <w:p w:rsidR="00033C13" w:rsidRPr="005827A1" w:rsidRDefault="00033C13" w:rsidP="00033C13">
      <w:pPr>
        <w:snapToGrid w:val="0"/>
        <w:spacing w:line="288" w:lineRule="auto"/>
        <w:ind w:firstLine="426"/>
        <w:contextualSpacing/>
        <w:rPr>
          <w:lang w:val="en-NZ" w:eastAsia="zh-CN"/>
        </w:rPr>
      </w:pPr>
    </w:p>
    <w:p w:rsidR="00024BA1" w:rsidRDefault="00024BA1" w:rsidP="00033C13">
      <w:pPr>
        <w:pStyle w:val="Heading2"/>
        <w:tabs>
          <w:tab w:val="left" w:pos="426"/>
        </w:tabs>
        <w:snapToGrid w:val="0"/>
        <w:spacing w:before="0" w:after="0" w:line="288" w:lineRule="auto"/>
        <w:contextualSpacing/>
        <w:rPr>
          <w:rFonts w:ascii="Times New Roman" w:hAnsi="Times New Roman"/>
          <w:i w:val="0"/>
          <w:sz w:val="24"/>
          <w:szCs w:val="24"/>
        </w:rPr>
      </w:pPr>
      <w:bookmarkStart w:id="8" w:name="_Toc466899934"/>
      <w:r w:rsidRPr="00033C13">
        <w:rPr>
          <w:rFonts w:ascii="Times New Roman" w:hAnsi="Times New Roman"/>
          <w:i w:val="0"/>
          <w:sz w:val="24"/>
          <w:szCs w:val="24"/>
        </w:rPr>
        <w:t>4.</w:t>
      </w:r>
      <w:r w:rsidRPr="00033C13">
        <w:rPr>
          <w:rFonts w:ascii="Times New Roman" w:hAnsi="Times New Roman"/>
          <w:i w:val="0"/>
          <w:sz w:val="24"/>
          <w:szCs w:val="24"/>
          <w:lang w:eastAsia="zh-CN"/>
        </w:rPr>
        <w:t>4</w:t>
      </w:r>
      <w:r w:rsidRPr="00033C13">
        <w:rPr>
          <w:rFonts w:ascii="Times New Roman" w:hAnsi="Times New Roman"/>
          <w:i w:val="0"/>
          <w:sz w:val="24"/>
          <w:szCs w:val="24"/>
        </w:rPr>
        <w:tab/>
      </w:r>
      <w:r w:rsidRPr="00033C13">
        <w:rPr>
          <w:rFonts w:ascii="Times New Roman" w:hAnsi="Times New Roman"/>
          <w:i w:val="0"/>
          <w:sz w:val="24"/>
          <w:szCs w:val="24"/>
          <w:lang w:eastAsia="zh-CN"/>
        </w:rPr>
        <w:t>Descriptive Analysis</w:t>
      </w:r>
      <w:bookmarkEnd w:id="8"/>
      <w:r w:rsidRPr="00033C13">
        <w:rPr>
          <w:rFonts w:ascii="Times New Roman" w:hAnsi="Times New Roman"/>
          <w:i w:val="0"/>
          <w:sz w:val="24"/>
          <w:szCs w:val="24"/>
        </w:rPr>
        <w:t xml:space="preserve"> </w:t>
      </w:r>
    </w:p>
    <w:p w:rsidR="00BE1B1C" w:rsidRPr="00BE1B1C" w:rsidRDefault="00BE1B1C" w:rsidP="00BE1B1C">
      <w:pPr>
        <w:rPr>
          <w:sz w:val="12"/>
          <w:szCs w:val="12"/>
        </w:rPr>
      </w:pPr>
    </w:p>
    <w:p w:rsidR="000D50CB" w:rsidRDefault="00FA1DE1" w:rsidP="00033C13">
      <w:pPr>
        <w:spacing w:line="288" w:lineRule="auto"/>
        <w:rPr>
          <w:lang w:eastAsia="zh-CN"/>
        </w:rPr>
      </w:pPr>
      <w:r w:rsidRPr="005827A1">
        <w:rPr>
          <w:lang w:eastAsia="zh-CN"/>
        </w:rPr>
        <w:t>The mean values of the outcome variables</w:t>
      </w:r>
      <w:r w:rsidR="000D50CB" w:rsidRPr="005827A1">
        <w:rPr>
          <w:lang w:eastAsia="zh-CN"/>
        </w:rPr>
        <w:t>, instrument</w:t>
      </w:r>
      <w:r w:rsidRPr="005827A1">
        <w:rPr>
          <w:lang w:eastAsia="zh-CN"/>
        </w:rPr>
        <w:t>al</w:t>
      </w:r>
      <w:r w:rsidR="000D50CB" w:rsidRPr="005827A1">
        <w:rPr>
          <w:lang w:eastAsia="zh-CN"/>
        </w:rPr>
        <w:t xml:space="preserve"> variable, and control </w:t>
      </w:r>
      <w:r w:rsidRPr="005827A1">
        <w:rPr>
          <w:lang w:eastAsia="zh-CN"/>
        </w:rPr>
        <w:t>variables are reported in Table 1</w:t>
      </w:r>
      <w:r w:rsidR="000D50CB" w:rsidRPr="005827A1">
        <w:rPr>
          <w:lang w:eastAsia="zh-CN"/>
        </w:rPr>
        <w:t>.</w:t>
      </w:r>
      <w:r w:rsidRPr="005827A1">
        <w:rPr>
          <w:lang w:eastAsia="zh-CN"/>
        </w:rPr>
        <w:t xml:space="preserve"> T</w:t>
      </w:r>
      <w:r w:rsidR="000D50CB" w:rsidRPr="005827A1">
        <w:rPr>
          <w:lang w:eastAsia="zh-CN"/>
        </w:rPr>
        <w:t xml:space="preserve">he mean fat intake is more than </w:t>
      </w:r>
      <w:r w:rsidRPr="005827A1">
        <w:rPr>
          <w:lang w:eastAsia="zh-CN"/>
        </w:rPr>
        <w:t xml:space="preserve">recommended, while </w:t>
      </w:r>
      <w:r w:rsidR="000D50CB" w:rsidRPr="005827A1">
        <w:rPr>
          <w:lang w:eastAsia="zh-CN"/>
        </w:rPr>
        <w:t>energy</w:t>
      </w:r>
      <w:r w:rsidRPr="005827A1">
        <w:rPr>
          <w:lang w:eastAsia="zh-CN"/>
        </w:rPr>
        <w:t xml:space="preserve"> and protein intakes are, on average, below recommendations.</w:t>
      </w:r>
      <w:r w:rsidR="000D50CB" w:rsidRPr="005827A1">
        <w:rPr>
          <w:lang w:eastAsia="zh-CN"/>
        </w:rPr>
        <w:t xml:space="preserve"> </w:t>
      </w:r>
      <w:r w:rsidRPr="005827A1">
        <w:rPr>
          <w:lang w:eastAsia="zh-CN"/>
        </w:rPr>
        <w:t xml:space="preserve">These </w:t>
      </w:r>
      <w:r w:rsidR="000D50CB" w:rsidRPr="005827A1">
        <w:rPr>
          <w:lang w:eastAsia="zh-CN"/>
        </w:rPr>
        <w:t>measure</w:t>
      </w:r>
      <w:r w:rsidRPr="005827A1">
        <w:rPr>
          <w:lang w:eastAsia="zh-CN"/>
        </w:rPr>
        <w:t>s already control</w:t>
      </w:r>
      <w:r w:rsidR="000D50CB" w:rsidRPr="005827A1">
        <w:rPr>
          <w:lang w:eastAsia="zh-CN"/>
        </w:rPr>
        <w:t xml:space="preserve"> </w:t>
      </w:r>
      <w:r w:rsidRPr="005827A1">
        <w:rPr>
          <w:lang w:eastAsia="zh-CN"/>
        </w:rPr>
        <w:t xml:space="preserve">for </w:t>
      </w:r>
      <w:r w:rsidR="000D50CB" w:rsidRPr="005827A1">
        <w:rPr>
          <w:lang w:eastAsia="zh-CN"/>
        </w:rPr>
        <w:t>gender and age effect</w:t>
      </w:r>
      <w:r w:rsidR="002D642C" w:rsidRPr="005827A1">
        <w:rPr>
          <w:lang w:eastAsia="zh-CN"/>
        </w:rPr>
        <w:t>s</w:t>
      </w:r>
      <w:r w:rsidR="000D50CB" w:rsidRPr="005827A1">
        <w:rPr>
          <w:lang w:eastAsia="zh-CN"/>
        </w:rPr>
        <w:t xml:space="preserve"> </w:t>
      </w:r>
      <w:r w:rsidRPr="005827A1">
        <w:rPr>
          <w:lang w:eastAsia="zh-CN"/>
        </w:rPr>
        <w:t>and so the higher</w:t>
      </w:r>
      <w:r w:rsidR="000D50CB" w:rsidRPr="005827A1">
        <w:rPr>
          <w:lang w:eastAsia="zh-CN"/>
        </w:rPr>
        <w:t xml:space="preserve"> intakes of boys </w:t>
      </w:r>
      <w:r w:rsidRPr="005827A1">
        <w:rPr>
          <w:lang w:eastAsia="zh-CN"/>
        </w:rPr>
        <w:t xml:space="preserve">suggest some son preference. </w:t>
      </w:r>
    </w:p>
    <w:p w:rsidR="00BE1B1C" w:rsidRDefault="00BE1B1C">
      <w:pPr>
        <w:spacing w:after="200" w:line="276" w:lineRule="auto"/>
        <w:jc w:val="left"/>
        <w:rPr>
          <w:rFonts w:eastAsia="SimHei"/>
          <w:b/>
          <w:kern w:val="2"/>
          <w:sz w:val="22"/>
          <w:szCs w:val="22"/>
          <w:lang w:val="en-NZ" w:eastAsia="zh-CN" w:bidi="ar-SA"/>
        </w:rPr>
      </w:pPr>
      <w:r>
        <w:rPr>
          <w:b/>
          <w:sz w:val="22"/>
          <w:szCs w:val="22"/>
        </w:rPr>
        <w:br w:type="page"/>
      </w:r>
    </w:p>
    <w:p w:rsidR="00FF3C66" w:rsidRDefault="00FF3C66" w:rsidP="00B103AF">
      <w:pPr>
        <w:pStyle w:val="Caption"/>
        <w:jc w:val="center"/>
        <w:rPr>
          <w:rFonts w:ascii="Times New Roman" w:hAnsi="Times New Roman" w:cs="Times New Roman"/>
          <w:b/>
          <w:sz w:val="22"/>
          <w:szCs w:val="22"/>
        </w:rPr>
      </w:pPr>
      <w:r>
        <w:rPr>
          <w:rFonts w:ascii="Times New Roman" w:hAnsi="Times New Roman" w:cs="Times New Roman"/>
          <w:b/>
          <w:sz w:val="22"/>
          <w:szCs w:val="22"/>
        </w:rPr>
        <w:lastRenderedPageBreak/>
        <w:t>Table</w:t>
      </w:r>
      <w:r w:rsidR="00BE1B1C">
        <w:rPr>
          <w:rFonts w:ascii="Times New Roman" w:hAnsi="Times New Roman" w:cs="Times New Roman"/>
          <w:b/>
          <w:sz w:val="22"/>
          <w:szCs w:val="22"/>
        </w:rPr>
        <w:t xml:space="preserve"> 1</w:t>
      </w:r>
      <w:r>
        <w:rPr>
          <w:rFonts w:ascii="Times New Roman" w:hAnsi="Times New Roman" w:cs="Times New Roman"/>
          <w:b/>
          <w:sz w:val="22"/>
          <w:szCs w:val="22"/>
        </w:rPr>
        <w:t>:</w:t>
      </w:r>
      <w:r w:rsidRPr="00FF3C66">
        <w:rPr>
          <w:rFonts w:ascii="Times New Roman" w:hAnsi="Times New Roman" w:cs="Times New Roman"/>
          <w:b/>
          <w:sz w:val="22"/>
          <w:szCs w:val="22"/>
        </w:rPr>
        <w:t xml:space="preserve"> </w:t>
      </w:r>
      <w:r>
        <w:rPr>
          <w:rFonts w:ascii="Times New Roman" w:hAnsi="Times New Roman" w:cs="Times New Roman"/>
          <w:b/>
          <w:sz w:val="22"/>
          <w:szCs w:val="22"/>
        </w:rPr>
        <w:t>Descriptive S</w:t>
      </w:r>
      <w:r w:rsidRPr="00FF3C66">
        <w:rPr>
          <w:rFonts w:ascii="Times New Roman" w:hAnsi="Times New Roman" w:cs="Times New Roman"/>
          <w:b/>
          <w:sz w:val="22"/>
          <w:szCs w:val="22"/>
        </w:rPr>
        <w:t xml:space="preserve">tatistics </w:t>
      </w:r>
      <w:r>
        <w:rPr>
          <w:rFonts w:ascii="Times New Roman" w:hAnsi="Times New Roman" w:cs="Times New Roman"/>
          <w:b/>
          <w:sz w:val="22"/>
          <w:szCs w:val="22"/>
        </w:rPr>
        <w:t>for the Estimation S</w:t>
      </w:r>
      <w:r w:rsidRPr="00FF3C66">
        <w:rPr>
          <w:rFonts w:ascii="Times New Roman" w:hAnsi="Times New Roman" w:cs="Times New Roman"/>
          <w:b/>
          <w:sz w:val="22"/>
          <w:szCs w:val="22"/>
        </w:rPr>
        <w:t>ample, CHNS, 1991-2009</w:t>
      </w:r>
    </w:p>
    <w:p w:rsidR="00BE1B1C" w:rsidRPr="00BE1B1C" w:rsidRDefault="00BE1B1C" w:rsidP="00BE1B1C">
      <w:pPr>
        <w:rPr>
          <w:sz w:val="6"/>
          <w:szCs w:val="6"/>
          <w:lang w:val="en-NZ" w:eastAsia="zh-CN" w:bidi="ar-SA"/>
        </w:rPr>
      </w:pPr>
    </w:p>
    <w:tbl>
      <w:tblPr>
        <w:tblW w:w="8797" w:type="dxa"/>
        <w:tblLayout w:type="fixed"/>
        <w:tblCellMar>
          <w:left w:w="28" w:type="dxa"/>
          <w:right w:w="28" w:type="dxa"/>
        </w:tblCellMar>
        <w:tblLook w:val="04A0" w:firstRow="1" w:lastRow="0" w:firstColumn="1" w:lastColumn="0" w:noHBand="0" w:noVBand="1"/>
      </w:tblPr>
      <w:tblGrid>
        <w:gridCol w:w="5013"/>
        <w:gridCol w:w="1261"/>
        <w:gridCol w:w="1261"/>
        <w:gridCol w:w="1262"/>
      </w:tblGrid>
      <w:tr w:rsidR="00FF3C66" w:rsidRPr="005827A1" w:rsidTr="00B103AF">
        <w:tc>
          <w:tcPr>
            <w:tcW w:w="5013" w:type="dxa"/>
            <w:tcBorders>
              <w:top w:val="nil"/>
              <w:left w:val="nil"/>
              <w:bottom w:val="single" w:sz="4" w:space="0" w:color="auto"/>
              <w:right w:val="nil"/>
            </w:tcBorders>
            <w:shd w:val="clear" w:color="auto" w:fill="auto"/>
            <w:vAlign w:val="bottom"/>
            <w:hideMark/>
          </w:tcPr>
          <w:p w:rsidR="00FF3C66" w:rsidRPr="00FF3C66" w:rsidRDefault="00FF3C66" w:rsidP="00126D3D">
            <w:pPr>
              <w:spacing w:after="100"/>
              <w:rPr>
                <w:color w:val="000000"/>
                <w:sz w:val="22"/>
                <w:szCs w:val="22"/>
              </w:rPr>
            </w:pPr>
            <w:r w:rsidRPr="00FF3C66">
              <w:rPr>
                <w:color w:val="000000"/>
                <w:sz w:val="22"/>
                <w:szCs w:val="22"/>
              </w:rPr>
              <w:t> </w:t>
            </w:r>
          </w:p>
        </w:tc>
        <w:tc>
          <w:tcPr>
            <w:tcW w:w="1261" w:type="dxa"/>
            <w:tcBorders>
              <w:top w:val="nil"/>
              <w:left w:val="nil"/>
              <w:bottom w:val="single" w:sz="4" w:space="0" w:color="auto"/>
              <w:right w:val="nil"/>
            </w:tcBorders>
            <w:shd w:val="clear" w:color="auto" w:fill="auto"/>
            <w:noWrap/>
            <w:vAlign w:val="bottom"/>
            <w:hideMark/>
          </w:tcPr>
          <w:p w:rsidR="00FF3C66" w:rsidRPr="00FF3C66" w:rsidRDefault="00FF3C66" w:rsidP="00126D3D">
            <w:pPr>
              <w:spacing w:after="100"/>
              <w:jc w:val="center"/>
              <w:rPr>
                <w:color w:val="000000"/>
                <w:sz w:val="22"/>
                <w:szCs w:val="22"/>
              </w:rPr>
            </w:pPr>
            <w:r w:rsidRPr="00FF3C66">
              <w:rPr>
                <w:color w:val="000000"/>
                <w:sz w:val="22"/>
                <w:szCs w:val="22"/>
              </w:rPr>
              <w:t>All Children</w:t>
            </w:r>
          </w:p>
        </w:tc>
        <w:tc>
          <w:tcPr>
            <w:tcW w:w="1261" w:type="dxa"/>
            <w:tcBorders>
              <w:top w:val="nil"/>
              <w:left w:val="nil"/>
              <w:bottom w:val="single" w:sz="4" w:space="0" w:color="auto"/>
              <w:right w:val="nil"/>
            </w:tcBorders>
            <w:shd w:val="clear" w:color="auto" w:fill="auto"/>
            <w:noWrap/>
            <w:vAlign w:val="bottom"/>
            <w:hideMark/>
          </w:tcPr>
          <w:p w:rsidR="00FF3C66" w:rsidRPr="00FF3C66" w:rsidRDefault="00FF3C66" w:rsidP="00126D3D">
            <w:pPr>
              <w:spacing w:after="100"/>
              <w:jc w:val="center"/>
              <w:rPr>
                <w:color w:val="000000"/>
                <w:sz w:val="22"/>
                <w:szCs w:val="22"/>
              </w:rPr>
            </w:pPr>
            <w:r w:rsidRPr="00FF3C66">
              <w:rPr>
                <w:color w:val="000000"/>
                <w:sz w:val="22"/>
                <w:szCs w:val="22"/>
              </w:rPr>
              <w:t>Boys</w:t>
            </w:r>
          </w:p>
        </w:tc>
        <w:tc>
          <w:tcPr>
            <w:tcW w:w="1262" w:type="dxa"/>
            <w:tcBorders>
              <w:top w:val="nil"/>
              <w:left w:val="nil"/>
              <w:bottom w:val="single" w:sz="4" w:space="0" w:color="auto"/>
              <w:right w:val="nil"/>
            </w:tcBorders>
            <w:shd w:val="clear" w:color="auto" w:fill="auto"/>
            <w:noWrap/>
            <w:vAlign w:val="bottom"/>
            <w:hideMark/>
          </w:tcPr>
          <w:p w:rsidR="00FF3C66" w:rsidRPr="00FF3C66" w:rsidRDefault="00FF3C66" w:rsidP="00126D3D">
            <w:pPr>
              <w:spacing w:after="100"/>
              <w:jc w:val="center"/>
              <w:rPr>
                <w:color w:val="000000"/>
                <w:sz w:val="22"/>
                <w:szCs w:val="22"/>
              </w:rPr>
            </w:pPr>
            <w:r w:rsidRPr="00FF3C66">
              <w:rPr>
                <w:color w:val="000000"/>
                <w:sz w:val="22"/>
                <w:szCs w:val="22"/>
              </w:rPr>
              <w:t>Girls</w:t>
            </w:r>
          </w:p>
        </w:tc>
      </w:tr>
      <w:tr w:rsidR="00FF3C66" w:rsidRPr="005827A1" w:rsidTr="00B103AF">
        <w:tc>
          <w:tcPr>
            <w:tcW w:w="5013" w:type="dxa"/>
            <w:tcBorders>
              <w:top w:val="single" w:sz="4" w:space="0" w:color="auto"/>
              <w:left w:val="nil"/>
              <w:bottom w:val="nil"/>
              <w:right w:val="nil"/>
            </w:tcBorders>
            <w:shd w:val="clear" w:color="auto" w:fill="auto"/>
            <w:vAlign w:val="bottom"/>
            <w:hideMark/>
          </w:tcPr>
          <w:p w:rsidR="00FF3C66" w:rsidRPr="00FF3C66" w:rsidRDefault="00FF3C66" w:rsidP="0011349E">
            <w:pPr>
              <w:rPr>
                <w:i/>
                <w:iCs/>
                <w:color w:val="000000"/>
                <w:sz w:val="22"/>
                <w:szCs w:val="22"/>
              </w:rPr>
            </w:pPr>
            <w:r w:rsidRPr="00FF3C66">
              <w:rPr>
                <w:i/>
                <w:iCs/>
                <w:color w:val="000000"/>
                <w:sz w:val="22"/>
                <w:szCs w:val="22"/>
              </w:rPr>
              <w:t>Outcomes</w:t>
            </w:r>
          </w:p>
        </w:tc>
        <w:tc>
          <w:tcPr>
            <w:tcW w:w="1261" w:type="dxa"/>
            <w:tcBorders>
              <w:top w:val="single" w:sz="4" w:space="0" w:color="auto"/>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1" w:type="dxa"/>
            <w:tcBorders>
              <w:top w:val="single" w:sz="4" w:space="0" w:color="auto"/>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2" w:type="dxa"/>
            <w:tcBorders>
              <w:top w:val="single" w:sz="4" w:space="0" w:color="auto"/>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r>
      <w:tr w:rsidR="00FF3C66" w:rsidRPr="005827A1" w:rsidTr="00126D3D">
        <w:tc>
          <w:tcPr>
            <w:tcW w:w="5013" w:type="dxa"/>
            <w:tcBorders>
              <w:top w:val="nil"/>
              <w:left w:val="nil"/>
              <w:bottom w:val="nil"/>
              <w:right w:val="nil"/>
            </w:tcBorders>
            <w:shd w:val="clear" w:color="auto" w:fill="auto"/>
            <w:tcMar>
              <w:left w:w="284" w:type="dxa"/>
              <w:right w:w="28" w:type="dxa"/>
            </w:tcMar>
            <w:vAlign w:val="bottom"/>
            <w:hideMark/>
          </w:tcPr>
          <w:p w:rsidR="00FF3C66" w:rsidRPr="00FF3C66" w:rsidRDefault="00FF3C66" w:rsidP="0011349E">
            <w:pPr>
              <w:rPr>
                <w:color w:val="000000"/>
                <w:sz w:val="22"/>
                <w:szCs w:val="22"/>
              </w:rPr>
            </w:pPr>
            <w:r w:rsidRPr="00FF3C66">
              <w:rPr>
                <w:color w:val="000000"/>
                <w:sz w:val="22"/>
                <w:szCs w:val="22"/>
              </w:rPr>
              <w:t>Relative Energy Intakes</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0.77</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0.78</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0.76</w:t>
            </w:r>
          </w:p>
        </w:tc>
      </w:tr>
      <w:tr w:rsidR="00FF3C66" w:rsidRPr="005827A1" w:rsidTr="00126D3D">
        <w:tc>
          <w:tcPr>
            <w:tcW w:w="5013" w:type="dxa"/>
            <w:tcBorders>
              <w:top w:val="nil"/>
              <w:left w:val="nil"/>
              <w:right w:val="nil"/>
            </w:tcBorders>
            <w:shd w:val="clear" w:color="auto" w:fill="auto"/>
            <w:tcMar>
              <w:left w:w="284" w:type="dxa"/>
              <w:right w:w="28" w:type="dxa"/>
            </w:tcMar>
            <w:vAlign w:val="bottom"/>
            <w:hideMark/>
          </w:tcPr>
          <w:p w:rsidR="00FF3C66" w:rsidRPr="00FF3C66" w:rsidRDefault="00FF3C66" w:rsidP="0011349E">
            <w:pPr>
              <w:rPr>
                <w:color w:val="000000"/>
                <w:sz w:val="22"/>
                <w:szCs w:val="22"/>
              </w:rPr>
            </w:pPr>
            <w:r w:rsidRPr="00FF3C66">
              <w:rPr>
                <w:color w:val="000000"/>
                <w:sz w:val="22"/>
                <w:szCs w:val="22"/>
              </w:rPr>
              <w:t>Relative Protein Intakes</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0.69</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0.71</w:t>
            </w:r>
          </w:p>
        </w:tc>
        <w:tc>
          <w:tcPr>
            <w:tcW w:w="1262"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0.67</w:t>
            </w:r>
          </w:p>
        </w:tc>
      </w:tr>
      <w:tr w:rsidR="00FF3C66" w:rsidRPr="005827A1" w:rsidTr="00126D3D">
        <w:tc>
          <w:tcPr>
            <w:tcW w:w="5013" w:type="dxa"/>
            <w:tcBorders>
              <w:top w:val="nil"/>
              <w:left w:val="nil"/>
              <w:right w:val="nil"/>
            </w:tcBorders>
            <w:shd w:val="clear" w:color="auto" w:fill="auto"/>
            <w:tcMar>
              <w:left w:w="284" w:type="dxa"/>
              <w:right w:w="28" w:type="dxa"/>
            </w:tcMar>
            <w:vAlign w:val="bottom"/>
            <w:hideMark/>
          </w:tcPr>
          <w:p w:rsidR="00FF3C66" w:rsidRPr="00FF3C66" w:rsidRDefault="00FF3C66" w:rsidP="0011349E">
            <w:pPr>
              <w:rPr>
                <w:color w:val="000000"/>
                <w:sz w:val="22"/>
                <w:szCs w:val="22"/>
              </w:rPr>
            </w:pPr>
            <w:r w:rsidRPr="00FF3C66">
              <w:rPr>
                <w:color w:val="000000"/>
                <w:sz w:val="22"/>
                <w:szCs w:val="22"/>
              </w:rPr>
              <w:t>Relative Fat Intakes</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1.55</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1.59</w:t>
            </w:r>
          </w:p>
        </w:tc>
        <w:tc>
          <w:tcPr>
            <w:tcW w:w="1262"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1.50</w:t>
            </w:r>
          </w:p>
        </w:tc>
      </w:tr>
      <w:tr w:rsidR="00FF3C66" w:rsidRPr="005827A1" w:rsidTr="00126D3D">
        <w:tc>
          <w:tcPr>
            <w:tcW w:w="5013" w:type="dxa"/>
            <w:tcBorders>
              <w:top w:val="nil"/>
              <w:left w:val="nil"/>
              <w:bottom w:val="nil"/>
              <w:right w:val="nil"/>
            </w:tcBorders>
            <w:shd w:val="clear" w:color="auto" w:fill="auto"/>
            <w:vAlign w:val="bottom"/>
            <w:hideMark/>
          </w:tcPr>
          <w:p w:rsidR="00FF3C66" w:rsidRPr="00FF3C66" w:rsidRDefault="00FF3C66" w:rsidP="0011349E">
            <w:pPr>
              <w:rPr>
                <w:i/>
                <w:iCs/>
                <w:color w:val="000000"/>
                <w:sz w:val="22"/>
                <w:szCs w:val="22"/>
              </w:rPr>
            </w:pPr>
            <w:r w:rsidRPr="00FF3C66">
              <w:rPr>
                <w:i/>
                <w:iCs/>
                <w:color w:val="000000"/>
                <w:sz w:val="22"/>
                <w:szCs w:val="22"/>
              </w:rPr>
              <w:t>Instrument</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r>
      <w:tr w:rsidR="00FF3C66" w:rsidRPr="005827A1" w:rsidTr="00126D3D">
        <w:tc>
          <w:tcPr>
            <w:tcW w:w="5013" w:type="dxa"/>
            <w:tcBorders>
              <w:top w:val="nil"/>
              <w:left w:val="nil"/>
              <w:right w:val="nil"/>
            </w:tcBorders>
            <w:shd w:val="clear" w:color="auto" w:fill="auto"/>
            <w:tcMar>
              <w:left w:w="284" w:type="dxa"/>
            </w:tcMar>
            <w:vAlign w:val="bottom"/>
            <w:hideMark/>
          </w:tcPr>
          <w:p w:rsidR="00FF3C66" w:rsidRPr="00FF3C66" w:rsidRDefault="00FF3C66" w:rsidP="0011349E">
            <w:pPr>
              <w:rPr>
                <w:color w:val="000000"/>
                <w:sz w:val="22"/>
                <w:szCs w:val="22"/>
                <w:vertAlign w:val="superscript"/>
              </w:rPr>
            </w:pPr>
            <w:r w:rsidRPr="00FF3C66">
              <w:rPr>
                <w:color w:val="000000"/>
                <w:sz w:val="22"/>
                <w:szCs w:val="22"/>
              </w:rPr>
              <w:t>Community OCP Strength</w:t>
            </w:r>
            <w:r w:rsidRPr="00FF3C66">
              <w:rPr>
                <w:color w:val="000000"/>
                <w:sz w:val="22"/>
                <w:szCs w:val="22"/>
                <w:vertAlign w:val="superscript"/>
              </w:rPr>
              <w:t>1</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0.82</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0.83</w:t>
            </w:r>
          </w:p>
        </w:tc>
        <w:tc>
          <w:tcPr>
            <w:tcW w:w="1262"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0.82</w:t>
            </w:r>
          </w:p>
        </w:tc>
      </w:tr>
      <w:tr w:rsidR="00FF3C66" w:rsidRPr="005827A1" w:rsidTr="00126D3D">
        <w:tc>
          <w:tcPr>
            <w:tcW w:w="5013" w:type="dxa"/>
            <w:tcBorders>
              <w:top w:val="nil"/>
              <w:left w:val="nil"/>
              <w:bottom w:val="nil"/>
              <w:right w:val="nil"/>
            </w:tcBorders>
            <w:shd w:val="clear" w:color="auto" w:fill="auto"/>
            <w:vAlign w:val="bottom"/>
            <w:hideMark/>
          </w:tcPr>
          <w:p w:rsidR="00FF3C66" w:rsidRPr="00FF3C66" w:rsidRDefault="00FF3C66" w:rsidP="0011349E">
            <w:pPr>
              <w:rPr>
                <w:i/>
                <w:iCs/>
                <w:color w:val="000000"/>
                <w:sz w:val="22"/>
                <w:szCs w:val="22"/>
              </w:rPr>
            </w:pPr>
            <w:r w:rsidRPr="00FF3C66">
              <w:rPr>
                <w:i/>
                <w:iCs/>
                <w:color w:val="000000"/>
                <w:sz w:val="22"/>
                <w:szCs w:val="22"/>
              </w:rPr>
              <w:t>Children's Characteristics</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Number of Siblings</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0.85</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0.79</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0.94</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Age (2-digit)</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9.52</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9.45</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9.61</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First-born Child</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63.19%</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60.71%</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66.12%</w:t>
            </w:r>
          </w:p>
        </w:tc>
      </w:tr>
      <w:tr w:rsidR="00FF3C66" w:rsidRPr="005827A1" w:rsidTr="00126D3D">
        <w:tc>
          <w:tcPr>
            <w:tcW w:w="5013" w:type="dxa"/>
            <w:tcBorders>
              <w:top w:val="nil"/>
              <w:left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 xml:space="preserve">Urban </w:t>
            </w:r>
            <w:proofErr w:type="spellStart"/>
            <w:r w:rsidRPr="00FF3C66">
              <w:rPr>
                <w:i/>
                <w:color w:val="000000"/>
                <w:sz w:val="22"/>
                <w:szCs w:val="22"/>
              </w:rPr>
              <w:t>Hukou</w:t>
            </w:r>
            <w:proofErr w:type="spellEnd"/>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30.89%</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30.43%</w:t>
            </w:r>
          </w:p>
        </w:tc>
        <w:tc>
          <w:tcPr>
            <w:tcW w:w="1262"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31.43%</w:t>
            </w:r>
          </w:p>
        </w:tc>
      </w:tr>
      <w:tr w:rsidR="00FF3C66" w:rsidRPr="005827A1" w:rsidTr="00126D3D">
        <w:tc>
          <w:tcPr>
            <w:tcW w:w="5013" w:type="dxa"/>
            <w:tcBorders>
              <w:top w:val="nil"/>
              <w:left w:val="nil"/>
              <w:bottom w:val="nil"/>
              <w:right w:val="nil"/>
            </w:tcBorders>
            <w:shd w:val="clear" w:color="auto" w:fill="auto"/>
            <w:vAlign w:val="bottom"/>
            <w:hideMark/>
          </w:tcPr>
          <w:p w:rsidR="00FF3C66" w:rsidRPr="00FF3C66" w:rsidRDefault="00FF3C66" w:rsidP="0011349E">
            <w:pPr>
              <w:rPr>
                <w:i/>
                <w:iCs/>
                <w:color w:val="000000"/>
                <w:sz w:val="22"/>
                <w:szCs w:val="22"/>
              </w:rPr>
            </w:pPr>
            <w:r w:rsidRPr="00FF3C66">
              <w:rPr>
                <w:i/>
                <w:iCs/>
                <w:color w:val="000000"/>
                <w:sz w:val="22"/>
                <w:szCs w:val="22"/>
              </w:rPr>
              <w:t>Parents' Characteristics</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Mother's Years of Schooling</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7.16</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7.18</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7.14</w:t>
            </w:r>
          </w:p>
        </w:tc>
      </w:tr>
      <w:tr w:rsidR="00FF3C66" w:rsidRPr="005827A1" w:rsidTr="00126D3D">
        <w:tc>
          <w:tcPr>
            <w:tcW w:w="5013" w:type="dxa"/>
            <w:tcBorders>
              <w:top w:val="nil"/>
              <w:left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Father's Years of Schooling</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8.62</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8.61</w:t>
            </w:r>
          </w:p>
        </w:tc>
        <w:tc>
          <w:tcPr>
            <w:tcW w:w="1262"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8.63</w:t>
            </w:r>
          </w:p>
        </w:tc>
      </w:tr>
      <w:tr w:rsidR="00FF3C66" w:rsidRPr="005827A1" w:rsidTr="00126D3D">
        <w:tc>
          <w:tcPr>
            <w:tcW w:w="5013" w:type="dxa"/>
            <w:tcBorders>
              <w:top w:val="nil"/>
              <w:left w:val="nil"/>
              <w:bottom w:val="nil"/>
              <w:right w:val="nil"/>
            </w:tcBorders>
            <w:shd w:val="clear" w:color="auto" w:fill="auto"/>
            <w:vAlign w:val="bottom"/>
            <w:hideMark/>
          </w:tcPr>
          <w:p w:rsidR="00FF3C66" w:rsidRPr="00FF3C66" w:rsidRDefault="00FF3C66" w:rsidP="0011349E">
            <w:pPr>
              <w:rPr>
                <w:i/>
                <w:iCs/>
                <w:color w:val="000000"/>
                <w:sz w:val="22"/>
                <w:szCs w:val="22"/>
              </w:rPr>
            </w:pPr>
            <w:r w:rsidRPr="00FF3C66">
              <w:rPr>
                <w:i/>
                <w:iCs/>
                <w:color w:val="000000"/>
                <w:sz w:val="22"/>
                <w:szCs w:val="22"/>
              </w:rPr>
              <w:t>Community Characteristics</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vertAlign w:val="superscript"/>
              </w:rPr>
            </w:pPr>
            <w:r w:rsidRPr="00FF3C66">
              <w:rPr>
                <w:color w:val="000000"/>
                <w:sz w:val="22"/>
                <w:szCs w:val="22"/>
              </w:rPr>
              <w:t>Median Per-capita Real Household Income (yuan)</w:t>
            </w:r>
            <w:r w:rsidRPr="00FF3C66">
              <w:rPr>
                <w:color w:val="000000"/>
                <w:sz w:val="22"/>
                <w:szCs w:val="22"/>
                <w:vertAlign w:val="superscript"/>
              </w:rPr>
              <w:t>2</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3856</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3864</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3847</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vertAlign w:val="superscript"/>
              </w:rPr>
            </w:pPr>
            <w:r w:rsidRPr="00FF3C66">
              <w:rPr>
                <w:color w:val="000000"/>
                <w:sz w:val="22"/>
                <w:szCs w:val="22"/>
              </w:rPr>
              <w:t>Local Development Index</w:t>
            </w:r>
            <w:r w:rsidRPr="00FF3C66">
              <w:rPr>
                <w:color w:val="000000"/>
                <w:sz w:val="22"/>
                <w:szCs w:val="22"/>
                <w:vertAlign w:val="superscript"/>
              </w:rPr>
              <w:t>3</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52.12</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51.78</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52.52</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vertAlign w:val="superscript"/>
              </w:rPr>
            </w:pPr>
            <w:r w:rsidRPr="00FF3C66">
              <w:rPr>
                <w:color w:val="000000"/>
                <w:sz w:val="22"/>
                <w:szCs w:val="22"/>
              </w:rPr>
              <w:t>Median Energy Intakes of Adults (kcal)</w:t>
            </w:r>
            <w:r w:rsidRPr="00FF3C66">
              <w:rPr>
                <w:color w:val="000000"/>
                <w:sz w:val="22"/>
                <w:szCs w:val="22"/>
                <w:vertAlign w:val="superscript"/>
              </w:rPr>
              <w:t>4</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2377</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2574</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2208</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Median Protein Intakes of Adults (gram)</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69</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75</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64</w:t>
            </w:r>
          </w:p>
        </w:tc>
      </w:tr>
      <w:tr w:rsidR="00FF3C66" w:rsidRPr="005827A1" w:rsidTr="00126D3D">
        <w:tc>
          <w:tcPr>
            <w:tcW w:w="5013" w:type="dxa"/>
            <w:tcBorders>
              <w:top w:val="nil"/>
              <w:left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Median Fat Intakes of Adults (gram)</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63</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67</w:t>
            </w:r>
          </w:p>
        </w:tc>
        <w:tc>
          <w:tcPr>
            <w:tcW w:w="1262" w:type="dxa"/>
            <w:tcBorders>
              <w:top w:val="nil"/>
              <w:left w:val="nil"/>
              <w:right w:val="nil"/>
            </w:tcBorders>
            <w:shd w:val="clear" w:color="auto" w:fill="auto"/>
            <w:noWrap/>
            <w:vAlign w:val="bottom"/>
            <w:hideMark/>
          </w:tcPr>
          <w:p w:rsidR="00FF3C66" w:rsidRPr="00FF3C66" w:rsidRDefault="00FF3C66" w:rsidP="0011349E">
            <w:pPr>
              <w:jc w:val="center"/>
              <w:rPr>
                <w:sz w:val="22"/>
                <w:szCs w:val="22"/>
              </w:rPr>
            </w:pPr>
            <w:r w:rsidRPr="00FF3C66">
              <w:rPr>
                <w:sz w:val="22"/>
                <w:szCs w:val="22"/>
              </w:rPr>
              <w:t>59</w:t>
            </w:r>
          </w:p>
        </w:tc>
      </w:tr>
      <w:tr w:rsidR="00FF3C66" w:rsidRPr="005827A1" w:rsidTr="00126D3D">
        <w:tc>
          <w:tcPr>
            <w:tcW w:w="5013" w:type="dxa"/>
            <w:tcBorders>
              <w:top w:val="nil"/>
              <w:left w:val="nil"/>
              <w:bottom w:val="nil"/>
              <w:right w:val="nil"/>
            </w:tcBorders>
            <w:shd w:val="clear" w:color="auto" w:fill="auto"/>
            <w:vAlign w:val="bottom"/>
            <w:hideMark/>
          </w:tcPr>
          <w:p w:rsidR="00FF3C66" w:rsidRPr="00FF3C66" w:rsidRDefault="00FF3C66" w:rsidP="0011349E">
            <w:pPr>
              <w:rPr>
                <w:i/>
                <w:iCs/>
                <w:color w:val="000000"/>
                <w:sz w:val="22"/>
                <w:szCs w:val="22"/>
              </w:rPr>
            </w:pPr>
            <w:r w:rsidRPr="00FF3C66">
              <w:rPr>
                <w:i/>
                <w:iCs/>
                <w:color w:val="000000"/>
                <w:sz w:val="22"/>
                <w:szCs w:val="22"/>
              </w:rPr>
              <w:t>Province of Residence</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Liaoning</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6.25%</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5.82%</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6.76%</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Heilongjiang</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8.05%</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7.92%</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8.21%</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Jiangsu</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12.28%</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12.64%</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11.85%</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Shandong</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11.00%</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10.73%</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11.33%</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Henan</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13.52%</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13.43%</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13.64%</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Hubei</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15.74%</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15.21%</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16.36%</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Hunan</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12.28%</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12.20%</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12.37%</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Guangxi</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15.65%</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16.73%</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14.37%</w:t>
            </w:r>
          </w:p>
        </w:tc>
      </w:tr>
      <w:tr w:rsidR="00FF3C66" w:rsidRPr="005827A1" w:rsidTr="00126D3D">
        <w:tc>
          <w:tcPr>
            <w:tcW w:w="5013" w:type="dxa"/>
            <w:tcBorders>
              <w:top w:val="nil"/>
              <w:left w:val="nil"/>
              <w:right w:val="nil"/>
            </w:tcBorders>
            <w:shd w:val="clear" w:color="auto" w:fill="auto"/>
            <w:tcMar>
              <w:left w:w="284" w:type="dxa"/>
            </w:tcMar>
            <w:vAlign w:val="bottom"/>
            <w:hideMark/>
          </w:tcPr>
          <w:p w:rsidR="00FF3C66" w:rsidRPr="00FF3C66" w:rsidRDefault="00FF3C66" w:rsidP="0011349E">
            <w:pPr>
              <w:rPr>
                <w:color w:val="000000"/>
                <w:sz w:val="22"/>
                <w:szCs w:val="22"/>
              </w:rPr>
            </w:pPr>
            <w:proofErr w:type="spellStart"/>
            <w:r w:rsidRPr="00FF3C66">
              <w:rPr>
                <w:color w:val="000000"/>
                <w:sz w:val="22"/>
                <w:szCs w:val="22"/>
              </w:rPr>
              <w:t>Guizhou</w:t>
            </w:r>
            <w:proofErr w:type="spellEnd"/>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5.22%</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5.32%</w:t>
            </w:r>
          </w:p>
        </w:tc>
        <w:tc>
          <w:tcPr>
            <w:tcW w:w="1262"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5.11%</w:t>
            </w:r>
          </w:p>
        </w:tc>
      </w:tr>
      <w:tr w:rsidR="00FF3C66" w:rsidRPr="005827A1" w:rsidTr="00126D3D">
        <w:tc>
          <w:tcPr>
            <w:tcW w:w="5013" w:type="dxa"/>
            <w:tcBorders>
              <w:top w:val="nil"/>
              <w:left w:val="nil"/>
              <w:bottom w:val="nil"/>
              <w:right w:val="nil"/>
            </w:tcBorders>
            <w:shd w:val="clear" w:color="auto" w:fill="auto"/>
            <w:vAlign w:val="bottom"/>
            <w:hideMark/>
          </w:tcPr>
          <w:p w:rsidR="00FF3C66" w:rsidRPr="00FF3C66" w:rsidRDefault="00FF3C66" w:rsidP="0011349E">
            <w:pPr>
              <w:rPr>
                <w:i/>
                <w:iCs/>
                <w:color w:val="000000"/>
                <w:sz w:val="22"/>
                <w:szCs w:val="22"/>
              </w:rPr>
            </w:pPr>
            <w:r w:rsidRPr="00FF3C66">
              <w:rPr>
                <w:i/>
                <w:iCs/>
                <w:color w:val="000000"/>
                <w:sz w:val="22"/>
                <w:szCs w:val="22"/>
              </w:rPr>
              <w:t>Survey Year</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1991</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19.42%</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19.25%</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19.62%</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1993</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21.12%</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20.91%</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21.37%</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1997</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18.76%</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18.51%</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19.05%</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2000</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16.90%</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17.02%</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16.76%</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2004</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10.38%</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10.41%</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10.36%</w:t>
            </w:r>
          </w:p>
        </w:tc>
      </w:tr>
      <w:tr w:rsidR="00FF3C66" w:rsidRPr="005827A1" w:rsidTr="00126D3D">
        <w:tc>
          <w:tcPr>
            <w:tcW w:w="5013" w:type="dxa"/>
            <w:tcBorders>
              <w:top w:val="nil"/>
              <w:left w:val="nil"/>
              <w:bottom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2006</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8.52%</w:t>
            </w:r>
          </w:p>
        </w:tc>
        <w:tc>
          <w:tcPr>
            <w:tcW w:w="1261"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8.71%</w:t>
            </w:r>
          </w:p>
        </w:tc>
        <w:tc>
          <w:tcPr>
            <w:tcW w:w="1262" w:type="dxa"/>
            <w:tcBorders>
              <w:top w:val="nil"/>
              <w:left w:val="nil"/>
              <w:bottom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8.29%</w:t>
            </w:r>
          </w:p>
        </w:tc>
      </w:tr>
      <w:tr w:rsidR="00FF3C66" w:rsidRPr="005827A1" w:rsidTr="00126D3D">
        <w:tc>
          <w:tcPr>
            <w:tcW w:w="5013" w:type="dxa"/>
            <w:tcBorders>
              <w:top w:val="nil"/>
              <w:left w:val="nil"/>
              <w:right w:val="nil"/>
            </w:tcBorders>
            <w:shd w:val="clear" w:color="auto" w:fill="auto"/>
            <w:tcMar>
              <w:left w:w="284" w:type="dxa"/>
            </w:tcMar>
            <w:vAlign w:val="bottom"/>
            <w:hideMark/>
          </w:tcPr>
          <w:p w:rsidR="00FF3C66" w:rsidRPr="00FF3C66" w:rsidRDefault="00FF3C66" w:rsidP="0011349E">
            <w:pPr>
              <w:rPr>
                <w:color w:val="000000"/>
                <w:sz w:val="22"/>
                <w:szCs w:val="22"/>
              </w:rPr>
            </w:pPr>
            <w:r w:rsidRPr="00FF3C66">
              <w:rPr>
                <w:color w:val="000000"/>
                <w:sz w:val="22"/>
                <w:szCs w:val="22"/>
              </w:rPr>
              <w:t>2009</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4.90%</w:t>
            </w:r>
          </w:p>
        </w:tc>
        <w:tc>
          <w:tcPr>
            <w:tcW w:w="1261"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5.19%</w:t>
            </w:r>
          </w:p>
        </w:tc>
        <w:tc>
          <w:tcPr>
            <w:tcW w:w="1262" w:type="dxa"/>
            <w:tcBorders>
              <w:top w:val="nil"/>
              <w:left w:val="nil"/>
              <w:right w:val="nil"/>
            </w:tcBorders>
            <w:shd w:val="clear" w:color="auto" w:fill="auto"/>
            <w:noWrap/>
            <w:vAlign w:val="bottom"/>
            <w:hideMark/>
          </w:tcPr>
          <w:p w:rsidR="00FF3C66" w:rsidRPr="00FF3C66" w:rsidRDefault="00FF3C66" w:rsidP="0011349E">
            <w:pPr>
              <w:jc w:val="center"/>
              <w:rPr>
                <w:color w:val="000000"/>
                <w:sz w:val="22"/>
                <w:szCs w:val="22"/>
              </w:rPr>
            </w:pPr>
            <w:r w:rsidRPr="00FF3C66">
              <w:rPr>
                <w:color w:val="000000"/>
                <w:sz w:val="22"/>
                <w:szCs w:val="22"/>
              </w:rPr>
              <w:t>4.55%</w:t>
            </w:r>
          </w:p>
        </w:tc>
      </w:tr>
      <w:tr w:rsidR="00FF3C66" w:rsidRPr="005827A1" w:rsidTr="00126D3D">
        <w:tc>
          <w:tcPr>
            <w:tcW w:w="5013" w:type="dxa"/>
            <w:tcBorders>
              <w:left w:val="nil"/>
              <w:bottom w:val="single" w:sz="4" w:space="0" w:color="auto"/>
              <w:right w:val="nil"/>
            </w:tcBorders>
            <w:shd w:val="clear" w:color="auto" w:fill="auto"/>
            <w:vAlign w:val="bottom"/>
            <w:hideMark/>
          </w:tcPr>
          <w:p w:rsidR="00FF3C66" w:rsidRPr="00FF3C66" w:rsidRDefault="00FF3C66" w:rsidP="00126D3D">
            <w:pPr>
              <w:spacing w:after="100"/>
              <w:rPr>
                <w:color w:val="000000"/>
                <w:sz w:val="22"/>
                <w:szCs w:val="22"/>
              </w:rPr>
            </w:pPr>
            <w:r w:rsidRPr="00FF3C66">
              <w:rPr>
                <w:color w:val="000000"/>
                <w:sz w:val="22"/>
                <w:szCs w:val="22"/>
              </w:rPr>
              <w:t>Total Number of Observations</w:t>
            </w:r>
          </w:p>
        </w:tc>
        <w:tc>
          <w:tcPr>
            <w:tcW w:w="1261" w:type="dxa"/>
            <w:tcBorders>
              <w:left w:val="nil"/>
              <w:bottom w:val="single" w:sz="4" w:space="0" w:color="auto"/>
              <w:right w:val="nil"/>
            </w:tcBorders>
            <w:shd w:val="clear" w:color="auto" w:fill="auto"/>
            <w:noWrap/>
            <w:vAlign w:val="bottom"/>
            <w:hideMark/>
          </w:tcPr>
          <w:p w:rsidR="00FF3C66" w:rsidRPr="00FF3C66" w:rsidRDefault="00FF3C66" w:rsidP="00126D3D">
            <w:pPr>
              <w:spacing w:after="100"/>
              <w:jc w:val="center"/>
              <w:rPr>
                <w:color w:val="000000"/>
                <w:sz w:val="22"/>
                <w:szCs w:val="22"/>
              </w:rPr>
            </w:pPr>
            <w:r w:rsidRPr="00FF3C66">
              <w:rPr>
                <w:color w:val="000000"/>
                <w:sz w:val="22"/>
                <w:szCs w:val="22"/>
              </w:rPr>
              <w:t>10,988</w:t>
            </w:r>
          </w:p>
        </w:tc>
        <w:tc>
          <w:tcPr>
            <w:tcW w:w="1261" w:type="dxa"/>
            <w:tcBorders>
              <w:left w:val="nil"/>
              <w:bottom w:val="single" w:sz="4" w:space="0" w:color="auto"/>
              <w:right w:val="nil"/>
            </w:tcBorders>
            <w:shd w:val="clear" w:color="auto" w:fill="auto"/>
            <w:noWrap/>
            <w:vAlign w:val="bottom"/>
            <w:hideMark/>
          </w:tcPr>
          <w:p w:rsidR="00FF3C66" w:rsidRPr="00FF3C66" w:rsidRDefault="00FF3C66" w:rsidP="00126D3D">
            <w:pPr>
              <w:spacing w:after="100"/>
              <w:jc w:val="center"/>
              <w:rPr>
                <w:color w:val="000000"/>
                <w:sz w:val="22"/>
                <w:szCs w:val="22"/>
              </w:rPr>
            </w:pPr>
            <w:r w:rsidRPr="00FF3C66">
              <w:rPr>
                <w:color w:val="000000"/>
                <w:sz w:val="22"/>
                <w:szCs w:val="22"/>
              </w:rPr>
              <w:t>5,958</w:t>
            </w:r>
          </w:p>
        </w:tc>
        <w:tc>
          <w:tcPr>
            <w:tcW w:w="1262" w:type="dxa"/>
            <w:tcBorders>
              <w:left w:val="nil"/>
              <w:bottom w:val="single" w:sz="4" w:space="0" w:color="auto"/>
              <w:right w:val="nil"/>
            </w:tcBorders>
            <w:shd w:val="clear" w:color="auto" w:fill="auto"/>
            <w:noWrap/>
            <w:vAlign w:val="bottom"/>
            <w:hideMark/>
          </w:tcPr>
          <w:p w:rsidR="00FF3C66" w:rsidRPr="00FF3C66" w:rsidRDefault="00FF3C66" w:rsidP="00126D3D">
            <w:pPr>
              <w:spacing w:after="100"/>
              <w:jc w:val="center"/>
              <w:rPr>
                <w:color w:val="000000"/>
                <w:sz w:val="22"/>
                <w:szCs w:val="22"/>
              </w:rPr>
            </w:pPr>
            <w:r w:rsidRPr="00FF3C66">
              <w:rPr>
                <w:color w:val="000000"/>
                <w:sz w:val="22"/>
                <w:szCs w:val="22"/>
              </w:rPr>
              <w:t>5,030</w:t>
            </w:r>
          </w:p>
        </w:tc>
      </w:tr>
    </w:tbl>
    <w:p w:rsidR="0011349E" w:rsidRDefault="00FF3C66" w:rsidP="00126D3D">
      <w:pPr>
        <w:autoSpaceDE w:val="0"/>
        <w:autoSpaceDN w:val="0"/>
        <w:adjustRightInd w:val="0"/>
        <w:spacing w:before="100"/>
        <w:rPr>
          <w:i/>
          <w:iCs/>
          <w:color w:val="000000"/>
          <w:sz w:val="20"/>
          <w:szCs w:val="20"/>
        </w:rPr>
      </w:pPr>
      <w:r w:rsidRPr="00FF3C66">
        <w:rPr>
          <w:i/>
          <w:iCs/>
          <w:color w:val="000000"/>
          <w:sz w:val="20"/>
          <w:szCs w:val="20"/>
        </w:rPr>
        <w:t xml:space="preserve">Notes: </w:t>
      </w:r>
    </w:p>
    <w:p w:rsidR="00FF3C66" w:rsidRDefault="00FF3C66" w:rsidP="0011349E">
      <w:pPr>
        <w:autoSpaceDE w:val="0"/>
        <w:autoSpaceDN w:val="0"/>
        <w:adjustRightInd w:val="0"/>
        <w:rPr>
          <w:i/>
          <w:iCs/>
          <w:color w:val="000000"/>
          <w:sz w:val="20"/>
          <w:szCs w:val="20"/>
        </w:rPr>
      </w:pPr>
      <w:r w:rsidRPr="00FF3C66">
        <w:rPr>
          <w:color w:val="000000"/>
          <w:sz w:val="20"/>
          <w:szCs w:val="20"/>
        </w:rPr>
        <w:t>Values in the table are means unless noted otherwise.</w:t>
      </w:r>
      <w:r w:rsidRPr="00FF3C66">
        <w:rPr>
          <w:i/>
          <w:iCs/>
          <w:color w:val="000000"/>
          <w:sz w:val="20"/>
          <w:szCs w:val="20"/>
        </w:rPr>
        <w:t xml:space="preserve"> </w:t>
      </w:r>
    </w:p>
    <w:p w:rsidR="00BE1B1C" w:rsidRPr="00BE1B1C" w:rsidRDefault="00BE1B1C" w:rsidP="0011349E">
      <w:pPr>
        <w:autoSpaceDE w:val="0"/>
        <w:autoSpaceDN w:val="0"/>
        <w:adjustRightInd w:val="0"/>
        <w:rPr>
          <w:i/>
          <w:iCs/>
          <w:color w:val="000000"/>
          <w:sz w:val="8"/>
          <w:szCs w:val="8"/>
        </w:rPr>
      </w:pPr>
    </w:p>
    <w:p w:rsidR="00FF3C66" w:rsidRDefault="00FF3C66" w:rsidP="00126D3D">
      <w:pPr>
        <w:pStyle w:val="ListParagraph"/>
        <w:numPr>
          <w:ilvl w:val="0"/>
          <w:numId w:val="8"/>
        </w:numPr>
        <w:autoSpaceDE w:val="0"/>
        <w:autoSpaceDN w:val="0"/>
        <w:adjustRightInd w:val="0"/>
        <w:ind w:left="284" w:hanging="284"/>
        <w:rPr>
          <w:color w:val="000000" w:themeColor="text1"/>
          <w:sz w:val="20"/>
          <w:szCs w:val="20"/>
          <w:lang w:val="en-NZ"/>
        </w:rPr>
      </w:pPr>
      <w:r w:rsidRPr="00FF3C66">
        <w:rPr>
          <w:color w:val="000000"/>
          <w:sz w:val="20"/>
          <w:szCs w:val="20"/>
        </w:rPr>
        <w:t xml:space="preserve">Community OCP strength is </w:t>
      </w:r>
      <w:r w:rsidRPr="00FF3C66">
        <w:rPr>
          <w:color w:val="000000" w:themeColor="text1"/>
          <w:sz w:val="20"/>
          <w:szCs w:val="20"/>
          <w:lang w:val="en-NZ" w:eastAsia="zh-CN"/>
        </w:rPr>
        <w:t xml:space="preserve">the proportion of </w:t>
      </w:r>
      <w:r w:rsidRPr="00FF3C66">
        <w:rPr>
          <w:color w:val="000000" w:themeColor="text1"/>
          <w:sz w:val="20"/>
          <w:szCs w:val="20"/>
          <w:lang w:eastAsia="zh-CN"/>
        </w:rPr>
        <w:t xml:space="preserve">women </w:t>
      </w:r>
      <w:r w:rsidRPr="00FF3C66">
        <w:rPr>
          <w:color w:val="000000" w:themeColor="text1"/>
          <w:sz w:val="20"/>
          <w:szCs w:val="20"/>
          <w:lang w:val="en-NZ" w:eastAsia="zh-CN"/>
        </w:rPr>
        <w:t xml:space="preserve">eligible to have two children according to the local rules, with the </w:t>
      </w:r>
      <w:r w:rsidRPr="00FF3C66">
        <w:rPr>
          <w:color w:val="000000" w:themeColor="text1"/>
          <w:sz w:val="20"/>
          <w:szCs w:val="20"/>
          <w:lang w:eastAsia="zh-CN"/>
        </w:rPr>
        <w:t>number of ever-married women aged 20 to 49</w:t>
      </w:r>
      <w:r w:rsidRPr="00FF3C66">
        <w:rPr>
          <w:color w:val="000000" w:themeColor="text1"/>
          <w:sz w:val="20"/>
          <w:szCs w:val="20"/>
          <w:lang w:val="en-NZ" w:eastAsia="zh-CN"/>
        </w:rPr>
        <w:t xml:space="preserve"> in each community as the denominator.</w:t>
      </w:r>
    </w:p>
    <w:p w:rsidR="00BE1B1C" w:rsidRPr="00BE1B1C" w:rsidRDefault="00BE1B1C" w:rsidP="00126D3D">
      <w:pPr>
        <w:pStyle w:val="ListParagraph"/>
        <w:autoSpaceDE w:val="0"/>
        <w:autoSpaceDN w:val="0"/>
        <w:adjustRightInd w:val="0"/>
        <w:ind w:left="284"/>
        <w:rPr>
          <w:color w:val="000000" w:themeColor="text1"/>
          <w:sz w:val="8"/>
          <w:szCs w:val="8"/>
          <w:lang w:val="en-NZ"/>
        </w:rPr>
      </w:pPr>
    </w:p>
    <w:p w:rsidR="00FF3C66" w:rsidRDefault="00FF3C66" w:rsidP="00126D3D">
      <w:pPr>
        <w:pStyle w:val="ListParagraph"/>
        <w:numPr>
          <w:ilvl w:val="0"/>
          <w:numId w:val="8"/>
        </w:numPr>
        <w:autoSpaceDE w:val="0"/>
        <w:autoSpaceDN w:val="0"/>
        <w:adjustRightInd w:val="0"/>
        <w:ind w:left="284" w:hanging="284"/>
        <w:rPr>
          <w:color w:val="000000"/>
          <w:sz w:val="20"/>
          <w:szCs w:val="20"/>
        </w:rPr>
      </w:pPr>
      <w:r w:rsidRPr="00FF3C66">
        <w:rPr>
          <w:color w:val="000000"/>
          <w:sz w:val="20"/>
          <w:szCs w:val="20"/>
        </w:rPr>
        <w:t>Median per-capita household income is adjusted to 2009 prices.</w:t>
      </w:r>
    </w:p>
    <w:p w:rsidR="00BE1B1C" w:rsidRPr="00BE1B1C" w:rsidRDefault="00BE1B1C" w:rsidP="00126D3D">
      <w:pPr>
        <w:pStyle w:val="ListParagraph"/>
        <w:autoSpaceDE w:val="0"/>
        <w:autoSpaceDN w:val="0"/>
        <w:adjustRightInd w:val="0"/>
        <w:ind w:left="284"/>
        <w:rPr>
          <w:color w:val="000000"/>
          <w:sz w:val="8"/>
          <w:szCs w:val="8"/>
        </w:rPr>
      </w:pPr>
    </w:p>
    <w:p w:rsidR="00FF3C66" w:rsidRDefault="00FF3C66" w:rsidP="00126D3D">
      <w:pPr>
        <w:pStyle w:val="ListParagraph"/>
        <w:numPr>
          <w:ilvl w:val="0"/>
          <w:numId w:val="8"/>
        </w:numPr>
        <w:autoSpaceDE w:val="0"/>
        <w:autoSpaceDN w:val="0"/>
        <w:adjustRightInd w:val="0"/>
        <w:ind w:left="284" w:hanging="284"/>
        <w:rPr>
          <w:color w:val="000000"/>
          <w:sz w:val="20"/>
          <w:szCs w:val="20"/>
        </w:rPr>
      </w:pPr>
      <w:r w:rsidRPr="00FF3C66">
        <w:rPr>
          <w:color w:val="000000"/>
          <w:sz w:val="20"/>
          <w:szCs w:val="20"/>
        </w:rPr>
        <w:t xml:space="preserve">The index is provided in the CHNS database and is constructed from community level indicators of: population density, education, sanitation, housing, transportation, communications, health, market development, economic development, diversity, and indicators of modern markets and social services. </w:t>
      </w:r>
    </w:p>
    <w:p w:rsidR="00BE1B1C" w:rsidRPr="00BE1B1C" w:rsidRDefault="00BE1B1C" w:rsidP="00126D3D">
      <w:pPr>
        <w:pStyle w:val="ListParagraph"/>
        <w:autoSpaceDE w:val="0"/>
        <w:autoSpaceDN w:val="0"/>
        <w:adjustRightInd w:val="0"/>
        <w:ind w:left="284"/>
        <w:rPr>
          <w:color w:val="000000"/>
          <w:sz w:val="8"/>
          <w:szCs w:val="8"/>
        </w:rPr>
      </w:pPr>
    </w:p>
    <w:p w:rsidR="00FF3C66" w:rsidRPr="00FF3C66" w:rsidRDefault="00FF3C66" w:rsidP="00126D3D">
      <w:pPr>
        <w:pStyle w:val="ListParagraph"/>
        <w:numPr>
          <w:ilvl w:val="0"/>
          <w:numId w:val="8"/>
        </w:numPr>
        <w:autoSpaceDE w:val="0"/>
        <w:autoSpaceDN w:val="0"/>
        <w:adjustRightInd w:val="0"/>
        <w:ind w:left="284" w:hanging="284"/>
        <w:rPr>
          <w:color w:val="000000"/>
          <w:sz w:val="20"/>
          <w:szCs w:val="20"/>
        </w:rPr>
      </w:pPr>
      <w:r w:rsidRPr="00FF3C66">
        <w:rPr>
          <w:color w:val="000000"/>
          <w:sz w:val="20"/>
          <w:szCs w:val="20"/>
        </w:rPr>
        <w:t xml:space="preserve">The median intake of each nutrient item is calculated based on the raw intake levels for adults in the same community in each wave. In each community, the base population is all adults aged above 18 for the column ‘All Children’, all males aged above 18 for the column ‘Boys’ and all females aged above 18 for the column ‘Girls’. </w:t>
      </w:r>
    </w:p>
    <w:p w:rsidR="00033C13" w:rsidRDefault="00330C1E" w:rsidP="00330C1E">
      <w:pPr>
        <w:tabs>
          <w:tab w:val="left" w:pos="426"/>
        </w:tabs>
        <w:spacing w:line="288" w:lineRule="auto"/>
        <w:rPr>
          <w:lang w:eastAsia="zh-CN"/>
        </w:rPr>
      </w:pPr>
      <w:r>
        <w:rPr>
          <w:lang w:eastAsia="zh-CN"/>
        </w:rPr>
        <w:lastRenderedPageBreak/>
        <w:tab/>
      </w:r>
      <w:r w:rsidRPr="005827A1">
        <w:rPr>
          <w:lang w:eastAsia="zh-CN"/>
        </w:rPr>
        <w:t>Relatedly, the number of siblings has a mean of almost one for girls and just 0.79 for boys while girls are more likely to be first-born than boys. It seems that parents whose first-born is a girl are more likely to have another child, which is a result of the girl-exception to the OCP and is also indicative of the son preference. The other Table 1 nutrient intake statistics are for adults; these are not normalized by recommended level, so the higher values for males than for females may reflect their stature and activity.</w:t>
      </w:r>
    </w:p>
    <w:p w:rsidR="00330C1E" w:rsidRPr="005827A1" w:rsidRDefault="00330C1E" w:rsidP="00F1102D">
      <w:pPr>
        <w:spacing w:line="288" w:lineRule="auto"/>
        <w:jc w:val="center"/>
        <w:rPr>
          <w:lang w:eastAsia="zh-CN"/>
        </w:rPr>
      </w:pPr>
    </w:p>
    <w:p w:rsidR="00A54526" w:rsidRDefault="00633B1D" w:rsidP="00033C13">
      <w:pPr>
        <w:snapToGrid w:val="0"/>
        <w:spacing w:line="288" w:lineRule="auto"/>
        <w:ind w:firstLine="426"/>
        <w:contextualSpacing/>
      </w:pPr>
      <w:r w:rsidRPr="005827A1">
        <w:t>Fig</w:t>
      </w:r>
      <w:r w:rsidRPr="005827A1">
        <w:rPr>
          <w:lang w:eastAsia="zh-CN"/>
        </w:rPr>
        <w:t>ure</w:t>
      </w:r>
      <w:r w:rsidRPr="005827A1">
        <w:t xml:space="preserve"> 2 shows </w:t>
      </w:r>
      <w:r w:rsidR="00CD5660" w:rsidRPr="005827A1">
        <w:t xml:space="preserve">graphs of </w:t>
      </w:r>
      <w:r w:rsidR="000A4FBC" w:rsidRPr="005827A1">
        <w:t xml:space="preserve">kernel </w:t>
      </w:r>
      <w:r w:rsidR="00CD5660" w:rsidRPr="005827A1">
        <w:t>density functions</w:t>
      </w:r>
      <w:r w:rsidR="000A4FBC" w:rsidRPr="005827A1">
        <w:t xml:space="preserve"> </w:t>
      </w:r>
      <w:r w:rsidR="00EC369E" w:rsidRPr="005827A1">
        <w:t>for</w:t>
      </w:r>
      <w:r w:rsidR="000A4FBC" w:rsidRPr="005827A1">
        <w:t xml:space="preserve"> the three nutrient</w:t>
      </w:r>
      <w:r w:rsidR="00EC369E" w:rsidRPr="005827A1">
        <w:t>s</w:t>
      </w:r>
      <w:r w:rsidR="000A4FBC" w:rsidRPr="005827A1">
        <w:t xml:space="preserve">, pooling all </w:t>
      </w:r>
      <w:r w:rsidR="00EC369E" w:rsidRPr="005827A1">
        <w:t xml:space="preserve">survey </w:t>
      </w:r>
      <w:r w:rsidR="000A4FBC" w:rsidRPr="005827A1">
        <w:t>waves</w:t>
      </w:r>
      <w:r w:rsidR="00EC369E" w:rsidRPr="005827A1">
        <w:t xml:space="preserve"> and comparing children from only</w:t>
      </w:r>
      <w:r w:rsidR="000A4FBC" w:rsidRPr="005827A1">
        <w:t>-child families</w:t>
      </w:r>
      <w:r w:rsidR="00EC369E" w:rsidRPr="005827A1">
        <w:t xml:space="preserve"> with others</w:t>
      </w:r>
      <w:r w:rsidR="000A4FBC" w:rsidRPr="005827A1">
        <w:t>.</w:t>
      </w:r>
      <w:r w:rsidR="00C57BE4" w:rsidRPr="005827A1">
        <w:rPr>
          <w:rStyle w:val="FootnoteReference"/>
          <w:color w:val="000000" w:themeColor="text1"/>
          <w:lang w:eastAsia="zh-CN"/>
        </w:rPr>
        <w:t xml:space="preserve"> </w:t>
      </w:r>
      <w:r w:rsidR="00C57BE4" w:rsidRPr="005827A1">
        <w:rPr>
          <w:rStyle w:val="FootnoteReference"/>
          <w:color w:val="000000" w:themeColor="text1"/>
          <w:lang w:eastAsia="zh-CN"/>
        </w:rPr>
        <w:footnoteReference w:id="11"/>
      </w:r>
      <w:r w:rsidR="00C57BE4" w:rsidRPr="005827A1">
        <w:rPr>
          <w:lang w:eastAsia="zh-CN"/>
        </w:rPr>
        <w:t xml:space="preserve"> </w:t>
      </w:r>
      <w:r w:rsidR="000A4FBC" w:rsidRPr="005827A1">
        <w:t>C</w:t>
      </w:r>
      <w:r w:rsidRPr="005827A1">
        <w:t>hildren with no siblings had a greater density at the lower level of relative energy intakes than children with siblings, and greater densit</w:t>
      </w:r>
      <w:r w:rsidR="00D92431" w:rsidRPr="005827A1">
        <w:rPr>
          <w:lang w:eastAsia="zh-CN"/>
        </w:rPr>
        <w:t>y</w:t>
      </w:r>
      <w:r w:rsidRPr="005827A1">
        <w:t xml:space="preserve"> at the higher level of relative protein and fat intakes. </w:t>
      </w:r>
      <w:r w:rsidR="00D92431" w:rsidRPr="005827A1">
        <w:t>C</w:t>
      </w:r>
      <w:r w:rsidR="00C57BE4" w:rsidRPr="005827A1">
        <w:rPr>
          <w:lang w:eastAsia="zh-CN"/>
        </w:rPr>
        <w:t xml:space="preserve">hildren from multi-child families had </w:t>
      </w:r>
      <w:r w:rsidR="00D92431" w:rsidRPr="005827A1">
        <w:rPr>
          <w:lang w:eastAsia="zh-CN"/>
        </w:rPr>
        <w:t xml:space="preserve">more </w:t>
      </w:r>
      <w:r w:rsidR="00C57BE4" w:rsidRPr="005827A1">
        <w:rPr>
          <w:lang w:eastAsia="zh-CN"/>
        </w:rPr>
        <w:t xml:space="preserve">density around the mean </w:t>
      </w:r>
      <w:r w:rsidR="00D92431" w:rsidRPr="005827A1">
        <w:rPr>
          <w:lang w:eastAsia="zh-CN"/>
        </w:rPr>
        <w:t>for protein intakes while</w:t>
      </w:r>
      <w:r w:rsidR="00C57BE4" w:rsidRPr="005827A1">
        <w:rPr>
          <w:lang w:eastAsia="zh-CN"/>
        </w:rPr>
        <w:t xml:space="preserve"> only-children had heavier tails at the higher intake levels. This pattern is even stronger </w:t>
      </w:r>
      <w:r w:rsidR="00D92431" w:rsidRPr="005827A1">
        <w:rPr>
          <w:lang w:eastAsia="zh-CN"/>
        </w:rPr>
        <w:t>for relative fat intakes; children</w:t>
      </w:r>
      <w:r w:rsidR="00C57BE4" w:rsidRPr="005827A1">
        <w:rPr>
          <w:lang w:eastAsia="zh-CN"/>
        </w:rPr>
        <w:t xml:space="preserve"> </w:t>
      </w:r>
      <w:r w:rsidR="00D92431" w:rsidRPr="005827A1">
        <w:rPr>
          <w:lang w:eastAsia="zh-CN"/>
        </w:rPr>
        <w:t>with siblings have more density in</w:t>
      </w:r>
      <w:r w:rsidR="00C57BE4" w:rsidRPr="005827A1">
        <w:rPr>
          <w:lang w:eastAsia="zh-CN"/>
        </w:rPr>
        <w:t xml:space="preserve"> the range of 0.5 to 1.5</w:t>
      </w:r>
      <w:r w:rsidR="00D92431" w:rsidRPr="005827A1">
        <w:rPr>
          <w:lang w:eastAsia="zh-CN"/>
        </w:rPr>
        <w:t xml:space="preserve"> while only-children have</w:t>
      </w:r>
      <w:r w:rsidR="00C57BE4" w:rsidRPr="005827A1">
        <w:rPr>
          <w:lang w:eastAsia="zh-CN"/>
        </w:rPr>
        <w:t xml:space="preserve"> a flatter distribution and much lower density at values below 1. </w:t>
      </w:r>
      <w:r w:rsidRPr="005827A1">
        <w:t>Given preference</w:t>
      </w:r>
      <w:r w:rsidR="00D92431" w:rsidRPr="005827A1">
        <w:t xml:space="preserve">s of parents and children </w:t>
      </w:r>
      <w:r w:rsidRPr="005827A1">
        <w:t>f</w:t>
      </w:r>
      <w:r w:rsidR="00D92431" w:rsidRPr="005827A1">
        <w:t xml:space="preserve">or high protein and high </w:t>
      </w:r>
      <w:r w:rsidRPr="005827A1">
        <w:t xml:space="preserve">fat food (Zhang </w:t>
      </w:r>
      <w:r w:rsidR="006B1E6D">
        <w:rPr>
          <w:i/>
          <w:lang w:val="en-NZ" w:eastAsia="zh-CN"/>
        </w:rPr>
        <w:t>et al.</w:t>
      </w:r>
      <w:r w:rsidR="006B1E6D" w:rsidRPr="005827A1">
        <w:rPr>
          <w:lang w:val="en-NZ" w:eastAsia="zh-CN"/>
        </w:rPr>
        <w:t xml:space="preserve"> </w:t>
      </w:r>
      <w:r w:rsidRPr="005827A1">
        <w:t xml:space="preserve">2016), these patterns </w:t>
      </w:r>
      <w:r w:rsidR="00D92431" w:rsidRPr="005827A1">
        <w:t xml:space="preserve">suggest </w:t>
      </w:r>
      <w:r w:rsidRPr="005827A1">
        <w:rPr>
          <w:lang w:eastAsia="zh-CN"/>
        </w:rPr>
        <w:t xml:space="preserve">that children from sole-child families get more </w:t>
      </w:r>
      <w:r w:rsidR="00D92431" w:rsidRPr="005827A1">
        <w:rPr>
          <w:lang w:eastAsia="zh-CN"/>
        </w:rPr>
        <w:t xml:space="preserve">dietary </w:t>
      </w:r>
      <w:r w:rsidRPr="005827A1">
        <w:rPr>
          <w:lang w:eastAsia="zh-CN"/>
        </w:rPr>
        <w:t>resources than children with siblings</w:t>
      </w:r>
      <w:r w:rsidRPr="005827A1">
        <w:t xml:space="preserve">. </w:t>
      </w:r>
    </w:p>
    <w:p w:rsidR="005827A1" w:rsidRDefault="005827A1" w:rsidP="00F1102D">
      <w:pPr>
        <w:snapToGrid w:val="0"/>
        <w:spacing w:line="288" w:lineRule="auto"/>
        <w:ind w:firstLine="720"/>
        <w:contextualSpacing/>
      </w:pPr>
    </w:p>
    <w:p w:rsidR="00F36163" w:rsidRDefault="00F36163" w:rsidP="006B1E6D">
      <w:pPr>
        <w:snapToGrid w:val="0"/>
        <w:spacing w:line="288" w:lineRule="auto"/>
        <w:ind w:firstLine="426"/>
        <w:contextualSpacing/>
        <w:rPr>
          <w:color w:val="000000" w:themeColor="text1"/>
          <w:lang w:eastAsia="zh-CN"/>
        </w:rPr>
      </w:pPr>
      <w:r w:rsidRPr="005827A1">
        <w:rPr>
          <w:lang w:eastAsia="zh-CN"/>
        </w:rPr>
        <w:t xml:space="preserve">To show how the intakes vary over time, we plot the mean intakes for boys and girls in each wave </w:t>
      </w:r>
      <w:r w:rsidRPr="005827A1">
        <w:rPr>
          <w:color w:val="000000" w:themeColor="text1"/>
          <w:lang w:eastAsia="zh-CN"/>
        </w:rPr>
        <w:t xml:space="preserve">for children from only-child families and multi-child families in Figure 3. The trend is for energy and protein intakes to go down, whereas fat intakes increased. </w:t>
      </w:r>
      <w:r w:rsidRPr="005827A1">
        <w:rPr>
          <w:lang w:val="en-NZ" w:eastAsia="zh-CN"/>
        </w:rPr>
        <w:t xml:space="preserve">Previous research using the CHNS data also notes that total energy intakes of Chinese children have decreased slightly over time while there has been an increase in dietary diversity and in fat intakes (Liu </w:t>
      </w:r>
      <w:r w:rsidR="006B1E6D">
        <w:rPr>
          <w:i/>
          <w:lang w:val="en-NZ" w:eastAsia="zh-CN"/>
        </w:rPr>
        <w:t>et al.</w:t>
      </w:r>
      <w:r w:rsidRPr="005827A1">
        <w:rPr>
          <w:lang w:val="en-NZ" w:eastAsia="zh-CN"/>
        </w:rPr>
        <w:t xml:space="preserve"> 2013). </w:t>
      </w:r>
      <w:r w:rsidRPr="005827A1">
        <w:rPr>
          <w:color w:val="000000" w:themeColor="text1"/>
          <w:lang w:eastAsia="zh-CN"/>
        </w:rPr>
        <w:t xml:space="preserve">The time trends for boys and girls had no obvious differences. </w:t>
      </w:r>
    </w:p>
    <w:p w:rsidR="00F36163" w:rsidRPr="005827A1" w:rsidRDefault="00F36163" w:rsidP="00F36163">
      <w:pPr>
        <w:snapToGrid w:val="0"/>
        <w:spacing w:line="288" w:lineRule="auto"/>
        <w:ind w:firstLine="720"/>
        <w:contextualSpacing/>
        <w:rPr>
          <w:color w:val="000000" w:themeColor="text1"/>
          <w:lang w:eastAsia="zh-CN"/>
        </w:rPr>
      </w:pPr>
    </w:p>
    <w:p w:rsidR="00B9227C" w:rsidRPr="005827A1" w:rsidRDefault="00B9227C" w:rsidP="00126D3D">
      <w:pPr>
        <w:widowControl w:val="0"/>
        <w:snapToGrid w:val="0"/>
        <w:spacing w:line="288" w:lineRule="auto"/>
        <w:ind w:firstLine="426"/>
        <w:contextualSpacing/>
        <w:rPr>
          <w:lang w:eastAsia="zh-CN"/>
        </w:rPr>
      </w:pPr>
      <w:r w:rsidRPr="005827A1">
        <w:rPr>
          <w:color w:val="000000" w:themeColor="text1"/>
          <w:lang w:eastAsia="zh-CN"/>
        </w:rPr>
        <w:t>In terms of differences in intakes for children from multi-child families versus children from only-child families, these are most apparent</w:t>
      </w:r>
      <w:r w:rsidRPr="005827A1">
        <w:rPr>
          <w:lang w:eastAsia="zh-CN"/>
        </w:rPr>
        <w:t xml:space="preserve"> for protein and fat intakes. Only-children had higher relative protein intakes than for those with siblings in all waves, irrespective of gender. For fat intakes, the gaps varied from almost none in the 2000 survey wave to larger gaps in the earlier and later waves. Interestingly, girls with siblings in the 2009 survey wave had higher fat intakes than only-child girls, reversing the pattern seen in all prior waves. Whether these raw patterns persist once we control for other characteristics of the child, of their family, and of the community – particularly the stringency of the local OCP regulations – is explored with the regression analyses in the next section.</w:t>
      </w:r>
    </w:p>
    <w:p w:rsidR="00B9227C" w:rsidRDefault="00B9227C">
      <w:pPr>
        <w:spacing w:after="200" w:line="276" w:lineRule="auto"/>
        <w:jc w:val="left"/>
        <w:rPr>
          <w:rFonts w:eastAsia="SimHei"/>
          <w:b/>
          <w:kern w:val="2"/>
          <w:sz w:val="22"/>
          <w:szCs w:val="22"/>
          <w:lang w:val="en-NZ" w:eastAsia="zh-CN" w:bidi="ar-SA"/>
        </w:rPr>
      </w:pPr>
      <w:r>
        <w:rPr>
          <w:b/>
          <w:sz w:val="22"/>
          <w:szCs w:val="22"/>
        </w:rPr>
        <w:br w:type="page"/>
      </w:r>
    </w:p>
    <w:p w:rsidR="00B9227C" w:rsidRDefault="00B9227C" w:rsidP="00B9227C">
      <w:pPr>
        <w:pStyle w:val="Caption"/>
        <w:jc w:val="center"/>
        <w:rPr>
          <w:rFonts w:ascii="Times New Roman" w:eastAsiaTheme="minorEastAsia" w:hAnsi="Times New Roman" w:cs="Times New Roman"/>
          <w:b/>
          <w:sz w:val="22"/>
          <w:szCs w:val="22"/>
        </w:rPr>
      </w:pPr>
      <w:r w:rsidRPr="00B9227C">
        <w:rPr>
          <w:rFonts w:ascii="Times New Roman" w:hAnsi="Times New Roman" w:cs="Times New Roman"/>
          <w:b/>
          <w:sz w:val="22"/>
          <w:szCs w:val="22"/>
        </w:rPr>
        <w:lastRenderedPageBreak/>
        <w:t xml:space="preserve">Figure </w:t>
      </w:r>
      <w:r w:rsidRPr="00B9227C">
        <w:rPr>
          <w:rFonts w:ascii="Times New Roman" w:hAnsi="Times New Roman" w:cs="Times New Roman"/>
          <w:b/>
          <w:sz w:val="22"/>
          <w:szCs w:val="22"/>
        </w:rPr>
        <w:fldChar w:fldCharType="begin"/>
      </w:r>
      <w:r w:rsidRPr="00B9227C">
        <w:rPr>
          <w:rFonts w:ascii="Times New Roman" w:hAnsi="Times New Roman" w:cs="Times New Roman"/>
          <w:b/>
          <w:sz w:val="22"/>
          <w:szCs w:val="22"/>
        </w:rPr>
        <w:instrText xml:space="preserve"> SEQ Figure \* ARABIC </w:instrText>
      </w:r>
      <w:r w:rsidRPr="00B9227C">
        <w:rPr>
          <w:rFonts w:ascii="Times New Roman" w:hAnsi="Times New Roman" w:cs="Times New Roman"/>
          <w:b/>
          <w:sz w:val="22"/>
          <w:szCs w:val="22"/>
        </w:rPr>
        <w:fldChar w:fldCharType="separate"/>
      </w:r>
      <w:r w:rsidR="004A5E7B">
        <w:rPr>
          <w:rFonts w:ascii="Times New Roman" w:hAnsi="Times New Roman" w:cs="Times New Roman"/>
          <w:b/>
          <w:noProof/>
          <w:sz w:val="22"/>
          <w:szCs w:val="22"/>
        </w:rPr>
        <w:t>2</w:t>
      </w:r>
      <w:r w:rsidRPr="00B9227C">
        <w:rPr>
          <w:rFonts w:ascii="Times New Roman" w:hAnsi="Times New Roman" w:cs="Times New Roman"/>
          <w:b/>
          <w:noProof/>
          <w:sz w:val="22"/>
          <w:szCs w:val="22"/>
        </w:rPr>
        <w:fldChar w:fldCharType="end"/>
      </w:r>
      <w:r>
        <w:rPr>
          <w:rFonts w:ascii="Times New Roman" w:hAnsi="Times New Roman" w:cs="Times New Roman"/>
          <w:b/>
          <w:noProof/>
          <w:sz w:val="22"/>
          <w:szCs w:val="22"/>
        </w:rPr>
        <w:t>:</w:t>
      </w:r>
      <w:r>
        <w:rPr>
          <w:rFonts w:ascii="Times New Roman" w:eastAsiaTheme="minorEastAsia" w:hAnsi="Times New Roman" w:cs="Times New Roman"/>
          <w:b/>
          <w:sz w:val="22"/>
          <w:szCs w:val="22"/>
        </w:rPr>
        <w:t xml:space="preserve"> Kernel D</w:t>
      </w:r>
      <w:r w:rsidRPr="00B9227C">
        <w:rPr>
          <w:rFonts w:ascii="Times New Roman" w:eastAsiaTheme="minorEastAsia" w:hAnsi="Times New Roman" w:cs="Times New Roman"/>
          <w:b/>
          <w:sz w:val="22"/>
          <w:szCs w:val="22"/>
        </w:rPr>
        <w:t xml:space="preserve">ensities </w:t>
      </w:r>
      <w:r>
        <w:rPr>
          <w:rFonts w:ascii="Times New Roman" w:eastAsiaTheme="minorEastAsia" w:hAnsi="Times New Roman" w:cs="Times New Roman"/>
          <w:b/>
          <w:sz w:val="22"/>
          <w:szCs w:val="22"/>
        </w:rPr>
        <w:t>F</w:t>
      </w:r>
      <w:r w:rsidRPr="00B9227C">
        <w:rPr>
          <w:rFonts w:ascii="Times New Roman" w:eastAsiaTheme="minorEastAsia" w:hAnsi="Times New Roman" w:cs="Times New Roman"/>
          <w:b/>
          <w:sz w:val="22"/>
          <w:szCs w:val="22"/>
        </w:rPr>
        <w:t xml:space="preserve">unctions of </w:t>
      </w:r>
      <w:r>
        <w:rPr>
          <w:rFonts w:ascii="Times New Roman" w:eastAsiaTheme="minorEastAsia" w:hAnsi="Times New Roman" w:cs="Times New Roman"/>
          <w:b/>
          <w:sz w:val="22"/>
          <w:szCs w:val="22"/>
        </w:rPr>
        <w:t>the Relative N</w:t>
      </w:r>
      <w:r w:rsidRPr="00B9227C">
        <w:rPr>
          <w:rFonts w:ascii="Times New Roman" w:eastAsiaTheme="minorEastAsia" w:hAnsi="Times New Roman" w:cs="Times New Roman"/>
          <w:b/>
          <w:sz w:val="22"/>
          <w:szCs w:val="22"/>
        </w:rPr>
        <w:t>utrient</w:t>
      </w:r>
      <w:r>
        <w:rPr>
          <w:rFonts w:ascii="Times New Roman" w:eastAsiaTheme="minorEastAsia" w:hAnsi="Times New Roman" w:cs="Times New Roman"/>
          <w:b/>
          <w:sz w:val="22"/>
          <w:szCs w:val="22"/>
        </w:rPr>
        <w:t xml:space="preserve"> I</w:t>
      </w:r>
      <w:r w:rsidRPr="00B9227C">
        <w:rPr>
          <w:rFonts w:ascii="Times New Roman" w:eastAsiaTheme="minorEastAsia" w:hAnsi="Times New Roman" w:cs="Times New Roman"/>
          <w:b/>
          <w:sz w:val="22"/>
          <w:szCs w:val="22"/>
        </w:rPr>
        <w:t>ntakes</w:t>
      </w:r>
    </w:p>
    <w:p w:rsidR="00B9227C" w:rsidRPr="00B9227C" w:rsidRDefault="00B9227C" w:rsidP="00B9227C">
      <w:pPr>
        <w:pStyle w:val="Caption"/>
        <w:jc w:val="center"/>
        <w:rPr>
          <w:rFonts w:ascii="Times New Roman" w:eastAsiaTheme="minorEastAsia" w:hAnsi="Times New Roman" w:cs="Times New Roman"/>
          <w:b/>
          <w:color w:val="000000"/>
          <w:sz w:val="22"/>
          <w:szCs w:val="22"/>
        </w:rPr>
      </w:pPr>
      <w:proofErr w:type="gramStart"/>
      <w:r>
        <w:rPr>
          <w:rFonts w:ascii="Times New Roman" w:eastAsiaTheme="minorEastAsia" w:hAnsi="Times New Roman" w:cs="Times New Roman"/>
          <w:b/>
          <w:sz w:val="22"/>
          <w:szCs w:val="22"/>
        </w:rPr>
        <w:t>for</w:t>
      </w:r>
      <w:proofErr w:type="gramEnd"/>
      <w:r>
        <w:rPr>
          <w:rFonts w:ascii="Times New Roman" w:eastAsiaTheme="minorEastAsia" w:hAnsi="Times New Roman" w:cs="Times New Roman"/>
          <w:b/>
          <w:sz w:val="22"/>
          <w:szCs w:val="22"/>
        </w:rPr>
        <w:t xml:space="preserve"> Children from Only-Child and Multi-</w:t>
      </w:r>
      <w:proofErr w:type="spellStart"/>
      <w:r>
        <w:rPr>
          <w:rFonts w:ascii="Times New Roman" w:eastAsiaTheme="minorEastAsia" w:hAnsi="Times New Roman" w:cs="Times New Roman"/>
          <w:b/>
          <w:sz w:val="22"/>
          <w:szCs w:val="22"/>
        </w:rPr>
        <w:t>V</w:t>
      </w:r>
      <w:r w:rsidRPr="00B9227C">
        <w:rPr>
          <w:rFonts w:ascii="Times New Roman" w:eastAsiaTheme="minorEastAsia" w:hAnsi="Times New Roman" w:cs="Times New Roman"/>
          <w:b/>
          <w:sz w:val="22"/>
          <w:szCs w:val="22"/>
        </w:rPr>
        <w:t>hild</w:t>
      </w:r>
      <w:proofErr w:type="spellEnd"/>
      <w:r w:rsidRPr="00B9227C">
        <w:rPr>
          <w:rFonts w:ascii="Times New Roman" w:eastAsiaTheme="minorEastAsia" w:hAnsi="Times New Roman" w:cs="Times New Roman"/>
          <w:b/>
          <w:sz w:val="22"/>
          <w:szCs w:val="22"/>
        </w:rPr>
        <w:t xml:space="preserve"> families, CHNS, 1991-2009</w:t>
      </w:r>
    </w:p>
    <w:p w:rsidR="00B9227C" w:rsidRPr="00D155C8" w:rsidRDefault="00B9227C" w:rsidP="00B9227C">
      <w:pPr>
        <w:autoSpaceDE w:val="0"/>
        <w:autoSpaceDN w:val="0"/>
        <w:adjustRightInd w:val="0"/>
        <w:spacing w:after="80"/>
        <w:jc w:val="center"/>
        <w:rPr>
          <w:color w:val="000000"/>
        </w:rPr>
      </w:pPr>
      <w:r>
        <w:rPr>
          <w:noProof/>
          <w:color w:val="000000"/>
          <w:lang w:val="en-NZ" w:eastAsia="en-NZ" w:bidi="ar-SA"/>
        </w:rPr>
        <w:drawing>
          <wp:inline distT="0" distB="0" distL="0" distR="0" wp14:anchorId="5FF75A73" wp14:editId="2F55E943">
            <wp:extent cx="5017477" cy="3649075"/>
            <wp:effectExtent l="0" t="0" r="0" b="8890"/>
            <wp:docPr id="6" name="Picture 0" descr="Gkdnut3_allwave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dnut3_allwaves.wmf"/>
                    <pic:cNvPicPr/>
                  </pic:nvPicPr>
                  <pic:blipFill>
                    <a:blip r:embed="rId11" cstate="print"/>
                    <a:stretch>
                      <a:fillRect/>
                    </a:stretch>
                  </pic:blipFill>
                  <pic:spPr>
                    <a:xfrm>
                      <a:off x="0" y="0"/>
                      <a:ext cx="5018053" cy="3649494"/>
                    </a:xfrm>
                    <a:prstGeom prst="rect">
                      <a:avLst/>
                    </a:prstGeom>
                  </pic:spPr>
                </pic:pic>
              </a:graphicData>
            </a:graphic>
          </wp:inline>
        </w:drawing>
      </w:r>
    </w:p>
    <w:p w:rsidR="00B9227C" w:rsidRPr="006623A3" w:rsidRDefault="00B9227C" w:rsidP="00C62D23">
      <w:pPr>
        <w:autoSpaceDE w:val="0"/>
        <w:autoSpaceDN w:val="0"/>
        <w:adjustRightInd w:val="0"/>
        <w:spacing w:after="80"/>
        <w:ind w:left="567"/>
        <w:rPr>
          <w:color w:val="000000"/>
          <w:sz w:val="20"/>
        </w:rPr>
      </w:pPr>
      <w:r w:rsidRPr="009E5F3E">
        <w:rPr>
          <w:i/>
          <w:color w:val="000000"/>
          <w:sz w:val="20"/>
        </w:rPr>
        <w:t>Notes:</w:t>
      </w:r>
      <w:r w:rsidRPr="006623A3">
        <w:rPr>
          <w:rFonts w:hint="eastAsia"/>
          <w:color w:val="000000"/>
          <w:sz w:val="20"/>
        </w:rPr>
        <w:t xml:space="preserve"> Sample from the CHNS, 1991-2009, Han children</w:t>
      </w:r>
      <w:r>
        <w:rPr>
          <w:rFonts w:hint="eastAsia"/>
          <w:color w:val="000000"/>
          <w:sz w:val="20"/>
        </w:rPr>
        <w:t xml:space="preserve"> aged between 0-18</w:t>
      </w:r>
      <w:r w:rsidRPr="006623A3">
        <w:rPr>
          <w:rFonts w:hint="eastAsia"/>
          <w:color w:val="000000"/>
          <w:sz w:val="20"/>
        </w:rPr>
        <w:t xml:space="preserve"> from Han communities. Relative intakes </w:t>
      </w:r>
      <w:r>
        <w:rPr>
          <w:rFonts w:hint="eastAsia"/>
          <w:color w:val="000000"/>
          <w:sz w:val="20"/>
        </w:rPr>
        <w:t>at the top one percent are grouped at the 99 percentile for each nutrient item</w:t>
      </w:r>
      <w:r w:rsidRPr="006623A3">
        <w:rPr>
          <w:rFonts w:hint="eastAsia"/>
          <w:color w:val="000000"/>
          <w:sz w:val="20"/>
        </w:rPr>
        <w:t xml:space="preserve">. </w:t>
      </w:r>
    </w:p>
    <w:p w:rsidR="00B9227C" w:rsidRDefault="00B9227C" w:rsidP="00AE79F6">
      <w:pPr>
        <w:pStyle w:val="Caption"/>
        <w:rPr>
          <w:rFonts w:ascii="Times New Roman" w:hAnsi="Times New Roman" w:cs="Times New Roman"/>
          <w:b/>
          <w:sz w:val="22"/>
          <w:szCs w:val="22"/>
        </w:rPr>
      </w:pPr>
    </w:p>
    <w:p w:rsidR="00B9227C" w:rsidRDefault="00AE79F6" w:rsidP="00B9227C">
      <w:pPr>
        <w:pStyle w:val="Caption"/>
        <w:jc w:val="center"/>
        <w:rPr>
          <w:rFonts w:ascii="Times New Roman" w:eastAsiaTheme="minorEastAsia" w:hAnsi="Times New Roman" w:cs="Times New Roman"/>
          <w:b/>
          <w:sz w:val="22"/>
          <w:szCs w:val="22"/>
        </w:rPr>
      </w:pPr>
      <w:r w:rsidRPr="00AE79F6">
        <w:rPr>
          <w:rFonts w:ascii="Times New Roman" w:hAnsi="Times New Roman" w:cs="Times New Roman"/>
          <w:b/>
          <w:sz w:val="22"/>
          <w:szCs w:val="22"/>
        </w:rPr>
        <w:t xml:space="preserve">Figure </w:t>
      </w:r>
      <w:r w:rsidRPr="00AE79F6">
        <w:rPr>
          <w:rFonts w:ascii="Times New Roman" w:hAnsi="Times New Roman" w:cs="Times New Roman"/>
          <w:b/>
          <w:sz w:val="22"/>
          <w:szCs w:val="22"/>
        </w:rPr>
        <w:fldChar w:fldCharType="begin"/>
      </w:r>
      <w:r w:rsidRPr="00AE79F6">
        <w:rPr>
          <w:rFonts w:ascii="Times New Roman" w:hAnsi="Times New Roman" w:cs="Times New Roman"/>
          <w:b/>
          <w:sz w:val="22"/>
          <w:szCs w:val="22"/>
        </w:rPr>
        <w:instrText xml:space="preserve"> SEQ Figure \* ARABIC </w:instrText>
      </w:r>
      <w:r w:rsidRPr="00AE79F6">
        <w:rPr>
          <w:rFonts w:ascii="Times New Roman" w:hAnsi="Times New Roman" w:cs="Times New Roman"/>
          <w:b/>
          <w:sz w:val="22"/>
          <w:szCs w:val="22"/>
        </w:rPr>
        <w:fldChar w:fldCharType="separate"/>
      </w:r>
      <w:r w:rsidR="004A5E7B">
        <w:rPr>
          <w:rFonts w:ascii="Times New Roman" w:hAnsi="Times New Roman" w:cs="Times New Roman"/>
          <w:b/>
          <w:noProof/>
          <w:sz w:val="22"/>
          <w:szCs w:val="22"/>
        </w:rPr>
        <w:t>3</w:t>
      </w:r>
      <w:r w:rsidRPr="00AE79F6">
        <w:rPr>
          <w:rFonts w:ascii="Times New Roman" w:hAnsi="Times New Roman" w:cs="Times New Roman"/>
          <w:b/>
          <w:noProof/>
          <w:sz w:val="22"/>
          <w:szCs w:val="22"/>
        </w:rPr>
        <w:fldChar w:fldCharType="end"/>
      </w:r>
      <w:r w:rsidR="00B9227C">
        <w:rPr>
          <w:rFonts w:ascii="Times New Roman" w:hAnsi="Times New Roman" w:cs="Times New Roman"/>
          <w:b/>
          <w:noProof/>
          <w:sz w:val="22"/>
          <w:szCs w:val="22"/>
        </w:rPr>
        <w:t>:</w:t>
      </w:r>
      <w:r w:rsidR="00B9227C">
        <w:rPr>
          <w:rFonts w:ascii="Times New Roman" w:eastAsiaTheme="minorEastAsia" w:hAnsi="Times New Roman" w:cs="Times New Roman"/>
          <w:b/>
          <w:sz w:val="22"/>
          <w:szCs w:val="22"/>
        </w:rPr>
        <w:t xml:space="preserve"> Time Trends of the Relative Nutrient Intakes for Children from Only-C</w:t>
      </w:r>
      <w:r w:rsidRPr="00AE79F6">
        <w:rPr>
          <w:rFonts w:ascii="Times New Roman" w:eastAsiaTheme="minorEastAsia" w:hAnsi="Times New Roman" w:cs="Times New Roman"/>
          <w:b/>
          <w:sz w:val="22"/>
          <w:szCs w:val="22"/>
        </w:rPr>
        <w:t xml:space="preserve">hild </w:t>
      </w:r>
    </w:p>
    <w:p w:rsidR="00AE79F6" w:rsidRPr="00B9227C" w:rsidRDefault="00B9227C" w:rsidP="00B9227C">
      <w:pPr>
        <w:pStyle w:val="Caption"/>
        <w:jc w:val="center"/>
        <w:rPr>
          <w:rFonts w:ascii="Times New Roman" w:eastAsiaTheme="minorEastAsia" w:hAnsi="Times New Roman" w:cs="Times New Roman"/>
          <w:b/>
          <w:sz w:val="22"/>
          <w:szCs w:val="22"/>
        </w:rPr>
      </w:pPr>
      <w:proofErr w:type="gramStart"/>
      <w:r>
        <w:rPr>
          <w:rFonts w:ascii="Times New Roman" w:eastAsiaTheme="minorEastAsia" w:hAnsi="Times New Roman" w:cs="Times New Roman"/>
          <w:b/>
          <w:sz w:val="22"/>
          <w:szCs w:val="22"/>
        </w:rPr>
        <w:t>and</w:t>
      </w:r>
      <w:proofErr w:type="gramEnd"/>
      <w:r>
        <w:rPr>
          <w:rFonts w:ascii="Times New Roman" w:eastAsiaTheme="minorEastAsia" w:hAnsi="Times New Roman" w:cs="Times New Roman"/>
          <w:b/>
          <w:sz w:val="22"/>
          <w:szCs w:val="22"/>
        </w:rPr>
        <w:t xml:space="preserve"> Multi-Child Families, CHNS, 1991-2009, for Boys and G</w:t>
      </w:r>
      <w:r w:rsidR="00AE79F6" w:rsidRPr="00AE79F6">
        <w:rPr>
          <w:rFonts w:ascii="Times New Roman" w:eastAsiaTheme="minorEastAsia" w:hAnsi="Times New Roman" w:cs="Times New Roman"/>
          <w:b/>
          <w:sz w:val="22"/>
          <w:szCs w:val="22"/>
        </w:rPr>
        <w:t>irls</w:t>
      </w:r>
      <w:r>
        <w:rPr>
          <w:rFonts w:ascii="Times New Roman" w:eastAsiaTheme="minorEastAsia" w:hAnsi="Times New Roman" w:cs="Times New Roman"/>
          <w:b/>
          <w:sz w:val="22"/>
          <w:szCs w:val="22"/>
        </w:rPr>
        <w:t>,</w:t>
      </w:r>
      <w:r w:rsidR="00AE79F6" w:rsidRPr="00AE79F6">
        <w:rPr>
          <w:rFonts w:ascii="Times New Roman" w:eastAsiaTheme="minorEastAsia" w:hAnsi="Times New Roman" w:cs="Times New Roman"/>
          <w:b/>
          <w:sz w:val="22"/>
          <w:szCs w:val="22"/>
        </w:rPr>
        <w:t xml:space="preserve"> respectively</w:t>
      </w:r>
    </w:p>
    <w:p w:rsidR="00AE79F6" w:rsidRPr="005827A1" w:rsidRDefault="00AE79F6" w:rsidP="00B103AF">
      <w:pPr>
        <w:spacing w:line="288" w:lineRule="auto"/>
        <w:jc w:val="center"/>
      </w:pPr>
      <w:r w:rsidRPr="005827A1">
        <w:rPr>
          <w:noProof/>
          <w:lang w:val="en-NZ" w:eastAsia="en-NZ" w:bidi="ar-SA"/>
        </w:rPr>
        <w:drawing>
          <wp:inline distT="0" distB="0" distL="0" distR="0" wp14:anchorId="0DE27002" wp14:editId="42EFA6D6">
            <wp:extent cx="5320316" cy="3869267"/>
            <wp:effectExtent l="0" t="0" r="0" b="0"/>
            <wp:docPr id="5" name="Picture 4" descr="EFnut3_femaleonlychild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nut3_femaleonlychild6.wmf"/>
                    <pic:cNvPicPr/>
                  </pic:nvPicPr>
                  <pic:blipFill>
                    <a:blip r:embed="rId12" cstate="print"/>
                    <a:stretch>
                      <a:fillRect/>
                    </a:stretch>
                  </pic:blipFill>
                  <pic:spPr>
                    <a:xfrm>
                      <a:off x="0" y="0"/>
                      <a:ext cx="5324679" cy="3872440"/>
                    </a:xfrm>
                    <a:prstGeom prst="rect">
                      <a:avLst/>
                    </a:prstGeom>
                  </pic:spPr>
                </pic:pic>
              </a:graphicData>
            </a:graphic>
          </wp:inline>
        </w:drawing>
      </w:r>
    </w:p>
    <w:p w:rsidR="00160CC3" w:rsidRDefault="0059278B" w:rsidP="00B9227C">
      <w:pPr>
        <w:pStyle w:val="Heading1"/>
        <w:snapToGrid w:val="0"/>
        <w:spacing w:before="0" w:after="0" w:line="288" w:lineRule="auto"/>
        <w:contextualSpacing/>
        <w:rPr>
          <w:rFonts w:ascii="Times New Roman" w:hAnsi="Times New Roman"/>
          <w:color w:val="000000" w:themeColor="text1"/>
          <w:sz w:val="24"/>
          <w:szCs w:val="24"/>
          <w:lang w:eastAsia="zh-CN"/>
        </w:rPr>
      </w:pPr>
      <w:bookmarkStart w:id="9" w:name="_Toc466899935"/>
      <w:r w:rsidRPr="005827A1">
        <w:rPr>
          <w:rFonts w:ascii="Times New Roman" w:hAnsi="Times New Roman"/>
          <w:color w:val="000000" w:themeColor="text1"/>
          <w:sz w:val="24"/>
          <w:szCs w:val="24"/>
          <w:lang w:eastAsia="zh-CN"/>
        </w:rPr>
        <w:lastRenderedPageBreak/>
        <w:t xml:space="preserve">5. </w:t>
      </w:r>
      <w:r w:rsidR="000B4D76">
        <w:rPr>
          <w:rFonts w:ascii="Times New Roman" w:hAnsi="Times New Roman"/>
          <w:color w:val="000000" w:themeColor="text1"/>
          <w:sz w:val="24"/>
          <w:szCs w:val="24"/>
          <w:lang w:eastAsia="zh-CN"/>
        </w:rPr>
        <w:t xml:space="preserve"> </w:t>
      </w:r>
      <w:r w:rsidRPr="005827A1">
        <w:rPr>
          <w:rFonts w:ascii="Times New Roman" w:hAnsi="Times New Roman"/>
          <w:color w:val="000000" w:themeColor="text1"/>
          <w:sz w:val="24"/>
          <w:szCs w:val="24"/>
          <w:lang w:eastAsia="zh-CN"/>
        </w:rPr>
        <w:t>REGRESSION RESULTS</w:t>
      </w:r>
      <w:bookmarkEnd w:id="9"/>
    </w:p>
    <w:p w:rsidR="000B4D76" w:rsidRPr="000B4D76" w:rsidRDefault="000B4D76" w:rsidP="000B4D76">
      <w:pPr>
        <w:rPr>
          <w:sz w:val="12"/>
          <w:szCs w:val="12"/>
          <w:lang w:eastAsia="zh-CN"/>
        </w:rPr>
      </w:pPr>
    </w:p>
    <w:p w:rsidR="00C1378F" w:rsidRDefault="00C1378F" w:rsidP="00F1102D">
      <w:pPr>
        <w:pStyle w:val="Heading2"/>
        <w:spacing w:before="0" w:after="0" w:line="288" w:lineRule="auto"/>
        <w:rPr>
          <w:rFonts w:ascii="Times New Roman" w:hAnsi="Times New Roman"/>
          <w:i w:val="0"/>
          <w:sz w:val="24"/>
          <w:szCs w:val="24"/>
          <w:lang w:eastAsia="zh-CN"/>
        </w:rPr>
      </w:pPr>
      <w:bookmarkStart w:id="10" w:name="_Toc466899936"/>
      <w:proofErr w:type="gramStart"/>
      <w:r w:rsidRPr="000B4D76">
        <w:rPr>
          <w:rFonts w:ascii="Times New Roman" w:hAnsi="Times New Roman"/>
          <w:i w:val="0"/>
          <w:sz w:val="24"/>
          <w:szCs w:val="24"/>
          <w:lang w:eastAsia="zh-CN"/>
        </w:rPr>
        <w:t xml:space="preserve">5.1 </w:t>
      </w:r>
      <w:r w:rsidR="00E73869">
        <w:rPr>
          <w:rFonts w:ascii="Times New Roman" w:hAnsi="Times New Roman"/>
          <w:i w:val="0"/>
          <w:sz w:val="24"/>
          <w:szCs w:val="24"/>
          <w:lang w:eastAsia="zh-CN"/>
        </w:rPr>
        <w:t xml:space="preserve"> </w:t>
      </w:r>
      <w:r w:rsidRPr="000B4D76">
        <w:rPr>
          <w:rFonts w:ascii="Times New Roman" w:hAnsi="Times New Roman"/>
          <w:i w:val="0"/>
          <w:sz w:val="24"/>
          <w:szCs w:val="24"/>
          <w:lang w:eastAsia="zh-CN"/>
        </w:rPr>
        <w:t>Imp</w:t>
      </w:r>
      <w:r w:rsidR="001649D4" w:rsidRPr="000B4D76">
        <w:rPr>
          <w:rFonts w:ascii="Times New Roman" w:hAnsi="Times New Roman"/>
          <w:i w:val="0"/>
          <w:sz w:val="24"/>
          <w:szCs w:val="24"/>
          <w:lang w:eastAsia="zh-CN"/>
        </w:rPr>
        <w:t>acts</w:t>
      </w:r>
      <w:proofErr w:type="gramEnd"/>
      <w:r w:rsidR="001649D4" w:rsidRPr="000B4D76">
        <w:rPr>
          <w:rFonts w:ascii="Times New Roman" w:hAnsi="Times New Roman"/>
          <w:i w:val="0"/>
          <w:sz w:val="24"/>
          <w:szCs w:val="24"/>
          <w:lang w:eastAsia="zh-CN"/>
        </w:rPr>
        <w:t xml:space="preserve"> </w:t>
      </w:r>
      <w:r w:rsidR="00E51B06" w:rsidRPr="000B4D76">
        <w:rPr>
          <w:rFonts w:ascii="Times New Roman" w:hAnsi="Times New Roman"/>
          <w:i w:val="0"/>
          <w:sz w:val="24"/>
          <w:szCs w:val="24"/>
          <w:lang w:eastAsia="zh-CN"/>
        </w:rPr>
        <w:t>from</w:t>
      </w:r>
      <w:r w:rsidRPr="000B4D76">
        <w:rPr>
          <w:rFonts w:ascii="Times New Roman" w:hAnsi="Times New Roman"/>
          <w:i w:val="0"/>
          <w:sz w:val="24"/>
          <w:szCs w:val="24"/>
          <w:lang w:eastAsia="zh-CN"/>
        </w:rPr>
        <w:t xml:space="preserve"> </w:t>
      </w:r>
      <w:r w:rsidR="001649D4" w:rsidRPr="000B4D76">
        <w:rPr>
          <w:rFonts w:ascii="Times New Roman" w:hAnsi="Times New Roman"/>
          <w:i w:val="0"/>
          <w:sz w:val="24"/>
          <w:szCs w:val="24"/>
          <w:lang w:eastAsia="zh-CN"/>
        </w:rPr>
        <w:t>Child Quantity</w:t>
      </w:r>
      <w:bookmarkEnd w:id="10"/>
    </w:p>
    <w:p w:rsidR="000B4D76" w:rsidRPr="006B1E6D" w:rsidRDefault="000B4D76" w:rsidP="000B4D76">
      <w:pPr>
        <w:rPr>
          <w:sz w:val="12"/>
          <w:szCs w:val="12"/>
          <w:lang w:eastAsia="zh-CN"/>
        </w:rPr>
      </w:pPr>
    </w:p>
    <w:p w:rsidR="00C1378F" w:rsidRDefault="00C1378F" w:rsidP="00F1102D">
      <w:pPr>
        <w:pStyle w:val="Heading3"/>
        <w:spacing w:before="0" w:after="0" w:line="288" w:lineRule="auto"/>
        <w:rPr>
          <w:rFonts w:ascii="Times New Roman" w:hAnsi="Times New Roman"/>
          <w:sz w:val="24"/>
          <w:szCs w:val="24"/>
          <w:lang w:eastAsia="zh-CN"/>
        </w:rPr>
      </w:pPr>
      <w:bookmarkStart w:id="11" w:name="_Toc466899937"/>
      <w:r w:rsidRPr="005827A1">
        <w:rPr>
          <w:rFonts w:ascii="Times New Roman" w:hAnsi="Times New Roman"/>
          <w:sz w:val="24"/>
          <w:szCs w:val="24"/>
          <w:lang w:eastAsia="zh-CN"/>
        </w:rPr>
        <w:t>5.1.1</w:t>
      </w:r>
      <w:proofErr w:type="gramStart"/>
      <w:r w:rsidRPr="005827A1">
        <w:rPr>
          <w:rFonts w:ascii="Times New Roman" w:hAnsi="Times New Roman"/>
          <w:sz w:val="24"/>
          <w:szCs w:val="24"/>
          <w:lang w:eastAsia="zh-CN"/>
        </w:rPr>
        <w:t xml:space="preserve">. </w:t>
      </w:r>
      <w:r w:rsidR="00E73869">
        <w:rPr>
          <w:rFonts w:ascii="Times New Roman" w:hAnsi="Times New Roman"/>
          <w:sz w:val="24"/>
          <w:szCs w:val="24"/>
          <w:lang w:eastAsia="zh-CN"/>
        </w:rPr>
        <w:t xml:space="preserve"> </w:t>
      </w:r>
      <w:r w:rsidRPr="005827A1">
        <w:rPr>
          <w:rFonts w:ascii="Times New Roman" w:hAnsi="Times New Roman"/>
          <w:sz w:val="24"/>
          <w:szCs w:val="24"/>
          <w:lang w:eastAsia="zh-CN"/>
        </w:rPr>
        <w:t>Cross</w:t>
      </w:r>
      <w:proofErr w:type="gramEnd"/>
      <w:r w:rsidRPr="005827A1">
        <w:rPr>
          <w:rFonts w:ascii="Times New Roman" w:hAnsi="Times New Roman"/>
          <w:sz w:val="24"/>
          <w:szCs w:val="24"/>
          <w:lang w:eastAsia="zh-CN"/>
        </w:rPr>
        <w:t>-sectional Results</w:t>
      </w:r>
      <w:bookmarkEnd w:id="11"/>
    </w:p>
    <w:p w:rsidR="000B4D76" w:rsidRPr="006B1E6D" w:rsidRDefault="000B4D76" w:rsidP="000B4D76">
      <w:pPr>
        <w:rPr>
          <w:sz w:val="12"/>
          <w:szCs w:val="12"/>
          <w:lang w:eastAsia="zh-CN"/>
        </w:rPr>
      </w:pPr>
    </w:p>
    <w:p w:rsidR="007064E2" w:rsidRDefault="007064E2" w:rsidP="00F1102D">
      <w:pPr>
        <w:widowControl w:val="0"/>
        <w:snapToGrid w:val="0"/>
        <w:spacing w:line="288" w:lineRule="auto"/>
        <w:contextualSpacing/>
        <w:rPr>
          <w:lang w:eastAsia="zh-CN"/>
        </w:rPr>
      </w:pPr>
      <w:r w:rsidRPr="005827A1">
        <w:rPr>
          <w:lang w:eastAsia="zh-CN"/>
        </w:rPr>
        <w:t xml:space="preserve">We begin by presenting </w:t>
      </w:r>
      <w:r w:rsidR="00D95B1D" w:rsidRPr="005827A1">
        <w:rPr>
          <w:lang w:eastAsia="zh-CN"/>
        </w:rPr>
        <w:t>the regression results</w:t>
      </w:r>
      <w:r w:rsidRPr="005827A1">
        <w:rPr>
          <w:lang w:eastAsia="zh-CN"/>
        </w:rPr>
        <w:t xml:space="preserve"> from the OLS and 2SLS methods for the three measures of nutrient intakes, </w:t>
      </w:r>
      <w:r w:rsidR="00087D15" w:rsidRPr="005827A1">
        <w:rPr>
          <w:lang w:eastAsia="zh-CN"/>
        </w:rPr>
        <w:t xml:space="preserve">initially ignoring the panel structure of the </w:t>
      </w:r>
      <w:r w:rsidR="00D95B1D" w:rsidRPr="005827A1">
        <w:rPr>
          <w:lang w:eastAsia="zh-CN"/>
        </w:rPr>
        <w:t>data</w:t>
      </w:r>
      <w:r w:rsidRPr="005827A1">
        <w:rPr>
          <w:lang w:eastAsia="zh-CN"/>
        </w:rPr>
        <w:t>.</w:t>
      </w:r>
      <w:r w:rsidR="00F20BE6" w:rsidRPr="005827A1">
        <w:rPr>
          <w:lang w:eastAsia="zh-CN"/>
        </w:rPr>
        <w:t xml:space="preserve"> For all </w:t>
      </w:r>
      <w:r w:rsidR="00087D15" w:rsidRPr="005827A1">
        <w:rPr>
          <w:lang w:eastAsia="zh-CN"/>
        </w:rPr>
        <w:t xml:space="preserve">estimation </w:t>
      </w:r>
      <w:r w:rsidR="00F20BE6" w:rsidRPr="005827A1">
        <w:rPr>
          <w:lang w:eastAsia="zh-CN"/>
        </w:rPr>
        <w:t>methods and outcomes</w:t>
      </w:r>
      <w:r w:rsidR="00087D15" w:rsidRPr="005827A1">
        <w:rPr>
          <w:lang w:eastAsia="zh-CN"/>
        </w:rPr>
        <w:t xml:space="preserve"> studied</w:t>
      </w:r>
      <w:r w:rsidR="00F20BE6" w:rsidRPr="005827A1">
        <w:rPr>
          <w:lang w:eastAsia="zh-CN"/>
        </w:rPr>
        <w:t xml:space="preserve">, we </w:t>
      </w:r>
      <w:r w:rsidR="00087D15" w:rsidRPr="005827A1">
        <w:rPr>
          <w:lang w:eastAsia="zh-CN"/>
        </w:rPr>
        <w:t xml:space="preserve">present </w:t>
      </w:r>
      <w:r w:rsidR="00F20BE6" w:rsidRPr="005827A1">
        <w:rPr>
          <w:lang w:eastAsia="zh-CN"/>
        </w:rPr>
        <w:t xml:space="preserve">regressions for all children first, and then for boys and girls separately. </w:t>
      </w:r>
    </w:p>
    <w:p w:rsidR="000B4D76" w:rsidRPr="005827A1" w:rsidRDefault="000B4D76" w:rsidP="00F1102D">
      <w:pPr>
        <w:widowControl w:val="0"/>
        <w:snapToGrid w:val="0"/>
        <w:spacing w:line="288" w:lineRule="auto"/>
        <w:contextualSpacing/>
        <w:rPr>
          <w:lang w:eastAsia="zh-CN"/>
        </w:rPr>
      </w:pPr>
    </w:p>
    <w:p w:rsidR="004730DF" w:rsidRPr="005827A1" w:rsidRDefault="00C3516F" w:rsidP="000B4D76">
      <w:pPr>
        <w:widowControl w:val="0"/>
        <w:snapToGrid w:val="0"/>
        <w:spacing w:line="288" w:lineRule="auto"/>
        <w:ind w:firstLine="426"/>
        <w:contextualSpacing/>
        <w:rPr>
          <w:lang w:eastAsia="zh-CN"/>
        </w:rPr>
      </w:pPr>
      <w:r w:rsidRPr="005827A1">
        <w:rPr>
          <w:lang w:eastAsia="zh-CN"/>
        </w:rPr>
        <w:t xml:space="preserve">Table 2 </w:t>
      </w:r>
      <w:r w:rsidR="00087D15" w:rsidRPr="005827A1">
        <w:rPr>
          <w:lang w:eastAsia="zh-CN"/>
        </w:rPr>
        <w:t xml:space="preserve">has </w:t>
      </w:r>
      <w:r w:rsidR="00265323" w:rsidRPr="005827A1">
        <w:rPr>
          <w:lang w:eastAsia="zh-CN"/>
        </w:rPr>
        <w:t xml:space="preserve">regression results </w:t>
      </w:r>
      <w:r w:rsidRPr="005827A1">
        <w:rPr>
          <w:lang w:eastAsia="zh-CN"/>
        </w:rPr>
        <w:t xml:space="preserve">from OLS and </w:t>
      </w:r>
      <w:r w:rsidR="00087D15" w:rsidRPr="005827A1">
        <w:rPr>
          <w:lang w:eastAsia="zh-CN"/>
        </w:rPr>
        <w:t xml:space="preserve">from </w:t>
      </w:r>
      <w:r w:rsidRPr="005827A1">
        <w:rPr>
          <w:lang w:eastAsia="zh-CN"/>
        </w:rPr>
        <w:t>both stages of th</w:t>
      </w:r>
      <w:r w:rsidR="00087D15" w:rsidRPr="005827A1">
        <w:rPr>
          <w:lang w:eastAsia="zh-CN"/>
        </w:rPr>
        <w:t>e 2SLS approach</w:t>
      </w:r>
      <w:r w:rsidR="00A80460" w:rsidRPr="005827A1">
        <w:rPr>
          <w:lang w:eastAsia="zh-CN"/>
        </w:rPr>
        <w:t xml:space="preserve"> for all children</w:t>
      </w:r>
      <w:r w:rsidRPr="005827A1">
        <w:rPr>
          <w:lang w:eastAsia="zh-CN"/>
        </w:rPr>
        <w:t>.</w:t>
      </w:r>
      <w:r w:rsidR="00087D15" w:rsidRPr="005827A1">
        <w:rPr>
          <w:lang w:eastAsia="zh-CN"/>
        </w:rPr>
        <w:t xml:space="preserve"> The nutrient intakes are the dependent variable</w:t>
      </w:r>
      <w:r w:rsidR="00A80460" w:rsidRPr="005827A1">
        <w:rPr>
          <w:lang w:eastAsia="zh-CN"/>
        </w:rPr>
        <w:t>s</w:t>
      </w:r>
      <w:r w:rsidR="00087D15" w:rsidRPr="005827A1">
        <w:rPr>
          <w:lang w:eastAsia="zh-CN"/>
        </w:rPr>
        <w:t xml:space="preserve"> for the OLS regressions (columns 1, 4, 7) and for the second stage of the 2SLS (columns 3, 6, 9).</w:t>
      </w:r>
      <w:r w:rsidRPr="005827A1">
        <w:rPr>
          <w:lang w:eastAsia="zh-CN"/>
        </w:rPr>
        <w:t xml:space="preserve"> </w:t>
      </w:r>
      <w:r w:rsidR="00087D15" w:rsidRPr="005827A1">
        <w:rPr>
          <w:lang w:eastAsia="zh-CN"/>
        </w:rPr>
        <w:t xml:space="preserve">The </w:t>
      </w:r>
      <w:r w:rsidR="004730DF" w:rsidRPr="005827A1">
        <w:rPr>
          <w:lang w:eastAsia="zh-CN"/>
        </w:rPr>
        <w:t xml:space="preserve">dependent variable for the first stage regressions (columns 2, 5 and 8) is the number of siblings. The </w:t>
      </w:r>
      <w:r w:rsidR="00917AE7" w:rsidRPr="005827A1">
        <w:rPr>
          <w:lang w:eastAsia="zh-CN"/>
        </w:rPr>
        <w:t xml:space="preserve">effect of </w:t>
      </w:r>
      <w:r w:rsidR="004730DF" w:rsidRPr="005827A1">
        <w:rPr>
          <w:lang w:eastAsia="zh-CN"/>
        </w:rPr>
        <w:t>the instrument</w:t>
      </w:r>
      <w:r w:rsidR="00917AE7" w:rsidRPr="005827A1">
        <w:rPr>
          <w:lang w:eastAsia="zh-CN"/>
        </w:rPr>
        <w:t>al</w:t>
      </w:r>
      <w:r w:rsidR="004730DF" w:rsidRPr="005827A1">
        <w:rPr>
          <w:lang w:eastAsia="zh-CN"/>
        </w:rPr>
        <w:t xml:space="preserve"> variable on sibling numbers </w:t>
      </w:r>
      <w:r w:rsidR="00917AE7" w:rsidRPr="005827A1">
        <w:rPr>
          <w:lang w:eastAsia="zh-CN"/>
        </w:rPr>
        <w:t xml:space="preserve">is </w:t>
      </w:r>
      <w:r w:rsidR="00CE515B" w:rsidRPr="005827A1">
        <w:rPr>
          <w:lang w:eastAsia="zh-CN"/>
        </w:rPr>
        <w:t>positive and significant</w:t>
      </w:r>
      <w:r w:rsidR="00917AE7" w:rsidRPr="005827A1">
        <w:rPr>
          <w:lang w:eastAsia="zh-CN"/>
        </w:rPr>
        <w:t>;</w:t>
      </w:r>
      <w:r w:rsidR="004730DF" w:rsidRPr="005827A1">
        <w:rPr>
          <w:lang w:eastAsia="zh-CN"/>
        </w:rPr>
        <w:t xml:space="preserve"> </w:t>
      </w:r>
      <w:r w:rsidR="00917AE7" w:rsidRPr="005827A1">
        <w:rPr>
          <w:color w:val="000000" w:themeColor="text1"/>
          <w:lang w:eastAsia="zh-CN"/>
        </w:rPr>
        <w:t xml:space="preserve">as a higher share of women </w:t>
      </w:r>
      <w:r w:rsidR="0010157E" w:rsidRPr="005827A1">
        <w:rPr>
          <w:color w:val="000000" w:themeColor="text1"/>
          <w:lang w:eastAsia="zh-CN"/>
        </w:rPr>
        <w:t xml:space="preserve">in a community </w:t>
      </w:r>
      <w:r w:rsidR="00917AE7" w:rsidRPr="005827A1">
        <w:rPr>
          <w:color w:val="000000" w:themeColor="text1"/>
          <w:lang w:eastAsia="zh-CN"/>
        </w:rPr>
        <w:t xml:space="preserve">were allowed to have a second child, under the local OCP exceptions, the number of siblings for each child increased. The </w:t>
      </w:r>
      <w:r w:rsidR="009E5F3E" w:rsidRPr="005827A1">
        <w:rPr>
          <w:i/>
          <w:color w:val="000000" w:themeColor="text1"/>
        </w:rPr>
        <w:t>F</w:t>
      </w:r>
      <w:r w:rsidR="004730DF" w:rsidRPr="005827A1">
        <w:rPr>
          <w:color w:val="000000" w:themeColor="text1"/>
          <w:lang w:eastAsia="zh-CN"/>
        </w:rPr>
        <w:t>-</w:t>
      </w:r>
      <w:r w:rsidR="00917AE7" w:rsidRPr="005827A1">
        <w:rPr>
          <w:color w:val="000000" w:themeColor="text1"/>
          <w:lang w:eastAsia="zh-CN"/>
        </w:rPr>
        <w:t>test</w:t>
      </w:r>
      <w:r w:rsidR="009036F0" w:rsidRPr="005827A1">
        <w:rPr>
          <w:color w:val="000000" w:themeColor="text1"/>
          <w:lang w:eastAsia="zh-CN"/>
        </w:rPr>
        <w:t>s</w:t>
      </w:r>
      <w:r w:rsidR="00917AE7" w:rsidRPr="005827A1">
        <w:rPr>
          <w:color w:val="000000" w:themeColor="text1"/>
          <w:lang w:eastAsia="zh-CN"/>
        </w:rPr>
        <w:t xml:space="preserve"> for excluding the </w:t>
      </w:r>
      <w:r w:rsidR="004730DF" w:rsidRPr="005827A1">
        <w:rPr>
          <w:color w:val="000000" w:themeColor="text1"/>
          <w:lang w:eastAsia="zh-CN"/>
        </w:rPr>
        <w:t xml:space="preserve">local OCP strength </w:t>
      </w:r>
      <w:r w:rsidR="00917AE7" w:rsidRPr="005827A1">
        <w:rPr>
          <w:color w:val="000000" w:themeColor="text1"/>
          <w:lang w:eastAsia="zh-CN"/>
        </w:rPr>
        <w:t xml:space="preserve">variable from the first stage </w:t>
      </w:r>
      <w:r w:rsidR="004730DF" w:rsidRPr="005827A1">
        <w:rPr>
          <w:color w:val="000000" w:themeColor="text1"/>
          <w:lang w:eastAsia="zh-CN"/>
        </w:rPr>
        <w:t>are larger than 10</w:t>
      </w:r>
      <w:r w:rsidR="00917AE7" w:rsidRPr="005827A1">
        <w:rPr>
          <w:color w:val="000000" w:themeColor="text1"/>
          <w:lang w:eastAsia="zh-CN"/>
        </w:rPr>
        <w:t xml:space="preserve">, </w:t>
      </w:r>
      <w:r w:rsidR="00FD44DC" w:rsidRPr="005827A1">
        <w:rPr>
          <w:color w:val="000000" w:themeColor="text1"/>
          <w:lang w:eastAsia="zh-CN"/>
        </w:rPr>
        <w:t xml:space="preserve">and so based on the rule-of-thumb from Bound </w:t>
      </w:r>
      <w:r w:rsidR="006B1E6D">
        <w:rPr>
          <w:i/>
          <w:lang w:val="en-NZ" w:eastAsia="zh-CN"/>
        </w:rPr>
        <w:t>et al.</w:t>
      </w:r>
      <w:r w:rsidR="006B1E6D" w:rsidRPr="005827A1">
        <w:rPr>
          <w:lang w:val="en-NZ" w:eastAsia="zh-CN"/>
        </w:rPr>
        <w:t xml:space="preserve"> </w:t>
      </w:r>
      <w:r w:rsidR="00FD44DC" w:rsidRPr="005827A1">
        <w:rPr>
          <w:color w:val="000000" w:themeColor="text1"/>
          <w:lang w:eastAsia="zh-CN"/>
        </w:rPr>
        <w:t>(1995), this indicates</w:t>
      </w:r>
      <w:r w:rsidR="004730DF" w:rsidRPr="005827A1">
        <w:rPr>
          <w:color w:val="000000" w:themeColor="text1"/>
          <w:lang w:eastAsia="zh-CN"/>
        </w:rPr>
        <w:t xml:space="preserve"> that the</w:t>
      </w:r>
      <w:r w:rsidR="00917AE7" w:rsidRPr="005827A1">
        <w:rPr>
          <w:color w:val="000000" w:themeColor="text1"/>
          <w:lang w:eastAsia="zh-CN"/>
        </w:rPr>
        <w:t>re are no problems with weak</w:t>
      </w:r>
      <w:r w:rsidR="004730DF" w:rsidRPr="005827A1">
        <w:rPr>
          <w:color w:val="000000" w:themeColor="text1"/>
          <w:lang w:eastAsia="zh-CN"/>
        </w:rPr>
        <w:t xml:space="preserve"> instrument</w:t>
      </w:r>
      <w:r w:rsidR="00917AE7" w:rsidRPr="005827A1">
        <w:rPr>
          <w:color w:val="000000" w:themeColor="text1"/>
          <w:lang w:eastAsia="zh-CN"/>
        </w:rPr>
        <w:t>s</w:t>
      </w:r>
      <w:r w:rsidR="004730DF" w:rsidRPr="005827A1">
        <w:rPr>
          <w:color w:val="000000" w:themeColor="text1"/>
          <w:lang w:eastAsia="zh-CN"/>
        </w:rPr>
        <w:t>.</w:t>
      </w:r>
    </w:p>
    <w:p w:rsidR="000B4D76" w:rsidRDefault="000B4D76" w:rsidP="000B4D76">
      <w:pPr>
        <w:widowControl w:val="0"/>
        <w:snapToGrid w:val="0"/>
        <w:spacing w:line="288" w:lineRule="auto"/>
        <w:ind w:firstLine="426"/>
        <w:contextualSpacing/>
        <w:rPr>
          <w:color w:val="000000" w:themeColor="text1"/>
          <w:lang w:eastAsia="zh-CN"/>
        </w:rPr>
      </w:pPr>
    </w:p>
    <w:p w:rsidR="00E4762A" w:rsidRDefault="00A579EE" w:rsidP="000B4D76">
      <w:pPr>
        <w:widowControl w:val="0"/>
        <w:snapToGrid w:val="0"/>
        <w:spacing w:line="288" w:lineRule="auto"/>
        <w:ind w:firstLine="426"/>
        <w:contextualSpacing/>
        <w:rPr>
          <w:color w:val="000000" w:themeColor="text1"/>
          <w:lang w:eastAsia="zh-CN"/>
        </w:rPr>
      </w:pPr>
      <w:r w:rsidRPr="005827A1">
        <w:rPr>
          <w:color w:val="000000" w:themeColor="text1"/>
          <w:lang w:eastAsia="zh-CN"/>
        </w:rPr>
        <w:t>T</w:t>
      </w:r>
      <w:r w:rsidRPr="005827A1">
        <w:rPr>
          <w:lang w:eastAsia="zh-CN"/>
        </w:rPr>
        <w:t xml:space="preserve">he OLS </w:t>
      </w:r>
      <w:r w:rsidR="000335BF" w:rsidRPr="005827A1">
        <w:rPr>
          <w:lang w:eastAsia="zh-CN"/>
        </w:rPr>
        <w:t xml:space="preserve">results suggest that nutrient intakes are lower for children with more siblings, although only for </w:t>
      </w:r>
      <w:r w:rsidRPr="005827A1">
        <w:rPr>
          <w:color w:val="000000" w:themeColor="text1"/>
          <w:lang w:eastAsia="zh-CN"/>
        </w:rPr>
        <w:t xml:space="preserve">fat intakes </w:t>
      </w:r>
      <w:r w:rsidR="00C62D23">
        <w:rPr>
          <w:color w:val="000000" w:themeColor="text1"/>
          <w:lang w:eastAsia="zh-CN"/>
        </w:rPr>
        <w:t>are</w:t>
      </w:r>
      <w:r w:rsidR="000335BF" w:rsidRPr="005827A1">
        <w:rPr>
          <w:color w:val="000000" w:themeColor="text1"/>
          <w:lang w:eastAsia="zh-CN"/>
        </w:rPr>
        <w:t xml:space="preserve"> the effect </w:t>
      </w:r>
      <w:r w:rsidRPr="005827A1">
        <w:rPr>
          <w:color w:val="000000" w:themeColor="text1"/>
          <w:lang w:eastAsia="zh-CN"/>
        </w:rPr>
        <w:t xml:space="preserve">statistically significant </w:t>
      </w:r>
      <w:r w:rsidR="000335BF" w:rsidRPr="005827A1">
        <w:rPr>
          <w:color w:val="000000" w:themeColor="text1"/>
          <w:lang w:eastAsia="zh-CN"/>
        </w:rPr>
        <w:t>(</w:t>
      </w:r>
      <w:r w:rsidRPr="005827A1">
        <w:rPr>
          <w:color w:val="000000" w:themeColor="text1"/>
          <w:lang w:eastAsia="zh-CN"/>
        </w:rPr>
        <w:t>at the 1% level</w:t>
      </w:r>
      <w:r w:rsidR="000335BF" w:rsidRPr="005827A1">
        <w:rPr>
          <w:color w:val="000000" w:themeColor="text1"/>
          <w:lang w:eastAsia="zh-CN"/>
        </w:rPr>
        <w:t>).</w:t>
      </w:r>
      <w:r w:rsidR="00F6714A" w:rsidRPr="005827A1">
        <w:rPr>
          <w:color w:val="000000" w:themeColor="text1"/>
          <w:lang w:eastAsia="zh-CN"/>
        </w:rPr>
        <w:t xml:space="preserve"> </w:t>
      </w:r>
      <w:r w:rsidR="00331525" w:rsidRPr="005827A1">
        <w:rPr>
          <w:color w:val="000000" w:themeColor="text1"/>
          <w:lang w:eastAsia="zh-CN"/>
        </w:rPr>
        <w:t>According to the OLS results, t</w:t>
      </w:r>
      <w:r w:rsidR="000335BF" w:rsidRPr="005827A1">
        <w:rPr>
          <w:color w:val="000000" w:themeColor="text1"/>
          <w:lang w:eastAsia="zh-CN"/>
        </w:rPr>
        <w:t xml:space="preserve">he addition of a sibling would be expected to reduce </w:t>
      </w:r>
      <w:r w:rsidR="00B74082" w:rsidRPr="005827A1">
        <w:rPr>
          <w:color w:val="000000" w:themeColor="text1"/>
          <w:lang w:eastAsia="zh-CN"/>
        </w:rPr>
        <w:t xml:space="preserve">the </w:t>
      </w:r>
      <w:r w:rsidR="000335BF" w:rsidRPr="005827A1">
        <w:rPr>
          <w:color w:val="000000" w:themeColor="text1"/>
          <w:lang w:eastAsia="zh-CN"/>
        </w:rPr>
        <w:t xml:space="preserve">fat </w:t>
      </w:r>
      <w:r w:rsidRPr="005827A1">
        <w:rPr>
          <w:color w:val="000000" w:themeColor="text1"/>
          <w:lang w:eastAsia="zh-CN"/>
        </w:rPr>
        <w:t>intake</w:t>
      </w:r>
      <w:r w:rsidR="00A01BE1" w:rsidRPr="005827A1">
        <w:rPr>
          <w:color w:val="000000" w:themeColor="text1"/>
          <w:lang w:eastAsia="zh-CN"/>
        </w:rPr>
        <w:t xml:space="preserve"> </w:t>
      </w:r>
      <w:r w:rsidR="00B74082" w:rsidRPr="005827A1">
        <w:rPr>
          <w:color w:val="000000" w:themeColor="text1"/>
          <w:lang w:eastAsia="zh-CN"/>
        </w:rPr>
        <w:t xml:space="preserve">of a child </w:t>
      </w:r>
      <w:r w:rsidR="00A01BE1" w:rsidRPr="005827A1">
        <w:rPr>
          <w:color w:val="000000" w:themeColor="text1"/>
          <w:lang w:eastAsia="zh-CN"/>
        </w:rPr>
        <w:t xml:space="preserve">by about ten percent </w:t>
      </w:r>
      <w:r w:rsidRPr="005827A1">
        <w:rPr>
          <w:color w:val="000000" w:themeColor="text1"/>
          <w:lang w:eastAsia="zh-CN"/>
        </w:rPr>
        <w:t>of the recommend</w:t>
      </w:r>
      <w:r w:rsidR="000335BF" w:rsidRPr="005827A1">
        <w:rPr>
          <w:color w:val="000000" w:themeColor="text1"/>
          <w:lang w:eastAsia="zh-CN"/>
        </w:rPr>
        <w:t>ed</w:t>
      </w:r>
      <w:r w:rsidRPr="005827A1">
        <w:rPr>
          <w:color w:val="000000" w:themeColor="text1"/>
          <w:lang w:eastAsia="zh-CN"/>
        </w:rPr>
        <w:t xml:space="preserve"> level. </w:t>
      </w:r>
      <w:r w:rsidR="00B74082" w:rsidRPr="005827A1">
        <w:rPr>
          <w:color w:val="000000" w:themeColor="text1"/>
          <w:lang w:eastAsia="zh-CN"/>
        </w:rPr>
        <w:t>The magnitudes of the trade-off</w:t>
      </w:r>
      <w:r w:rsidR="00331525" w:rsidRPr="005827A1">
        <w:rPr>
          <w:color w:val="000000" w:themeColor="text1"/>
          <w:lang w:eastAsia="zh-CN"/>
        </w:rPr>
        <w:t>s</w:t>
      </w:r>
      <w:r w:rsidR="00B74082" w:rsidRPr="005827A1">
        <w:rPr>
          <w:color w:val="000000" w:themeColor="text1"/>
          <w:lang w:eastAsia="zh-CN"/>
        </w:rPr>
        <w:t xml:space="preserve"> are much larger in the 2SLS results, ranging from -0.18 for dietary energy to -0.36 for fats</w:t>
      </w:r>
      <w:r w:rsidR="00331525" w:rsidRPr="005827A1">
        <w:rPr>
          <w:color w:val="000000" w:themeColor="text1"/>
          <w:lang w:eastAsia="zh-CN"/>
        </w:rPr>
        <w:t>, and these 2SLS results are statistically significant for energy (at the 10% level) and for protein (at the 5% level). An</w:t>
      </w:r>
      <w:r w:rsidR="00C97B12" w:rsidRPr="005827A1">
        <w:rPr>
          <w:color w:val="000000" w:themeColor="text1"/>
          <w:lang w:eastAsia="zh-CN"/>
        </w:rPr>
        <w:t xml:space="preserve"> added variable </w:t>
      </w:r>
      <w:r w:rsidR="00331525" w:rsidRPr="005827A1">
        <w:rPr>
          <w:color w:val="000000" w:themeColor="text1"/>
          <w:lang w:eastAsia="zh-CN"/>
        </w:rPr>
        <w:t>form of the Durbin-Wu-</w:t>
      </w:r>
      <w:proofErr w:type="spellStart"/>
      <w:r w:rsidR="00C97B12" w:rsidRPr="005827A1">
        <w:rPr>
          <w:color w:val="000000" w:themeColor="text1"/>
          <w:lang w:eastAsia="zh-CN"/>
        </w:rPr>
        <w:t>Hausman</w:t>
      </w:r>
      <w:proofErr w:type="spellEnd"/>
      <w:r w:rsidR="00C97B12" w:rsidRPr="005827A1">
        <w:rPr>
          <w:color w:val="000000" w:themeColor="text1"/>
          <w:lang w:eastAsia="zh-CN"/>
        </w:rPr>
        <w:t xml:space="preserve"> </w:t>
      </w:r>
      <w:r w:rsidR="00331525" w:rsidRPr="005827A1">
        <w:rPr>
          <w:color w:val="000000" w:themeColor="text1"/>
          <w:lang w:eastAsia="zh-CN"/>
        </w:rPr>
        <w:t xml:space="preserve">(DWH) </w:t>
      </w:r>
      <w:r w:rsidR="00C97B12" w:rsidRPr="005827A1">
        <w:rPr>
          <w:color w:val="000000" w:themeColor="text1"/>
          <w:lang w:eastAsia="zh-CN"/>
        </w:rPr>
        <w:t xml:space="preserve">test </w:t>
      </w:r>
      <w:r w:rsidR="00331525" w:rsidRPr="005827A1">
        <w:rPr>
          <w:color w:val="000000" w:themeColor="text1"/>
          <w:lang w:eastAsia="zh-CN"/>
        </w:rPr>
        <w:t xml:space="preserve">for endogeneity that is due to </w:t>
      </w:r>
      <w:r w:rsidR="00C1511B" w:rsidRPr="005827A1">
        <w:rPr>
          <w:color w:val="000000" w:themeColor="text1"/>
          <w:lang w:eastAsia="zh-CN"/>
        </w:rPr>
        <w:t>Davidson and MacKinnon (1993)</w:t>
      </w:r>
      <w:r w:rsidR="00331525" w:rsidRPr="005827A1">
        <w:rPr>
          <w:color w:val="000000" w:themeColor="text1"/>
          <w:lang w:eastAsia="zh-CN"/>
        </w:rPr>
        <w:t xml:space="preserve"> </w:t>
      </w:r>
      <w:r w:rsidR="00AA2806" w:rsidRPr="005827A1">
        <w:rPr>
          <w:color w:val="000000" w:themeColor="text1"/>
          <w:lang w:eastAsia="zh-CN"/>
        </w:rPr>
        <w:t xml:space="preserve">indicates that the difference between the </w:t>
      </w:r>
      <w:r w:rsidR="00430E0D" w:rsidRPr="005827A1">
        <w:rPr>
          <w:color w:val="000000" w:themeColor="text1"/>
          <w:lang w:eastAsia="zh-CN"/>
        </w:rPr>
        <w:t xml:space="preserve">OLS and 2SLS </w:t>
      </w:r>
      <w:r w:rsidR="00AA2806" w:rsidRPr="005827A1">
        <w:rPr>
          <w:color w:val="000000" w:themeColor="text1"/>
          <w:lang w:eastAsia="zh-CN"/>
        </w:rPr>
        <w:t xml:space="preserve">results for energy and protein </w:t>
      </w:r>
      <w:r w:rsidR="00430E0D" w:rsidRPr="005827A1">
        <w:rPr>
          <w:color w:val="000000" w:themeColor="text1"/>
          <w:lang w:eastAsia="zh-CN"/>
        </w:rPr>
        <w:t xml:space="preserve">are </w:t>
      </w:r>
      <w:r w:rsidR="00AA2806" w:rsidRPr="005827A1">
        <w:rPr>
          <w:color w:val="000000" w:themeColor="text1"/>
          <w:lang w:eastAsia="zh-CN"/>
        </w:rPr>
        <w:t xml:space="preserve">statistically significant, implying that the OLS results </w:t>
      </w:r>
      <w:r w:rsidR="00882D87" w:rsidRPr="005827A1">
        <w:rPr>
          <w:color w:val="000000" w:themeColor="text1"/>
          <w:lang w:eastAsia="zh-CN"/>
        </w:rPr>
        <w:t xml:space="preserve">for these nutrients </w:t>
      </w:r>
      <w:r w:rsidR="00AA2806" w:rsidRPr="005827A1">
        <w:rPr>
          <w:color w:val="000000" w:themeColor="text1"/>
          <w:lang w:eastAsia="zh-CN"/>
        </w:rPr>
        <w:t>will be inconsistent due to the endogeneity of sibling numbers. That is not true, however, for fat intakes; the wide standard errors around the 2SLS results make them insignificantly different from the OLS results.</w:t>
      </w:r>
      <w:r w:rsidR="00430E0D" w:rsidRPr="005827A1">
        <w:rPr>
          <w:color w:val="000000" w:themeColor="text1"/>
          <w:lang w:eastAsia="zh-CN"/>
        </w:rPr>
        <w:t xml:space="preserve">  </w:t>
      </w:r>
    </w:p>
    <w:p w:rsidR="000B4D76" w:rsidRPr="005827A1" w:rsidRDefault="000B4D76" w:rsidP="000B4D76">
      <w:pPr>
        <w:widowControl w:val="0"/>
        <w:snapToGrid w:val="0"/>
        <w:spacing w:line="288" w:lineRule="auto"/>
        <w:ind w:firstLine="426"/>
        <w:contextualSpacing/>
        <w:rPr>
          <w:color w:val="000000" w:themeColor="text1"/>
          <w:lang w:eastAsia="zh-CN"/>
        </w:rPr>
      </w:pPr>
    </w:p>
    <w:p w:rsidR="00AA2806" w:rsidRDefault="00AA2806" w:rsidP="000B4D76">
      <w:pPr>
        <w:widowControl w:val="0"/>
        <w:snapToGrid w:val="0"/>
        <w:spacing w:line="288" w:lineRule="auto"/>
        <w:ind w:firstLine="426"/>
        <w:contextualSpacing/>
        <w:rPr>
          <w:color w:val="000000" w:themeColor="text1"/>
          <w:lang w:eastAsia="zh-CN"/>
        </w:rPr>
      </w:pPr>
      <w:r w:rsidRPr="005827A1">
        <w:rPr>
          <w:color w:val="000000" w:themeColor="text1"/>
          <w:lang w:eastAsia="zh-CN"/>
        </w:rPr>
        <w:t>Thus, when boys and girls are pooled together, the valid models are 2SLS for energy and protein, and OLS for fats. The trade-off effects in these models range from -0.11 to -0.22 and are statistically significant at 10% (energy), 5% (protein), and 1% (fats)</w:t>
      </w:r>
      <w:r w:rsidR="000866DF" w:rsidRPr="005827A1">
        <w:rPr>
          <w:color w:val="000000" w:themeColor="text1"/>
          <w:lang w:eastAsia="zh-CN"/>
        </w:rPr>
        <w:t xml:space="preserve"> levels</w:t>
      </w:r>
      <w:r w:rsidRPr="005827A1">
        <w:rPr>
          <w:color w:val="000000" w:themeColor="text1"/>
          <w:lang w:eastAsia="zh-CN"/>
        </w:rPr>
        <w:t>. So an additional sibling reduces nutrient intakes by between one-tenth and one-fifth of the recommended level</w:t>
      </w:r>
      <w:r w:rsidR="008C744D" w:rsidRPr="005827A1">
        <w:rPr>
          <w:color w:val="000000" w:themeColor="text1"/>
          <w:lang w:eastAsia="zh-CN"/>
        </w:rPr>
        <w:t>, which is a substantial effect</w:t>
      </w:r>
      <w:r w:rsidRPr="005827A1">
        <w:rPr>
          <w:color w:val="000000" w:themeColor="text1"/>
          <w:lang w:eastAsia="zh-CN"/>
        </w:rPr>
        <w:t>. This trade-off is more precisely measured for the more preferred nutrients of fats and proteins.</w:t>
      </w:r>
    </w:p>
    <w:p w:rsidR="000B4D76" w:rsidRPr="005827A1" w:rsidRDefault="000B4D76" w:rsidP="00F1102D">
      <w:pPr>
        <w:widowControl w:val="0"/>
        <w:snapToGrid w:val="0"/>
        <w:spacing w:line="288" w:lineRule="auto"/>
        <w:ind w:firstLine="720"/>
        <w:contextualSpacing/>
        <w:rPr>
          <w:color w:val="000000" w:themeColor="text1"/>
          <w:lang w:eastAsia="zh-CN"/>
        </w:rPr>
      </w:pPr>
    </w:p>
    <w:p w:rsidR="0098653A" w:rsidRDefault="0098653A">
      <w:pPr>
        <w:spacing w:after="200" w:line="276" w:lineRule="auto"/>
        <w:jc w:val="left"/>
        <w:rPr>
          <w:color w:val="000000" w:themeColor="text1"/>
          <w:lang w:eastAsia="zh-CN"/>
        </w:rPr>
        <w:sectPr w:rsidR="0098653A" w:rsidSect="00E73869">
          <w:footerReference w:type="default" r:id="rId13"/>
          <w:footerReference w:type="first" r:id="rId14"/>
          <w:pgSz w:w="11907" w:h="16839" w:code="9"/>
          <w:pgMar w:top="1440" w:right="1440" w:bottom="1440" w:left="1440" w:header="720" w:footer="720" w:gutter="0"/>
          <w:cols w:space="720"/>
          <w:titlePg/>
          <w:docGrid w:linePitch="360"/>
        </w:sectPr>
      </w:pPr>
      <w:r>
        <w:rPr>
          <w:color w:val="000000" w:themeColor="text1"/>
          <w:lang w:eastAsia="zh-CN"/>
        </w:rPr>
        <w:br w:type="page"/>
      </w:r>
    </w:p>
    <w:p w:rsidR="00776B9C" w:rsidRPr="00B103AF" w:rsidRDefault="00776B9C" w:rsidP="00A57C5B">
      <w:pPr>
        <w:pStyle w:val="Caption"/>
        <w:jc w:val="center"/>
        <w:rPr>
          <w:rFonts w:ascii="Times New Roman" w:hAnsi="Times New Roman" w:cs="Times New Roman"/>
          <w:b/>
          <w:sz w:val="22"/>
          <w:szCs w:val="22"/>
        </w:rPr>
      </w:pPr>
      <w:r w:rsidRPr="00B103AF">
        <w:rPr>
          <w:rFonts w:ascii="Times New Roman" w:hAnsi="Times New Roman" w:cs="Times New Roman"/>
          <w:b/>
          <w:sz w:val="22"/>
          <w:szCs w:val="22"/>
        </w:rPr>
        <w:lastRenderedPageBreak/>
        <w:t xml:space="preserve">Table </w:t>
      </w:r>
      <w:r w:rsidR="00A57C5B">
        <w:rPr>
          <w:rFonts w:ascii="Times New Roman" w:hAnsi="Times New Roman" w:cs="Times New Roman"/>
          <w:b/>
          <w:sz w:val="22"/>
          <w:szCs w:val="22"/>
        </w:rPr>
        <w:t>2</w:t>
      </w:r>
      <w:r w:rsidR="00D53EB4">
        <w:rPr>
          <w:rFonts w:ascii="Times New Roman" w:hAnsi="Times New Roman" w:cs="Times New Roman"/>
          <w:b/>
          <w:sz w:val="22"/>
          <w:szCs w:val="22"/>
        </w:rPr>
        <w:t>:</w:t>
      </w:r>
      <w:r>
        <w:rPr>
          <w:rFonts w:ascii="Times New Roman" w:hAnsi="Times New Roman" w:cs="Times New Roman"/>
          <w:b/>
          <w:sz w:val="22"/>
          <w:szCs w:val="22"/>
        </w:rPr>
        <w:t xml:space="preserve"> </w:t>
      </w:r>
      <w:r w:rsidR="00E73869">
        <w:rPr>
          <w:rFonts w:ascii="Times New Roman" w:hAnsi="Times New Roman" w:cs="Times New Roman"/>
          <w:b/>
          <w:sz w:val="22"/>
          <w:szCs w:val="22"/>
        </w:rPr>
        <w:t xml:space="preserve"> </w:t>
      </w:r>
      <w:r>
        <w:rPr>
          <w:rFonts w:ascii="Times New Roman" w:hAnsi="Times New Roman" w:cs="Times New Roman"/>
          <w:b/>
          <w:sz w:val="22"/>
          <w:szCs w:val="22"/>
        </w:rPr>
        <w:t xml:space="preserve">Impacts on Relative Nutrient Intakes for </w:t>
      </w:r>
      <w:r w:rsidR="00E73869">
        <w:rPr>
          <w:rFonts w:ascii="Times New Roman" w:hAnsi="Times New Roman" w:cs="Times New Roman"/>
          <w:b/>
          <w:sz w:val="22"/>
          <w:szCs w:val="22"/>
        </w:rPr>
        <w:t>A</w:t>
      </w:r>
      <w:r>
        <w:rPr>
          <w:rFonts w:ascii="Times New Roman" w:hAnsi="Times New Roman" w:cs="Times New Roman"/>
          <w:b/>
          <w:sz w:val="22"/>
          <w:szCs w:val="22"/>
        </w:rPr>
        <w:t xml:space="preserve">ll Children Aged </w:t>
      </w:r>
      <w:proofErr w:type="gramStart"/>
      <w:r>
        <w:rPr>
          <w:rFonts w:ascii="Times New Roman" w:hAnsi="Times New Roman" w:cs="Times New Roman"/>
          <w:b/>
          <w:sz w:val="22"/>
          <w:szCs w:val="22"/>
        </w:rPr>
        <w:t>u</w:t>
      </w:r>
      <w:r w:rsidRPr="00B103AF">
        <w:rPr>
          <w:rFonts w:ascii="Times New Roman" w:hAnsi="Times New Roman" w:cs="Times New Roman"/>
          <w:b/>
          <w:sz w:val="22"/>
          <w:szCs w:val="22"/>
        </w:rPr>
        <w:t>nder</w:t>
      </w:r>
      <w:proofErr w:type="gramEnd"/>
      <w:r w:rsidRPr="00B103AF">
        <w:rPr>
          <w:rFonts w:ascii="Times New Roman" w:hAnsi="Times New Roman" w:cs="Times New Roman"/>
          <w:b/>
          <w:sz w:val="22"/>
          <w:szCs w:val="22"/>
        </w:rPr>
        <w:t xml:space="preserve"> 18, CHNS, 1991-2009</w:t>
      </w:r>
    </w:p>
    <w:p w:rsidR="00776B9C" w:rsidRPr="00C62D23" w:rsidRDefault="00776B9C" w:rsidP="00776B9C">
      <w:pPr>
        <w:jc w:val="center"/>
        <w:rPr>
          <w:b/>
          <w:sz w:val="10"/>
          <w:szCs w:val="10"/>
        </w:rPr>
      </w:pPr>
    </w:p>
    <w:tbl>
      <w:tblPr>
        <w:tblW w:w="13846" w:type="dxa"/>
        <w:jc w:val="center"/>
        <w:tblLayout w:type="fixed"/>
        <w:tblCellMar>
          <w:left w:w="28" w:type="dxa"/>
          <w:right w:w="28" w:type="dxa"/>
        </w:tblCellMar>
        <w:tblLook w:val="0000" w:firstRow="0" w:lastRow="0" w:firstColumn="0" w:lastColumn="0" w:noHBand="0" w:noVBand="0"/>
      </w:tblPr>
      <w:tblGrid>
        <w:gridCol w:w="4026"/>
        <w:gridCol w:w="1066"/>
        <w:gridCol w:w="1066"/>
        <w:gridCol w:w="1066"/>
        <w:gridCol w:w="113"/>
        <w:gridCol w:w="1066"/>
        <w:gridCol w:w="1066"/>
        <w:gridCol w:w="1066"/>
        <w:gridCol w:w="113"/>
        <w:gridCol w:w="1066"/>
        <w:gridCol w:w="1066"/>
        <w:gridCol w:w="1066"/>
      </w:tblGrid>
      <w:tr w:rsidR="00776B9C" w:rsidRPr="005827A1" w:rsidTr="00126D3D">
        <w:trPr>
          <w:jc w:val="center"/>
        </w:trPr>
        <w:tc>
          <w:tcPr>
            <w:tcW w:w="4026" w:type="dxa"/>
            <w:tcBorders>
              <w:top w:val="nil"/>
              <w:left w:val="nil"/>
              <w:bottom w:val="nil"/>
              <w:right w:val="nil"/>
            </w:tcBorders>
            <w:vAlign w:val="bottom"/>
          </w:tcPr>
          <w:p w:rsidR="00776B9C" w:rsidRPr="00B103AF" w:rsidRDefault="00776B9C" w:rsidP="00126D3D">
            <w:pPr>
              <w:autoSpaceDE w:val="0"/>
              <w:autoSpaceDN w:val="0"/>
              <w:adjustRightInd w:val="0"/>
              <w:rPr>
                <w:i/>
                <w:iCs/>
                <w:color w:val="000000"/>
                <w:sz w:val="22"/>
                <w:szCs w:val="22"/>
              </w:rPr>
            </w:pPr>
          </w:p>
        </w:tc>
        <w:tc>
          <w:tcPr>
            <w:tcW w:w="3198" w:type="dxa"/>
            <w:gridSpan w:val="3"/>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Relative Energy Intakes</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3198" w:type="dxa"/>
            <w:gridSpan w:val="3"/>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Relative Protein Intakes</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3198" w:type="dxa"/>
            <w:gridSpan w:val="3"/>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Relative Fat Intakes</w:t>
            </w:r>
          </w:p>
        </w:tc>
      </w:tr>
      <w:tr w:rsidR="00776B9C" w:rsidRPr="005827A1" w:rsidTr="00126D3D">
        <w:trPr>
          <w:jc w:val="center"/>
        </w:trPr>
        <w:tc>
          <w:tcPr>
            <w:tcW w:w="4026" w:type="dxa"/>
            <w:tcBorders>
              <w:top w:val="nil"/>
              <w:left w:val="nil"/>
              <w:right w:val="nil"/>
            </w:tcBorders>
            <w:vAlign w:val="bottom"/>
          </w:tcPr>
          <w:p w:rsidR="00776B9C" w:rsidRPr="00B103AF" w:rsidRDefault="00776B9C" w:rsidP="00126D3D">
            <w:pPr>
              <w:autoSpaceDE w:val="0"/>
              <w:autoSpaceDN w:val="0"/>
              <w:adjustRightInd w:val="0"/>
              <w:rPr>
                <w:color w:val="000000"/>
                <w:sz w:val="22"/>
                <w:szCs w:val="22"/>
              </w:rPr>
            </w:pP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OLS</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First Stage</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2SLS</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OLS</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First Stage</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2SLS</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OLS</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First Stage</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2SLS</w:t>
            </w:r>
          </w:p>
        </w:tc>
      </w:tr>
      <w:tr w:rsidR="00776B9C" w:rsidRPr="005827A1" w:rsidTr="00126D3D">
        <w:trPr>
          <w:jc w:val="center"/>
        </w:trPr>
        <w:tc>
          <w:tcPr>
            <w:tcW w:w="402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w:t>
            </w:r>
          </w:p>
        </w:tc>
        <w:tc>
          <w:tcPr>
            <w:tcW w:w="106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(2)</w:t>
            </w:r>
          </w:p>
        </w:tc>
        <w:tc>
          <w:tcPr>
            <w:tcW w:w="106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(3)</w:t>
            </w:r>
          </w:p>
        </w:tc>
        <w:tc>
          <w:tcPr>
            <w:tcW w:w="113"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(4)</w:t>
            </w:r>
          </w:p>
        </w:tc>
        <w:tc>
          <w:tcPr>
            <w:tcW w:w="106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(5)</w:t>
            </w:r>
          </w:p>
        </w:tc>
        <w:tc>
          <w:tcPr>
            <w:tcW w:w="106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(6)</w:t>
            </w:r>
          </w:p>
        </w:tc>
        <w:tc>
          <w:tcPr>
            <w:tcW w:w="113"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(7)</w:t>
            </w:r>
          </w:p>
        </w:tc>
        <w:tc>
          <w:tcPr>
            <w:tcW w:w="106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(8)</w:t>
            </w:r>
          </w:p>
        </w:tc>
        <w:tc>
          <w:tcPr>
            <w:tcW w:w="1066"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(9)</w:t>
            </w:r>
          </w:p>
        </w:tc>
      </w:tr>
      <w:tr w:rsidR="00776B9C" w:rsidRPr="005827A1" w:rsidTr="00126D3D">
        <w:trPr>
          <w:jc w:val="center"/>
        </w:trPr>
        <w:tc>
          <w:tcPr>
            <w:tcW w:w="402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rPr>
                <w:color w:val="000000"/>
                <w:sz w:val="22"/>
                <w:szCs w:val="22"/>
              </w:rPr>
            </w:pPr>
            <w:r w:rsidRPr="00B103AF">
              <w:rPr>
                <w:color w:val="000000"/>
                <w:sz w:val="22"/>
                <w:szCs w:val="22"/>
              </w:rPr>
              <w:t>Instrument – Local OCP Strength</w:t>
            </w: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r w:rsidRPr="00B103AF">
              <w:rPr>
                <w:color w:val="000000"/>
                <w:sz w:val="22"/>
                <w:szCs w:val="22"/>
              </w:rPr>
              <w:t>0.142**</w:t>
            </w: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p>
        </w:tc>
        <w:tc>
          <w:tcPr>
            <w:tcW w:w="113"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r w:rsidRPr="00B103AF">
              <w:rPr>
                <w:color w:val="000000"/>
                <w:sz w:val="22"/>
                <w:szCs w:val="22"/>
              </w:rPr>
              <w:t>0.140**</w:t>
            </w: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p>
        </w:tc>
        <w:tc>
          <w:tcPr>
            <w:tcW w:w="113"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r w:rsidRPr="00B103AF">
              <w:rPr>
                <w:color w:val="000000"/>
                <w:sz w:val="22"/>
                <w:szCs w:val="22"/>
              </w:rPr>
              <w:t>0.134**</w:t>
            </w: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2"/>
                <w:szCs w:val="22"/>
              </w:rPr>
            </w:pPr>
          </w:p>
        </w:tc>
      </w:tr>
      <w:tr w:rsidR="00776B9C" w:rsidRPr="005827A1" w:rsidTr="00126D3D">
        <w:trPr>
          <w:jc w:val="center"/>
        </w:trPr>
        <w:tc>
          <w:tcPr>
            <w:tcW w:w="4026" w:type="dxa"/>
            <w:tcBorders>
              <w:top w:val="nil"/>
              <w:left w:val="nil"/>
              <w:bottom w:val="nil"/>
              <w:right w:val="nil"/>
            </w:tcBorders>
            <w:vAlign w:val="bottom"/>
          </w:tcPr>
          <w:p w:rsidR="00776B9C" w:rsidRPr="00B103AF" w:rsidRDefault="00776B9C" w:rsidP="00126D3D">
            <w:pPr>
              <w:autoSpaceDE w:val="0"/>
              <w:autoSpaceDN w:val="0"/>
              <w:adjustRightInd w:val="0"/>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r>
      <w:tr w:rsidR="00776B9C" w:rsidRPr="005827A1" w:rsidTr="00126D3D">
        <w:trPr>
          <w:jc w:val="center"/>
        </w:trPr>
        <w:tc>
          <w:tcPr>
            <w:tcW w:w="4026" w:type="dxa"/>
            <w:tcBorders>
              <w:top w:val="nil"/>
              <w:left w:val="nil"/>
              <w:bottom w:val="nil"/>
              <w:right w:val="nil"/>
            </w:tcBorders>
            <w:vAlign w:val="bottom"/>
          </w:tcPr>
          <w:p w:rsidR="00C62D23" w:rsidRDefault="00C62D23" w:rsidP="00126D3D">
            <w:pPr>
              <w:autoSpaceDE w:val="0"/>
              <w:autoSpaceDN w:val="0"/>
              <w:adjustRightInd w:val="0"/>
              <w:rPr>
                <w:color w:val="000000"/>
                <w:sz w:val="22"/>
                <w:szCs w:val="22"/>
              </w:rPr>
            </w:pPr>
          </w:p>
          <w:p w:rsidR="00776B9C" w:rsidRPr="00B103AF" w:rsidRDefault="00776B9C" w:rsidP="00126D3D">
            <w:pPr>
              <w:autoSpaceDE w:val="0"/>
              <w:autoSpaceDN w:val="0"/>
              <w:adjustRightInd w:val="0"/>
              <w:rPr>
                <w:color w:val="000000"/>
                <w:sz w:val="22"/>
                <w:szCs w:val="22"/>
              </w:rPr>
            </w:pPr>
            <w:r w:rsidRPr="00B103AF">
              <w:rPr>
                <w:color w:val="000000"/>
                <w:sz w:val="22"/>
                <w:szCs w:val="22"/>
              </w:rPr>
              <w:t>Number of Siblings</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-0.00239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-0.176+</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-0.00017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-0.221*</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-0.107**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-0.360</w:t>
            </w:r>
          </w:p>
        </w:tc>
      </w:tr>
      <w:tr w:rsidR="00776B9C" w:rsidRPr="005827A1" w:rsidTr="00126D3D">
        <w:trPr>
          <w:jc w:val="center"/>
        </w:trPr>
        <w:tc>
          <w:tcPr>
            <w:tcW w:w="4026" w:type="dxa"/>
            <w:tcBorders>
              <w:top w:val="nil"/>
              <w:left w:val="nil"/>
              <w:bottom w:val="nil"/>
              <w:right w:val="nil"/>
            </w:tcBorders>
            <w:vAlign w:val="bottom"/>
          </w:tcPr>
          <w:p w:rsidR="00776B9C" w:rsidRPr="00B103AF" w:rsidRDefault="00776B9C" w:rsidP="00126D3D">
            <w:pPr>
              <w:autoSpaceDE w:val="0"/>
              <w:autoSpaceDN w:val="0"/>
              <w:adjustRightInd w:val="0"/>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(0.098)</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(0.100)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(0.381)</w:t>
            </w:r>
          </w:p>
        </w:tc>
      </w:tr>
      <w:tr w:rsidR="00776B9C" w:rsidRPr="005827A1" w:rsidTr="00126D3D">
        <w:trPr>
          <w:jc w:val="center"/>
        </w:trPr>
        <w:tc>
          <w:tcPr>
            <w:tcW w:w="4026" w:type="dxa"/>
            <w:tcBorders>
              <w:top w:val="nil"/>
              <w:left w:val="nil"/>
              <w:bottom w:val="nil"/>
              <w:right w:val="nil"/>
            </w:tcBorders>
            <w:vAlign w:val="bottom"/>
          </w:tcPr>
          <w:p w:rsidR="00C62D23" w:rsidRDefault="00C62D23" w:rsidP="00126D3D">
            <w:pPr>
              <w:autoSpaceDE w:val="0"/>
              <w:autoSpaceDN w:val="0"/>
              <w:adjustRightInd w:val="0"/>
              <w:rPr>
                <w:color w:val="000000"/>
                <w:sz w:val="22"/>
                <w:szCs w:val="22"/>
              </w:rPr>
            </w:pPr>
          </w:p>
          <w:p w:rsidR="00776B9C" w:rsidRPr="00B103AF" w:rsidRDefault="00776B9C" w:rsidP="00126D3D">
            <w:pPr>
              <w:autoSpaceDE w:val="0"/>
              <w:autoSpaceDN w:val="0"/>
              <w:adjustRightInd w:val="0"/>
              <w:rPr>
                <w:color w:val="000000"/>
                <w:sz w:val="22"/>
                <w:szCs w:val="22"/>
              </w:rPr>
            </w:pPr>
            <w:r w:rsidRPr="00B103AF">
              <w:rPr>
                <w:color w:val="000000"/>
                <w:sz w:val="22"/>
                <w:szCs w:val="22"/>
              </w:rPr>
              <w:t>Female</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-0.0199**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0.192**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0.0134</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-0.0419**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0.192**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0.000495</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-0.102**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0.193**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-0.0536</w:t>
            </w:r>
          </w:p>
        </w:tc>
      </w:tr>
      <w:tr w:rsidR="00776B9C" w:rsidRPr="005827A1" w:rsidTr="00126D3D">
        <w:trPr>
          <w:jc w:val="center"/>
        </w:trPr>
        <w:tc>
          <w:tcPr>
            <w:tcW w:w="4026" w:type="dxa"/>
            <w:tcBorders>
              <w:top w:val="nil"/>
              <w:left w:val="nil"/>
              <w:bottom w:val="nil"/>
              <w:right w:val="nil"/>
            </w:tcBorders>
            <w:vAlign w:val="bottom"/>
          </w:tcPr>
          <w:p w:rsidR="00776B9C" w:rsidRPr="00B103AF" w:rsidRDefault="00776B9C" w:rsidP="00126D3D">
            <w:pPr>
              <w:autoSpaceDE w:val="0"/>
              <w:autoSpaceDN w:val="0"/>
              <w:adjustRightInd w:val="0"/>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(0.019)</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(0.030)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(0.068)</w:t>
            </w:r>
          </w:p>
        </w:tc>
      </w:tr>
      <w:tr w:rsidR="00776B9C" w:rsidRPr="005827A1" w:rsidTr="00126D3D">
        <w:trPr>
          <w:jc w:val="center"/>
        </w:trPr>
        <w:tc>
          <w:tcPr>
            <w:tcW w:w="4026" w:type="dxa"/>
            <w:tcBorders>
              <w:top w:val="nil"/>
              <w:left w:val="nil"/>
              <w:bottom w:val="nil"/>
              <w:right w:val="nil"/>
            </w:tcBorders>
            <w:vAlign w:val="bottom"/>
          </w:tcPr>
          <w:p w:rsidR="00C62D23" w:rsidRDefault="00C62D23" w:rsidP="00126D3D">
            <w:pPr>
              <w:autoSpaceDE w:val="0"/>
              <w:autoSpaceDN w:val="0"/>
              <w:adjustRightInd w:val="0"/>
              <w:rPr>
                <w:color w:val="000000"/>
                <w:sz w:val="22"/>
                <w:szCs w:val="22"/>
              </w:rPr>
            </w:pPr>
          </w:p>
          <w:p w:rsidR="00776B9C" w:rsidRPr="00B103AF" w:rsidRDefault="00776B9C" w:rsidP="00126D3D">
            <w:pPr>
              <w:autoSpaceDE w:val="0"/>
              <w:autoSpaceDN w:val="0"/>
              <w:adjustRightInd w:val="0"/>
              <w:rPr>
                <w:color w:val="000000"/>
                <w:sz w:val="22"/>
                <w:szCs w:val="22"/>
              </w:rPr>
            </w:pPr>
            <w:r w:rsidRPr="00B103AF">
              <w:rPr>
                <w:color w:val="000000"/>
                <w:sz w:val="22"/>
                <w:szCs w:val="22"/>
              </w:rPr>
              <w:t>First-born Child</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-0.00576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-0.707**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-0.129+</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0.00109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-0.708**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-0.156*</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-0.069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-0.706**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-0.249</w:t>
            </w:r>
          </w:p>
        </w:tc>
      </w:tr>
      <w:tr w:rsidR="00776B9C" w:rsidRPr="005827A1" w:rsidTr="00126D3D">
        <w:trPr>
          <w:jc w:val="center"/>
        </w:trPr>
        <w:tc>
          <w:tcPr>
            <w:tcW w:w="4026" w:type="dxa"/>
            <w:tcBorders>
              <w:top w:val="nil"/>
              <w:left w:val="nil"/>
              <w:bottom w:val="nil"/>
              <w:right w:val="nil"/>
            </w:tcBorders>
            <w:vAlign w:val="bottom"/>
          </w:tcPr>
          <w:p w:rsidR="00776B9C" w:rsidRPr="00B103AF" w:rsidRDefault="00776B9C" w:rsidP="00126D3D">
            <w:pPr>
              <w:autoSpaceDE w:val="0"/>
              <w:autoSpaceDN w:val="0"/>
              <w:adjustRightInd w:val="0"/>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(0.070)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(0.072)</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(0.045)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(0.259)</w:t>
            </w:r>
          </w:p>
        </w:tc>
      </w:tr>
      <w:tr w:rsidR="00776B9C" w:rsidRPr="005827A1" w:rsidTr="00126D3D">
        <w:trPr>
          <w:jc w:val="center"/>
        </w:trPr>
        <w:tc>
          <w:tcPr>
            <w:tcW w:w="4026" w:type="dxa"/>
            <w:tcBorders>
              <w:top w:val="nil"/>
              <w:left w:val="nil"/>
              <w:bottom w:val="nil"/>
              <w:right w:val="nil"/>
            </w:tcBorders>
            <w:vAlign w:val="bottom"/>
          </w:tcPr>
          <w:p w:rsidR="00C62D23" w:rsidRDefault="00C62D23" w:rsidP="00126D3D">
            <w:pPr>
              <w:autoSpaceDE w:val="0"/>
              <w:autoSpaceDN w:val="0"/>
              <w:adjustRightInd w:val="0"/>
              <w:rPr>
                <w:color w:val="000000"/>
                <w:sz w:val="22"/>
                <w:szCs w:val="22"/>
              </w:rPr>
            </w:pPr>
          </w:p>
          <w:p w:rsidR="00776B9C" w:rsidRPr="00B103AF" w:rsidRDefault="00776B9C" w:rsidP="00126D3D">
            <w:pPr>
              <w:autoSpaceDE w:val="0"/>
              <w:autoSpaceDN w:val="0"/>
              <w:adjustRightInd w:val="0"/>
              <w:rPr>
                <w:i/>
                <w:iCs/>
                <w:color w:val="000000"/>
                <w:sz w:val="22"/>
                <w:szCs w:val="22"/>
              </w:rPr>
            </w:pPr>
            <w:r w:rsidRPr="00B103AF">
              <w:rPr>
                <w:color w:val="000000"/>
                <w:sz w:val="22"/>
                <w:szCs w:val="22"/>
              </w:rPr>
              <w:t xml:space="preserve">Urban </w:t>
            </w:r>
            <w:proofErr w:type="spellStart"/>
            <w:r w:rsidRPr="00B103AF">
              <w:rPr>
                <w:i/>
                <w:iCs/>
                <w:color w:val="000000"/>
                <w:sz w:val="22"/>
                <w:szCs w:val="22"/>
              </w:rPr>
              <w:t>Hukou</w:t>
            </w:r>
            <w:proofErr w:type="spellEnd"/>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0.0153*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-0.186**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-0.0192</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0.0177*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-0.192**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-0.0275</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0.0108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-0.190**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-0.0403</w:t>
            </w:r>
          </w:p>
        </w:tc>
      </w:tr>
      <w:tr w:rsidR="00776B9C" w:rsidRPr="005827A1" w:rsidTr="00126D3D">
        <w:trPr>
          <w:jc w:val="center"/>
        </w:trPr>
        <w:tc>
          <w:tcPr>
            <w:tcW w:w="4026" w:type="dxa"/>
            <w:tcBorders>
              <w:top w:val="nil"/>
              <w:left w:val="nil"/>
              <w:bottom w:val="nil"/>
              <w:right w:val="nil"/>
            </w:tcBorders>
            <w:vAlign w:val="bottom"/>
          </w:tcPr>
          <w:p w:rsidR="00776B9C" w:rsidRPr="00B103AF" w:rsidRDefault="00776B9C" w:rsidP="00126D3D">
            <w:pPr>
              <w:autoSpaceDE w:val="0"/>
              <w:autoSpaceDN w:val="0"/>
              <w:adjustRightInd w:val="0"/>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(0.021)</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(0.007)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(0.023)</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(0.036)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(0.075)</w:t>
            </w:r>
          </w:p>
        </w:tc>
      </w:tr>
      <w:tr w:rsidR="00776B9C" w:rsidRPr="005827A1" w:rsidTr="00126D3D">
        <w:trPr>
          <w:jc w:val="center"/>
        </w:trPr>
        <w:tc>
          <w:tcPr>
            <w:tcW w:w="4026" w:type="dxa"/>
            <w:tcBorders>
              <w:top w:val="nil"/>
              <w:left w:val="nil"/>
              <w:bottom w:val="nil"/>
              <w:right w:val="nil"/>
            </w:tcBorders>
            <w:vAlign w:val="bottom"/>
          </w:tcPr>
          <w:p w:rsidR="00C62D23" w:rsidRDefault="00C62D23" w:rsidP="00126D3D">
            <w:pPr>
              <w:autoSpaceDE w:val="0"/>
              <w:autoSpaceDN w:val="0"/>
              <w:adjustRightInd w:val="0"/>
              <w:rPr>
                <w:color w:val="000000"/>
                <w:sz w:val="22"/>
                <w:szCs w:val="22"/>
              </w:rPr>
            </w:pPr>
          </w:p>
          <w:p w:rsidR="00776B9C" w:rsidRPr="00B103AF" w:rsidRDefault="00776B9C" w:rsidP="00126D3D">
            <w:pPr>
              <w:autoSpaceDE w:val="0"/>
              <w:autoSpaceDN w:val="0"/>
              <w:adjustRightInd w:val="0"/>
              <w:rPr>
                <w:color w:val="000000"/>
                <w:sz w:val="22"/>
                <w:szCs w:val="22"/>
              </w:rPr>
            </w:pPr>
            <w:r w:rsidRPr="00B103AF">
              <w:rPr>
                <w:color w:val="000000"/>
                <w:sz w:val="22"/>
                <w:szCs w:val="22"/>
              </w:rPr>
              <w:t>Local Development Index</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0.0614**</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-0.186**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0.0251</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0.0652**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-0.203**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0.0155</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0.101*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-0.171**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0.0526</w:t>
            </w:r>
          </w:p>
        </w:tc>
      </w:tr>
      <w:tr w:rsidR="00776B9C" w:rsidRPr="005827A1" w:rsidTr="00126D3D">
        <w:trPr>
          <w:jc w:val="center"/>
        </w:trPr>
        <w:tc>
          <w:tcPr>
            <w:tcW w:w="4026" w:type="dxa"/>
            <w:tcBorders>
              <w:top w:val="nil"/>
              <w:left w:val="nil"/>
              <w:bottom w:val="nil"/>
              <w:right w:val="nil"/>
            </w:tcBorders>
            <w:vAlign w:val="bottom"/>
          </w:tcPr>
          <w:p w:rsidR="00776B9C" w:rsidRPr="00B103AF" w:rsidRDefault="00776B9C" w:rsidP="00126D3D">
            <w:pPr>
              <w:autoSpaceDE w:val="0"/>
              <w:autoSpaceDN w:val="0"/>
              <w:adjustRightInd w:val="0"/>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(0.036)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(0.025)</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(0.011)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(0.036)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(0.026)</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(0.047)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(0.036)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(0.099)</w:t>
            </w:r>
          </w:p>
        </w:tc>
      </w:tr>
      <w:tr w:rsidR="00776B9C" w:rsidRPr="005827A1" w:rsidTr="00126D3D">
        <w:trPr>
          <w:jc w:val="center"/>
        </w:trPr>
        <w:tc>
          <w:tcPr>
            <w:tcW w:w="4026" w:type="dxa"/>
            <w:tcBorders>
              <w:top w:val="nil"/>
              <w:left w:val="nil"/>
              <w:right w:val="nil"/>
            </w:tcBorders>
            <w:vAlign w:val="bottom"/>
          </w:tcPr>
          <w:p w:rsidR="00C62D23" w:rsidRDefault="00C62D23" w:rsidP="00126D3D">
            <w:pPr>
              <w:autoSpaceDE w:val="0"/>
              <w:autoSpaceDN w:val="0"/>
              <w:adjustRightInd w:val="0"/>
              <w:rPr>
                <w:color w:val="000000"/>
                <w:sz w:val="22"/>
                <w:szCs w:val="22"/>
              </w:rPr>
            </w:pPr>
          </w:p>
          <w:p w:rsidR="00776B9C" w:rsidRPr="00B103AF" w:rsidRDefault="00776B9C" w:rsidP="00126D3D">
            <w:pPr>
              <w:autoSpaceDE w:val="0"/>
              <w:autoSpaceDN w:val="0"/>
              <w:adjustRightInd w:val="0"/>
              <w:rPr>
                <w:color w:val="000000"/>
                <w:sz w:val="22"/>
                <w:szCs w:val="22"/>
              </w:rPr>
            </w:pPr>
            <w:r w:rsidRPr="00B103AF">
              <w:rPr>
                <w:color w:val="000000"/>
                <w:sz w:val="22"/>
                <w:szCs w:val="22"/>
              </w:rPr>
              <w:t>Total Number of Observations</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10,988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10,988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10,988</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10,988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10,988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10,988</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10,988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10,988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10,988</w:t>
            </w:r>
          </w:p>
        </w:tc>
      </w:tr>
      <w:tr w:rsidR="00776B9C" w:rsidRPr="005827A1" w:rsidTr="00126D3D">
        <w:trPr>
          <w:jc w:val="center"/>
        </w:trPr>
        <w:tc>
          <w:tcPr>
            <w:tcW w:w="4026" w:type="dxa"/>
            <w:tcBorders>
              <w:top w:val="nil"/>
              <w:left w:val="nil"/>
              <w:right w:val="nil"/>
            </w:tcBorders>
            <w:vAlign w:val="bottom"/>
          </w:tcPr>
          <w:p w:rsidR="00776B9C" w:rsidRPr="00B103AF" w:rsidRDefault="00776B9C" w:rsidP="00126D3D">
            <w:pPr>
              <w:autoSpaceDE w:val="0"/>
              <w:autoSpaceDN w:val="0"/>
              <w:adjustRightInd w:val="0"/>
              <w:rPr>
                <w:color w:val="000000"/>
                <w:sz w:val="22"/>
                <w:szCs w:val="22"/>
              </w:rPr>
            </w:pPr>
            <w:r w:rsidRPr="00B103AF">
              <w:rPr>
                <w:color w:val="000000"/>
                <w:sz w:val="22"/>
                <w:szCs w:val="22"/>
              </w:rPr>
              <w:t>Adjusted R-squared</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0.137</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0.528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0.029</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0.169</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0.528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-0.023</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0.53</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0.17</w:t>
            </w:r>
          </w:p>
        </w:tc>
      </w:tr>
      <w:tr w:rsidR="00776B9C" w:rsidRPr="005827A1" w:rsidTr="00126D3D">
        <w:trPr>
          <w:jc w:val="center"/>
        </w:trPr>
        <w:tc>
          <w:tcPr>
            <w:tcW w:w="4026" w:type="dxa"/>
            <w:tcBorders>
              <w:top w:val="nil"/>
              <w:left w:val="nil"/>
              <w:bottom w:val="nil"/>
              <w:right w:val="nil"/>
            </w:tcBorders>
            <w:vAlign w:val="bottom"/>
          </w:tcPr>
          <w:p w:rsidR="00776B9C" w:rsidRPr="00B103AF" w:rsidRDefault="00776B9C" w:rsidP="00126D3D">
            <w:pPr>
              <w:autoSpaceDE w:val="0"/>
              <w:autoSpaceDN w:val="0"/>
              <w:adjustRightInd w:val="0"/>
              <w:rPr>
                <w:color w:val="000000"/>
                <w:sz w:val="22"/>
                <w:szCs w:val="22"/>
              </w:rPr>
            </w:pPr>
            <w:r w:rsidRPr="00B103AF">
              <w:rPr>
                <w:color w:val="000000"/>
                <w:sz w:val="22"/>
                <w:szCs w:val="22"/>
              </w:rPr>
              <w:t>F-statistics for excluding local OCP strength</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28.75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27.92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r w:rsidRPr="00B103AF">
              <w:rPr>
                <w:color w:val="000000"/>
                <w:sz w:val="22"/>
                <w:szCs w:val="22"/>
              </w:rPr>
              <w:t>25.54</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2"/>
                <w:szCs w:val="22"/>
              </w:rPr>
            </w:pPr>
          </w:p>
        </w:tc>
      </w:tr>
      <w:tr w:rsidR="00776B9C" w:rsidRPr="005827A1" w:rsidTr="00126D3D">
        <w:trPr>
          <w:jc w:val="center"/>
        </w:trPr>
        <w:tc>
          <w:tcPr>
            <w:tcW w:w="402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rPr>
                <w:color w:val="000000"/>
                <w:sz w:val="22"/>
                <w:szCs w:val="22"/>
              </w:rPr>
            </w:pPr>
            <w:r w:rsidRPr="00B103AF">
              <w:rPr>
                <w:color w:val="000000"/>
                <w:sz w:val="22"/>
                <w:szCs w:val="22"/>
              </w:rPr>
              <w:t xml:space="preserve">P-value for added variable </w:t>
            </w:r>
            <w:proofErr w:type="spellStart"/>
            <w:r w:rsidRPr="00B103AF">
              <w:rPr>
                <w:color w:val="000000"/>
                <w:sz w:val="22"/>
                <w:szCs w:val="22"/>
              </w:rPr>
              <w:t>Hausman</w:t>
            </w:r>
            <w:proofErr w:type="spellEnd"/>
            <w:r w:rsidRPr="00B103AF">
              <w:rPr>
                <w:color w:val="000000"/>
                <w:sz w:val="22"/>
                <w:szCs w:val="22"/>
              </w:rPr>
              <w:t xml:space="preserve"> Test</w:t>
            </w: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r w:rsidRPr="00B103AF">
              <w:rPr>
                <w:color w:val="000000"/>
                <w:sz w:val="22"/>
                <w:szCs w:val="22"/>
              </w:rPr>
              <w:t>0.059</w:t>
            </w:r>
          </w:p>
        </w:tc>
        <w:tc>
          <w:tcPr>
            <w:tcW w:w="113"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r w:rsidRPr="00B103AF">
              <w:rPr>
                <w:color w:val="000000"/>
                <w:sz w:val="22"/>
                <w:szCs w:val="22"/>
              </w:rPr>
              <w:t>0.013</w:t>
            </w:r>
          </w:p>
        </w:tc>
        <w:tc>
          <w:tcPr>
            <w:tcW w:w="113"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2"/>
                <w:szCs w:val="22"/>
              </w:rPr>
            </w:pPr>
            <w:r w:rsidRPr="00B103AF">
              <w:rPr>
                <w:color w:val="000000"/>
                <w:sz w:val="22"/>
                <w:szCs w:val="22"/>
              </w:rPr>
              <w:t>0.509</w:t>
            </w:r>
          </w:p>
        </w:tc>
      </w:tr>
    </w:tbl>
    <w:p w:rsidR="00776B9C" w:rsidRPr="00B103AF" w:rsidRDefault="00776B9C" w:rsidP="00776B9C">
      <w:pPr>
        <w:autoSpaceDE w:val="0"/>
        <w:autoSpaceDN w:val="0"/>
        <w:adjustRightInd w:val="0"/>
        <w:rPr>
          <w:color w:val="000000"/>
          <w:sz w:val="6"/>
          <w:szCs w:val="6"/>
        </w:rPr>
      </w:pPr>
    </w:p>
    <w:p w:rsidR="00776B9C" w:rsidRDefault="00776B9C" w:rsidP="00776B9C">
      <w:pPr>
        <w:ind w:hanging="11"/>
      </w:pPr>
      <w:r w:rsidRPr="005827A1">
        <w:rPr>
          <w:i/>
          <w:iCs/>
        </w:rPr>
        <w:t>Notes</w:t>
      </w:r>
      <w:r w:rsidRPr="005827A1">
        <w:t xml:space="preserve">: </w:t>
      </w:r>
    </w:p>
    <w:p w:rsidR="00776B9C" w:rsidRPr="005827A1" w:rsidRDefault="00776B9C" w:rsidP="00776B9C">
      <w:pPr>
        <w:ind w:hanging="11"/>
      </w:pPr>
      <w:r w:rsidRPr="005827A1">
        <w:t>The dependent variable for the first stage is the number of siblings. All regressions control for age, age squared, years of schooling of parents, median household income, median nutrient intakes, and have dummy variables for province of residence and survey waves. Robust, clustered, standard errors, which allow for the potential correlation for the same children in different waves, are shown in parentheses.</w:t>
      </w:r>
    </w:p>
    <w:p w:rsidR="00776B9C" w:rsidRPr="00B103AF" w:rsidRDefault="00776B9C" w:rsidP="00776B9C">
      <w:pPr>
        <w:ind w:hanging="11"/>
        <w:rPr>
          <w:sz w:val="12"/>
          <w:szCs w:val="12"/>
        </w:rPr>
      </w:pPr>
    </w:p>
    <w:p w:rsidR="00776B9C" w:rsidRPr="005827A1" w:rsidRDefault="00776B9C" w:rsidP="00776B9C">
      <w:pPr>
        <w:ind w:hanging="11"/>
        <w:rPr>
          <w:color w:val="000000"/>
        </w:rPr>
      </w:pPr>
      <w:r w:rsidRPr="005827A1">
        <w:t>** p&lt;0.01, * p&lt;0.05, + p&lt;0.1</w:t>
      </w:r>
    </w:p>
    <w:p w:rsidR="0098653A" w:rsidRDefault="0098653A">
      <w:pPr>
        <w:spacing w:after="200" w:line="276" w:lineRule="auto"/>
        <w:jc w:val="left"/>
        <w:rPr>
          <w:color w:val="000000" w:themeColor="text1"/>
          <w:lang w:eastAsia="zh-CN"/>
        </w:rPr>
        <w:sectPr w:rsidR="0098653A" w:rsidSect="0098653A">
          <w:pgSz w:w="16839" w:h="11907" w:orient="landscape" w:code="9"/>
          <w:pgMar w:top="1440" w:right="1440" w:bottom="1440" w:left="1440" w:header="720" w:footer="720" w:gutter="0"/>
          <w:cols w:space="720"/>
          <w:docGrid w:linePitch="360"/>
        </w:sectPr>
      </w:pPr>
      <w:r>
        <w:rPr>
          <w:color w:val="000000" w:themeColor="text1"/>
          <w:lang w:eastAsia="zh-CN"/>
        </w:rPr>
        <w:br w:type="page"/>
      </w:r>
    </w:p>
    <w:p w:rsidR="00A579EE" w:rsidRDefault="00776B9C" w:rsidP="00C62D23">
      <w:pPr>
        <w:widowControl w:val="0"/>
        <w:snapToGrid w:val="0"/>
        <w:spacing w:line="288" w:lineRule="auto"/>
        <w:ind w:firstLine="426"/>
        <w:contextualSpacing/>
        <w:rPr>
          <w:color w:val="000000" w:themeColor="text1"/>
          <w:lang w:eastAsia="zh-CN"/>
        </w:rPr>
      </w:pPr>
      <w:r>
        <w:rPr>
          <w:color w:val="000000" w:themeColor="text1"/>
          <w:lang w:eastAsia="zh-CN"/>
        </w:rPr>
        <w:lastRenderedPageBreak/>
        <w:t>I</w:t>
      </w:r>
      <w:r w:rsidR="008C744D" w:rsidRPr="005827A1">
        <w:rPr>
          <w:color w:val="000000" w:themeColor="text1"/>
          <w:lang w:eastAsia="zh-CN"/>
        </w:rPr>
        <w:t xml:space="preserve">n the OLS results, but not in the 2SLS results, there is a statistically significant gender effect, with girls getting intakes </w:t>
      </w:r>
      <w:r w:rsidR="008E118E" w:rsidRPr="005827A1">
        <w:rPr>
          <w:color w:val="000000" w:themeColor="text1"/>
          <w:lang w:eastAsia="zh-CN"/>
        </w:rPr>
        <w:t xml:space="preserve">(relative to requirements) </w:t>
      </w:r>
      <w:r w:rsidR="008C744D" w:rsidRPr="005827A1">
        <w:rPr>
          <w:color w:val="000000" w:themeColor="text1"/>
          <w:lang w:eastAsia="zh-CN"/>
        </w:rPr>
        <w:t xml:space="preserve">of energy, protein, and fats that are 2%, 4%, and 10% lower than for boys, all else the same. Based on the DWH test results, only the OLS model for fats would be considered </w:t>
      </w:r>
      <w:r w:rsidR="008E118E" w:rsidRPr="005827A1">
        <w:rPr>
          <w:color w:val="000000" w:themeColor="text1"/>
          <w:lang w:eastAsia="zh-CN"/>
        </w:rPr>
        <w:t>as insignificantly affected by endogeneity</w:t>
      </w:r>
      <w:r w:rsidR="008C744D" w:rsidRPr="005827A1">
        <w:rPr>
          <w:color w:val="000000" w:themeColor="text1"/>
          <w:lang w:eastAsia="zh-CN"/>
        </w:rPr>
        <w:t>, and so the most valid inference is that some form of gender bias causes girls to have fat intakes that are one-tenth of the recommended level lower than for boys. Th</w:t>
      </w:r>
      <w:r w:rsidR="008E118E" w:rsidRPr="005827A1">
        <w:rPr>
          <w:color w:val="000000" w:themeColor="text1"/>
          <w:lang w:eastAsia="zh-CN"/>
        </w:rPr>
        <w:t>e other (related) gender effect</w:t>
      </w:r>
      <w:r w:rsidR="008C744D" w:rsidRPr="005827A1">
        <w:rPr>
          <w:color w:val="000000" w:themeColor="text1"/>
          <w:lang w:eastAsia="zh-CN"/>
        </w:rPr>
        <w:t xml:space="preserve"> is in terms of sibling numbers, with a girl having 0.2 more siblings than a boy, on average.</w:t>
      </w:r>
      <w:r w:rsidR="00D27A6A" w:rsidRPr="005827A1">
        <w:rPr>
          <w:color w:val="000000" w:themeColor="text1"/>
          <w:lang w:eastAsia="zh-CN"/>
        </w:rPr>
        <w:t xml:space="preserve"> </w:t>
      </w:r>
      <w:r w:rsidR="00127A7A" w:rsidRPr="005827A1">
        <w:rPr>
          <w:color w:val="000000" w:themeColor="text1"/>
          <w:lang w:eastAsia="zh-CN"/>
        </w:rPr>
        <w:t>To</w:t>
      </w:r>
      <w:r w:rsidR="00C53EF5" w:rsidRPr="005827A1">
        <w:rPr>
          <w:color w:val="000000" w:themeColor="text1"/>
          <w:lang w:eastAsia="zh-CN"/>
        </w:rPr>
        <w:t xml:space="preserve"> further</w:t>
      </w:r>
      <w:r w:rsidR="00127A7A" w:rsidRPr="005827A1">
        <w:rPr>
          <w:color w:val="000000" w:themeColor="text1"/>
          <w:lang w:eastAsia="zh-CN"/>
        </w:rPr>
        <w:t xml:space="preserve"> examine </w:t>
      </w:r>
      <w:r w:rsidR="008E118E" w:rsidRPr="005827A1">
        <w:rPr>
          <w:color w:val="000000" w:themeColor="text1"/>
          <w:lang w:eastAsia="zh-CN"/>
        </w:rPr>
        <w:t xml:space="preserve">possible </w:t>
      </w:r>
      <w:r w:rsidR="008C744D" w:rsidRPr="005827A1">
        <w:rPr>
          <w:color w:val="000000" w:themeColor="text1"/>
          <w:lang w:eastAsia="zh-CN"/>
        </w:rPr>
        <w:t xml:space="preserve">gender </w:t>
      </w:r>
      <w:r w:rsidR="00127A7A" w:rsidRPr="005827A1">
        <w:rPr>
          <w:color w:val="000000" w:themeColor="text1"/>
          <w:lang w:eastAsia="zh-CN"/>
        </w:rPr>
        <w:t>heterogeneity</w:t>
      </w:r>
      <w:r w:rsidR="008E118E" w:rsidRPr="005827A1">
        <w:rPr>
          <w:color w:val="000000" w:themeColor="text1"/>
          <w:lang w:eastAsia="zh-CN"/>
        </w:rPr>
        <w:t xml:space="preserve"> in</w:t>
      </w:r>
      <w:r w:rsidR="00127A7A" w:rsidRPr="005827A1">
        <w:rPr>
          <w:color w:val="000000" w:themeColor="text1"/>
          <w:lang w:eastAsia="zh-CN"/>
        </w:rPr>
        <w:t xml:space="preserve"> the </w:t>
      </w:r>
      <w:r w:rsidR="00C53EF5" w:rsidRPr="005827A1">
        <w:rPr>
          <w:color w:val="000000" w:themeColor="text1"/>
          <w:lang w:eastAsia="zh-CN"/>
        </w:rPr>
        <w:t xml:space="preserve">trade-off </w:t>
      </w:r>
      <w:r w:rsidR="008E118E" w:rsidRPr="005827A1">
        <w:rPr>
          <w:color w:val="000000" w:themeColor="text1"/>
          <w:lang w:eastAsia="zh-CN"/>
        </w:rPr>
        <w:t xml:space="preserve">effect from </w:t>
      </w:r>
      <w:r w:rsidR="00127A7A" w:rsidRPr="005827A1">
        <w:rPr>
          <w:color w:val="000000" w:themeColor="text1"/>
          <w:lang w:eastAsia="zh-CN"/>
        </w:rPr>
        <w:t xml:space="preserve">sibling </w:t>
      </w:r>
      <w:r w:rsidR="00C53EF5" w:rsidRPr="005827A1">
        <w:rPr>
          <w:color w:val="000000" w:themeColor="text1"/>
          <w:lang w:eastAsia="zh-CN"/>
        </w:rPr>
        <w:t xml:space="preserve">numbers </w:t>
      </w:r>
      <w:r w:rsidR="00127A7A" w:rsidRPr="005827A1">
        <w:rPr>
          <w:color w:val="000000" w:themeColor="text1"/>
          <w:lang w:eastAsia="zh-CN"/>
        </w:rPr>
        <w:t xml:space="preserve">on nutrient intakes, we run the </w:t>
      </w:r>
      <w:r w:rsidR="00C53EF5" w:rsidRPr="005827A1">
        <w:rPr>
          <w:color w:val="000000" w:themeColor="text1"/>
          <w:lang w:eastAsia="zh-CN"/>
        </w:rPr>
        <w:t xml:space="preserve">OLS and 2SLS </w:t>
      </w:r>
      <w:r w:rsidR="00127A7A" w:rsidRPr="005827A1">
        <w:rPr>
          <w:color w:val="000000" w:themeColor="text1"/>
          <w:lang w:eastAsia="zh-CN"/>
        </w:rPr>
        <w:t>regressions separately for boys and girls</w:t>
      </w:r>
      <w:r w:rsidR="00C53EF5" w:rsidRPr="005827A1">
        <w:rPr>
          <w:color w:val="000000" w:themeColor="text1"/>
          <w:lang w:eastAsia="zh-CN"/>
        </w:rPr>
        <w:t>, with results</w:t>
      </w:r>
      <w:r w:rsidR="00861CE4" w:rsidRPr="005827A1">
        <w:rPr>
          <w:color w:val="000000" w:themeColor="text1"/>
          <w:lang w:eastAsia="zh-CN"/>
        </w:rPr>
        <w:t xml:space="preserve"> </w:t>
      </w:r>
      <w:r w:rsidR="008C744D" w:rsidRPr="005827A1">
        <w:rPr>
          <w:color w:val="000000" w:themeColor="text1"/>
          <w:lang w:eastAsia="zh-CN"/>
        </w:rPr>
        <w:t>report</w:t>
      </w:r>
      <w:r w:rsidR="00C53EF5" w:rsidRPr="005827A1">
        <w:rPr>
          <w:color w:val="000000" w:themeColor="text1"/>
          <w:lang w:eastAsia="zh-CN"/>
        </w:rPr>
        <w:t>ed</w:t>
      </w:r>
      <w:r w:rsidR="008C744D" w:rsidRPr="005827A1">
        <w:rPr>
          <w:color w:val="000000" w:themeColor="text1"/>
          <w:lang w:eastAsia="zh-CN"/>
        </w:rPr>
        <w:t xml:space="preserve"> </w:t>
      </w:r>
      <w:r w:rsidR="00861CE4" w:rsidRPr="005827A1">
        <w:rPr>
          <w:color w:val="000000" w:themeColor="text1"/>
          <w:lang w:eastAsia="zh-CN"/>
        </w:rPr>
        <w:t xml:space="preserve">in Table 3. </w:t>
      </w:r>
      <w:r w:rsidR="00127A7A" w:rsidRPr="005827A1">
        <w:rPr>
          <w:color w:val="000000" w:themeColor="text1"/>
          <w:lang w:eastAsia="zh-CN"/>
        </w:rPr>
        <w:t xml:space="preserve"> </w:t>
      </w:r>
    </w:p>
    <w:p w:rsidR="000B4D76" w:rsidRPr="005827A1" w:rsidRDefault="000B4D76" w:rsidP="00F1102D">
      <w:pPr>
        <w:widowControl w:val="0"/>
        <w:snapToGrid w:val="0"/>
        <w:spacing w:line="288" w:lineRule="auto"/>
        <w:ind w:firstLine="720"/>
        <w:contextualSpacing/>
        <w:rPr>
          <w:color w:val="000000" w:themeColor="text1"/>
          <w:lang w:eastAsia="zh-CN"/>
        </w:rPr>
      </w:pPr>
    </w:p>
    <w:p w:rsidR="00861CE4" w:rsidRDefault="00D21D58" w:rsidP="00C62D23">
      <w:pPr>
        <w:widowControl w:val="0"/>
        <w:snapToGrid w:val="0"/>
        <w:spacing w:line="288" w:lineRule="auto"/>
        <w:ind w:firstLine="426"/>
        <w:contextualSpacing/>
        <w:rPr>
          <w:color w:val="000000" w:themeColor="text1"/>
          <w:lang w:eastAsia="zh-CN"/>
        </w:rPr>
      </w:pPr>
      <w:r w:rsidRPr="005827A1">
        <w:rPr>
          <w:color w:val="000000" w:themeColor="text1"/>
          <w:lang w:eastAsia="zh-CN"/>
        </w:rPr>
        <w:t xml:space="preserve">The </w:t>
      </w:r>
      <w:r w:rsidR="00FD44DC" w:rsidRPr="005827A1">
        <w:rPr>
          <w:color w:val="000000" w:themeColor="text1"/>
          <w:lang w:eastAsia="zh-CN"/>
        </w:rPr>
        <w:t xml:space="preserve">gender disaggregated results in Table 3 </w:t>
      </w:r>
      <w:r w:rsidR="00C1511B" w:rsidRPr="005827A1">
        <w:rPr>
          <w:color w:val="000000" w:themeColor="text1"/>
          <w:lang w:eastAsia="zh-CN"/>
        </w:rPr>
        <w:t>suggest that the trade-off effects for energy and protein intakes seen in the pooled sample are due to boys</w:t>
      </w:r>
      <w:r w:rsidR="000150E5" w:rsidRPr="005827A1">
        <w:rPr>
          <w:color w:val="000000" w:themeColor="text1"/>
          <w:lang w:eastAsia="zh-CN"/>
        </w:rPr>
        <w:t>, where the DWH tests support the 2SLS results over the OLS results</w:t>
      </w:r>
      <w:r w:rsidR="00C1511B" w:rsidRPr="005827A1">
        <w:rPr>
          <w:color w:val="000000" w:themeColor="text1"/>
          <w:lang w:eastAsia="zh-CN"/>
        </w:rPr>
        <w:t>.</w:t>
      </w:r>
      <w:r w:rsidR="00FD44DC" w:rsidRPr="005827A1">
        <w:rPr>
          <w:color w:val="000000" w:themeColor="text1"/>
          <w:lang w:eastAsia="zh-CN"/>
        </w:rPr>
        <w:t xml:space="preserve"> In contrast, the trade-off between sibling numbers and the quality of diet observed through the lens of fat intakes is apparent for both boys and girls</w:t>
      </w:r>
      <w:r w:rsidR="009B1280" w:rsidRPr="005827A1">
        <w:rPr>
          <w:color w:val="000000" w:themeColor="text1"/>
          <w:lang w:eastAsia="zh-CN"/>
        </w:rPr>
        <w:t xml:space="preserve"> according to the valid OLS models</w:t>
      </w:r>
      <w:r w:rsidR="00FD44DC" w:rsidRPr="005827A1">
        <w:rPr>
          <w:color w:val="000000" w:themeColor="text1"/>
          <w:lang w:eastAsia="zh-CN"/>
        </w:rPr>
        <w:t xml:space="preserve">. In fact, the trade-off appears to be twice as large for girls, with a coefficient of -0.15 compared to -0.07 for boys; in other words, an extra sibling would reduce the fat intake of a girl by about 15% of the recommended intake. </w:t>
      </w:r>
    </w:p>
    <w:p w:rsidR="000B4D76" w:rsidRPr="005827A1" w:rsidRDefault="000B4D76" w:rsidP="00F1102D">
      <w:pPr>
        <w:widowControl w:val="0"/>
        <w:snapToGrid w:val="0"/>
        <w:spacing w:line="288" w:lineRule="auto"/>
        <w:ind w:firstLine="720"/>
        <w:contextualSpacing/>
        <w:rPr>
          <w:color w:val="000000" w:themeColor="text1"/>
          <w:lang w:eastAsia="zh-CN"/>
        </w:rPr>
      </w:pPr>
    </w:p>
    <w:p w:rsidR="00FD44DC" w:rsidRDefault="00FD44DC" w:rsidP="000B4D76">
      <w:pPr>
        <w:widowControl w:val="0"/>
        <w:snapToGrid w:val="0"/>
        <w:spacing w:line="288" w:lineRule="auto"/>
        <w:ind w:firstLine="426"/>
        <w:contextualSpacing/>
        <w:rPr>
          <w:color w:val="000000" w:themeColor="text1"/>
          <w:lang w:eastAsia="zh-CN"/>
        </w:rPr>
      </w:pPr>
      <w:r w:rsidRPr="005827A1">
        <w:rPr>
          <w:color w:val="000000" w:themeColor="text1"/>
          <w:lang w:eastAsia="zh-CN"/>
        </w:rPr>
        <w:t xml:space="preserve">The other feature of </w:t>
      </w:r>
      <w:r w:rsidR="00B34E1A" w:rsidRPr="005827A1">
        <w:rPr>
          <w:color w:val="000000" w:themeColor="text1"/>
          <w:lang w:eastAsia="zh-CN"/>
        </w:rPr>
        <w:t xml:space="preserve">the results in </w:t>
      </w:r>
      <w:r w:rsidRPr="005827A1">
        <w:rPr>
          <w:color w:val="000000" w:themeColor="text1"/>
          <w:lang w:eastAsia="zh-CN"/>
        </w:rPr>
        <w:t xml:space="preserve">Table 3 </w:t>
      </w:r>
      <w:r w:rsidR="00B34E1A" w:rsidRPr="005827A1">
        <w:rPr>
          <w:color w:val="000000" w:themeColor="text1"/>
          <w:lang w:eastAsia="zh-CN"/>
        </w:rPr>
        <w:t xml:space="preserve">is for the first-stage models in columns (2), (5) and (8). It appears that the number of siblings that a girl has is more strongly affected by external factors than is the case for boys. Thus, for girls the coefficients on the strength of the local OCP is about 0.15, versus 0.12 for boys, so as more women in a community are allowed to have a second child, if the existing child is a girl she is more likely to get an extra sibling compared with if the child is a boy. Similarly, while having urban </w:t>
      </w:r>
      <w:proofErr w:type="spellStart"/>
      <w:r w:rsidR="00B34E1A" w:rsidRPr="005827A1">
        <w:rPr>
          <w:i/>
          <w:iCs/>
          <w:color w:val="000000" w:themeColor="text1"/>
          <w:lang w:eastAsia="zh-CN"/>
        </w:rPr>
        <w:t>Hukou</w:t>
      </w:r>
      <w:proofErr w:type="spellEnd"/>
      <w:r w:rsidR="00C62D23">
        <w:rPr>
          <w:i/>
          <w:iCs/>
          <w:color w:val="000000" w:themeColor="text1"/>
          <w:lang w:eastAsia="zh-CN"/>
        </w:rPr>
        <w:t>,</w:t>
      </w:r>
      <w:r w:rsidR="00B34E1A" w:rsidRPr="005827A1">
        <w:rPr>
          <w:color w:val="000000" w:themeColor="text1"/>
          <w:lang w:eastAsia="zh-CN"/>
        </w:rPr>
        <w:t xml:space="preserve"> or living in an area with higher levels of the local development index both reduce the number of siblings that a girl has by about one-quarter, for boys the effect is only about one-half as large. Thus, </w:t>
      </w:r>
      <w:r w:rsidR="008E118E" w:rsidRPr="005827A1">
        <w:rPr>
          <w:color w:val="000000" w:themeColor="text1"/>
          <w:lang w:eastAsia="zh-CN"/>
        </w:rPr>
        <w:t xml:space="preserve">for </w:t>
      </w:r>
      <w:r w:rsidR="00B34E1A" w:rsidRPr="005827A1">
        <w:rPr>
          <w:color w:val="000000" w:themeColor="text1"/>
          <w:lang w:eastAsia="zh-CN"/>
        </w:rPr>
        <w:t>a girl th</w:t>
      </w:r>
      <w:r w:rsidR="008E118E" w:rsidRPr="005827A1">
        <w:rPr>
          <w:color w:val="000000" w:themeColor="text1"/>
          <w:lang w:eastAsia="zh-CN"/>
        </w:rPr>
        <w:t>e external constraints on fertility decisions of the</w:t>
      </w:r>
      <w:r w:rsidR="00B34E1A" w:rsidRPr="005827A1">
        <w:rPr>
          <w:color w:val="000000" w:themeColor="text1"/>
          <w:lang w:eastAsia="zh-CN"/>
        </w:rPr>
        <w:t xml:space="preserve"> family </w:t>
      </w:r>
      <w:r w:rsidR="008E118E" w:rsidRPr="005827A1">
        <w:rPr>
          <w:color w:val="000000" w:themeColor="text1"/>
          <w:lang w:eastAsia="zh-CN"/>
        </w:rPr>
        <w:t xml:space="preserve">that may yield an extra sibling </w:t>
      </w:r>
      <w:r w:rsidR="00B34E1A" w:rsidRPr="005827A1">
        <w:rPr>
          <w:color w:val="000000" w:themeColor="text1"/>
          <w:lang w:eastAsia="zh-CN"/>
        </w:rPr>
        <w:t>may be more important</w:t>
      </w:r>
      <w:r w:rsidR="008E118E" w:rsidRPr="005827A1">
        <w:rPr>
          <w:color w:val="000000" w:themeColor="text1"/>
          <w:lang w:eastAsia="zh-CN"/>
        </w:rPr>
        <w:t xml:space="preserve"> than for a boy</w:t>
      </w:r>
      <w:r w:rsidR="00B34E1A" w:rsidRPr="005827A1">
        <w:rPr>
          <w:color w:val="000000" w:themeColor="text1"/>
          <w:lang w:eastAsia="zh-CN"/>
        </w:rPr>
        <w:t>, which is also seen in the first-born child indicator; a boy who is a first born has significantly fewer siblings than a first-born girl, which again reflects a form of son-preference.</w:t>
      </w:r>
    </w:p>
    <w:p w:rsidR="000B4D76" w:rsidRPr="005827A1" w:rsidRDefault="000B4D76" w:rsidP="00F1102D">
      <w:pPr>
        <w:widowControl w:val="0"/>
        <w:snapToGrid w:val="0"/>
        <w:spacing w:line="288" w:lineRule="auto"/>
        <w:ind w:firstLine="720"/>
        <w:contextualSpacing/>
        <w:rPr>
          <w:color w:val="000000" w:themeColor="text1"/>
          <w:lang w:eastAsia="zh-CN"/>
        </w:rPr>
      </w:pPr>
    </w:p>
    <w:p w:rsidR="00807324" w:rsidRDefault="00807324" w:rsidP="000B4D76">
      <w:pPr>
        <w:widowControl w:val="0"/>
        <w:snapToGrid w:val="0"/>
        <w:spacing w:line="288" w:lineRule="auto"/>
        <w:ind w:firstLine="426"/>
        <w:contextualSpacing/>
        <w:rPr>
          <w:color w:val="000000" w:themeColor="text1"/>
          <w:lang w:eastAsia="zh-CN"/>
        </w:rPr>
      </w:pPr>
      <w:r w:rsidRPr="005827A1">
        <w:rPr>
          <w:color w:val="000000" w:themeColor="text1"/>
          <w:lang w:eastAsia="zh-CN"/>
        </w:rPr>
        <w:t>In summary</w:t>
      </w:r>
      <w:r w:rsidR="000C792D" w:rsidRPr="005827A1">
        <w:rPr>
          <w:color w:val="000000" w:themeColor="text1"/>
          <w:lang w:eastAsia="zh-CN"/>
        </w:rPr>
        <w:t>,</w:t>
      </w:r>
      <w:r w:rsidRPr="005827A1">
        <w:rPr>
          <w:color w:val="000000" w:themeColor="text1"/>
          <w:lang w:eastAsia="zh-CN"/>
        </w:rPr>
        <w:t xml:space="preserve"> the cross-sectional results</w:t>
      </w:r>
      <w:r w:rsidR="000C792D" w:rsidRPr="005827A1">
        <w:rPr>
          <w:color w:val="000000" w:themeColor="text1"/>
          <w:lang w:eastAsia="zh-CN"/>
        </w:rPr>
        <w:t xml:space="preserve"> suggest that fat intakes exhibit a significant </w:t>
      </w:r>
      <w:r w:rsidRPr="005827A1">
        <w:rPr>
          <w:color w:val="000000" w:themeColor="text1"/>
          <w:lang w:eastAsia="zh-CN"/>
        </w:rPr>
        <w:t>trade</w:t>
      </w:r>
      <w:r w:rsidR="00C8240F" w:rsidRPr="005827A1">
        <w:rPr>
          <w:color w:val="000000" w:themeColor="text1"/>
          <w:lang w:eastAsia="zh-CN"/>
        </w:rPr>
        <w:t>-</w:t>
      </w:r>
      <w:r w:rsidRPr="005827A1">
        <w:rPr>
          <w:color w:val="000000" w:themeColor="text1"/>
          <w:lang w:eastAsia="zh-CN"/>
        </w:rPr>
        <w:t xml:space="preserve">off between child quantity and quality </w:t>
      </w:r>
      <w:r w:rsidR="000C792D" w:rsidRPr="005827A1">
        <w:rPr>
          <w:color w:val="000000" w:themeColor="text1"/>
          <w:lang w:eastAsia="zh-CN"/>
        </w:rPr>
        <w:t xml:space="preserve">for both boys and girls. </w:t>
      </w:r>
      <w:r w:rsidR="00FD44DC" w:rsidRPr="005827A1">
        <w:rPr>
          <w:color w:val="000000" w:themeColor="text1"/>
          <w:lang w:eastAsia="zh-CN"/>
        </w:rPr>
        <w:t xml:space="preserve">The reduction in fat intakes </w:t>
      </w:r>
      <w:r w:rsidR="000C792D" w:rsidRPr="005827A1">
        <w:rPr>
          <w:color w:val="000000" w:themeColor="text1"/>
          <w:lang w:eastAsia="zh-CN"/>
        </w:rPr>
        <w:t>f</w:t>
      </w:r>
      <w:r w:rsidR="00FD44DC" w:rsidRPr="005827A1">
        <w:rPr>
          <w:color w:val="000000" w:themeColor="text1"/>
          <w:lang w:eastAsia="zh-CN"/>
        </w:rPr>
        <w:t>or</w:t>
      </w:r>
      <w:r w:rsidR="000C792D" w:rsidRPr="005827A1">
        <w:rPr>
          <w:color w:val="000000" w:themeColor="text1"/>
          <w:lang w:eastAsia="zh-CN"/>
        </w:rPr>
        <w:t xml:space="preserve"> girls</w:t>
      </w:r>
      <w:r w:rsidR="00FD44DC" w:rsidRPr="005827A1">
        <w:rPr>
          <w:color w:val="000000" w:themeColor="text1"/>
          <w:lang w:eastAsia="zh-CN"/>
        </w:rPr>
        <w:t>,</w:t>
      </w:r>
      <w:r w:rsidR="000C792D" w:rsidRPr="005827A1">
        <w:rPr>
          <w:color w:val="000000" w:themeColor="text1"/>
          <w:lang w:eastAsia="zh-CN"/>
        </w:rPr>
        <w:t xml:space="preserve"> due to having an extra sibling</w:t>
      </w:r>
      <w:r w:rsidR="00FD44DC" w:rsidRPr="005827A1">
        <w:rPr>
          <w:color w:val="000000" w:themeColor="text1"/>
          <w:lang w:eastAsia="zh-CN"/>
        </w:rPr>
        <w:t>,</w:t>
      </w:r>
      <w:r w:rsidR="000C792D" w:rsidRPr="005827A1">
        <w:rPr>
          <w:color w:val="000000" w:themeColor="text1"/>
          <w:lang w:eastAsia="zh-CN"/>
        </w:rPr>
        <w:t xml:space="preserve"> is approximately twice as large as the reduction for boys. For energy and protein intakes, the significant trade-off seen in the 2SLS results is only for boys. </w:t>
      </w:r>
      <w:r w:rsidR="00FD44DC" w:rsidRPr="005827A1">
        <w:rPr>
          <w:color w:val="000000" w:themeColor="text1"/>
          <w:lang w:eastAsia="zh-CN"/>
        </w:rPr>
        <w:t>While these cross-sectional results have plausible treatments for the number of siblings being an endogenous</w:t>
      </w:r>
      <w:r w:rsidR="00883802" w:rsidRPr="005827A1">
        <w:rPr>
          <w:color w:val="000000" w:themeColor="text1"/>
          <w:lang w:eastAsia="zh-CN"/>
        </w:rPr>
        <w:t xml:space="preserve"> choice</w:t>
      </w:r>
      <w:r w:rsidR="00FD44DC" w:rsidRPr="005827A1">
        <w:rPr>
          <w:color w:val="000000" w:themeColor="text1"/>
          <w:lang w:eastAsia="zh-CN"/>
        </w:rPr>
        <w:t xml:space="preserve"> variable they do not deal with child-specific heterogeneity and so we now turn to panel regression results that look at within-child variation over time.</w:t>
      </w:r>
    </w:p>
    <w:p w:rsidR="00776B9C" w:rsidRDefault="00776B9C">
      <w:pPr>
        <w:spacing w:after="200" w:line="276" w:lineRule="auto"/>
        <w:jc w:val="left"/>
        <w:rPr>
          <w:rFonts w:eastAsiaTheme="majorEastAsia"/>
          <w:b/>
          <w:bCs/>
          <w:lang w:eastAsia="zh-CN"/>
        </w:rPr>
      </w:pPr>
      <w:bookmarkStart w:id="12" w:name="_Toc466899938"/>
    </w:p>
    <w:p w:rsidR="00776B9C" w:rsidRDefault="00776B9C">
      <w:pPr>
        <w:spacing w:after="200" w:line="276" w:lineRule="auto"/>
        <w:jc w:val="left"/>
        <w:rPr>
          <w:lang w:eastAsia="zh-CN"/>
        </w:rPr>
        <w:sectPr w:rsidR="00776B9C" w:rsidSect="00F1102D">
          <w:pgSz w:w="11907" w:h="16839" w:code="9"/>
          <w:pgMar w:top="1440" w:right="1440" w:bottom="1440" w:left="1440" w:header="720" w:footer="720" w:gutter="0"/>
          <w:cols w:space="720"/>
          <w:docGrid w:linePitch="360"/>
        </w:sectPr>
      </w:pPr>
      <w:r>
        <w:rPr>
          <w:lang w:eastAsia="zh-CN"/>
        </w:rPr>
        <w:br w:type="page"/>
      </w:r>
    </w:p>
    <w:p w:rsidR="00776B9C" w:rsidRPr="00B103AF" w:rsidRDefault="00776B9C" w:rsidP="00A57C5B">
      <w:pPr>
        <w:pStyle w:val="Caption"/>
        <w:spacing w:after="100" w:line="288" w:lineRule="auto"/>
        <w:jc w:val="center"/>
        <w:rPr>
          <w:rFonts w:ascii="Times New Roman" w:hAnsi="Times New Roman" w:cs="Times New Roman"/>
          <w:b/>
          <w:sz w:val="22"/>
          <w:szCs w:val="22"/>
        </w:rPr>
      </w:pPr>
      <w:r w:rsidRPr="00B103AF">
        <w:rPr>
          <w:rFonts w:ascii="Times New Roman" w:hAnsi="Times New Roman" w:cs="Times New Roman"/>
          <w:b/>
          <w:sz w:val="22"/>
          <w:szCs w:val="22"/>
        </w:rPr>
        <w:lastRenderedPageBreak/>
        <w:t>Table</w:t>
      </w:r>
      <w:r w:rsidR="00A57C5B">
        <w:rPr>
          <w:rFonts w:ascii="Times New Roman" w:hAnsi="Times New Roman" w:cs="Times New Roman"/>
          <w:b/>
          <w:sz w:val="22"/>
          <w:szCs w:val="22"/>
        </w:rPr>
        <w:t xml:space="preserve"> 3</w:t>
      </w:r>
      <w:r w:rsidR="00C62D23">
        <w:rPr>
          <w:rFonts w:ascii="Times New Roman" w:hAnsi="Times New Roman" w:cs="Times New Roman"/>
          <w:b/>
          <w:sz w:val="22"/>
          <w:szCs w:val="22"/>
        </w:rPr>
        <w:t>: Impacts on Relative Nutrient Intakes for Children A</w:t>
      </w:r>
      <w:r w:rsidR="00E73869">
        <w:rPr>
          <w:rFonts w:ascii="Times New Roman" w:hAnsi="Times New Roman" w:cs="Times New Roman"/>
          <w:b/>
          <w:sz w:val="22"/>
          <w:szCs w:val="22"/>
        </w:rPr>
        <w:t xml:space="preserve">ged </w:t>
      </w:r>
      <w:proofErr w:type="gramStart"/>
      <w:r w:rsidR="00E73869">
        <w:rPr>
          <w:rFonts w:ascii="Times New Roman" w:hAnsi="Times New Roman" w:cs="Times New Roman"/>
          <w:b/>
          <w:sz w:val="22"/>
          <w:szCs w:val="22"/>
        </w:rPr>
        <w:t>U</w:t>
      </w:r>
      <w:r w:rsidR="00D53EB4">
        <w:rPr>
          <w:rFonts w:ascii="Times New Roman" w:hAnsi="Times New Roman" w:cs="Times New Roman"/>
          <w:b/>
          <w:sz w:val="22"/>
          <w:szCs w:val="22"/>
        </w:rPr>
        <w:t>nder</w:t>
      </w:r>
      <w:proofErr w:type="gramEnd"/>
      <w:r w:rsidR="00D53EB4">
        <w:rPr>
          <w:rFonts w:ascii="Times New Roman" w:hAnsi="Times New Roman" w:cs="Times New Roman"/>
          <w:b/>
          <w:sz w:val="22"/>
          <w:szCs w:val="22"/>
        </w:rPr>
        <w:t xml:space="preserve"> 18 by S</w:t>
      </w:r>
      <w:r w:rsidRPr="00B103AF">
        <w:rPr>
          <w:rFonts w:ascii="Times New Roman" w:hAnsi="Times New Roman" w:cs="Times New Roman"/>
          <w:b/>
          <w:sz w:val="22"/>
          <w:szCs w:val="22"/>
        </w:rPr>
        <w:t>ex, CHNS, 1991-2009</w:t>
      </w:r>
    </w:p>
    <w:tbl>
      <w:tblPr>
        <w:tblW w:w="13789" w:type="dxa"/>
        <w:jc w:val="center"/>
        <w:tblLayout w:type="fixed"/>
        <w:tblCellMar>
          <w:left w:w="28" w:type="dxa"/>
          <w:right w:w="28" w:type="dxa"/>
        </w:tblCellMar>
        <w:tblLook w:val="0000" w:firstRow="0" w:lastRow="0" w:firstColumn="0" w:lastColumn="0" w:noHBand="0" w:noVBand="0"/>
      </w:tblPr>
      <w:tblGrid>
        <w:gridCol w:w="3969"/>
        <w:gridCol w:w="1066"/>
        <w:gridCol w:w="1066"/>
        <w:gridCol w:w="1066"/>
        <w:gridCol w:w="113"/>
        <w:gridCol w:w="1066"/>
        <w:gridCol w:w="1066"/>
        <w:gridCol w:w="1066"/>
        <w:gridCol w:w="113"/>
        <w:gridCol w:w="1066"/>
        <w:gridCol w:w="1066"/>
        <w:gridCol w:w="1066"/>
      </w:tblGrid>
      <w:tr w:rsidR="00776B9C" w:rsidRPr="00B103AF" w:rsidTr="00126D3D">
        <w:trPr>
          <w:jc w:val="center"/>
        </w:trPr>
        <w:tc>
          <w:tcPr>
            <w:tcW w:w="3969" w:type="dxa"/>
            <w:tcBorders>
              <w:top w:val="nil"/>
              <w:left w:val="nil"/>
              <w:bottom w:val="nil"/>
              <w:right w:val="nil"/>
            </w:tcBorders>
            <w:vAlign w:val="bottom"/>
          </w:tcPr>
          <w:p w:rsidR="00776B9C" w:rsidRPr="00B103AF" w:rsidRDefault="00776B9C" w:rsidP="00126D3D">
            <w:pPr>
              <w:autoSpaceDE w:val="0"/>
              <w:autoSpaceDN w:val="0"/>
              <w:adjustRightInd w:val="0"/>
              <w:spacing w:line="288" w:lineRule="auto"/>
              <w:rPr>
                <w:i/>
                <w:iCs/>
                <w:color w:val="000000"/>
                <w:sz w:val="20"/>
                <w:szCs w:val="20"/>
              </w:rPr>
            </w:pPr>
          </w:p>
        </w:tc>
        <w:tc>
          <w:tcPr>
            <w:tcW w:w="3198" w:type="dxa"/>
            <w:gridSpan w:val="3"/>
            <w:tcBorders>
              <w:top w:val="nil"/>
              <w:left w:val="nil"/>
              <w:bottom w:val="single" w:sz="4" w:space="0" w:color="auto"/>
              <w:right w:val="nil"/>
            </w:tcBorders>
            <w:vAlign w:val="bottom"/>
          </w:tcPr>
          <w:p w:rsidR="00776B9C" w:rsidRPr="00B103AF" w:rsidRDefault="00776B9C" w:rsidP="00126D3D">
            <w:pPr>
              <w:autoSpaceDE w:val="0"/>
              <w:autoSpaceDN w:val="0"/>
              <w:adjustRightInd w:val="0"/>
              <w:spacing w:line="288" w:lineRule="auto"/>
              <w:jc w:val="center"/>
              <w:rPr>
                <w:color w:val="000000"/>
                <w:sz w:val="20"/>
                <w:szCs w:val="20"/>
              </w:rPr>
            </w:pPr>
            <w:r w:rsidRPr="00B103AF">
              <w:rPr>
                <w:color w:val="000000"/>
                <w:sz w:val="20"/>
                <w:szCs w:val="20"/>
              </w:rPr>
              <w:t>Relative Energy Intakes</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spacing w:line="288" w:lineRule="auto"/>
              <w:jc w:val="center"/>
              <w:rPr>
                <w:color w:val="000000"/>
                <w:sz w:val="20"/>
                <w:szCs w:val="20"/>
              </w:rPr>
            </w:pPr>
          </w:p>
        </w:tc>
        <w:tc>
          <w:tcPr>
            <w:tcW w:w="3198" w:type="dxa"/>
            <w:gridSpan w:val="3"/>
            <w:tcBorders>
              <w:top w:val="nil"/>
              <w:left w:val="nil"/>
              <w:bottom w:val="single" w:sz="4" w:space="0" w:color="auto"/>
              <w:right w:val="nil"/>
            </w:tcBorders>
            <w:vAlign w:val="bottom"/>
          </w:tcPr>
          <w:p w:rsidR="00776B9C" w:rsidRPr="00B103AF" w:rsidRDefault="00776B9C" w:rsidP="00126D3D">
            <w:pPr>
              <w:autoSpaceDE w:val="0"/>
              <w:autoSpaceDN w:val="0"/>
              <w:adjustRightInd w:val="0"/>
              <w:spacing w:line="288" w:lineRule="auto"/>
              <w:jc w:val="center"/>
              <w:rPr>
                <w:color w:val="000000"/>
                <w:sz w:val="20"/>
                <w:szCs w:val="20"/>
              </w:rPr>
            </w:pPr>
            <w:r w:rsidRPr="00B103AF">
              <w:rPr>
                <w:color w:val="000000"/>
                <w:sz w:val="20"/>
                <w:szCs w:val="20"/>
              </w:rPr>
              <w:t>Relative Protein Intakes</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spacing w:line="288" w:lineRule="auto"/>
              <w:jc w:val="center"/>
              <w:rPr>
                <w:color w:val="000000"/>
                <w:sz w:val="20"/>
                <w:szCs w:val="20"/>
              </w:rPr>
            </w:pPr>
          </w:p>
        </w:tc>
        <w:tc>
          <w:tcPr>
            <w:tcW w:w="3198" w:type="dxa"/>
            <w:gridSpan w:val="3"/>
            <w:tcBorders>
              <w:top w:val="nil"/>
              <w:left w:val="nil"/>
              <w:bottom w:val="single" w:sz="4" w:space="0" w:color="auto"/>
              <w:right w:val="nil"/>
            </w:tcBorders>
            <w:vAlign w:val="bottom"/>
          </w:tcPr>
          <w:p w:rsidR="00776B9C" w:rsidRPr="00B103AF" w:rsidRDefault="00776B9C" w:rsidP="00126D3D">
            <w:pPr>
              <w:autoSpaceDE w:val="0"/>
              <w:autoSpaceDN w:val="0"/>
              <w:adjustRightInd w:val="0"/>
              <w:spacing w:line="288" w:lineRule="auto"/>
              <w:jc w:val="center"/>
              <w:rPr>
                <w:color w:val="000000"/>
                <w:sz w:val="20"/>
                <w:szCs w:val="20"/>
              </w:rPr>
            </w:pPr>
            <w:r w:rsidRPr="00B103AF">
              <w:rPr>
                <w:color w:val="000000"/>
                <w:sz w:val="20"/>
                <w:szCs w:val="20"/>
              </w:rPr>
              <w:t>Relative Fat Intakes</w:t>
            </w:r>
          </w:p>
        </w:tc>
      </w:tr>
      <w:tr w:rsidR="00776B9C" w:rsidRPr="00B103AF" w:rsidTr="00126D3D">
        <w:trPr>
          <w:jc w:val="center"/>
        </w:trPr>
        <w:tc>
          <w:tcPr>
            <w:tcW w:w="3969" w:type="dxa"/>
            <w:tcBorders>
              <w:top w:val="nil"/>
              <w:left w:val="nil"/>
              <w:right w:val="nil"/>
            </w:tcBorders>
            <w:vAlign w:val="bottom"/>
          </w:tcPr>
          <w:p w:rsidR="00776B9C" w:rsidRPr="00B103AF" w:rsidRDefault="00776B9C" w:rsidP="00126D3D">
            <w:pPr>
              <w:autoSpaceDE w:val="0"/>
              <w:autoSpaceDN w:val="0"/>
              <w:adjustRightInd w:val="0"/>
              <w:spacing w:line="288" w:lineRule="auto"/>
              <w:rPr>
                <w:color w:val="000000"/>
                <w:sz w:val="20"/>
                <w:szCs w:val="20"/>
              </w:rPr>
            </w:pP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OLS</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First Stage</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IV</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OLS</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First Stage</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IV</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OLS</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First Stage</w:t>
            </w:r>
          </w:p>
        </w:tc>
        <w:tc>
          <w:tcPr>
            <w:tcW w:w="1066" w:type="dxa"/>
            <w:tcBorders>
              <w:top w:val="single" w:sz="4" w:space="0" w:color="auto"/>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IV</w:t>
            </w:r>
          </w:p>
        </w:tc>
      </w:tr>
      <w:tr w:rsidR="00776B9C" w:rsidRPr="00B103AF" w:rsidTr="00126D3D">
        <w:trPr>
          <w:jc w:val="center"/>
        </w:trPr>
        <w:tc>
          <w:tcPr>
            <w:tcW w:w="3969" w:type="dxa"/>
            <w:tcBorders>
              <w:top w:val="nil"/>
              <w:left w:val="nil"/>
              <w:bottom w:val="single" w:sz="4" w:space="0" w:color="auto"/>
              <w:right w:val="nil"/>
            </w:tcBorders>
            <w:vAlign w:val="bottom"/>
          </w:tcPr>
          <w:p w:rsidR="00776B9C" w:rsidRPr="00B103AF" w:rsidRDefault="00776B9C" w:rsidP="00126D3D">
            <w:pPr>
              <w:autoSpaceDE w:val="0"/>
              <w:autoSpaceDN w:val="0"/>
              <w:adjustRightInd w:val="0"/>
              <w:spacing w:line="288" w:lineRule="auto"/>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(1)</w:t>
            </w: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(2)</w:t>
            </w: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(3)</w:t>
            </w:r>
          </w:p>
        </w:tc>
        <w:tc>
          <w:tcPr>
            <w:tcW w:w="113"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(4)</w:t>
            </w: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(5)</w:t>
            </w: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(6)</w:t>
            </w:r>
          </w:p>
        </w:tc>
        <w:tc>
          <w:tcPr>
            <w:tcW w:w="113"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(7)</w:t>
            </w: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(8)</w:t>
            </w: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(9)</w:t>
            </w:r>
          </w:p>
        </w:tc>
      </w:tr>
      <w:tr w:rsidR="00776B9C" w:rsidRPr="00B103AF" w:rsidTr="00126D3D">
        <w:trPr>
          <w:jc w:val="center"/>
        </w:trPr>
        <w:tc>
          <w:tcPr>
            <w:tcW w:w="3969" w:type="dxa"/>
            <w:tcBorders>
              <w:top w:val="single" w:sz="4" w:space="0" w:color="auto"/>
              <w:left w:val="nil"/>
              <w:bottom w:val="nil"/>
              <w:right w:val="nil"/>
            </w:tcBorders>
            <w:vAlign w:val="bottom"/>
          </w:tcPr>
          <w:p w:rsidR="00776B9C" w:rsidRPr="00B103AF" w:rsidRDefault="00E73869" w:rsidP="00C62D23">
            <w:pPr>
              <w:autoSpaceDE w:val="0"/>
              <w:autoSpaceDN w:val="0"/>
              <w:adjustRightInd w:val="0"/>
              <w:spacing w:before="100"/>
              <w:rPr>
                <w:i/>
                <w:iCs/>
                <w:color w:val="000000"/>
                <w:sz w:val="20"/>
                <w:szCs w:val="20"/>
              </w:rPr>
            </w:pPr>
            <w:r>
              <w:rPr>
                <w:i/>
                <w:iCs/>
                <w:color w:val="000000"/>
                <w:sz w:val="20"/>
                <w:szCs w:val="20"/>
              </w:rPr>
              <w:t xml:space="preserve">Boys </w:t>
            </w:r>
            <w:r>
              <w:rPr>
                <w:iCs/>
                <w:color w:val="000000"/>
                <w:sz w:val="20"/>
                <w:szCs w:val="20"/>
              </w:rPr>
              <w:t>(</w:t>
            </w:r>
            <w:r>
              <w:rPr>
                <w:i/>
                <w:iCs/>
                <w:color w:val="000000"/>
                <w:sz w:val="20"/>
                <w:szCs w:val="20"/>
              </w:rPr>
              <w:t>5958 observations</w:t>
            </w:r>
            <w:r>
              <w:rPr>
                <w:iCs/>
                <w:color w:val="000000"/>
                <w:sz w:val="20"/>
                <w:szCs w:val="20"/>
              </w:rPr>
              <w:t>)</w:t>
            </w: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13"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13"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c>
          <w:tcPr>
            <w:tcW w:w="1066" w:type="dxa"/>
            <w:tcBorders>
              <w:top w:val="single" w:sz="4" w:space="0" w:color="auto"/>
              <w:left w:val="nil"/>
              <w:bottom w:val="nil"/>
              <w:right w:val="nil"/>
            </w:tcBorders>
            <w:vAlign w:val="bottom"/>
          </w:tcPr>
          <w:p w:rsidR="00776B9C" w:rsidRPr="00B103AF" w:rsidRDefault="00776B9C" w:rsidP="00C62D23">
            <w:pPr>
              <w:autoSpaceDE w:val="0"/>
              <w:autoSpaceDN w:val="0"/>
              <w:adjustRightInd w:val="0"/>
              <w:spacing w:before="100"/>
              <w:jc w:val="center"/>
              <w:rPr>
                <w:color w:val="000000"/>
                <w:sz w:val="20"/>
                <w:szCs w:val="20"/>
              </w:rPr>
            </w:pP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Instrument - Local OCP Strength</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0.126**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0.125**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0.122**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Number of Siblings</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0.00604</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-0.319+</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0.00647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-0.357+</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-0.0661**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-0.396</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(0.184)</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(0.195)</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(0.503)</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First-born Child</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0.000774</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-0.759**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-0.246+</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0.00366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-0.759**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-0.273+</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-0.0198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-0.758**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-0.27</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(0.141)</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(0.150)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(0.386)</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i/>
                <w:iCs/>
                <w:color w:val="000000"/>
                <w:sz w:val="20"/>
                <w:szCs w:val="20"/>
              </w:rPr>
            </w:pPr>
            <w:r w:rsidRPr="00B103AF">
              <w:rPr>
                <w:color w:val="000000"/>
                <w:sz w:val="20"/>
                <w:szCs w:val="20"/>
              </w:rPr>
              <w:t xml:space="preserve">Urban </w:t>
            </w:r>
            <w:proofErr w:type="spellStart"/>
            <w:r w:rsidRPr="00B103AF">
              <w:rPr>
                <w:i/>
                <w:iCs/>
                <w:color w:val="000000"/>
                <w:sz w:val="20"/>
                <w:szCs w:val="20"/>
              </w:rPr>
              <w:t>Hukou</w:t>
            </w:r>
            <w:proofErr w:type="spellEnd"/>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0.0238*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-0.117**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-0.0179</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0.0218*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-0.121**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-0.0261</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0.0575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-0.117**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0.0154</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(0.027)</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(0.080)</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Local Development Index</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0.0519**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-0.141**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-0.000539</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0.0776**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-0.150**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0.016</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0.133*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-0.131**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0.0835</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(0.036)</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(0.056)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(0.093)</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Adjusted R-squared</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0.14</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0.557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-0.205</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0.151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0.557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-0.215</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0.328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0.558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0.307</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F-statistics for excluding local OCP strength</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14.89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14.73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14.05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 xml:space="preserve">P-value for added variable </w:t>
            </w:r>
            <w:proofErr w:type="spellStart"/>
            <w:r w:rsidRPr="00B103AF">
              <w:rPr>
                <w:color w:val="000000"/>
                <w:sz w:val="20"/>
                <w:szCs w:val="20"/>
              </w:rPr>
              <w:t>Hausman</w:t>
            </w:r>
            <w:proofErr w:type="spellEnd"/>
            <w:r w:rsidRPr="00B103AF">
              <w:rPr>
                <w:color w:val="000000"/>
                <w:sz w:val="20"/>
                <w:szCs w:val="20"/>
              </w:rPr>
              <w:t xml:space="preserve"> Test</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0.036</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0.024</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0.503</w:t>
            </w:r>
          </w:p>
        </w:tc>
      </w:tr>
      <w:tr w:rsidR="00776B9C" w:rsidRPr="00B103AF" w:rsidTr="00126D3D">
        <w:trPr>
          <w:jc w:val="center"/>
        </w:trPr>
        <w:tc>
          <w:tcPr>
            <w:tcW w:w="3969" w:type="dxa"/>
            <w:tcBorders>
              <w:top w:val="nil"/>
              <w:left w:val="nil"/>
              <w:bottom w:val="nil"/>
              <w:right w:val="nil"/>
            </w:tcBorders>
            <w:vAlign w:val="bottom"/>
          </w:tcPr>
          <w:p w:rsidR="00776B9C" w:rsidRDefault="00776B9C" w:rsidP="00126D3D">
            <w:pPr>
              <w:autoSpaceDE w:val="0"/>
              <w:autoSpaceDN w:val="0"/>
              <w:adjustRightInd w:val="0"/>
              <w:rPr>
                <w:i/>
                <w:iCs/>
                <w:color w:val="000000"/>
                <w:sz w:val="20"/>
                <w:szCs w:val="20"/>
              </w:rPr>
            </w:pPr>
          </w:p>
          <w:p w:rsidR="00776B9C" w:rsidRPr="00E73869" w:rsidRDefault="00E73869" w:rsidP="00126D3D">
            <w:pPr>
              <w:autoSpaceDE w:val="0"/>
              <w:autoSpaceDN w:val="0"/>
              <w:adjustRightInd w:val="0"/>
              <w:rPr>
                <w:iCs/>
                <w:color w:val="000000"/>
                <w:sz w:val="20"/>
                <w:szCs w:val="20"/>
              </w:rPr>
            </w:pPr>
            <w:r>
              <w:rPr>
                <w:i/>
                <w:iCs/>
                <w:color w:val="000000"/>
                <w:sz w:val="20"/>
                <w:szCs w:val="20"/>
              </w:rPr>
              <w:t xml:space="preserve">Girls </w:t>
            </w:r>
            <w:r>
              <w:rPr>
                <w:iCs/>
                <w:color w:val="000000"/>
                <w:sz w:val="20"/>
                <w:szCs w:val="20"/>
              </w:rPr>
              <w:t>(</w:t>
            </w:r>
            <w:r>
              <w:rPr>
                <w:i/>
                <w:iCs/>
                <w:color w:val="000000"/>
                <w:sz w:val="20"/>
                <w:szCs w:val="20"/>
              </w:rPr>
              <w:t>5030 observations</w:t>
            </w:r>
            <w:r>
              <w:rPr>
                <w:iCs/>
                <w:color w:val="000000"/>
                <w:sz w:val="20"/>
                <w:szCs w:val="20"/>
              </w:rPr>
              <w:t>)</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Instrument - Local OCP Strength</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0.156**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0.151**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0.145**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Number of Siblings</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-0.00865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-0.0678</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-0.00476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-0.131</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-0.149**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-0.384</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(0.110)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(0.097)</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(0.576)</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First-born Child</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-0.0115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-0.647**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-0.05</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-0.00033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-0.647**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-0.0824</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-0.646**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-0.273</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(0.014)</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(0.070)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(0.064)</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(0.090)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(0.337)</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i/>
                <w:iCs/>
                <w:color w:val="000000"/>
                <w:sz w:val="20"/>
                <w:szCs w:val="20"/>
              </w:rPr>
            </w:pPr>
            <w:r w:rsidRPr="00B103AF">
              <w:rPr>
                <w:color w:val="000000"/>
                <w:sz w:val="20"/>
                <w:szCs w:val="20"/>
              </w:rPr>
              <w:t xml:space="preserve">Urban </w:t>
            </w:r>
            <w:proofErr w:type="spellStart"/>
            <w:r w:rsidRPr="00B103AF">
              <w:rPr>
                <w:i/>
                <w:iCs/>
                <w:color w:val="000000"/>
                <w:sz w:val="20"/>
                <w:szCs w:val="20"/>
              </w:rPr>
              <w:t>Hukou</w:t>
            </w:r>
            <w:proofErr w:type="spellEnd"/>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0.00595</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-0.262**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-0.0104</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0.0142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-0.270**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-0.0216</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-0.0426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-0.270**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-0.109</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(0.012)</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(0.029)</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(0.063)</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(0.029)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(0.141)</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Local Development Index</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0.0496**</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-0.247**</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0.0335</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0.0421**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-0.269**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0.00512</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0.109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-0.221**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0.0523</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(0.058)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(0.040)</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(0.014)</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(0.058)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(0.033)</w:t>
            </w: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(0.080)</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(0.058)</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(0.198)</w:t>
            </w:r>
          </w:p>
        </w:tc>
      </w:tr>
      <w:tr w:rsidR="00776B9C" w:rsidRPr="00B103AF" w:rsidTr="00126D3D">
        <w:trPr>
          <w:jc w:val="center"/>
        </w:trPr>
        <w:tc>
          <w:tcPr>
            <w:tcW w:w="3969" w:type="dxa"/>
            <w:tcBorders>
              <w:top w:val="nil"/>
              <w:left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Adjusted R-squared</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0.124</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0.506</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0.111</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0.189</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0.505</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0.095</w:t>
            </w:r>
          </w:p>
        </w:tc>
        <w:tc>
          <w:tcPr>
            <w:tcW w:w="113"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0.1</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0.508</w:t>
            </w:r>
          </w:p>
        </w:tc>
        <w:tc>
          <w:tcPr>
            <w:tcW w:w="1066" w:type="dxa"/>
            <w:tcBorders>
              <w:top w:val="nil"/>
              <w:left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0.093</w:t>
            </w:r>
          </w:p>
        </w:tc>
      </w:tr>
      <w:tr w:rsidR="00776B9C" w:rsidRPr="00B103AF" w:rsidTr="00126D3D">
        <w:trPr>
          <w:jc w:val="center"/>
        </w:trPr>
        <w:tc>
          <w:tcPr>
            <w:tcW w:w="3969" w:type="dxa"/>
            <w:tcBorders>
              <w:top w:val="nil"/>
              <w:left w:val="nil"/>
              <w:bottom w:val="nil"/>
              <w:right w:val="nil"/>
            </w:tcBorders>
            <w:tcMar>
              <w:left w:w="284" w:type="dxa"/>
            </w:tcMar>
            <w:vAlign w:val="bottom"/>
          </w:tcPr>
          <w:p w:rsidR="00776B9C" w:rsidRPr="00B103AF" w:rsidRDefault="00776B9C" w:rsidP="00126D3D">
            <w:pPr>
              <w:autoSpaceDE w:val="0"/>
              <w:autoSpaceDN w:val="0"/>
              <w:adjustRightInd w:val="0"/>
              <w:rPr>
                <w:color w:val="000000"/>
                <w:sz w:val="20"/>
                <w:szCs w:val="20"/>
              </w:rPr>
            </w:pPr>
            <w:r w:rsidRPr="00B103AF">
              <w:rPr>
                <w:color w:val="000000"/>
                <w:sz w:val="20"/>
                <w:szCs w:val="20"/>
              </w:rPr>
              <w:t>F-statistics for excluding local OCP strength</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14.41</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13.39</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13"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r w:rsidRPr="00B103AF">
              <w:rPr>
                <w:color w:val="000000"/>
                <w:sz w:val="20"/>
                <w:szCs w:val="20"/>
              </w:rPr>
              <w:t>12.14</w:t>
            </w:r>
          </w:p>
        </w:tc>
        <w:tc>
          <w:tcPr>
            <w:tcW w:w="1066" w:type="dxa"/>
            <w:tcBorders>
              <w:top w:val="nil"/>
              <w:left w:val="nil"/>
              <w:bottom w:val="nil"/>
              <w:right w:val="nil"/>
            </w:tcBorders>
            <w:vAlign w:val="bottom"/>
          </w:tcPr>
          <w:p w:rsidR="00776B9C" w:rsidRPr="00B103AF" w:rsidRDefault="00776B9C" w:rsidP="00126D3D">
            <w:pPr>
              <w:autoSpaceDE w:val="0"/>
              <w:autoSpaceDN w:val="0"/>
              <w:adjustRightInd w:val="0"/>
              <w:jc w:val="center"/>
              <w:rPr>
                <w:color w:val="000000"/>
                <w:sz w:val="20"/>
                <w:szCs w:val="20"/>
              </w:rPr>
            </w:pPr>
          </w:p>
        </w:tc>
      </w:tr>
      <w:tr w:rsidR="00776B9C" w:rsidRPr="00B103AF" w:rsidTr="00126D3D">
        <w:trPr>
          <w:jc w:val="center"/>
        </w:trPr>
        <w:tc>
          <w:tcPr>
            <w:tcW w:w="3969" w:type="dxa"/>
            <w:tcBorders>
              <w:top w:val="nil"/>
              <w:left w:val="nil"/>
              <w:bottom w:val="single" w:sz="4" w:space="0" w:color="auto"/>
              <w:right w:val="nil"/>
            </w:tcBorders>
            <w:tcMar>
              <w:left w:w="284" w:type="dxa"/>
            </w:tcMar>
            <w:vAlign w:val="bottom"/>
          </w:tcPr>
          <w:p w:rsidR="00776B9C" w:rsidRPr="00B103AF" w:rsidRDefault="00776B9C" w:rsidP="00C62D23">
            <w:pPr>
              <w:autoSpaceDE w:val="0"/>
              <w:autoSpaceDN w:val="0"/>
              <w:adjustRightInd w:val="0"/>
              <w:spacing w:after="100"/>
              <w:rPr>
                <w:color w:val="000000"/>
                <w:sz w:val="20"/>
                <w:szCs w:val="20"/>
              </w:rPr>
            </w:pPr>
            <w:r w:rsidRPr="00B103AF">
              <w:rPr>
                <w:color w:val="000000"/>
                <w:sz w:val="20"/>
                <w:szCs w:val="20"/>
              </w:rPr>
              <w:t xml:space="preserve">P-value for added variable </w:t>
            </w:r>
            <w:proofErr w:type="spellStart"/>
            <w:r w:rsidRPr="00B103AF">
              <w:rPr>
                <w:color w:val="000000"/>
                <w:sz w:val="20"/>
                <w:szCs w:val="20"/>
              </w:rPr>
              <w:t>Hausman</w:t>
            </w:r>
            <w:proofErr w:type="spellEnd"/>
            <w:r w:rsidRPr="00B103AF">
              <w:rPr>
                <w:color w:val="000000"/>
                <w:sz w:val="20"/>
                <w:szCs w:val="20"/>
              </w:rPr>
              <w:t xml:space="preserve"> Test</w:t>
            </w: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0.592</w:t>
            </w:r>
          </w:p>
        </w:tc>
        <w:tc>
          <w:tcPr>
            <w:tcW w:w="113"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0.176</w:t>
            </w:r>
          </w:p>
        </w:tc>
        <w:tc>
          <w:tcPr>
            <w:tcW w:w="113"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p>
        </w:tc>
        <w:tc>
          <w:tcPr>
            <w:tcW w:w="1066" w:type="dxa"/>
            <w:tcBorders>
              <w:top w:val="nil"/>
              <w:left w:val="nil"/>
              <w:bottom w:val="single" w:sz="4" w:space="0" w:color="auto"/>
              <w:right w:val="nil"/>
            </w:tcBorders>
            <w:vAlign w:val="bottom"/>
          </w:tcPr>
          <w:p w:rsidR="00776B9C" w:rsidRPr="00B103AF" w:rsidRDefault="00776B9C" w:rsidP="00C62D23">
            <w:pPr>
              <w:autoSpaceDE w:val="0"/>
              <w:autoSpaceDN w:val="0"/>
              <w:adjustRightInd w:val="0"/>
              <w:spacing w:after="100"/>
              <w:jc w:val="center"/>
              <w:rPr>
                <w:color w:val="000000"/>
                <w:sz w:val="20"/>
                <w:szCs w:val="20"/>
              </w:rPr>
            </w:pPr>
            <w:r w:rsidRPr="00B103AF">
              <w:rPr>
                <w:color w:val="000000"/>
                <w:sz w:val="20"/>
                <w:szCs w:val="20"/>
              </w:rPr>
              <w:t>0.693</w:t>
            </w:r>
          </w:p>
        </w:tc>
      </w:tr>
    </w:tbl>
    <w:p w:rsidR="00776B9C" w:rsidRPr="00D53EB4" w:rsidRDefault="00E73869" w:rsidP="00E73869">
      <w:pPr>
        <w:spacing w:before="100"/>
        <w:ind w:hanging="11"/>
        <w:rPr>
          <w:color w:val="000000"/>
          <w:sz w:val="20"/>
          <w:szCs w:val="20"/>
        </w:rPr>
      </w:pPr>
      <w:r>
        <w:rPr>
          <w:i/>
          <w:iCs/>
          <w:sz w:val="20"/>
          <w:szCs w:val="20"/>
        </w:rPr>
        <w:t xml:space="preserve">  </w:t>
      </w:r>
      <w:proofErr w:type="gramStart"/>
      <w:r w:rsidR="00776B9C" w:rsidRPr="00D53EB4">
        <w:rPr>
          <w:i/>
          <w:iCs/>
          <w:sz w:val="20"/>
          <w:szCs w:val="20"/>
        </w:rPr>
        <w:t>Notes</w:t>
      </w:r>
      <w:r w:rsidR="00776B9C" w:rsidRPr="00D53EB4">
        <w:rPr>
          <w:sz w:val="20"/>
          <w:szCs w:val="20"/>
        </w:rPr>
        <w:t>: See Table 2.</w:t>
      </w:r>
      <w:proofErr w:type="gramEnd"/>
    </w:p>
    <w:p w:rsidR="00776B9C" w:rsidRDefault="00776B9C" w:rsidP="00F1102D">
      <w:pPr>
        <w:pStyle w:val="Heading3"/>
        <w:spacing w:before="0" w:after="0" w:line="288" w:lineRule="auto"/>
        <w:rPr>
          <w:rFonts w:ascii="Times New Roman" w:hAnsi="Times New Roman"/>
          <w:sz w:val="24"/>
          <w:szCs w:val="24"/>
          <w:lang w:eastAsia="zh-CN"/>
        </w:rPr>
        <w:sectPr w:rsidR="00776B9C" w:rsidSect="00776B9C">
          <w:pgSz w:w="16839" w:h="11907" w:orient="landscape" w:code="9"/>
          <w:pgMar w:top="1440" w:right="1440" w:bottom="1440" w:left="1440" w:header="720" w:footer="720" w:gutter="0"/>
          <w:cols w:space="720"/>
          <w:docGrid w:linePitch="360"/>
        </w:sectPr>
      </w:pPr>
    </w:p>
    <w:p w:rsidR="00C1378F" w:rsidRDefault="00C1378F" w:rsidP="00F1102D">
      <w:pPr>
        <w:pStyle w:val="Heading3"/>
        <w:spacing w:before="0" w:after="0" w:line="288" w:lineRule="auto"/>
        <w:rPr>
          <w:rFonts w:ascii="Times New Roman" w:hAnsi="Times New Roman"/>
          <w:sz w:val="24"/>
          <w:szCs w:val="24"/>
          <w:lang w:eastAsia="zh-CN"/>
        </w:rPr>
      </w:pPr>
      <w:r w:rsidRPr="005827A1">
        <w:rPr>
          <w:rFonts w:ascii="Times New Roman" w:hAnsi="Times New Roman"/>
          <w:sz w:val="24"/>
          <w:szCs w:val="24"/>
          <w:lang w:eastAsia="zh-CN"/>
        </w:rPr>
        <w:lastRenderedPageBreak/>
        <w:t>5.1.2. Panel Results</w:t>
      </w:r>
      <w:bookmarkEnd w:id="12"/>
    </w:p>
    <w:p w:rsidR="00776B9C" w:rsidRPr="00776B9C" w:rsidRDefault="00776B9C" w:rsidP="00776B9C">
      <w:pPr>
        <w:rPr>
          <w:sz w:val="12"/>
          <w:szCs w:val="12"/>
          <w:lang w:eastAsia="zh-CN"/>
        </w:rPr>
      </w:pPr>
    </w:p>
    <w:p w:rsidR="000B4D76" w:rsidRPr="000B4D76" w:rsidRDefault="000B4D76" w:rsidP="000B4D76">
      <w:pPr>
        <w:rPr>
          <w:sz w:val="4"/>
          <w:szCs w:val="4"/>
          <w:lang w:eastAsia="zh-CN"/>
        </w:rPr>
      </w:pPr>
    </w:p>
    <w:p w:rsidR="002B6818" w:rsidRDefault="005E36EC" w:rsidP="00F1102D">
      <w:pPr>
        <w:widowControl w:val="0"/>
        <w:snapToGrid w:val="0"/>
        <w:spacing w:line="288" w:lineRule="auto"/>
        <w:contextualSpacing/>
        <w:rPr>
          <w:color w:val="000000" w:themeColor="text1"/>
          <w:lang w:eastAsia="zh-CN"/>
        </w:rPr>
      </w:pPr>
      <w:r w:rsidRPr="005827A1">
        <w:rPr>
          <w:color w:val="000000" w:themeColor="text1"/>
          <w:lang w:eastAsia="zh-CN"/>
        </w:rPr>
        <w:t xml:space="preserve">The results </w:t>
      </w:r>
      <w:r w:rsidR="002B6818" w:rsidRPr="005827A1">
        <w:rPr>
          <w:color w:val="000000" w:themeColor="text1"/>
          <w:lang w:eastAsia="zh-CN"/>
        </w:rPr>
        <w:t>of using child-specific fixed effects are report</w:t>
      </w:r>
      <w:r w:rsidRPr="005827A1">
        <w:rPr>
          <w:color w:val="000000" w:themeColor="text1"/>
          <w:lang w:eastAsia="zh-CN"/>
        </w:rPr>
        <w:t xml:space="preserve">ed in Table 4. </w:t>
      </w:r>
      <w:r w:rsidR="002B6818" w:rsidRPr="005827A1">
        <w:rPr>
          <w:color w:val="000000" w:themeColor="text1"/>
          <w:lang w:eastAsia="zh-CN"/>
        </w:rPr>
        <w:t xml:space="preserve">The </w:t>
      </w:r>
      <w:r w:rsidR="00FF6E7C" w:rsidRPr="005827A1">
        <w:rPr>
          <w:i/>
          <w:iCs/>
          <w:color w:val="000000" w:themeColor="text1"/>
          <w:lang w:eastAsia="zh-CN"/>
        </w:rPr>
        <w:t>F</w:t>
      </w:r>
      <w:r w:rsidR="00FF6E7C" w:rsidRPr="005827A1">
        <w:rPr>
          <w:color w:val="000000" w:themeColor="text1"/>
          <w:lang w:eastAsia="zh-CN"/>
        </w:rPr>
        <w:t xml:space="preserve">-tests </w:t>
      </w:r>
      <w:r w:rsidR="002B6818" w:rsidRPr="005827A1">
        <w:rPr>
          <w:color w:val="000000" w:themeColor="text1"/>
          <w:lang w:eastAsia="zh-CN"/>
        </w:rPr>
        <w:t xml:space="preserve">reported </w:t>
      </w:r>
      <w:r w:rsidR="00FF6E7C" w:rsidRPr="005827A1">
        <w:rPr>
          <w:color w:val="000000" w:themeColor="text1"/>
          <w:lang w:eastAsia="zh-CN"/>
        </w:rPr>
        <w:t>at the bottom of the table</w:t>
      </w:r>
      <w:r w:rsidR="00227423" w:rsidRPr="005827A1">
        <w:rPr>
          <w:color w:val="000000" w:themeColor="text1"/>
          <w:lang w:eastAsia="zh-CN"/>
        </w:rPr>
        <w:t xml:space="preserve"> are all significant at 1% level,</w:t>
      </w:r>
      <w:r w:rsidR="00FF6E7C" w:rsidRPr="005827A1">
        <w:rPr>
          <w:color w:val="000000" w:themeColor="text1"/>
          <w:lang w:eastAsia="zh-CN"/>
        </w:rPr>
        <w:t xml:space="preserve"> show</w:t>
      </w:r>
      <w:r w:rsidR="00227423" w:rsidRPr="005827A1">
        <w:rPr>
          <w:color w:val="000000" w:themeColor="text1"/>
          <w:lang w:eastAsia="zh-CN"/>
        </w:rPr>
        <w:t>ing</w:t>
      </w:r>
      <w:r w:rsidR="00FF6E7C" w:rsidRPr="005827A1">
        <w:rPr>
          <w:color w:val="000000" w:themeColor="text1"/>
          <w:lang w:eastAsia="zh-CN"/>
        </w:rPr>
        <w:t xml:space="preserve"> that </w:t>
      </w:r>
      <w:r w:rsidR="002B6818" w:rsidRPr="005827A1">
        <w:rPr>
          <w:color w:val="000000" w:themeColor="text1"/>
          <w:lang w:eastAsia="zh-CN"/>
        </w:rPr>
        <w:t xml:space="preserve">the fixed effects cannot be excluded from any of the equations. In other words, there seem to be important, unobserved, child-specific effects that affect nutrient intakes and the omission of these from the previous models may have affected the results for tests of the quality-quantity trade-off. </w:t>
      </w:r>
    </w:p>
    <w:p w:rsidR="000B4D76" w:rsidRPr="005827A1" w:rsidRDefault="000B4D76" w:rsidP="00F1102D">
      <w:pPr>
        <w:widowControl w:val="0"/>
        <w:snapToGrid w:val="0"/>
        <w:spacing w:line="288" w:lineRule="auto"/>
        <w:contextualSpacing/>
        <w:rPr>
          <w:color w:val="000000" w:themeColor="text1"/>
          <w:lang w:eastAsia="zh-CN"/>
        </w:rPr>
      </w:pPr>
    </w:p>
    <w:p w:rsidR="00485259" w:rsidRDefault="005E36EC" w:rsidP="000B4D76">
      <w:pPr>
        <w:widowControl w:val="0"/>
        <w:snapToGrid w:val="0"/>
        <w:spacing w:line="288" w:lineRule="auto"/>
        <w:ind w:firstLine="426"/>
        <w:contextualSpacing/>
        <w:rPr>
          <w:color w:val="000000" w:themeColor="text1"/>
          <w:lang w:eastAsia="zh-CN"/>
        </w:rPr>
      </w:pPr>
      <w:r w:rsidRPr="005827A1">
        <w:rPr>
          <w:color w:val="000000" w:themeColor="text1"/>
          <w:lang w:eastAsia="zh-CN"/>
        </w:rPr>
        <w:t xml:space="preserve">The </w:t>
      </w:r>
      <w:r w:rsidR="002B6818" w:rsidRPr="005827A1">
        <w:rPr>
          <w:color w:val="000000" w:themeColor="text1"/>
          <w:lang w:eastAsia="zh-CN"/>
        </w:rPr>
        <w:t xml:space="preserve">fixed effects results show that the negative effect of </w:t>
      </w:r>
      <w:r w:rsidRPr="005827A1">
        <w:rPr>
          <w:color w:val="000000" w:themeColor="text1"/>
          <w:lang w:eastAsia="zh-CN"/>
        </w:rPr>
        <w:t>sibling</w:t>
      </w:r>
      <w:r w:rsidR="002B6818" w:rsidRPr="005827A1">
        <w:rPr>
          <w:color w:val="000000" w:themeColor="text1"/>
          <w:lang w:eastAsia="zh-CN"/>
        </w:rPr>
        <w:t>s on nutrient intakes is larger for girls than for boys, for all three nutrients, and is larger for fats than for the other two nutrients.</w:t>
      </w:r>
      <w:r w:rsidRPr="005827A1">
        <w:rPr>
          <w:color w:val="000000" w:themeColor="text1"/>
          <w:lang w:eastAsia="zh-CN"/>
        </w:rPr>
        <w:t xml:space="preserve"> </w:t>
      </w:r>
      <w:r w:rsidR="00B4088B" w:rsidRPr="005827A1">
        <w:rPr>
          <w:color w:val="000000" w:themeColor="text1"/>
          <w:lang w:eastAsia="zh-CN"/>
        </w:rPr>
        <w:t>A</w:t>
      </w:r>
      <w:r w:rsidR="008E118E" w:rsidRPr="005827A1">
        <w:rPr>
          <w:color w:val="000000" w:themeColor="text1"/>
          <w:lang w:eastAsia="zh-CN"/>
        </w:rPr>
        <w:t>n increase</w:t>
      </w:r>
      <w:r w:rsidR="00B4088B" w:rsidRPr="005827A1">
        <w:rPr>
          <w:color w:val="000000" w:themeColor="text1"/>
          <w:lang w:eastAsia="zh-CN"/>
        </w:rPr>
        <w:t xml:space="preserve"> in the number of </w:t>
      </w:r>
      <w:r w:rsidR="00711448" w:rsidRPr="005827A1">
        <w:rPr>
          <w:color w:val="000000" w:themeColor="text1"/>
          <w:lang w:eastAsia="zh-CN"/>
        </w:rPr>
        <w:t>sibling</w:t>
      </w:r>
      <w:r w:rsidR="00B4088B" w:rsidRPr="005827A1">
        <w:rPr>
          <w:color w:val="000000" w:themeColor="text1"/>
          <w:lang w:eastAsia="zh-CN"/>
        </w:rPr>
        <w:t>s (by one sibling)</w:t>
      </w:r>
      <w:r w:rsidR="00711448" w:rsidRPr="005827A1">
        <w:rPr>
          <w:color w:val="000000" w:themeColor="text1"/>
          <w:lang w:eastAsia="zh-CN"/>
        </w:rPr>
        <w:t xml:space="preserve"> will decrease a child’</w:t>
      </w:r>
      <w:r w:rsidR="00B4088B" w:rsidRPr="005827A1">
        <w:rPr>
          <w:color w:val="000000" w:themeColor="text1"/>
          <w:lang w:eastAsia="zh-CN"/>
        </w:rPr>
        <w:t>s fat intake</w:t>
      </w:r>
      <w:r w:rsidR="00711448" w:rsidRPr="005827A1">
        <w:rPr>
          <w:color w:val="000000" w:themeColor="text1"/>
          <w:lang w:eastAsia="zh-CN"/>
        </w:rPr>
        <w:t xml:space="preserve"> by </w:t>
      </w:r>
      <w:r w:rsidR="00B4088B" w:rsidRPr="005827A1">
        <w:rPr>
          <w:color w:val="000000" w:themeColor="text1"/>
          <w:lang w:eastAsia="zh-CN"/>
        </w:rPr>
        <w:t xml:space="preserve">13% of the </w:t>
      </w:r>
      <w:r w:rsidR="00711448" w:rsidRPr="005827A1">
        <w:rPr>
          <w:color w:val="000000" w:themeColor="text1"/>
          <w:lang w:eastAsia="zh-CN"/>
        </w:rPr>
        <w:t>recommend</w:t>
      </w:r>
      <w:r w:rsidR="00B4088B" w:rsidRPr="005827A1">
        <w:rPr>
          <w:color w:val="000000" w:themeColor="text1"/>
          <w:lang w:eastAsia="zh-CN"/>
        </w:rPr>
        <w:t>ed</w:t>
      </w:r>
      <w:r w:rsidR="00711448" w:rsidRPr="005827A1">
        <w:rPr>
          <w:color w:val="000000" w:themeColor="text1"/>
          <w:lang w:eastAsia="zh-CN"/>
        </w:rPr>
        <w:t xml:space="preserve"> level</w:t>
      </w:r>
      <w:r w:rsidR="00B4088B" w:rsidRPr="005827A1">
        <w:rPr>
          <w:color w:val="000000" w:themeColor="text1"/>
          <w:lang w:eastAsia="zh-CN"/>
        </w:rPr>
        <w:t xml:space="preserve"> for girls and by 11% for boys (</w:t>
      </w:r>
      <w:r w:rsidR="008E118E" w:rsidRPr="005827A1">
        <w:rPr>
          <w:color w:val="000000" w:themeColor="text1"/>
          <w:lang w:eastAsia="zh-CN"/>
        </w:rPr>
        <w:t xml:space="preserve">and also </w:t>
      </w:r>
      <w:r w:rsidR="00B4088B" w:rsidRPr="005827A1">
        <w:rPr>
          <w:color w:val="000000" w:themeColor="text1"/>
          <w:lang w:eastAsia="zh-CN"/>
        </w:rPr>
        <w:t>by 13% in the gender-pooled sample)</w:t>
      </w:r>
      <w:r w:rsidRPr="005827A1">
        <w:rPr>
          <w:color w:val="000000" w:themeColor="text1"/>
          <w:lang w:eastAsia="zh-CN"/>
        </w:rPr>
        <w:t xml:space="preserve">. </w:t>
      </w:r>
      <w:r w:rsidR="00D30904" w:rsidRPr="005827A1">
        <w:rPr>
          <w:color w:val="000000" w:themeColor="text1"/>
          <w:lang w:eastAsia="zh-CN"/>
        </w:rPr>
        <w:t xml:space="preserve">This is consistent with </w:t>
      </w:r>
      <w:r w:rsidR="007324BD" w:rsidRPr="005827A1">
        <w:rPr>
          <w:color w:val="000000" w:themeColor="text1"/>
          <w:lang w:eastAsia="zh-CN"/>
        </w:rPr>
        <w:t>other</w:t>
      </w:r>
      <w:r w:rsidR="00D30904" w:rsidRPr="005827A1">
        <w:rPr>
          <w:color w:val="000000" w:themeColor="text1"/>
          <w:lang w:eastAsia="zh-CN"/>
        </w:rPr>
        <w:t xml:space="preserve"> </w:t>
      </w:r>
      <w:r w:rsidR="00B4088B" w:rsidRPr="005827A1">
        <w:rPr>
          <w:color w:val="000000" w:themeColor="text1"/>
          <w:lang w:eastAsia="zh-CN"/>
        </w:rPr>
        <w:t xml:space="preserve">studies </w:t>
      </w:r>
      <w:r w:rsidR="007324BD" w:rsidRPr="005827A1">
        <w:rPr>
          <w:color w:val="000000" w:themeColor="text1"/>
          <w:lang w:eastAsia="zh-CN"/>
        </w:rPr>
        <w:t xml:space="preserve">using CHNS </w:t>
      </w:r>
      <w:r w:rsidR="00B4088B" w:rsidRPr="005827A1">
        <w:rPr>
          <w:color w:val="000000" w:themeColor="text1"/>
          <w:lang w:eastAsia="zh-CN"/>
        </w:rPr>
        <w:t xml:space="preserve">that </w:t>
      </w:r>
      <w:r w:rsidR="00D30904" w:rsidRPr="005827A1">
        <w:rPr>
          <w:color w:val="000000" w:themeColor="text1"/>
          <w:lang w:eastAsia="zh-CN"/>
        </w:rPr>
        <w:t xml:space="preserve">find </w:t>
      </w:r>
      <w:r w:rsidR="00B4088B" w:rsidRPr="005827A1">
        <w:rPr>
          <w:color w:val="000000" w:themeColor="text1"/>
          <w:lang w:eastAsia="zh-CN"/>
        </w:rPr>
        <w:t xml:space="preserve">an </w:t>
      </w:r>
      <w:r w:rsidR="00D30904" w:rsidRPr="005827A1">
        <w:rPr>
          <w:color w:val="000000" w:themeColor="text1"/>
          <w:lang w:eastAsia="zh-CN"/>
        </w:rPr>
        <w:t xml:space="preserve">only-child has </w:t>
      </w:r>
      <w:r w:rsidR="00B4088B" w:rsidRPr="005827A1">
        <w:rPr>
          <w:color w:val="000000" w:themeColor="text1"/>
          <w:lang w:eastAsia="zh-CN"/>
        </w:rPr>
        <w:t xml:space="preserve">a </w:t>
      </w:r>
      <w:r w:rsidR="00D30904" w:rsidRPr="005827A1">
        <w:rPr>
          <w:color w:val="000000" w:themeColor="text1"/>
          <w:lang w:eastAsia="zh-CN"/>
        </w:rPr>
        <w:t xml:space="preserve">higher </w:t>
      </w:r>
      <w:r w:rsidR="007324BD" w:rsidRPr="005827A1">
        <w:rPr>
          <w:color w:val="000000" w:themeColor="text1"/>
          <w:lang w:eastAsia="zh-CN"/>
        </w:rPr>
        <w:t>chance of being overweight</w:t>
      </w:r>
      <w:r w:rsidR="00D30904" w:rsidRPr="005827A1">
        <w:rPr>
          <w:color w:val="000000" w:themeColor="text1"/>
          <w:lang w:eastAsia="zh-CN"/>
        </w:rPr>
        <w:t xml:space="preserve"> (Zhang</w:t>
      </w:r>
      <w:r w:rsidR="00C62D23" w:rsidRPr="00C62D23">
        <w:rPr>
          <w:i/>
          <w:color w:val="000000" w:themeColor="text1"/>
          <w:lang w:eastAsia="zh-CN"/>
        </w:rPr>
        <w:t xml:space="preserve"> </w:t>
      </w:r>
      <w:r w:rsidR="00C62D23" w:rsidRPr="00126D3D">
        <w:rPr>
          <w:i/>
          <w:color w:val="000000" w:themeColor="text1"/>
          <w:lang w:eastAsia="zh-CN"/>
        </w:rPr>
        <w:t>et al.</w:t>
      </w:r>
      <w:r w:rsidR="00C62D23" w:rsidRPr="005827A1">
        <w:rPr>
          <w:color w:val="000000" w:themeColor="text1"/>
          <w:lang w:eastAsia="zh-CN"/>
        </w:rPr>
        <w:t xml:space="preserve"> </w:t>
      </w:r>
      <w:r w:rsidR="00D30904" w:rsidRPr="005827A1">
        <w:rPr>
          <w:color w:val="000000" w:themeColor="text1"/>
          <w:lang w:eastAsia="zh-CN"/>
        </w:rPr>
        <w:t xml:space="preserve">2016). </w:t>
      </w:r>
      <w:r w:rsidR="00FF6E7C" w:rsidRPr="005827A1">
        <w:rPr>
          <w:color w:val="000000" w:themeColor="text1"/>
          <w:lang w:eastAsia="zh-CN"/>
        </w:rPr>
        <w:t xml:space="preserve">For </w:t>
      </w:r>
      <w:r w:rsidRPr="005827A1">
        <w:rPr>
          <w:color w:val="000000" w:themeColor="text1"/>
          <w:lang w:eastAsia="zh-CN"/>
        </w:rPr>
        <w:t xml:space="preserve">relative energy and protein intakes, the negative effects </w:t>
      </w:r>
      <w:r w:rsidR="00B4088B" w:rsidRPr="005827A1">
        <w:rPr>
          <w:color w:val="000000" w:themeColor="text1"/>
          <w:lang w:eastAsia="zh-CN"/>
        </w:rPr>
        <w:t xml:space="preserve">are smaller and statistically insignificant, in contrast to the cross-sectional 2SLS results. </w:t>
      </w:r>
    </w:p>
    <w:p w:rsidR="000B4D76" w:rsidRPr="00776B9C" w:rsidRDefault="000B4D76" w:rsidP="000B4D76">
      <w:pPr>
        <w:widowControl w:val="0"/>
        <w:snapToGrid w:val="0"/>
        <w:spacing w:line="288" w:lineRule="auto"/>
        <w:ind w:firstLine="426"/>
        <w:contextualSpacing/>
        <w:rPr>
          <w:lang w:eastAsia="zh-CN"/>
        </w:rPr>
      </w:pPr>
    </w:p>
    <w:p w:rsidR="00776B9C" w:rsidRPr="00776B9C" w:rsidRDefault="00A83CE6" w:rsidP="00776B9C">
      <w:pPr>
        <w:pStyle w:val="Heading2"/>
        <w:spacing w:before="0" w:after="0" w:line="288" w:lineRule="auto"/>
        <w:rPr>
          <w:rFonts w:ascii="Times New Roman" w:hAnsi="Times New Roman"/>
          <w:i w:val="0"/>
          <w:sz w:val="24"/>
          <w:szCs w:val="24"/>
          <w:lang w:eastAsia="zh-CN"/>
        </w:rPr>
      </w:pPr>
      <w:bookmarkStart w:id="13" w:name="_Toc466899939"/>
      <w:r w:rsidRPr="00776B9C">
        <w:rPr>
          <w:rFonts w:ascii="Times New Roman" w:hAnsi="Times New Roman"/>
          <w:i w:val="0"/>
          <w:sz w:val="24"/>
          <w:szCs w:val="24"/>
          <w:lang w:eastAsia="zh-CN"/>
        </w:rPr>
        <w:t xml:space="preserve">5.2 </w:t>
      </w:r>
      <w:r w:rsidR="00B63A6F" w:rsidRPr="00776B9C">
        <w:rPr>
          <w:rFonts w:ascii="Times New Roman" w:hAnsi="Times New Roman"/>
          <w:i w:val="0"/>
          <w:sz w:val="24"/>
          <w:szCs w:val="24"/>
          <w:lang w:eastAsia="zh-CN"/>
        </w:rPr>
        <w:t xml:space="preserve">Impacts from Other </w:t>
      </w:r>
      <w:r w:rsidRPr="00776B9C">
        <w:rPr>
          <w:rFonts w:ascii="Times New Roman" w:hAnsi="Times New Roman"/>
          <w:i w:val="0"/>
          <w:sz w:val="24"/>
          <w:szCs w:val="24"/>
          <w:lang w:eastAsia="zh-CN"/>
        </w:rPr>
        <w:t>Factors</w:t>
      </w:r>
      <w:bookmarkEnd w:id="13"/>
    </w:p>
    <w:p w:rsidR="00776B9C" w:rsidRPr="00776B9C" w:rsidRDefault="00776B9C" w:rsidP="00776B9C">
      <w:pPr>
        <w:rPr>
          <w:sz w:val="12"/>
          <w:szCs w:val="12"/>
          <w:lang w:eastAsia="zh-CN"/>
        </w:rPr>
      </w:pPr>
    </w:p>
    <w:p w:rsidR="006C2C6F" w:rsidRDefault="00B4088B" w:rsidP="000F36E8">
      <w:pPr>
        <w:spacing w:line="288" w:lineRule="auto"/>
        <w:rPr>
          <w:color w:val="000000" w:themeColor="text1"/>
          <w:lang w:eastAsia="zh-CN"/>
        </w:rPr>
      </w:pPr>
      <w:r w:rsidRPr="005827A1">
        <w:rPr>
          <w:color w:val="000000" w:themeColor="text1"/>
          <w:lang w:eastAsia="zh-CN"/>
        </w:rPr>
        <w:t xml:space="preserve">Although the main purpose of the regression models is to test for a quality-quantity trade-off that operates through the effect of sibling numbers on nutrient intakes, the effects of some other factors are also notable. In the OLS cross-sectional results, </w:t>
      </w:r>
      <w:r w:rsidR="00FF3DF8" w:rsidRPr="005827A1">
        <w:rPr>
          <w:color w:val="000000" w:themeColor="text1"/>
          <w:lang w:eastAsia="zh-CN"/>
        </w:rPr>
        <w:t xml:space="preserve">the </w:t>
      </w:r>
      <w:r w:rsidR="00E74EB7" w:rsidRPr="005827A1">
        <w:rPr>
          <w:color w:val="000000" w:themeColor="text1"/>
          <w:lang w:eastAsia="zh-CN"/>
        </w:rPr>
        <w:t>local</w:t>
      </w:r>
      <w:r w:rsidR="00FF3DF8" w:rsidRPr="005827A1">
        <w:rPr>
          <w:color w:val="000000" w:themeColor="text1"/>
          <w:lang w:eastAsia="zh-CN"/>
        </w:rPr>
        <w:t xml:space="preserve"> development level </w:t>
      </w:r>
      <w:r w:rsidRPr="005827A1">
        <w:rPr>
          <w:color w:val="000000" w:themeColor="text1"/>
          <w:lang w:eastAsia="zh-CN"/>
        </w:rPr>
        <w:t xml:space="preserve">appears to have a significant positive effect on </w:t>
      </w:r>
      <w:r w:rsidR="001A0A70" w:rsidRPr="005827A1">
        <w:rPr>
          <w:color w:val="000000" w:themeColor="text1"/>
          <w:lang w:eastAsia="zh-CN"/>
        </w:rPr>
        <w:t xml:space="preserve">all three </w:t>
      </w:r>
      <w:r w:rsidRPr="005827A1">
        <w:rPr>
          <w:color w:val="000000" w:themeColor="text1"/>
          <w:lang w:eastAsia="zh-CN"/>
        </w:rPr>
        <w:t xml:space="preserve">nutrient intakes, </w:t>
      </w:r>
      <w:r w:rsidR="001A0A70" w:rsidRPr="005827A1">
        <w:rPr>
          <w:color w:val="000000" w:themeColor="text1"/>
          <w:lang w:eastAsia="zh-CN"/>
        </w:rPr>
        <w:t xml:space="preserve">and although this effect disappears in the 2SLS results (presumably because local development correlates with the strength of OCP) it reappears for protein intakes in the fixed effects results. </w:t>
      </w:r>
    </w:p>
    <w:p w:rsidR="006C2C6F" w:rsidRDefault="006C2C6F" w:rsidP="000F36E8">
      <w:pPr>
        <w:spacing w:line="288" w:lineRule="auto"/>
        <w:rPr>
          <w:color w:val="000000" w:themeColor="text1"/>
          <w:lang w:eastAsia="zh-CN"/>
        </w:rPr>
      </w:pPr>
    </w:p>
    <w:p w:rsidR="00776B9C" w:rsidRDefault="006C2C6F" w:rsidP="006C2C6F">
      <w:pPr>
        <w:tabs>
          <w:tab w:val="left" w:pos="426"/>
        </w:tabs>
        <w:spacing w:line="288" w:lineRule="auto"/>
        <w:rPr>
          <w:rFonts w:eastAsiaTheme="majorEastAsia"/>
          <w:b/>
          <w:bCs/>
          <w:kern w:val="32"/>
          <w:lang w:eastAsia="zh-CN"/>
        </w:rPr>
      </w:pPr>
      <w:r>
        <w:rPr>
          <w:color w:val="000000" w:themeColor="text1"/>
          <w:lang w:eastAsia="zh-CN"/>
        </w:rPr>
        <w:tab/>
      </w:r>
      <w:r w:rsidR="001A0A70" w:rsidRPr="005827A1">
        <w:rPr>
          <w:color w:val="000000" w:themeColor="text1"/>
          <w:lang w:eastAsia="zh-CN"/>
        </w:rPr>
        <w:t>There are similar changes in results for whether the child</w:t>
      </w:r>
      <w:r w:rsidR="0062574F" w:rsidRPr="005827A1">
        <w:rPr>
          <w:color w:val="000000" w:themeColor="text1"/>
          <w:lang w:eastAsia="zh-CN"/>
        </w:rPr>
        <w:t xml:space="preserve"> hol</w:t>
      </w:r>
      <w:r w:rsidR="00EA1B0D" w:rsidRPr="005827A1">
        <w:rPr>
          <w:color w:val="000000" w:themeColor="text1"/>
          <w:lang w:eastAsia="zh-CN"/>
        </w:rPr>
        <w:t>d</w:t>
      </w:r>
      <w:r w:rsidR="001A0A70" w:rsidRPr="005827A1">
        <w:rPr>
          <w:color w:val="000000" w:themeColor="text1"/>
          <w:lang w:eastAsia="zh-CN"/>
        </w:rPr>
        <w:t>s</w:t>
      </w:r>
      <w:r w:rsidR="0062574F" w:rsidRPr="005827A1">
        <w:rPr>
          <w:color w:val="000000" w:themeColor="text1"/>
          <w:lang w:eastAsia="zh-CN"/>
        </w:rPr>
        <w:t xml:space="preserve"> urban </w:t>
      </w:r>
      <w:proofErr w:type="spellStart"/>
      <w:r w:rsidR="00E74EB7" w:rsidRPr="005827A1">
        <w:rPr>
          <w:i/>
          <w:color w:val="000000" w:themeColor="text1"/>
          <w:lang w:eastAsia="zh-CN"/>
        </w:rPr>
        <w:t>H</w:t>
      </w:r>
      <w:r w:rsidR="0062574F" w:rsidRPr="005827A1">
        <w:rPr>
          <w:i/>
          <w:color w:val="000000" w:themeColor="text1"/>
          <w:lang w:eastAsia="zh-CN"/>
        </w:rPr>
        <w:t>ukou</w:t>
      </w:r>
      <w:proofErr w:type="spellEnd"/>
      <w:r w:rsidR="001A0A70" w:rsidRPr="005827A1">
        <w:rPr>
          <w:color w:val="000000" w:themeColor="text1"/>
          <w:lang w:eastAsia="zh-CN"/>
        </w:rPr>
        <w:t xml:space="preserve">, which has positive effects on energy and protein </w:t>
      </w:r>
      <w:r w:rsidR="008E118E" w:rsidRPr="005827A1">
        <w:rPr>
          <w:color w:val="000000" w:themeColor="text1"/>
          <w:lang w:eastAsia="zh-CN"/>
        </w:rPr>
        <w:t xml:space="preserve">intakes </w:t>
      </w:r>
      <w:r w:rsidR="001A0A70" w:rsidRPr="005827A1">
        <w:rPr>
          <w:color w:val="000000" w:themeColor="text1"/>
          <w:lang w:eastAsia="zh-CN"/>
        </w:rPr>
        <w:t xml:space="preserve">in </w:t>
      </w:r>
      <w:r w:rsidR="008E118E" w:rsidRPr="005827A1">
        <w:rPr>
          <w:color w:val="000000" w:themeColor="text1"/>
          <w:lang w:eastAsia="zh-CN"/>
        </w:rPr>
        <w:t xml:space="preserve">the </w:t>
      </w:r>
      <w:r w:rsidR="001A0A70" w:rsidRPr="005827A1">
        <w:rPr>
          <w:color w:val="000000" w:themeColor="text1"/>
          <w:lang w:eastAsia="zh-CN"/>
        </w:rPr>
        <w:t>OLS results but negative effects, especially on protein, in the fixed effects results. Amongst the factors that are not measuring sibling numbers, t</w:t>
      </w:r>
      <w:r w:rsidR="00927D66" w:rsidRPr="005827A1">
        <w:rPr>
          <w:color w:val="000000" w:themeColor="text1"/>
          <w:lang w:eastAsia="zh-CN"/>
        </w:rPr>
        <w:t>he only</w:t>
      </w:r>
      <w:r w:rsidR="00502A60" w:rsidRPr="005827A1">
        <w:rPr>
          <w:color w:val="000000" w:themeColor="text1"/>
          <w:lang w:eastAsia="zh-CN"/>
        </w:rPr>
        <w:t xml:space="preserve"> </w:t>
      </w:r>
      <w:r w:rsidR="00927D66" w:rsidRPr="005827A1">
        <w:rPr>
          <w:color w:val="000000" w:themeColor="text1"/>
          <w:lang w:eastAsia="zh-CN"/>
        </w:rPr>
        <w:t xml:space="preserve">consistently </w:t>
      </w:r>
      <w:r w:rsidR="00444CAD" w:rsidRPr="005827A1">
        <w:rPr>
          <w:color w:val="000000" w:themeColor="text1"/>
          <w:lang w:eastAsia="zh-CN"/>
        </w:rPr>
        <w:t>significant impact</w:t>
      </w:r>
      <w:r w:rsidR="00502A60" w:rsidRPr="005827A1">
        <w:rPr>
          <w:color w:val="000000" w:themeColor="text1"/>
          <w:lang w:eastAsia="zh-CN"/>
        </w:rPr>
        <w:t xml:space="preserve"> </w:t>
      </w:r>
      <w:r w:rsidR="001A0A70" w:rsidRPr="005827A1">
        <w:rPr>
          <w:color w:val="000000" w:themeColor="text1"/>
          <w:lang w:eastAsia="zh-CN"/>
        </w:rPr>
        <w:t xml:space="preserve">in </w:t>
      </w:r>
      <w:r w:rsidR="00502A60" w:rsidRPr="005827A1">
        <w:rPr>
          <w:color w:val="000000" w:themeColor="text1"/>
          <w:lang w:eastAsia="zh-CN"/>
        </w:rPr>
        <w:t xml:space="preserve">all regression </w:t>
      </w:r>
      <w:r w:rsidR="00D7185D" w:rsidRPr="005827A1">
        <w:rPr>
          <w:color w:val="000000" w:themeColor="text1"/>
          <w:lang w:eastAsia="zh-CN"/>
        </w:rPr>
        <w:t>models</w:t>
      </w:r>
      <w:r w:rsidR="00927D66" w:rsidRPr="005827A1">
        <w:rPr>
          <w:color w:val="000000" w:themeColor="text1"/>
          <w:lang w:eastAsia="zh-CN"/>
        </w:rPr>
        <w:t xml:space="preserve">, for all nutrient intakes and </w:t>
      </w:r>
      <w:r w:rsidR="001A0A70" w:rsidRPr="005827A1">
        <w:rPr>
          <w:color w:val="000000" w:themeColor="text1"/>
          <w:lang w:eastAsia="zh-CN"/>
        </w:rPr>
        <w:t>for both boys and girls</w:t>
      </w:r>
      <w:r w:rsidR="008E118E" w:rsidRPr="005827A1">
        <w:rPr>
          <w:color w:val="000000" w:themeColor="text1"/>
          <w:lang w:eastAsia="zh-CN"/>
        </w:rPr>
        <w:t>,</w:t>
      </w:r>
      <w:r w:rsidR="001A0A70" w:rsidRPr="005827A1">
        <w:rPr>
          <w:color w:val="000000" w:themeColor="text1"/>
          <w:lang w:eastAsia="zh-CN"/>
        </w:rPr>
        <w:t xml:space="preserve"> </w:t>
      </w:r>
      <w:r w:rsidR="00927D66" w:rsidRPr="005827A1">
        <w:rPr>
          <w:color w:val="000000" w:themeColor="text1"/>
          <w:lang w:eastAsia="zh-CN"/>
        </w:rPr>
        <w:t>is the median nutrient intake level of the adult</w:t>
      </w:r>
      <w:r w:rsidR="001A0A70" w:rsidRPr="005827A1">
        <w:rPr>
          <w:color w:val="000000" w:themeColor="text1"/>
          <w:lang w:eastAsia="zh-CN"/>
        </w:rPr>
        <w:t>s</w:t>
      </w:r>
      <w:r w:rsidR="00927D66" w:rsidRPr="005827A1">
        <w:rPr>
          <w:color w:val="000000" w:themeColor="text1"/>
          <w:lang w:eastAsia="zh-CN"/>
        </w:rPr>
        <w:t xml:space="preserve"> in the community. </w:t>
      </w:r>
      <w:r w:rsidR="008E118E" w:rsidRPr="005827A1">
        <w:rPr>
          <w:color w:val="000000" w:themeColor="text1"/>
          <w:lang w:eastAsia="zh-CN"/>
        </w:rPr>
        <w:t>It seems that a</w:t>
      </w:r>
      <w:r w:rsidR="001A0A70" w:rsidRPr="005827A1">
        <w:rPr>
          <w:color w:val="000000" w:themeColor="text1"/>
          <w:lang w:eastAsia="zh-CN"/>
        </w:rPr>
        <w:t xml:space="preserve"> significant factor in the </w:t>
      </w:r>
      <w:r w:rsidR="00927D66" w:rsidRPr="005827A1">
        <w:rPr>
          <w:color w:val="000000" w:themeColor="text1"/>
          <w:lang w:eastAsia="zh-CN"/>
        </w:rPr>
        <w:t>children’s nutrient int</w:t>
      </w:r>
      <w:r w:rsidR="00767FD4" w:rsidRPr="005827A1">
        <w:rPr>
          <w:color w:val="000000" w:themeColor="text1"/>
          <w:lang w:eastAsia="zh-CN"/>
        </w:rPr>
        <w:t xml:space="preserve">akes is what other people </w:t>
      </w:r>
      <w:r w:rsidR="001A0A70" w:rsidRPr="005827A1">
        <w:rPr>
          <w:color w:val="000000" w:themeColor="text1"/>
          <w:lang w:eastAsia="zh-CN"/>
        </w:rPr>
        <w:t xml:space="preserve">(adults) </w:t>
      </w:r>
      <w:r w:rsidR="00767FD4" w:rsidRPr="005827A1">
        <w:rPr>
          <w:color w:val="000000" w:themeColor="text1"/>
          <w:lang w:eastAsia="zh-CN"/>
        </w:rPr>
        <w:t xml:space="preserve">eat in the community. </w:t>
      </w:r>
      <w:bookmarkStart w:id="14" w:name="_Toc466899940"/>
    </w:p>
    <w:p w:rsidR="000F36E8" w:rsidRDefault="00776B9C">
      <w:pPr>
        <w:spacing w:after="200" w:line="276" w:lineRule="auto"/>
        <w:jc w:val="left"/>
        <w:rPr>
          <w:lang w:eastAsia="zh-CN"/>
        </w:rPr>
        <w:sectPr w:rsidR="000F36E8" w:rsidSect="00F1102D">
          <w:pgSz w:w="11907" w:h="16839" w:code="9"/>
          <w:pgMar w:top="1440" w:right="1440" w:bottom="1440" w:left="1440" w:header="720" w:footer="720" w:gutter="0"/>
          <w:cols w:space="720"/>
          <w:docGrid w:linePitch="360"/>
        </w:sectPr>
      </w:pPr>
      <w:r>
        <w:rPr>
          <w:lang w:eastAsia="zh-CN"/>
        </w:rPr>
        <w:br w:type="page"/>
      </w:r>
    </w:p>
    <w:p w:rsidR="00776B9C" w:rsidRDefault="00776B9C">
      <w:pPr>
        <w:spacing w:after="200" w:line="276" w:lineRule="auto"/>
        <w:jc w:val="left"/>
        <w:rPr>
          <w:rFonts w:eastAsiaTheme="majorEastAsia"/>
          <w:b/>
          <w:bCs/>
          <w:kern w:val="32"/>
          <w:lang w:eastAsia="zh-CN"/>
        </w:rPr>
      </w:pPr>
    </w:p>
    <w:p w:rsidR="00DF388C" w:rsidRDefault="00DF388C" w:rsidP="000F36E8">
      <w:pPr>
        <w:pStyle w:val="Caption"/>
        <w:spacing w:line="288" w:lineRule="auto"/>
        <w:jc w:val="center"/>
        <w:rPr>
          <w:rFonts w:ascii="Times New Roman" w:hAnsi="Times New Roman" w:cs="Times New Roman"/>
          <w:b/>
          <w:sz w:val="22"/>
          <w:szCs w:val="22"/>
        </w:rPr>
      </w:pPr>
    </w:p>
    <w:p w:rsidR="000F36E8" w:rsidRPr="000B4D76" w:rsidRDefault="000F36E8" w:rsidP="00A57C5B">
      <w:pPr>
        <w:pStyle w:val="Caption"/>
        <w:spacing w:line="288" w:lineRule="auto"/>
        <w:jc w:val="center"/>
        <w:rPr>
          <w:rFonts w:ascii="Times New Roman" w:hAnsi="Times New Roman" w:cs="Times New Roman"/>
          <w:b/>
          <w:sz w:val="22"/>
          <w:szCs w:val="22"/>
        </w:rPr>
      </w:pPr>
      <w:r w:rsidRPr="000B4D76">
        <w:rPr>
          <w:rFonts w:ascii="Times New Roman" w:hAnsi="Times New Roman" w:cs="Times New Roman"/>
          <w:b/>
          <w:sz w:val="22"/>
          <w:szCs w:val="22"/>
        </w:rPr>
        <w:t>Table</w:t>
      </w:r>
      <w:r w:rsidR="00A57C5B">
        <w:rPr>
          <w:rFonts w:ascii="Times New Roman" w:hAnsi="Times New Roman" w:cs="Times New Roman"/>
          <w:b/>
          <w:sz w:val="22"/>
          <w:szCs w:val="22"/>
        </w:rPr>
        <w:t xml:space="preserve"> 4</w:t>
      </w:r>
      <w:r w:rsidRPr="000B4D76">
        <w:rPr>
          <w:rFonts w:ascii="Times New Roman" w:hAnsi="Times New Roman" w:cs="Times New Roman"/>
          <w:b/>
          <w:sz w:val="22"/>
          <w:szCs w:val="22"/>
        </w:rPr>
        <w:t xml:space="preserve">: </w:t>
      </w:r>
      <w:r w:rsidR="006C2C6F">
        <w:rPr>
          <w:rFonts w:ascii="Times New Roman" w:hAnsi="Times New Roman" w:cs="Times New Roman"/>
          <w:b/>
          <w:sz w:val="22"/>
          <w:szCs w:val="22"/>
        </w:rPr>
        <w:t xml:space="preserve"> </w:t>
      </w:r>
      <w:r>
        <w:rPr>
          <w:rFonts w:ascii="Times New Roman" w:hAnsi="Times New Roman" w:cs="Times New Roman"/>
          <w:b/>
          <w:sz w:val="22"/>
          <w:szCs w:val="22"/>
        </w:rPr>
        <w:t>Panel Regression R</w:t>
      </w:r>
      <w:r w:rsidRPr="000B4D76">
        <w:rPr>
          <w:rFonts w:ascii="Times New Roman" w:hAnsi="Times New Roman" w:cs="Times New Roman"/>
          <w:b/>
          <w:sz w:val="22"/>
          <w:szCs w:val="22"/>
        </w:rPr>
        <w:t>esults, CHNS, 1991-2009</w:t>
      </w:r>
    </w:p>
    <w:p w:rsidR="000F36E8" w:rsidRPr="000B4D76" w:rsidRDefault="000F36E8" w:rsidP="000F36E8">
      <w:pPr>
        <w:spacing w:line="288" w:lineRule="auto"/>
        <w:rPr>
          <w:sz w:val="10"/>
          <w:szCs w:val="10"/>
        </w:rPr>
      </w:pPr>
    </w:p>
    <w:tbl>
      <w:tblPr>
        <w:tblW w:w="0" w:type="auto"/>
        <w:jc w:val="center"/>
        <w:tblLayout w:type="fixed"/>
        <w:tblCellMar>
          <w:left w:w="28" w:type="dxa"/>
          <w:right w:w="28" w:type="dxa"/>
        </w:tblCellMar>
        <w:tblLook w:val="0000" w:firstRow="0" w:lastRow="0" w:firstColumn="0" w:lastColumn="0" w:noHBand="0" w:noVBand="0"/>
      </w:tblPr>
      <w:tblGrid>
        <w:gridCol w:w="4295"/>
        <w:gridCol w:w="1051"/>
        <w:gridCol w:w="1051"/>
        <w:gridCol w:w="1052"/>
        <w:gridCol w:w="1051"/>
        <w:gridCol w:w="1052"/>
        <w:gridCol w:w="1051"/>
        <w:gridCol w:w="1052"/>
        <w:gridCol w:w="1051"/>
        <w:gridCol w:w="1052"/>
      </w:tblGrid>
      <w:tr w:rsidR="000F36E8" w:rsidRPr="000B4D76" w:rsidTr="00126D3D">
        <w:trPr>
          <w:jc w:val="center"/>
        </w:trPr>
        <w:tc>
          <w:tcPr>
            <w:tcW w:w="4295"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jc w:val="left"/>
              <w:rPr>
                <w:color w:val="000000"/>
                <w:sz w:val="22"/>
                <w:szCs w:val="22"/>
                <w:u w:val="single"/>
                <w:lang w:val="en-NZ"/>
              </w:rPr>
            </w:pPr>
          </w:p>
        </w:tc>
        <w:tc>
          <w:tcPr>
            <w:tcW w:w="3154" w:type="dxa"/>
            <w:gridSpan w:val="3"/>
            <w:tcBorders>
              <w:top w:val="nil"/>
              <w:left w:val="nil"/>
              <w:bottom w:val="nil"/>
              <w:right w:val="nil"/>
            </w:tcBorders>
            <w:vAlign w:val="bottom"/>
          </w:tcPr>
          <w:p w:rsidR="000F36E8" w:rsidRPr="00B103AF" w:rsidRDefault="000F36E8" w:rsidP="00126D3D">
            <w:pPr>
              <w:autoSpaceDE w:val="0"/>
              <w:autoSpaceDN w:val="0"/>
              <w:adjustRightInd w:val="0"/>
              <w:spacing w:line="288" w:lineRule="auto"/>
              <w:jc w:val="center"/>
              <w:rPr>
                <w:color w:val="000000"/>
                <w:sz w:val="22"/>
                <w:szCs w:val="22"/>
                <w:u w:val="single"/>
              </w:rPr>
            </w:pPr>
            <w:r w:rsidRPr="00B103AF">
              <w:rPr>
                <w:color w:val="000000"/>
                <w:sz w:val="22"/>
                <w:szCs w:val="22"/>
                <w:u w:val="single"/>
              </w:rPr>
              <w:t>Relative Energy Intakes</w:t>
            </w:r>
          </w:p>
        </w:tc>
        <w:tc>
          <w:tcPr>
            <w:tcW w:w="3154" w:type="dxa"/>
            <w:gridSpan w:val="3"/>
            <w:tcBorders>
              <w:top w:val="nil"/>
              <w:left w:val="nil"/>
              <w:bottom w:val="nil"/>
              <w:right w:val="nil"/>
            </w:tcBorders>
            <w:vAlign w:val="bottom"/>
          </w:tcPr>
          <w:p w:rsidR="000F36E8" w:rsidRPr="00B103AF" w:rsidRDefault="000F36E8" w:rsidP="00126D3D">
            <w:pPr>
              <w:autoSpaceDE w:val="0"/>
              <w:autoSpaceDN w:val="0"/>
              <w:adjustRightInd w:val="0"/>
              <w:spacing w:line="288" w:lineRule="auto"/>
              <w:jc w:val="center"/>
              <w:rPr>
                <w:color w:val="000000"/>
                <w:sz w:val="22"/>
                <w:szCs w:val="22"/>
                <w:u w:val="single"/>
              </w:rPr>
            </w:pPr>
            <w:r w:rsidRPr="00B103AF">
              <w:rPr>
                <w:color w:val="000000"/>
                <w:sz w:val="22"/>
                <w:szCs w:val="22"/>
                <w:u w:val="single"/>
              </w:rPr>
              <w:t>Relative Protein Intakes</w:t>
            </w:r>
          </w:p>
        </w:tc>
        <w:tc>
          <w:tcPr>
            <w:tcW w:w="3155" w:type="dxa"/>
            <w:gridSpan w:val="3"/>
            <w:tcBorders>
              <w:top w:val="nil"/>
              <w:left w:val="nil"/>
              <w:bottom w:val="nil"/>
              <w:right w:val="nil"/>
            </w:tcBorders>
            <w:vAlign w:val="bottom"/>
          </w:tcPr>
          <w:p w:rsidR="000F36E8" w:rsidRPr="00B103AF" w:rsidRDefault="000F36E8" w:rsidP="00126D3D">
            <w:pPr>
              <w:autoSpaceDE w:val="0"/>
              <w:autoSpaceDN w:val="0"/>
              <w:adjustRightInd w:val="0"/>
              <w:spacing w:line="288" w:lineRule="auto"/>
              <w:jc w:val="center"/>
              <w:rPr>
                <w:color w:val="000000"/>
                <w:sz w:val="22"/>
                <w:szCs w:val="22"/>
                <w:u w:val="single"/>
              </w:rPr>
            </w:pPr>
            <w:r w:rsidRPr="00B103AF">
              <w:rPr>
                <w:color w:val="000000"/>
                <w:sz w:val="22"/>
                <w:szCs w:val="22"/>
                <w:u w:val="single"/>
              </w:rPr>
              <w:t>Relative Fat Intakes</w:t>
            </w:r>
          </w:p>
        </w:tc>
      </w:tr>
      <w:tr w:rsidR="000F36E8" w:rsidRPr="000B4D76" w:rsidTr="00126D3D">
        <w:trPr>
          <w:jc w:val="center"/>
        </w:trPr>
        <w:tc>
          <w:tcPr>
            <w:tcW w:w="4295" w:type="dxa"/>
            <w:tcBorders>
              <w:top w:val="nil"/>
              <w:left w:val="nil"/>
              <w:right w:val="nil"/>
            </w:tcBorders>
            <w:vAlign w:val="bottom"/>
          </w:tcPr>
          <w:p w:rsidR="000F36E8" w:rsidRPr="000B4D76" w:rsidRDefault="000F36E8" w:rsidP="00126D3D">
            <w:pPr>
              <w:autoSpaceDE w:val="0"/>
              <w:autoSpaceDN w:val="0"/>
              <w:adjustRightInd w:val="0"/>
              <w:spacing w:line="288" w:lineRule="auto"/>
              <w:jc w:val="left"/>
              <w:rPr>
                <w:color w:val="000000"/>
                <w:sz w:val="22"/>
                <w:szCs w:val="22"/>
              </w:rPr>
            </w:pP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jc w:val="center"/>
              <w:rPr>
                <w:color w:val="000000"/>
                <w:sz w:val="22"/>
                <w:szCs w:val="22"/>
              </w:rPr>
            </w:pPr>
            <w:r w:rsidRPr="000B4D76">
              <w:rPr>
                <w:color w:val="000000"/>
                <w:sz w:val="22"/>
                <w:szCs w:val="22"/>
              </w:rPr>
              <w:t>All Kids</w:t>
            </w: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jc w:val="center"/>
              <w:rPr>
                <w:color w:val="000000"/>
                <w:sz w:val="22"/>
                <w:szCs w:val="22"/>
              </w:rPr>
            </w:pPr>
            <w:r w:rsidRPr="000B4D76">
              <w:rPr>
                <w:color w:val="000000"/>
                <w:sz w:val="22"/>
                <w:szCs w:val="22"/>
              </w:rPr>
              <w:t>Boys</w:t>
            </w:r>
          </w:p>
        </w:tc>
        <w:tc>
          <w:tcPr>
            <w:tcW w:w="1052" w:type="dxa"/>
            <w:tcBorders>
              <w:top w:val="nil"/>
              <w:left w:val="nil"/>
              <w:right w:val="nil"/>
            </w:tcBorders>
            <w:vAlign w:val="bottom"/>
          </w:tcPr>
          <w:p w:rsidR="000F36E8" w:rsidRPr="000B4D76" w:rsidRDefault="000F36E8" w:rsidP="00126D3D">
            <w:pPr>
              <w:autoSpaceDE w:val="0"/>
              <w:autoSpaceDN w:val="0"/>
              <w:adjustRightInd w:val="0"/>
              <w:spacing w:line="288" w:lineRule="auto"/>
              <w:jc w:val="center"/>
              <w:rPr>
                <w:color w:val="000000"/>
                <w:sz w:val="22"/>
                <w:szCs w:val="22"/>
              </w:rPr>
            </w:pPr>
            <w:r w:rsidRPr="000B4D76">
              <w:rPr>
                <w:color w:val="000000"/>
                <w:sz w:val="22"/>
                <w:szCs w:val="22"/>
              </w:rPr>
              <w:t>Girls</w:t>
            </w: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jc w:val="center"/>
              <w:rPr>
                <w:color w:val="000000"/>
                <w:sz w:val="22"/>
                <w:szCs w:val="22"/>
              </w:rPr>
            </w:pPr>
            <w:r w:rsidRPr="000B4D76">
              <w:rPr>
                <w:color w:val="000000"/>
                <w:sz w:val="22"/>
                <w:szCs w:val="22"/>
              </w:rPr>
              <w:t>All Kids</w:t>
            </w:r>
          </w:p>
        </w:tc>
        <w:tc>
          <w:tcPr>
            <w:tcW w:w="1052" w:type="dxa"/>
            <w:tcBorders>
              <w:top w:val="nil"/>
              <w:left w:val="nil"/>
              <w:right w:val="nil"/>
            </w:tcBorders>
            <w:vAlign w:val="bottom"/>
          </w:tcPr>
          <w:p w:rsidR="000F36E8" w:rsidRPr="000B4D76" w:rsidRDefault="000F36E8" w:rsidP="00126D3D">
            <w:pPr>
              <w:autoSpaceDE w:val="0"/>
              <w:autoSpaceDN w:val="0"/>
              <w:adjustRightInd w:val="0"/>
              <w:spacing w:line="288" w:lineRule="auto"/>
              <w:jc w:val="center"/>
              <w:rPr>
                <w:color w:val="000000"/>
                <w:sz w:val="22"/>
                <w:szCs w:val="22"/>
              </w:rPr>
            </w:pPr>
            <w:r w:rsidRPr="000B4D76">
              <w:rPr>
                <w:color w:val="000000"/>
                <w:sz w:val="22"/>
                <w:szCs w:val="22"/>
              </w:rPr>
              <w:t>Boys</w:t>
            </w: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jc w:val="center"/>
              <w:rPr>
                <w:color w:val="000000"/>
                <w:sz w:val="22"/>
                <w:szCs w:val="22"/>
              </w:rPr>
            </w:pPr>
            <w:r w:rsidRPr="000B4D76">
              <w:rPr>
                <w:color w:val="000000"/>
                <w:sz w:val="22"/>
                <w:szCs w:val="22"/>
              </w:rPr>
              <w:t>Girls</w:t>
            </w:r>
          </w:p>
        </w:tc>
        <w:tc>
          <w:tcPr>
            <w:tcW w:w="1052" w:type="dxa"/>
            <w:tcBorders>
              <w:top w:val="nil"/>
              <w:left w:val="nil"/>
              <w:right w:val="nil"/>
            </w:tcBorders>
            <w:vAlign w:val="bottom"/>
          </w:tcPr>
          <w:p w:rsidR="000F36E8" w:rsidRPr="000B4D76" w:rsidRDefault="000F36E8" w:rsidP="00126D3D">
            <w:pPr>
              <w:autoSpaceDE w:val="0"/>
              <w:autoSpaceDN w:val="0"/>
              <w:adjustRightInd w:val="0"/>
              <w:spacing w:line="288" w:lineRule="auto"/>
              <w:jc w:val="center"/>
              <w:rPr>
                <w:color w:val="000000"/>
                <w:sz w:val="22"/>
                <w:szCs w:val="22"/>
              </w:rPr>
            </w:pPr>
            <w:r w:rsidRPr="000B4D76">
              <w:rPr>
                <w:color w:val="000000"/>
                <w:sz w:val="22"/>
                <w:szCs w:val="22"/>
              </w:rPr>
              <w:t>All Kids</w:t>
            </w: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jc w:val="center"/>
              <w:rPr>
                <w:color w:val="000000"/>
                <w:sz w:val="22"/>
                <w:szCs w:val="22"/>
              </w:rPr>
            </w:pPr>
            <w:r w:rsidRPr="000B4D76">
              <w:rPr>
                <w:color w:val="000000"/>
                <w:sz w:val="22"/>
                <w:szCs w:val="22"/>
              </w:rPr>
              <w:t>Boys</w:t>
            </w:r>
          </w:p>
        </w:tc>
        <w:tc>
          <w:tcPr>
            <w:tcW w:w="1052" w:type="dxa"/>
            <w:tcBorders>
              <w:top w:val="nil"/>
              <w:left w:val="nil"/>
              <w:right w:val="nil"/>
            </w:tcBorders>
            <w:vAlign w:val="bottom"/>
          </w:tcPr>
          <w:p w:rsidR="000F36E8" w:rsidRPr="000B4D76" w:rsidRDefault="000F36E8" w:rsidP="00126D3D">
            <w:pPr>
              <w:autoSpaceDE w:val="0"/>
              <w:autoSpaceDN w:val="0"/>
              <w:adjustRightInd w:val="0"/>
              <w:spacing w:line="288" w:lineRule="auto"/>
              <w:jc w:val="center"/>
              <w:rPr>
                <w:color w:val="000000"/>
                <w:sz w:val="22"/>
                <w:szCs w:val="22"/>
              </w:rPr>
            </w:pPr>
            <w:r w:rsidRPr="000B4D76">
              <w:rPr>
                <w:color w:val="000000"/>
                <w:sz w:val="22"/>
                <w:szCs w:val="22"/>
              </w:rPr>
              <w:t>Girls</w:t>
            </w:r>
          </w:p>
        </w:tc>
      </w:tr>
      <w:tr w:rsidR="000F36E8" w:rsidRPr="000B4D76" w:rsidTr="00126D3D">
        <w:trPr>
          <w:jc w:val="center"/>
        </w:trPr>
        <w:tc>
          <w:tcPr>
            <w:tcW w:w="4295" w:type="dxa"/>
            <w:tcBorders>
              <w:top w:val="nil"/>
              <w:left w:val="nil"/>
              <w:bottom w:val="single" w:sz="4" w:space="0" w:color="auto"/>
              <w:right w:val="nil"/>
            </w:tcBorders>
            <w:vAlign w:val="bottom"/>
          </w:tcPr>
          <w:p w:rsidR="000F36E8" w:rsidRPr="000B4D76" w:rsidRDefault="000F36E8" w:rsidP="00126D3D">
            <w:pPr>
              <w:autoSpaceDE w:val="0"/>
              <w:autoSpaceDN w:val="0"/>
              <w:adjustRightInd w:val="0"/>
              <w:spacing w:line="288" w:lineRule="auto"/>
              <w:jc w:val="left"/>
              <w:rPr>
                <w:iCs/>
                <w:color w:val="000000"/>
                <w:sz w:val="22"/>
                <w:szCs w:val="22"/>
              </w:rPr>
            </w:pP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w:t>
            </w: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(2)</w:t>
            </w:r>
          </w:p>
        </w:tc>
        <w:tc>
          <w:tcPr>
            <w:tcW w:w="1052"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(3)</w:t>
            </w: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(4)</w:t>
            </w:r>
          </w:p>
        </w:tc>
        <w:tc>
          <w:tcPr>
            <w:tcW w:w="1052"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(5)</w:t>
            </w: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(6)</w:t>
            </w:r>
          </w:p>
        </w:tc>
        <w:tc>
          <w:tcPr>
            <w:tcW w:w="1052"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(7)</w:t>
            </w: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(8)</w:t>
            </w:r>
          </w:p>
        </w:tc>
        <w:tc>
          <w:tcPr>
            <w:tcW w:w="1052"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(9)</w:t>
            </w:r>
          </w:p>
        </w:tc>
      </w:tr>
      <w:tr w:rsidR="000F36E8" w:rsidRPr="000B4D76" w:rsidTr="00126D3D">
        <w:trPr>
          <w:jc w:val="center"/>
        </w:trPr>
        <w:tc>
          <w:tcPr>
            <w:tcW w:w="4295" w:type="dxa"/>
            <w:tcBorders>
              <w:top w:val="single" w:sz="4" w:space="0" w:color="auto"/>
              <w:left w:val="nil"/>
              <w:bottom w:val="nil"/>
              <w:right w:val="nil"/>
            </w:tcBorders>
            <w:vAlign w:val="bottom"/>
          </w:tcPr>
          <w:p w:rsidR="000F36E8" w:rsidRPr="000B4D76" w:rsidRDefault="000F36E8" w:rsidP="00C62D23">
            <w:pPr>
              <w:autoSpaceDE w:val="0"/>
              <w:autoSpaceDN w:val="0"/>
              <w:adjustRightInd w:val="0"/>
              <w:spacing w:before="100" w:line="288" w:lineRule="auto"/>
              <w:jc w:val="left"/>
              <w:rPr>
                <w:color w:val="000000"/>
                <w:sz w:val="22"/>
                <w:szCs w:val="22"/>
              </w:rPr>
            </w:pPr>
            <w:r w:rsidRPr="000B4D76">
              <w:rPr>
                <w:color w:val="000000"/>
                <w:sz w:val="22"/>
                <w:szCs w:val="22"/>
              </w:rPr>
              <w:t>Number of Siblings</w:t>
            </w:r>
          </w:p>
        </w:tc>
        <w:tc>
          <w:tcPr>
            <w:tcW w:w="1051" w:type="dxa"/>
            <w:tcBorders>
              <w:top w:val="single" w:sz="4" w:space="0" w:color="auto"/>
              <w:left w:val="nil"/>
              <w:bottom w:val="nil"/>
              <w:right w:val="nil"/>
            </w:tcBorders>
            <w:vAlign w:val="bottom"/>
          </w:tcPr>
          <w:p w:rsidR="000F36E8" w:rsidRPr="000B4D76" w:rsidRDefault="000F36E8" w:rsidP="00C62D23">
            <w:pPr>
              <w:tabs>
                <w:tab w:val="decimal" w:pos="284"/>
              </w:tabs>
              <w:autoSpaceDE w:val="0"/>
              <w:autoSpaceDN w:val="0"/>
              <w:adjustRightInd w:val="0"/>
              <w:spacing w:before="100" w:line="288" w:lineRule="auto"/>
              <w:jc w:val="left"/>
              <w:rPr>
                <w:color w:val="000000"/>
                <w:sz w:val="22"/>
                <w:szCs w:val="22"/>
              </w:rPr>
            </w:pPr>
            <w:r w:rsidRPr="000B4D76">
              <w:rPr>
                <w:color w:val="000000"/>
                <w:sz w:val="22"/>
                <w:szCs w:val="22"/>
              </w:rPr>
              <w:t>-0.0169</w:t>
            </w:r>
          </w:p>
        </w:tc>
        <w:tc>
          <w:tcPr>
            <w:tcW w:w="1051" w:type="dxa"/>
            <w:tcBorders>
              <w:top w:val="single" w:sz="4" w:space="0" w:color="auto"/>
              <w:left w:val="nil"/>
              <w:bottom w:val="nil"/>
              <w:right w:val="nil"/>
            </w:tcBorders>
            <w:vAlign w:val="bottom"/>
          </w:tcPr>
          <w:p w:rsidR="000F36E8" w:rsidRPr="000B4D76" w:rsidRDefault="000F36E8" w:rsidP="00C62D23">
            <w:pPr>
              <w:tabs>
                <w:tab w:val="decimal" w:pos="284"/>
              </w:tabs>
              <w:autoSpaceDE w:val="0"/>
              <w:autoSpaceDN w:val="0"/>
              <w:adjustRightInd w:val="0"/>
              <w:spacing w:before="100" w:line="288" w:lineRule="auto"/>
              <w:jc w:val="left"/>
              <w:rPr>
                <w:color w:val="000000"/>
                <w:sz w:val="22"/>
                <w:szCs w:val="22"/>
              </w:rPr>
            </w:pPr>
            <w:r w:rsidRPr="000B4D76">
              <w:rPr>
                <w:color w:val="000000"/>
                <w:sz w:val="22"/>
                <w:szCs w:val="22"/>
              </w:rPr>
              <w:t>-0.00884</w:t>
            </w:r>
          </w:p>
        </w:tc>
        <w:tc>
          <w:tcPr>
            <w:tcW w:w="1052" w:type="dxa"/>
            <w:tcBorders>
              <w:top w:val="single" w:sz="4" w:space="0" w:color="auto"/>
              <w:left w:val="nil"/>
              <w:bottom w:val="nil"/>
              <w:right w:val="nil"/>
            </w:tcBorders>
            <w:vAlign w:val="bottom"/>
          </w:tcPr>
          <w:p w:rsidR="000F36E8" w:rsidRPr="000B4D76" w:rsidRDefault="000F36E8" w:rsidP="00C62D23">
            <w:pPr>
              <w:tabs>
                <w:tab w:val="decimal" w:pos="284"/>
              </w:tabs>
              <w:autoSpaceDE w:val="0"/>
              <w:autoSpaceDN w:val="0"/>
              <w:adjustRightInd w:val="0"/>
              <w:spacing w:before="100" w:line="288" w:lineRule="auto"/>
              <w:jc w:val="left"/>
              <w:rPr>
                <w:color w:val="000000"/>
                <w:sz w:val="22"/>
                <w:szCs w:val="22"/>
              </w:rPr>
            </w:pPr>
            <w:r w:rsidRPr="000B4D76">
              <w:rPr>
                <w:color w:val="000000"/>
                <w:sz w:val="22"/>
                <w:szCs w:val="22"/>
              </w:rPr>
              <w:t>-0.0134</w:t>
            </w:r>
          </w:p>
        </w:tc>
        <w:tc>
          <w:tcPr>
            <w:tcW w:w="1051" w:type="dxa"/>
            <w:tcBorders>
              <w:top w:val="single" w:sz="4" w:space="0" w:color="auto"/>
              <w:left w:val="nil"/>
              <w:bottom w:val="nil"/>
              <w:right w:val="nil"/>
            </w:tcBorders>
            <w:vAlign w:val="bottom"/>
          </w:tcPr>
          <w:p w:rsidR="000F36E8" w:rsidRPr="000B4D76" w:rsidRDefault="000F36E8" w:rsidP="00C62D23">
            <w:pPr>
              <w:tabs>
                <w:tab w:val="decimal" w:pos="284"/>
              </w:tabs>
              <w:autoSpaceDE w:val="0"/>
              <w:autoSpaceDN w:val="0"/>
              <w:adjustRightInd w:val="0"/>
              <w:spacing w:before="100" w:line="288" w:lineRule="auto"/>
              <w:jc w:val="left"/>
              <w:rPr>
                <w:color w:val="000000"/>
                <w:sz w:val="22"/>
                <w:szCs w:val="22"/>
              </w:rPr>
            </w:pPr>
            <w:r w:rsidRPr="000B4D76">
              <w:rPr>
                <w:color w:val="000000"/>
                <w:sz w:val="22"/>
                <w:szCs w:val="22"/>
              </w:rPr>
              <w:t>-0.0169</w:t>
            </w:r>
          </w:p>
        </w:tc>
        <w:tc>
          <w:tcPr>
            <w:tcW w:w="1052" w:type="dxa"/>
            <w:tcBorders>
              <w:top w:val="single" w:sz="4" w:space="0" w:color="auto"/>
              <w:left w:val="nil"/>
              <w:bottom w:val="nil"/>
              <w:right w:val="nil"/>
            </w:tcBorders>
            <w:vAlign w:val="bottom"/>
          </w:tcPr>
          <w:p w:rsidR="000F36E8" w:rsidRPr="000B4D76" w:rsidRDefault="000F36E8" w:rsidP="00C62D23">
            <w:pPr>
              <w:tabs>
                <w:tab w:val="decimal" w:pos="284"/>
              </w:tabs>
              <w:autoSpaceDE w:val="0"/>
              <w:autoSpaceDN w:val="0"/>
              <w:adjustRightInd w:val="0"/>
              <w:spacing w:before="100" w:line="288" w:lineRule="auto"/>
              <w:jc w:val="left"/>
              <w:rPr>
                <w:color w:val="000000"/>
                <w:sz w:val="22"/>
                <w:szCs w:val="22"/>
              </w:rPr>
            </w:pPr>
            <w:r w:rsidRPr="000B4D76">
              <w:rPr>
                <w:color w:val="000000"/>
                <w:sz w:val="22"/>
                <w:szCs w:val="22"/>
              </w:rPr>
              <w:t>-0.00193</w:t>
            </w:r>
          </w:p>
        </w:tc>
        <w:tc>
          <w:tcPr>
            <w:tcW w:w="1051" w:type="dxa"/>
            <w:tcBorders>
              <w:top w:val="single" w:sz="4" w:space="0" w:color="auto"/>
              <w:left w:val="nil"/>
              <w:bottom w:val="nil"/>
              <w:right w:val="nil"/>
            </w:tcBorders>
            <w:vAlign w:val="bottom"/>
          </w:tcPr>
          <w:p w:rsidR="000F36E8" w:rsidRPr="000B4D76" w:rsidRDefault="000F36E8" w:rsidP="00C62D23">
            <w:pPr>
              <w:tabs>
                <w:tab w:val="decimal" w:pos="284"/>
              </w:tabs>
              <w:autoSpaceDE w:val="0"/>
              <w:autoSpaceDN w:val="0"/>
              <w:adjustRightInd w:val="0"/>
              <w:spacing w:before="100" w:line="288" w:lineRule="auto"/>
              <w:jc w:val="left"/>
              <w:rPr>
                <w:color w:val="000000"/>
                <w:sz w:val="22"/>
                <w:szCs w:val="22"/>
              </w:rPr>
            </w:pPr>
            <w:r w:rsidRPr="000B4D76">
              <w:rPr>
                <w:color w:val="000000"/>
                <w:sz w:val="22"/>
                <w:szCs w:val="22"/>
              </w:rPr>
              <w:t>-0.0158</w:t>
            </w:r>
          </w:p>
        </w:tc>
        <w:tc>
          <w:tcPr>
            <w:tcW w:w="1052" w:type="dxa"/>
            <w:tcBorders>
              <w:top w:val="single" w:sz="4" w:space="0" w:color="auto"/>
              <w:left w:val="nil"/>
              <w:bottom w:val="nil"/>
              <w:right w:val="nil"/>
            </w:tcBorders>
            <w:vAlign w:val="bottom"/>
          </w:tcPr>
          <w:p w:rsidR="000F36E8" w:rsidRPr="000B4D76" w:rsidRDefault="000F36E8" w:rsidP="00C62D23">
            <w:pPr>
              <w:tabs>
                <w:tab w:val="decimal" w:pos="284"/>
              </w:tabs>
              <w:autoSpaceDE w:val="0"/>
              <w:autoSpaceDN w:val="0"/>
              <w:adjustRightInd w:val="0"/>
              <w:spacing w:before="100" w:line="288" w:lineRule="auto"/>
              <w:jc w:val="left"/>
              <w:rPr>
                <w:color w:val="000000"/>
                <w:sz w:val="22"/>
                <w:szCs w:val="22"/>
              </w:rPr>
            </w:pPr>
            <w:r w:rsidRPr="000B4D76">
              <w:rPr>
                <w:color w:val="000000"/>
                <w:sz w:val="22"/>
                <w:szCs w:val="22"/>
              </w:rPr>
              <w:t>-0.127*</w:t>
            </w:r>
          </w:p>
        </w:tc>
        <w:tc>
          <w:tcPr>
            <w:tcW w:w="1051" w:type="dxa"/>
            <w:tcBorders>
              <w:top w:val="single" w:sz="4" w:space="0" w:color="auto"/>
              <w:left w:val="nil"/>
              <w:bottom w:val="nil"/>
              <w:right w:val="nil"/>
            </w:tcBorders>
            <w:vAlign w:val="bottom"/>
          </w:tcPr>
          <w:p w:rsidR="000F36E8" w:rsidRPr="000B4D76" w:rsidRDefault="000F36E8" w:rsidP="00C62D23">
            <w:pPr>
              <w:tabs>
                <w:tab w:val="decimal" w:pos="284"/>
              </w:tabs>
              <w:autoSpaceDE w:val="0"/>
              <w:autoSpaceDN w:val="0"/>
              <w:adjustRightInd w:val="0"/>
              <w:spacing w:before="100" w:line="288" w:lineRule="auto"/>
              <w:jc w:val="left"/>
              <w:rPr>
                <w:color w:val="000000"/>
                <w:sz w:val="22"/>
                <w:szCs w:val="22"/>
              </w:rPr>
            </w:pPr>
            <w:r w:rsidRPr="000B4D76">
              <w:rPr>
                <w:color w:val="000000"/>
                <w:sz w:val="22"/>
                <w:szCs w:val="22"/>
              </w:rPr>
              <w:t>-0.108</w:t>
            </w:r>
          </w:p>
        </w:tc>
        <w:tc>
          <w:tcPr>
            <w:tcW w:w="1052" w:type="dxa"/>
            <w:tcBorders>
              <w:top w:val="single" w:sz="4" w:space="0" w:color="auto"/>
              <w:left w:val="nil"/>
              <w:bottom w:val="nil"/>
              <w:right w:val="nil"/>
            </w:tcBorders>
            <w:vAlign w:val="bottom"/>
          </w:tcPr>
          <w:p w:rsidR="000F36E8" w:rsidRPr="000B4D76" w:rsidRDefault="000F36E8" w:rsidP="00C62D23">
            <w:pPr>
              <w:tabs>
                <w:tab w:val="decimal" w:pos="284"/>
              </w:tabs>
              <w:autoSpaceDE w:val="0"/>
              <w:autoSpaceDN w:val="0"/>
              <w:adjustRightInd w:val="0"/>
              <w:spacing w:before="100" w:line="288" w:lineRule="auto"/>
              <w:jc w:val="left"/>
              <w:rPr>
                <w:color w:val="000000"/>
                <w:sz w:val="22"/>
                <w:szCs w:val="22"/>
              </w:rPr>
            </w:pPr>
            <w:r w:rsidRPr="000B4D76">
              <w:rPr>
                <w:color w:val="000000"/>
                <w:sz w:val="22"/>
                <w:szCs w:val="22"/>
              </w:rPr>
              <w:t>-0.128+</w:t>
            </w:r>
          </w:p>
        </w:tc>
      </w:tr>
      <w:tr w:rsidR="000F36E8" w:rsidRPr="000B4D76" w:rsidTr="00126D3D">
        <w:trPr>
          <w:jc w:val="center"/>
        </w:trPr>
        <w:tc>
          <w:tcPr>
            <w:tcW w:w="4295"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jc w:val="left"/>
              <w:rPr>
                <w:color w:val="000000"/>
                <w:sz w:val="22"/>
                <w:szCs w:val="22"/>
              </w:rPr>
            </w:pP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(0.015)</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(0.027)</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(0.018)</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(0.016)</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(0.035)</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(0.017)</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(0.050)</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(0.075)</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(0.075)</w:t>
            </w:r>
          </w:p>
        </w:tc>
      </w:tr>
      <w:tr w:rsidR="000F36E8" w:rsidRPr="000B4D76" w:rsidTr="00126D3D">
        <w:trPr>
          <w:jc w:val="center"/>
        </w:trPr>
        <w:tc>
          <w:tcPr>
            <w:tcW w:w="4295" w:type="dxa"/>
            <w:tcBorders>
              <w:top w:val="nil"/>
              <w:left w:val="nil"/>
              <w:bottom w:val="nil"/>
              <w:right w:val="nil"/>
            </w:tcBorders>
            <w:vAlign w:val="bottom"/>
          </w:tcPr>
          <w:p w:rsidR="00C62D23" w:rsidRDefault="00C62D23" w:rsidP="00126D3D">
            <w:pPr>
              <w:autoSpaceDE w:val="0"/>
              <w:autoSpaceDN w:val="0"/>
              <w:adjustRightInd w:val="0"/>
              <w:spacing w:line="288" w:lineRule="auto"/>
              <w:jc w:val="left"/>
              <w:rPr>
                <w:color w:val="000000"/>
                <w:sz w:val="22"/>
                <w:szCs w:val="22"/>
              </w:rPr>
            </w:pPr>
          </w:p>
          <w:p w:rsidR="000F36E8" w:rsidRPr="000B4D76" w:rsidRDefault="000F36E8" w:rsidP="00126D3D">
            <w:pPr>
              <w:autoSpaceDE w:val="0"/>
              <w:autoSpaceDN w:val="0"/>
              <w:adjustRightInd w:val="0"/>
              <w:spacing w:line="288" w:lineRule="auto"/>
              <w:jc w:val="left"/>
              <w:rPr>
                <w:i/>
                <w:iCs/>
                <w:color w:val="000000"/>
                <w:sz w:val="22"/>
                <w:szCs w:val="22"/>
              </w:rPr>
            </w:pPr>
            <w:r w:rsidRPr="000B4D76">
              <w:rPr>
                <w:color w:val="000000"/>
                <w:sz w:val="22"/>
                <w:szCs w:val="22"/>
              </w:rPr>
              <w:t xml:space="preserve">Urban </w:t>
            </w:r>
            <w:proofErr w:type="spellStart"/>
            <w:r w:rsidRPr="000B4D76">
              <w:rPr>
                <w:i/>
                <w:iCs/>
                <w:color w:val="000000"/>
                <w:sz w:val="22"/>
                <w:szCs w:val="22"/>
              </w:rPr>
              <w:t>Hukou</w:t>
            </w:r>
            <w:proofErr w:type="spellEnd"/>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-0.0175</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-0.021</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-0.0153</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-0.0282*</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-0.0364*</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-0.0149</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-0.0134</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0.00666</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-0.0148</w:t>
            </w:r>
          </w:p>
        </w:tc>
      </w:tr>
      <w:tr w:rsidR="000F36E8" w:rsidRPr="000B4D76" w:rsidTr="00126D3D">
        <w:trPr>
          <w:jc w:val="center"/>
        </w:trPr>
        <w:tc>
          <w:tcPr>
            <w:tcW w:w="4295"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jc w:val="left"/>
              <w:rPr>
                <w:color w:val="000000"/>
                <w:sz w:val="22"/>
                <w:szCs w:val="22"/>
              </w:rPr>
            </w:pP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(0.011)</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(0.016)</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(0.016)</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(0.012)</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(0.017)</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(0.015)</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(0.041)</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(0.058)</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(0.056)</w:t>
            </w:r>
          </w:p>
        </w:tc>
      </w:tr>
      <w:tr w:rsidR="000F36E8" w:rsidRPr="000B4D76" w:rsidTr="00126D3D">
        <w:trPr>
          <w:jc w:val="center"/>
        </w:trPr>
        <w:tc>
          <w:tcPr>
            <w:tcW w:w="4295" w:type="dxa"/>
            <w:tcBorders>
              <w:top w:val="nil"/>
              <w:left w:val="nil"/>
              <w:bottom w:val="nil"/>
              <w:right w:val="nil"/>
            </w:tcBorders>
            <w:vAlign w:val="bottom"/>
          </w:tcPr>
          <w:p w:rsidR="00C62D23" w:rsidRDefault="00C62D23" w:rsidP="00126D3D">
            <w:pPr>
              <w:autoSpaceDE w:val="0"/>
              <w:autoSpaceDN w:val="0"/>
              <w:adjustRightInd w:val="0"/>
              <w:spacing w:line="288" w:lineRule="auto"/>
              <w:jc w:val="left"/>
              <w:rPr>
                <w:color w:val="000000"/>
                <w:sz w:val="22"/>
                <w:szCs w:val="22"/>
              </w:rPr>
            </w:pPr>
          </w:p>
          <w:p w:rsidR="000F36E8" w:rsidRPr="000B4D76" w:rsidRDefault="000F36E8" w:rsidP="00126D3D">
            <w:pPr>
              <w:autoSpaceDE w:val="0"/>
              <w:autoSpaceDN w:val="0"/>
              <w:adjustRightInd w:val="0"/>
              <w:spacing w:line="288" w:lineRule="auto"/>
              <w:jc w:val="left"/>
              <w:rPr>
                <w:color w:val="000000"/>
                <w:sz w:val="22"/>
                <w:szCs w:val="22"/>
              </w:rPr>
            </w:pPr>
            <w:r w:rsidRPr="000B4D76">
              <w:rPr>
                <w:color w:val="000000"/>
                <w:sz w:val="22"/>
                <w:szCs w:val="22"/>
              </w:rPr>
              <w:t>Local Development Index</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0.0275</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0.0198</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0.0381</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0.0439+</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0.0749*</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0.00713</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0.046</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-0.0323</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0.239</w:t>
            </w:r>
          </w:p>
        </w:tc>
      </w:tr>
      <w:tr w:rsidR="000F36E8" w:rsidRPr="000B4D76" w:rsidTr="00126D3D">
        <w:trPr>
          <w:jc w:val="center"/>
        </w:trPr>
        <w:tc>
          <w:tcPr>
            <w:tcW w:w="4295"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jc w:val="left"/>
              <w:rPr>
                <w:color w:val="000000"/>
                <w:sz w:val="22"/>
                <w:szCs w:val="22"/>
              </w:rPr>
            </w:pP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(0.024)</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(0.035)</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(0.032)</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(0.023)</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(0.037)</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(0.028)</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(0.084)</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(0.101)</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(0.146)</w:t>
            </w:r>
          </w:p>
        </w:tc>
      </w:tr>
      <w:tr w:rsidR="000F36E8" w:rsidRPr="000B4D76" w:rsidTr="00126D3D">
        <w:trPr>
          <w:jc w:val="center"/>
        </w:trPr>
        <w:tc>
          <w:tcPr>
            <w:tcW w:w="4295" w:type="dxa"/>
            <w:tcBorders>
              <w:top w:val="nil"/>
              <w:left w:val="nil"/>
              <w:bottom w:val="nil"/>
              <w:right w:val="nil"/>
            </w:tcBorders>
            <w:vAlign w:val="bottom"/>
          </w:tcPr>
          <w:p w:rsidR="00C62D23" w:rsidRDefault="00C62D23" w:rsidP="00126D3D">
            <w:pPr>
              <w:autoSpaceDE w:val="0"/>
              <w:autoSpaceDN w:val="0"/>
              <w:adjustRightInd w:val="0"/>
              <w:spacing w:line="288" w:lineRule="auto"/>
              <w:jc w:val="left"/>
              <w:rPr>
                <w:color w:val="000000"/>
                <w:sz w:val="22"/>
                <w:szCs w:val="22"/>
              </w:rPr>
            </w:pPr>
          </w:p>
          <w:p w:rsidR="000F36E8" w:rsidRPr="000B4D76" w:rsidRDefault="000F36E8" w:rsidP="00126D3D">
            <w:pPr>
              <w:autoSpaceDE w:val="0"/>
              <w:autoSpaceDN w:val="0"/>
              <w:adjustRightInd w:val="0"/>
              <w:spacing w:line="288" w:lineRule="auto"/>
              <w:jc w:val="left"/>
              <w:rPr>
                <w:color w:val="000000"/>
                <w:sz w:val="22"/>
                <w:szCs w:val="22"/>
              </w:rPr>
            </w:pPr>
            <w:r w:rsidRPr="000B4D76">
              <w:rPr>
                <w:color w:val="000000"/>
                <w:sz w:val="22"/>
                <w:szCs w:val="22"/>
              </w:rPr>
              <w:t>Total Number of Observations</w:t>
            </w:r>
          </w:p>
        </w:tc>
        <w:tc>
          <w:tcPr>
            <w:tcW w:w="1051"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10,988</w:t>
            </w:r>
          </w:p>
        </w:tc>
        <w:tc>
          <w:tcPr>
            <w:tcW w:w="1051"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5,958</w:t>
            </w:r>
          </w:p>
        </w:tc>
        <w:tc>
          <w:tcPr>
            <w:tcW w:w="1052"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5,030</w:t>
            </w:r>
          </w:p>
        </w:tc>
        <w:tc>
          <w:tcPr>
            <w:tcW w:w="1051"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10,988</w:t>
            </w:r>
          </w:p>
        </w:tc>
        <w:tc>
          <w:tcPr>
            <w:tcW w:w="1052"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5,958</w:t>
            </w:r>
          </w:p>
        </w:tc>
        <w:tc>
          <w:tcPr>
            <w:tcW w:w="1051"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5,030</w:t>
            </w:r>
          </w:p>
        </w:tc>
        <w:tc>
          <w:tcPr>
            <w:tcW w:w="1052"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10,988</w:t>
            </w:r>
          </w:p>
        </w:tc>
        <w:tc>
          <w:tcPr>
            <w:tcW w:w="1051"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5,958</w:t>
            </w:r>
          </w:p>
        </w:tc>
        <w:tc>
          <w:tcPr>
            <w:tcW w:w="1052"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5,030</w:t>
            </w:r>
          </w:p>
        </w:tc>
      </w:tr>
      <w:tr w:rsidR="000F36E8" w:rsidRPr="000B4D76" w:rsidTr="00126D3D">
        <w:trPr>
          <w:jc w:val="center"/>
        </w:trPr>
        <w:tc>
          <w:tcPr>
            <w:tcW w:w="4295" w:type="dxa"/>
            <w:tcBorders>
              <w:top w:val="nil"/>
              <w:left w:val="nil"/>
              <w:right w:val="nil"/>
            </w:tcBorders>
            <w:vAlign w:val="bottom"/>
          </w:tcPr>
          <w:p w:rsidR="000F36E8" w:rsidRPr="000B4D76" w:rsidRDefault="000F36E8" w:rsidP="00126D3D">
            <w:pPr>
              <w:autoSpaceDE w:val="0"/>
              <w:autoSpaceDN w:val="0"/>
              <w:adjustRightInd w:val="0"/>
              <w:spacing w:line="288" w:lineRule="auto"/>
              <w:jc w:val="left"/>
              <w:rPr>
                <w:color w:val="000000"/>
                <w:sz w:val="22"/>
                <w:szCs w:val="22"/>
              </w:rPr>
            </w:pPr>
            <w:r w:rsidRPr="000B4D76">
              <w:rPr>
                <w:color w:val="000000"/>
                <w:sz w:val="22"/>
                <w:szCs w:val="22"/>
              </w:rPr>
              <w:t>Total Number of Individuals</w:t>
            </w: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3,760</w:t>
            </w: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2,026</w:t>
            </w:r>
          </w:p>
        </w:tc>
        <w:tc>
          <w:tcPr>
            <w:tcW w:w="1052" w:type="dxa"/>
            <w:tcBorders>
              <w:top w:val="nil"/>
              <w:left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1,734</w:t>
            </w: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3,760</w:t>
            </w:r>
          </w:p>
        </w:tc>
        <w:tc>
          <w:tcPr>
            <w:tcW w:w="1052" w:type="dxa"/>
            <w:tcBorders>
              <w:top w:val="nil"/>
              <w:left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2,026</w:t>
            </w: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1,734</w:t>
            </w:r>
          </w:p>
        </w:tc>
        <w:tc>
          <w:tcPr>
            <w:tcW w:w="1052" w:type="dxa"/>
            <w:tcBorders>
              <w:top w:val="nil"/>
              <w:left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3,760</w:t>
            </w:r>
          </w:p>
        </w:tc>
        <w:tc>
          <w:tcPr>
            <w:tcW w:w="1051" w:type="dxa"/>
            <w:tcBorders>
              <w:top w:val="nil"/>
              <w:left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2,026</w:t>
            </w:r>
          </w:p>
        </w:tc>
        <w:tc>
          <w:tcPr>
            <w:tcW w:w="1052" w:type="dxa"/>
            <w:tcBorders>
              <w:top w:val="nil"/>
              <w:left w:val="nil"/>
              <w:right w:val="nil"/>
            </w:tcBorders>
            <w:vAlign w:val="bottom"/>
          </w:tcPr>
          <w:p w:rsidR="000F36E8" w:rsidRPr="000B4D76" w:rsidRDefault="000F36E8" w:rsidP="00126D3D">
            <w:pPr>
              <w:autoSpaceDE w:val="0"/>
              <w:autoSpaceDN w:val="0"/>
              <w:adjustRightInd w:val="0"/>
              <w:spacing w:line="288" w:lineRule="auto"/>
              <w:ind w:right="170"/>
              <w:jc w:val="center"/>
              <w:rPr>
                <w:color w:val="000000"/>
                <w:sz w:val="22"/>
                <w:szCs w:val="22"/>
              </w:rPr>
            </w:pPr>
            <w:r w:rsidRPr="000B4D76">
              <w:rPr>
                <w:color w:val="000000"/>
                <w:sz w:val="22"/>
                <w:szCs w:val="22"/>
              </w:rPr>
              <w:t>1,734</w:t>
            </w:r>
          </w:p>
        </w:tc>
      </w:tr>
      <w:tr w:rsidR="000F36E8" w:rsidRPr="000B4D76" w:rsidTr="00126D3D">
        <w:trPr>
          <w:jc w:val="center"/>
        </w:trPr>
        <w:tc>
          <w:tcPr>
            <w:tcW w:w="4295" w:type="dxa"/>
            <w:tcBorders>
              <w:top w:val="nil"/>
              <w:left w:val="nil"/>
              <w:bottom w:val="nil"/>
              <w:right w:val="nil"/>
            </w:tcBorders>
            <w:vAlign w:val="bottom"/>
          </w:tcPr>
          <w:p w:rsidR="000F36E8" w:rsidRPr="000B4D76" w:rsidRDefault="000F36E8" w:rsidP="00126D3D">
            <w:pPr>
              <w:autoSpaceDE w:val="0"/>
              <w:autoSpaceDN w:val="0"/>
              <w:adjustRightInd w:val="0"/>
              <w:spacing w:line="288" w:lineRule="auto"/>
              <w:jc w:val="left"/>
              <w:rPr>
                <w:color w:val="000000"/>
                <w:sz w:val="22"/>
                <w:szCs w:val="22"/>
              </w:rPr>
            </w:pPr>
            <w:r w:rsidRPr="000B4D76">
              <w:rPr>
                <w:color w:val="000000"/>
                <w:sz w:val="22"/>
                <w:szCs w:val="22"/>
              </w:rPr>
              <w:t>Adjusted R-squared</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0.089</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0.078</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0.088</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0.091</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0.07</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0.118</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0.143</w:t>
            </w:r>
          </w:p>
        </w:tc>
        <w:tc>
          <w:tcPr>
            <w:tcW w:w="1051"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0.248</w:t>
            </w:r>
          </w:p>
        </w:tc>
        <w:tc>
          <w:tcPr>
            <w:tcW w:w="1052" w:type="dxa"/>
            <w:tcBorders>
              <w:top w:val="nil"/>
              <w:left w:val="nil"/>
              <w:bottom w:val="nil"/>
              <w:right w:val="nil"/>
            </w:tcBorders>
            <w:vAlign w:val="bottom"/>
          </w:tcPr>
          <w:p w:rsidR="000F36E8" w:rsidRPr="000B4D76" w:rsidRDefault="000F36E8" w:rsidP="00126D3D">
            <w:pPr>
              <w:tabs>
                <w:tab w:val="decimal" w:pos="284"/>
              </w:tabs>
              <w:autoSpaceDE w:val="0"/>
              <w:autoSpaceDN w:val="0"/>
              <w:adjustRightInd w:val="0"/>
              <w:spacing w:line="288" w:lineRule="auto"/>
              <w:jc w:val="left"/>
              <w:rPr>
                <w:color w:val="000000"/>
                <w:sz w:val="22"/>
                <w:szCs w:val="22"/>
              </w:rPr>
            </w:pPr>
            <w:r w:rsidRPr="000B4D76">
              <w:rPr>
                <w:color w:val="000000"/>
                <w:sz w:val="22"/>
                <w:szCs w:val="22"/>
              </w:rPr>
              <w:t>0.084</w:t>
            </w:r>
          </w:p>
        </w:tc>
      </w:tr>
      <w:tr w:rsidR="000F36E8" w:rsidRPr="000B4D76" w:rsidTr="00126D3D">
        <w:trPr>
          <w:jc w:val="center"/>
        </w:trPr>
        <w:tc>
          <w:tcPr>
            <w:tcW w:w="4295"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rPr>
                <w:color w:val="000000"/>
                <w:sz w:val="22"/>
                <w:szCs w:val="22"/>
              </w:rPr>
            </w:pPr>
            <w:r w:rsidRPr="000B4D76">
              <w:rPr>
                <w:color w:val="000000"/>
                <w:sz w:val="22"/>
                <w:szCs w:val="22"/>
              </w:rPr>
              <w:t xml:space="preserve">F-stat for all </w:t>
            </w:r>
            <w:proofErr w:type="spellStart"/>
            <w:r w:rsidRPr="000B4D76">
              <w:rPr>
                <w:color w:val="000000"/>
                <w:sz w:val="22"/>
                <w:szCs w:val="22"/>
              </w:rPr>
              <w:t>u_i</w:t>
            </w:r>
            <w:proofErr w:type="spellEnd"/>
            <w:r w:rsidRPr="000B4D76">
              <w:rPr>
                <w:color w:val="000000"/>
                <w:sz w:val="22"/>
                <w:szCs w:val="22"/>
              </w:rPr>
              <w:t>=0</w:t>
            </w: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1.396**</w:t>
            </w: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1.277**</w:t>
            </w:r>
          </w:p>
        </w:tc>
        <w:tc>
          <w:tcPr>
            <w:tcW w:w="1052"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1.487**</w:t>
            </w: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1.27**</w:t>
            </w:r>
          </w:p>
        </w:tc>
        <w:tc>
          <w:tcPr>
            <w:tcW w:w="1052"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1.251**</w:t>
            </w: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1.215**</w:t>
            </w:r>
          </w:p>
        </w:tc>
        <w:tc>
          <w:tcPr>
            <w:tcW w:w="1052"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1.585**</w:t>
            </w:r>
          </w:p>
        </w:tc>
        <w:tc>
          <w:tcPr>
            <w:tcW w:w="1051"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1.216**</w:t>
            </w:r>
          </w:p>
        </w:tc>
        <w:tc>
          <w:tcPr>
            <w:tcW w:w="1052" w:type="dxa"/>
            <w:tcBorders>
              <w:top w:val="nil"/>
              <w:left w:val="nil"/>
              <w:bottom w:val="single" w:sz="4" w:space="0" w:color="auto"/>
              <w:right w:val="nil"/>
            </w:tcBorders>
            <w:vAlign w:val="bottom"/>
          </w:tcPr>
          <w:p w:rsidR="000F36E8" w:rsidRPr="000B4D76" w:rsidRDefault="000F36E8" w:rsidP="00C62D23">
            <w:pPr>
              <w:autoSpaceDE w:val="0"/>
              <w:autoSpaceDN w:val="0"/>
              <w:adjustRightInd w:val="0"/>
              <w:spacing w:after="100" w:line="288" w:lineRule="auto"/>
              <w:jc w:val="center"/>
              <w:rPr>
                <w:color w:val="000000"/>
                <w:sz w:val="22"/>
                <w:szCs w:val="22"/>
              </w:rPr>
            </w:pPr>
            <w:r w:rsidRPr="000B4D76">
              <w:rPr>
                <w:color w:val="000000"/>
                <w:sz w:val="22"/>
                <w:szCs w:val="22"/>
              </w:rPr>
              <w:t>1.732**</w:t>
            </w:r>
          </w:p>
        </w:tc>
      </w:tr>
    </w:tbl>
    <w:p w:rsidR="006C2C6F" w:rsidRDefault="006C2C6F" w:rsidP="006C2C6F">
      <w:pPr>
        <w:spacing w:before="80" w:line="288" w:lineRule="auto"/>
        <w:ind w:left="142"/>
        <w:rPr>
          <w:i/>
          <w:sz w:val="20"/>
          <w:szCs w:val="20"/>
        </w:rPr>
      </w:pPr>
      <w:r>
        <w:rPr>
          <w:i/>
          <w:sz w:val="20"/>
          <w:szCs w:val="20"/>
        </w:rPr>
        <w:t>Notes</w:t>
      </w:r>
    </w:p>
    <w:p w:rsidR="000F36E8" w:rsidRPr="000B4D76" w:rsidRDefault="000F36E8" w:rsidP="006C2C6F">
      <w:pPr>
        <w:spacing w:before="80" w:line="288" w:lineRule="auto"/>
        <w:ind w:left="142"/>
        <w:rPr>
          <w:sz w:val="20"/>
          <w:szCs w:val="20"/>
        </w:rPr>
      </w:pPr>
      <w:r w:rsidRPr="000B4D76">
        <w:rPr>
          <w:sz w:val="20"/>
          <w:szCs w:val="20"/>
        </w:rPr>
        <w:t xml:space="preserve">All regressions control for age, age squared, </w:t>
      </w:r>
      <w:proofErr w:type="gramStart"/>
      <w:r w:rsidRPr="000B4D76">
        <w:rPr>
          <w:sz w:val="20"/>
          <w:szCs w:val="20"/>
        </w:rPr>
        <w:t>years</w:t>
      </w:r>
      <w:proofErr w:type="gramEnd"/>
      <w:r w:rsidRPr="000B4D76">
        <w:rPr>
          <w:sz w:val="20"/>
          <w:szCs w:val="20"/>
        </w:rPr>
        <w:t xml:space="preserve"> of schooling of parents, median household income, median nutrient intakes, and dummy variables for survey waves. Robust standard errors, which allow for the potential correlation for the same children in different waves, are shown in parentheses.</w:t>
      </w:r>
    </w:p>
    <w:p w:rsidR="000F36E8" w:rsidRPr="00D53EB4" w:rsidRDefault="000F36E8" w:rsidP="006C2C6F">
      <w:pPr>
        <w:spacing w:line="288" w:lineRule="auto"/>
        <w:ind w:left="142"/>
        <w:rPr>
          <w:sz w:val="12"/>
          <w:szCs w:val="12"/>
        </w:rPr>
      </w:pPr>
    </w:p>
    <w:p w:rsidR="000F36E8" w:rsidRPr="005827A1" w:rsidRDefault="000F36E8" w:rsidP="000F36E8">
      <w:pPr>
        <w:spacing w:line="288" w:lineRule="auto"/>
      </w:pPr>
      <w:r w:rsidRPr="005827A1">
        <w:t>** p&lt;0.01, * p&lt;0.05, + p&lt;0.1</w:t>
      </w:r>
    </w:p>
    <w:p w:rsidR="000F36E8" w:rsidRDefault="000F36E8" w:rsidP="000B4D76">
      <w:pPr>
        <w:pStyle w:val="Heading1"/>
        <w:snapToGrid w:val="0"/>
        <w:spacing w:before="0" w:after="0" w:line="288" w:lineRule="auto"/>
        <w:contextualSpacing/>
        <w:rPr>
          <w:rFonts w:ascii="Times New Roman" w:hAnsi="Times New Roman"/>
          <w:sz w:val="24"/>
          <w:szCs w:val="24"/>
          <w:lang w:eastAsia="zh-CN"/>
        </w:rPr>
        <w:sectPr w:rsidR="000F36E8" w:rsidSect="000F36E8">
          <w:pgSz w:w="16839" w:h="11907" w:orient="landscape" w:code="9"/>
          <w:pgMar w:top="1440" w:right="1440" w:bottom="1440" w:left="1440" w:header="720" w:footer="720" w:gutter="0"/>
          <w:cols w:space="720"/>
          <w:docGrid w:linePitch="360"/>
        </w:sectPr>
      </w:pPr>
    </w:p>
    <w:p w:rsidR="00BA6667" w:rsidRDefault="00A753DC" w:rsidP="000B4D76">
      <w:pPr>
        <w:pStyle w:val="Heading1"/>
        <w:snapToGrid w:val="0"/>
        <w:spacing w:before="0" w:after="0" w:line="288" w:lineRule="auto"/>
        <w:contextualSpacing/>
        <w:rPr>
          <w:rFonts w:ascii="Times New Roman" w:hAnsi="Times New Roman"/>
          <w:sz w:val="24"/>
          <w:szCs w:val="24"/>
          <w:lang w:eastAsia="zh-CN"/>
        </w:rPr>
      </w:pPr>
      <w:r w:rsidRPr="005827A1">
        <w:rPr>
          <w:rFonts w:ascii="Times New Roman" w:hAnsi="Times New Roman"/>
          <w:sz w:val="24"/>
          <w:szCs w:val="24"/>
          <w:lang w:eastAsia="zh-CN"/>
        </w:rPr>
        <w:lastRenderedPageBreak/>
        <w:t>6</w:t>
      </w:r>
      <w:r w:rsidR="00BA6667" w:rsidRPr="005827A1">
        <w:rPr>
          <w:rFonts w:ascii="Times New Roman" w:hAnsi="Times New Roman"/>
          <w:sz w:val="24"/>
          <w:szCs w:val="24"/>
          <w:lang w:eastAsia="zh-CN"/>
        </w:rPr>
        <w:t xml:space="preserve">. </w:t>
      </w:r>
      <w:r w:rsidR="00B103AF">
        <w:rPr>
          <w:rFonts w:ascii="Times New Roman" w:hAnsi="Times New Roman"/>
          <w:sz w:val="24"/>
          <w:szCs w:val="24"/>
          <w:lang w:eastAsia="zh-CN"/>
        </w:rPr>
        <w:t xml:space="preserve"> </w:t>
      </w:r>
      <w:r w:rsidR="00043EB6" w:rsidRPr="005827A1">
        <w:rPr>
          <w:rFonts w:ascii="Times New Roman" w:hAnsi="Times New Roman"/>
          <w:sz w:val="24"/>
          <w:szCs w:val="24"/>
          <w:lang w:eastAsia="zh-CN"/>
        </w:rPr>
        <w:t>CONCLUSIONS</w:t>
      </w:r>
      <w:r w:rsidR="00A66A68" w:rsidRPr="005827A1">
        <w:rPr>
          <w:rFonts w:ascii="Times New Roman" w:hAnsi="Times New Roman"/>
          <w:sz w:val="24"/>
          <w:szCs w:val="24"/>
          <w:lang w:eastAsia="zh-CN"/>
        </w:rPr>
        <w:t xml:space="preserve"> AND DISCUSSION</w:t>
      </w:r>
      <w:bookmarkEnd w:id="14"/>
    </w:p>
    <w:p w:rsidR="000B4D76" w:rsidRPr="000B4D76" w:rsidRDefault="000B4D76" w:rsidP="000B4D76">
      <w:pPr>
        <w:rPr>
          <w:sz w:val="12"/>
          <w:szCs w:val="12"/>
          <w:lang w:eastAsia="zh-CN"/>
        </w:rPr>
      </w:pPr>
    </w:p>
    <w:p w:rsidR="0035436F" w:rsidRDefault="00951B7A" w:rsidP="00F1102D">
      <w:pPr>
        <w:widowControl w:val="0"/>
        <w:snapToGrid w:val="0"/>
        <w:spacing w:line="288" w:lineRule="auto"/>
        <w:contextualSpacing/>
        <w:rPr>
          <w:lang w:eastAsia="zh-CN"/>
        </w:rPr>
      </w:pPr>
      <w:r w:rsidRPr="005827A1">
        <w:rPr>
          <w:lang w:eastAsia="zh-CN"/>
        </w:rPr>
        <w:t>In t</w:t>
      </w:r>
      <w:r w:rsidR="0037000D" w:rsidRPr="005827A1">
        <w:rPr>
          <w:lang w:eastAsia="zh-CN"/>
        </w:rPr>
        <w:t xml:space="preserve">his paper </w:t>
      </w:r>
      <w:r w:rsidRPr="005827A1">
        <w:rPr>
          <w:lang w:eastAsia="zh-CN"/>
        </w:rPr>
        <w:t xml:space="preserve">we have </w:t>
      </w:r>
      <w:r w:rsidRPr="005827A1">
        <w:rPr>
          <w:rFonts w:eastAsia="Calibri"/>
          <w:color w:val="000000" w:themeColor="text1"/>
          <w:lang w:val="en-NZ" w:bidi="ar-SA"/>
        </w:rPr>
        <w:t xml:space="preserve">tested for the existence of a trade-off between child quantity and quality in Chinese families. We used seven waves of </w:t>
      </w:r>
      <w:r w:rsidR="0057263F" w:rsidRPr="005827A1">
        <w:rPr>
          <w:lang w:eastAsia="zh-CN"/>
        </w:rPr>
        <w:t xml:space="preserve">CHNS </w:t>
      </w:r>
      <w:r w:rsidR="00AF3826" w:rsidRPr="005827A1">
        <w:rPr>
          <w:lang w:eastAsia="zh-CN"/>
        </w:rPr>
        <w:t>data, with the quality of children measured by the</w:t>
      </w:r>
      <w:r w:rsidR="00253583" w:rsidRPr="005827A1">
        <w:rPr>
          <w:lang w:eastAsia="zh-CN"/>
        </w:rPr>
        <w:t>ir</w:t>
      </w:r>
      <w:r w:rsidR="00AF3826" w:rsidRPr="005827A1">
        <w:rPr>
          <w:lang w:eastAsia="zh-CN"/>
        </w:rPr>
        <w:t xml:space="preserve"> intakes of energy, protein and fat</w:t>
      </w:r>
      <w:r w:rsidRPr="005827A1">
        <w:rPr>
          <w:lang w:eastAsia="zh-CN"/>
        </w:rPr>
        <w:t>, relative to recommended intakes for their age and gender.</w:t>
      </w:r>
      <w:r w:rsidR="00AF3826" w:rsidRPr="005827A1">
        <w:rPr>
          <w:lang w:eastAsia="zh-CN"/>
        </w:rPr>
        <w:t xml:space="preserve"> </w:t>
      </w:r>
      <w:r w:rsidR="00253583" w:rsidRPr="005827A1">
        <w:rPr>
          <w:lang w:eastAsia="zh-CN"/>
        </w:rPr>
        <w:t xml:space="preserve">Two mechanisms are used to </w:t>
      </w:r>
      <w:r w:rsidRPr="005827A1">
        <w:rPr>
          <w:lang w:eastAsia="zh-CN"/>
        </w:rPr>
        <w:t xml:space="preserve">deal with possible bias in the estimation of causal effects coming from </w:t>
      </w:r>
      <w:r w:rsidR="00253583" w:rsidRPr="005827A1">
        <w:rPr>
          <w:lang w:eastAsia="zh-CN"/>
        </w:rPr>
        <w:t xml:space="preserve">the endogeneity of the fertility choices. The first one is the 2SLS approach using the local </w:t>
      </w:r>
      <w:r w:rsidR="00AF3826" w:rsidRPr="005827A1">
        <w:rPr>
          <w:lang w:eastAsia="zh-CN"/>
        </w:rPr>
        <w:t xml:space="preserve">strength </w:t>
      </w:r>
      <w:r w:rsidRPr="005827A1">
        <w:rPr>
          <w:lang w:eastAsia="zh-CN"/>
        </w:rPr>
        <w:t xml:space="preserve">of one-child policy restrictions </w:t>
      </w:r>
      <w:r w:rsidR="00AF3826" w:rsidRPr="005827A1">
        <w:rPr>
          <w:lang w:eastAsia="zh-CN"/>
        </w:rPr>
        <w:t xml:space="preserve">as the </w:t>
      </w:r>
      <w:r w:rsidR="00253583" w:rsidRPr="005827A1">
        <w:rPr>
          <w:lang w:eastAsia="zh-CN"/>
        </w:rPr>
        <w:t>instrument</w:t>
      </w:r>
      <w:r w:rsidR="00123B5E" w:rsidRPr="005827A1">
        <w:rPr>
          <w:lang w:eastAsia="zh-CN"/>
        </w:rPr>
        <w:t>al</w:t>
      </w:r>
      <w:r w:rsidR="00253583" w:rsidRPr="005827A1">
        <w:rPr>
          <w:lang w:eastAsia="zh-CN"/>
        </w:rPr>
        <w:t xml:space="preserve"> variable </w:t>
      </w:r>
      <w:r w:rsidRPr="005827A1">
        <w:rPr>
          <w:lang w:eastAsia="zh-CN"/>
        </w:rPr>
        <w:t>when estimating</w:t>
      </w:r>
      <w:r w:rsidR="00253583" w:rsidRPr="005827A1">
        <w:rPr>
          <w:lang w:eastAsia="zh-CN"/>
        </w:rPr>
        <w:t xml:space="preserve"> sibling number</w:t>
      </w:r>
      <w:r w:rsidRPr="005827A1">
        <w:rPr>
          <w:lang w:eastAsia="zh-CN"/>
        </w:rPr>
        <w:t>s (which are the quantity variable in the trade-off analysis)</w:t>
      </w:r>
      <w:r w:rsidR="00253583" w:rsidRPr="005827A1">
        <w:rPr>
          <w:lang w:eastAsia="zh-CN"/>
        </w:rPr>
        <w:t xml:space="preserve">. The second one is the </w:t>
      </w:r>
      <w:r w:rsidRPr="005827A1">
        <w:rPr>
          <w:lang w:eastAsia="zh-CN"/>
        </w:rPr>
        <w:t>fixed effects</w:t>
      </w:r>
      <w:r w:rsidR="0057263F" w:rsidRPr="005827A1">
        <w:rPr>
          <w:lang w:eastAsia="zh-CN"/>
        </w:rPr>
        <w:t xml:space="preserve"> </w:t>
      </w:r>
      <w:r w:rsidR="00253583" w:rsidRPr="005827A1">
        <w:rPr>
          <w:lang w:eastAsia="zh-CN"/>
        </w:rPr>
        <w:t xml:space="preserve">approach using the panel structure of the CHNS data to examine </w:t>
      </w:r>
      <w:r w:rsidRPr="005827A1">
        <w:rPr>
          <w:lang w:eastAsia="zh-CN"/>
        </w:rPr>
        <w:t xml:space="preserve">how </w:t>
      </w:r>
      <w:r w:rsidR="00253583" w:rsidRPr="005827A1">
        <w:rPr>
          <w:lang w:eastAsia="zh-CN"/>
        </w:rPr>
        <w:t xml:space="preserve">changes </w:t>
      </w:r>
      <w:r w:rsidRPr="005827A1">
        <w:rPr>
          <w:lang w:eastAsia="zh-CN"/>
        </w:rPr>
        <w:t xml:space="preserve">over time in </w:t>
      </w:r>
      <w:r w:rsidR="00253583" w:rsidRPr="005827A1">
        <w:rPr>
          <w:lang w:eastAsia="zh-CN"/>
        </w:rPr>
        <w:t xml:space="preserve">nutrient intakes </w:t>
      </w:r>
      <w:r w:rsidRPr="005827A1">
        <w:rPr>
          <w:lang w:eastAsia="zh-CN"/>
        </w:rPr>
        <w:t xml:space="preserve">of the same child are related to the </w:t>
      </w:r>
      <w:r w:rsidR="00253583" w:rsidRPr="005827A1">
        <w:rPr>
          <w:lang w:eastAsia="zh-CN"/>
        </w:rPr>
        <w:t>change</w:t>
      </w:r>
      <w:r w:rsidRPr="005827A1">
        <w:rPr>
          <w:lang w:eastAsia="zh-CN"/>
        </w:rPr>
        <w:t>s in their</w:t>
      </w:r>
      <w:r w:rsidR="00253583" w:rsidRPr="005827A1">
        <w:rPr>
          <w:lang w:eastAsia="zh-CN"/>
        </w:rPr>
        <w:t xml:space="preserve"> sibling numbers. </w:t>
      </w:r>
      <w:r w:rsidR="000965D7" w:rsidRPr="005827A1">
        <w:rPr>
          <w:lang w:eastAsia="zh-CN"/>
        </w:rPr>
        <w:t>Together with the OLS</w:t>
      </w:r>
      <w:r w:rsidRPr="005827A1">
        <w:rPr>
          <w:lang w:eastAsia="zh-CN"/>
        </w:rPr>
        <w:t xml:space="preserve"> results</w:t>
      </w:r>
      <w:r w:rsidR="000965D7" w:rsidRPr="005827A1">
        <w:rPr>
          <w:lang w:eastAsia="zh-CN"/>
        </w:rPr>
        <w:t>, this paper provides a comprehensi</w:t>
      </w:r>
      <w:r w:rsidR="00B4016E" w:rsidRPr="005827A1">
        <w:rPr>
          <w:lang w:eastAsia="zh-CN"/>
        </w:rPr>
        <w:t>ve test of the quantity-quality trade-off theory</w:t>
      </w:r>
      <w:r w:rsidRPr="005827A1">
        <w:rPr>
          <w:lang w:eastAsia="zh-CN"/>
        </w:rPr>
        <w:t xml:space="preserve"> in the context of China</w:t>
      </w:r>
      <w:r w:rsidR="00B4016E" w:rsidRPr="005827A1">
        <w:rPr>
          <w:lang w:eastAsia="zh-CN"/>
        </w:rPr>
        <w:t xml:space="preserve">. </w:t>
      </w:r>
    </w:p>
    <w:p w:rsidR="000B4D76" w:rsidRPr="005827A1" w:rsidRDefault="000B4D76" w:rsidP="00F1102D">
      <w:pPr>
        <w:widowControl w:val="0"/>
        <w:snapToGrid w:val="0"/>
        <w:spacing w:line="288" w:lineRule="auto"/>
        <w:contextualSpacing/>
        <w:rPr>
          <w:lang w:eastAsia="zh-CN"/>
        </w:rPr>
      </w:pPr>
    </w:p>
    <w:p w:rsidR="00951B7A" w:rsidRDefault="0035436F" w:rsidP="000B4D76">
      <w:pPr>
        <w:widowControl w:val="0"/>
        <w:snapToGrid w:val="0"/>
        <w:spacing w:line="288" w:lineRule="auto"/>
        <w:ind w:firstLine="426"/>
        <w:contextualSpacing/>
        <w:rPr>
          <w:lang w:eastAsia="zh-CN"/>
        </w:rPr>
      </w:pPr>
      <w:r w:rsidRPr="005827A1">
        <w:rPr>
          <w:lang w:eastAsia="zh-CN"/>
        </w:rPr>
        <w:t xml:space="preserve">In general, the </w:t>
      </w:r>
      <w:r w:rsidR="00951B7A" w:rsidRPr="005827A1">
        <w:rPr>
          <w:lang w:eastAsia="zh-CN"/>
        </w:rPr>
        <w:t xml:space="preserve">results are supportive of there being a quantity-quality trade-off with an extra sibling reducing </w:t>
      </w:r>
      <w:r w:rsidRPr="005827A1">
        <w:rPr>
          <w:lang w:eastAsia="zh-CN"/>
        </w:rPr>
        <w:t xml:space="preserve">intakes </w:t>
      </w:r>
      <w:r w:rsidR="00951B7A" w:rsidRPr="005827A1">
        <w:rPr>
          <w:lang w:eastAsia="zh-CN"/>
        </w:rPr>
        <w:t>by between one-tenth and one-fifth of the recommended level. The negative effect of an extra sibling on fat intakes is somewhat larger for girls than for boys and is still apparent when child-specific fixed effects are used. In contrast, the effects on energy and protein intakes are more apparent for boys than for girls, and are not statistically significant when fixed effects are used. Since fat is a preferred nutrient in China</w:t>
      </w:r>
      <w:r w:rsidR="000810BF" w:rsidRPr="005827A1">
        <w:rPr>
          <w:lang w:eastAsia="zh-CN"/>
        </w:rPr>
        <w:t xml:space="preserve"> (Zhang</w:t>
      </w:r>
      <w:r w:rsidR="00C62D23" w:rsidRPr="00C62D23">
        <w:rPr>
          <w:i/>
          <w:color w:val="000000" w:themeColor="text1"/>
          <w:lang w:eastAsia="zh-CN"/>
        </w:rPr>
        <w:t xml:space="preserve"> </w:t>
      </w:r>
      <w:r w:rsidR="00C62D23" w:rsidRPr="00126D3D">
        <w:rPr>
          <w:i/>
          <w:color w:val="000000" w:themeColor="text1"/>
          <w:lang w:eastAsia="zh-CN"/>
        </w:rPr>
        <w:t>et al.</w:t>
      </w:r>
      <w:r w:rsidR="00C62D23" w:rsidRPr="005827A1">
        <w:rPr>
          <w:color w:val="000000" w:themeColor="text1"/>
          <w:lang w:eastAsia="zh-CN"/>
        </w:rPr>
        <w:t xml:space="preserve"> </w:t>
      </w:r>
      <w:r w:rsidR="000810BF" w:rsidRPr="005827A1">
        <w:rPr>
          <w:lang w:eastAsia="zh-CN"/>
        </w:rPr>
        <w:t>2016)</w:t>
      </w:r>
      <w:r w:rsidR="00951B7A" w:rsidRPr="005827A1">
        <w:rPr>
          <w:lang w:eastAsia="zh-CN"/>
        </w:rPr>
        <w:t>, even though current intakes are above recommended levels, the strength of the results for fat intakes, and the gender differences are consistent with son preferences.</w:t>
      </w:r>
    </w:p>
    <w:p w:rsidR="000B4D76" w:rsidRPr="005827A1" w:rsidRDefault="000B4D76" w:rsidP="000B4D76">
      <w:pPr>
        <w:widowControl w:val="0"/>
        <w:snapToGrid w:val="0"/>
        <w:spacing w:line="288" w:lineRule="auto"/>
        <w:ind w:firstLine="426"/>
        <w:contextualSpacing/>
        <w:rPr>
          <w:lang w:eastAsia="zh-CN"/>
        </w:rPr>
      </w:pPr>
    </w:p>
    <w:p w:rsidR="00C12B5E" w:rsidRPr="005827A1" w:rsidRDefault="000F395B" w:rsidP="000B4D76">
      <w:pPr>
        <w:widowControl w:val="0"/>
        <w:snapToGrid w:val="0"/>
        <w:spacing w:line="288" w:lineRule="auto"/>
        <w:ind w:firstLine="426"/>
        <w:contextualSpacing/>
        <w:rPr>
          <w:lang w:eastAsia="zh-CN"/>
        </w:rPr>
      </w:pPr>
      <w:r w:rsidRPr="005827A1">
        <w:rPr>
          <w:lang w:eastAsia="zh-CN"/>
        </w:rPr>
        <w:t>Although there is reasonable consistency between the various estimation methods, a possible weakness of</w:t>
      </w:r>
      <w:r w:rsidR="00E4307C" w:rsidRPr="005827A1">
        <w:rPr>
          <w:lang w:eastAsia="zh-CN"/>
        </w:rPr>
        <w:t xml:space="preserve"> the IV method is that our instrument</w:t>
      </w:r>
      <w:r w:rsidR="0074429A" w:rsidRPr="005827A1">
        <w:rPr>
          <w:lang w:eastAsia="zh-CN"/>
        </w:rPr>
        <w:t>al</w:t>
      </w:r>
      <w:r w:rsidR="00E4307C" w:rsidRPr="005827A1">
        <w:rPr>
          <w:lang w:eastAsia="zh-CN"/>
        </w:rPr>
        <w:t xml:space="preserve"> variable does not perfectly identify the fertility </w:t>
      </w:r>
      <w:r w:rsidRPr="005827A1">
        <w:rPr>
          <w:lang w:eastAsia="zh-CN"/>
        </w:rPr>
        <w:t>constraints (despite the strength of our instrument in the first stage regression).</w:t>
      </w:r>
      <w:r w:rsidR="00E4307C" w:rsidRPr="005827A1">
        <w:rPr>
          <w:lang w:eastAsia="zh-CN"/>
        </w:rPr>
        <w:t xml:space="preserve"> </w:t>
      </w:r>
      <w:r w:rsidR="00C840ED" w:rsidRPr="005827A1">
        <w:rPr>
          <w:lang w:eastAsia="zh-CN"/>
        </w:rPr>
        <w:t xml:space="preserve">As </w:t>
      </w:r>
      <w:r w:rsidRPr="005827A1">
        <w:rPr>
          <w:lang w:eastAsia="zh-CN"/>
        </w:rPr>
        <w:t>noted in other studies</w:t>
      </w:r>
      <w:r w:rsidR="00C840ED" w:rsidRPr="005827A1">
        <w:rPr>
          <w:lang w:eastAsia="zh-CN"/>
        </w:rPr>
        <w:t>, the penalty for the unsanctioned birth can affect people’s fertility choices</w:t>
      </w:r>
      <w:r w:rsidR="00C62D23">
        <w:rPr>
          <w:lang w:eastAsia="zh-CN"/>
        </w:rPr>
        <w:t xml:space="preserve"> (Liu</w:t>
      </w:r>
      <w:r w:rsidR="004D3A72" w:rsidRPr="005827A1">
        <w:rPr>
          <w:lang w:eastAsia="zh-CN"/>
        </w:rPr>
        <w:t xml:space="preserve"> 2014</w:t>
      </w:r>
      <w:r w:rsidRPr="005827A1">
        <w:rPr>
          <w:lang w:eastAsia="zh-CN"/>
        </w:rPr>
        <w:t xml:space="preserve">) and this is a variable that we </w:t>
      </w:r>
      <w:r w:rsidR="00C840ED" w:rsidRPr="005827A1">
        <w:rPr>
          <w:lang w:eastAsia="zh-CN"/>
        </w:rPr>
        <w:t>d</w:t>
      </w:r>
      <w:r w:rsidRPr="005827A1">
        <w:rPr>
          <w:lang w:eastAsia="zh-CN"/>
        </w:rPr>
        <w:t>id not</w:t>
      </w:r>
      <w:r w:rsidR="00C840ED" w:rsidRPr="005827A1">
        <w:rPr>
          <w:lang w:eastAsia="zh-CN"/>
        </w:rPr>
        <w:t xml:space="preserve"> include due to </w:t>
      </w:r>
      <w:r w:rsidRPr="005827A1">
        <w:rPr>
          <w:lang w:eastAsia="zh-CN"/>
        </w:rPr>
        <w:t xml:space="preserve">data </w:t>
      </w:r>
      <w:r w:rsidR="00C840ED" w:rsidRPr="005827A1">
        <w:rPr>
          <w:lang w:eastAsia="zh-CN"/>
        </w:rPr>
        <w:t xml:space="preserve">limitation. Also, the reduced </w:t>
      </w:r>
      <w:r w:rsidR="0074429A" w:rsidRPr="005827A1">
        <w:rPr>
          <w:lang w:eastAsia="zh-CN"/>
        </w:rPr>
        <w:t>influence</w:t>
      </w:r>
      <w:r w:rsidR="00C840ED" w:rsidRPr="005827A1">
        <w:rPr>
          <w:lang w:eastAsia="zh-CN"/>
        </w:rPr>
        <w:t xml:space="preserve"> of OCP </w:t>
      </w:r>
      <w:r w:rsidR="0074429A" w:rsidRPr="005827A1">
        <w:rPr>
          <w:lang w:eastAsia="zh-CN"/>
        </w:rPr>
        <w:t xml:space="preserve">on fertility choices </w:t>
      </w:r>
      <w:r w:rsidR="00C840ED" w:rsidRPr="005827A1">
        <w:rPr>
          <w:lang w:eastAsia="zh-CN"/>
        </w:rPr>
        <w:t xml:space="preserve">in later years </w:t>
      </w:r>
      <w:r w:rsidRPr="005827A1">
        <w:rPr>
          <w:lang w:eastAsia="zh-CN"/>
        </w:rPr>
        <w:t xml:space="preserve">may </w:t>
      </w:r>
      <w:r w:rsidR="00C840ED" w:rsidRPr="005827A1">
        <w:rPr>
          <w:lang w:eastAsia="zh-CN"/>
        </w:rPr>
        <w:t xml:space="preserve">weaken </w:t>
      </w:r>
      <w:r w:rsidR="0074429A" w:rsidRPr="005827A1">
        <w:rPr>
          <w:lang w:eastAsia="zh-CN"/>
        </w:rPr>
        <w:t>its identification power</w:t>
      </w:r>
      <w:r w:rsidR="00C840ED" w:rsidRPr="005827A1">
        <w:rPr>
          <w:lang w:eastAsia="zh-CN"/>
        </w:rPr>
        <w:t xml:space="preserve">. </w:t>
      </w:r>
      <w:r w:rsidR="00882D87" w:rsidRPr="005827A1">
        <w:rPr>
          <w:lang w:eastAsia="zh-CN"/>
        </w:rPr>
        <w:t>T</w:t>
      </w:r>
      <w:r w:rsidRPr="005827A1">
        <w:rPr>
          <w:lang w:eastAsia="zh-CN"/>
        </w:rPr>
        <w:t xml:space="preserve">he fixed effects </w:t>
      </w:r>
      <w:r w:rsidR="00C840ED" w:rsidRPr="005827A1">
        <w:rPr>
          <w:lang w:eastAsia="zh-CN"/>
        </w:rPr>
        <w:t>approach</w:t>
      </w:r>
      <w:r w:rsidRPr="005827A1">
        <w:rPr>
          <w:lang w:eastAsia="zh-CN"/>
        </w:rPr>
        <w:t xml:space="preserve"> does not suffer from this potential weakening, and is useful in capturing</w:t>
      </w:r>
      <w:r w:rsidR="00C840ED" w:rsidRPr="005827A1">
        <w:rPr>
          <w:lang w:eastAsia="zh-CN"/>
        </w:rPr>
        <w:t xml:space="preserve"> the </w:t>
      </w:r>
      <w:r w:rsidR="004E6CFF" w:rsidRPr="005827A1">
        <w:rPr>
          <w:lang w:eastAsia="zh-CN"/>
        </w:rPr>
        <w:t>within-</w:t>
      </w:r>
      <w:r w:rsidRPr="005827A1">
        <w:rPr>
          <w:lang w:eastAsia="zh-CN"/>
        </w:rPr>
        <w:t>person changes to avoid</w:t>
      </w:r>
      <w:r w:rsidR="00C840ED" w:rsidRPr="005827A1">
        <w:rPr>
          <w:lang w:eastAsia="zh-CN"/>
        </w:rPr>
        <w:t xml:space="preserve"> omitted variable </w:t>
      </w:r>
      <w:r w:rsidRPr="005827A1">
        <w:rPr>
          <w:lang w:eastAsia="zh-CN"/>
        </w:rPr>
        <w:t>bias</w:t>
      </w:r>
      <w:r w:rsidR="000810BF" w:rsidRPr="005827A1">
        <w:rPr>
          <w:lang w:eastAsia="zh-CN"/>
        </w:rPr>
        <w:t>,</w:t>
      </w:r>
      <w:r w:rsidRPr="005827A1">
        <w:rPr>
          <w:lang w:eastAsia="zh-CN"/>
        </w:rPr>
        <w:t xml:space="preserve"> </w:t>
      </w:r>
      <w:r w:rsidR="00882D87" w:rsidRPr="005827A1">
        <w:rPr>
          <w:lang w:eastAsia="zh-CN"/>
        </w:rPr>
        <w:t xml:space="preserve">but </w:t>
      </w:r>
      <w:r w:rsidRPr="005827A1">
        <w:rPr>
          <w:lang w:eastAsia="zh-CN"/>
        </w:rPr>
        <w:t xml:space="preserve">only a </w:t>
      </w:r>
      <w:r w:rsidR="00882D87" w:rsidRPr="005827A1">
        <w:rPr>
          <w:lang w:eastAsia="zh-CN"/>
        </w:rPr>
        <w:t xml:space="preserve">minority </w:t>
      </w:r>
      <w:r w:rsidR="00C840ED" w:rsidRPr="005827A1">
        <w:rPr>
          <w:lang w:eastAsia="zh-CN"/>
        </w:rPr>
        <w:t xml:space="preserve">of </w:t>
      </w:r>
      <w:r w:rsidRPr="005827A1">
        <w:rPr>
          <w:lang w:eastAsia="zh-CN"/>
        </w:rPr>
        <w:t xml:space="preserve">the sampled </w:t>
      </w:r>
      <w:r w:rsidR="00C840ED" w:rsidRPr="005827A1">
        <w:rPr>
          <w:lang w:eastAsia="zh-CN"/>
        </w:rPr>
        <w:t xml:space="preserve">children </w:t>
      </w:r>
      <w:r w:rsidRPr="005827A1">
        <w:rPr>
          <w:lang w:eastAsia="zh-CN"/>
        </w:rPr>
        <w:t xml:space="preserve">experiencing a change in sibling numbers during the duration of the survey. </w:t>
      </w:r>
    </w:p>
    <w:p w:rsidR="001708B4" w:rsidRPr="005827A1" w:rsidRDefault="001708B4" w:rsidP="00F1102D">
      <w:pPr>
        <w:widowControl w:val="0"/>
        <w:snapToGrid w:val="0"/>
        <w:spacing w:line="288" w:lineRule="auto"/>
        <w:ind w:firstLine="720"/>
        <w:contextualSpacing/>
        <w:rPr>
          <w:b/>
        </w:rPr>
      </w:pPr>
    </w:p>
    <w:p w:rsidR="002853C2" w:rsidRDefault="000624CC" w:rsidP="00F1102D">
      <w:pPr>
        <w:keepNext/>
        <w:snapToGrid w:val="0"/>
        <w:ind w:left="425" w:hanging="425"/>
        <w:contextualSpacing/>
        <w:rPr>
          <w:b/>
        </w:rPr>
      </w:pPr>
      <w:r w:rsidRPr="005827A1">
        <w:rPr>
          <w:b/>
        </w:rPr>
        <w:t>References</w:t>
      </w:r>
    </w:p>
    <w:p w:rsidR="000B4D76" w:rsidRPr="000B4D76" w:rsidRDefault="000B4D76" w:rsidP="00F1102D">
      <w:pPr>
        <w:keepNext/>
        <w:snapToGrid w:val="0"/>
        <w:ind w:left="425" w:hanging="425"/>
        <w:contextualSpacing/>
        <w:rPr>
          <w:b/>
          <w:sz w:val="12"/>
          <w:szCs w:val="12"/>
        </w:rPr>
      </w:pPr>
    </w:p>
    <w:p w:rsidR="00406BBE" w:rsidRPr="000B4D76" w:rsidRDefault="00406BBE" w:rsidP="00CC0C4D">
      <w:pPr>
        <w:adjustRightInd w:val="0"/>
        <w:snapToGrid w:val="0"/>
        <w:spacing w:after="120"/>
        <w:ind w:left="425" w:hanging="425"/>
        <w:rPr>
          <w:sz w:val="22"/>
          <w:szCs w:val="22"/>
          <w:lang w:val="en-NZ"/>
        </w:rPr>
      </w:pPr>
      <w:r w:rsidRPr="000B4D76">
        <w:rPr>
          <w:sz w:val="22"/>
          <w:szCs w:val="22"/>
        </w:rPr>
        <w:t>Abdul-</w:t>
      </w:r>
      <w:proofErr w:type="spellStart"/>
      <w:r w:rsidRPr="000B4D76">
        <w:rPr>
          <w:sz w:val="22"/>
          <w:szCs w:val="22"/>
        </w:rPr>
        <w:t>Razak</w:t>
      </w:r>
      <w:proofErr w:type="spellEnd"/>
      <w:r w:rsidRPr="000B4D76">
        <w:rPr>
          <w:sz w:val="22"/>
          <w:szCs w:val="22"/>
        </w:rPr>
        <w:t xml:space="preserve">, N. A., </w:t>
      </w:r>
      <w:proofErr w:type="spellStart"/>
      <w:r w:rsidRPr="000B4D76">
        <w:rPr>
          <w:sz w:val="22"/>
          <w:szCs w:val="22"/>
        </w:rPr>
        <w:t>Abd</w:t>
      </w:r>
      <w:proofErr w:type="spellEnd"/>
      <w:r w:rsidRPr="000B4D76">
        <w:rPr>
          <w:sz w:val="22"/>
          <w:szCs w:val="22"/>
        </w:rPr>
        <w:t xml:space="preserve"> Karim, M. Z., </w:t>
      </w:r>
      <w:r w:rsidR="00975854" w:rsidRPr="000B4D76">
        <w:rPr>
          <w:sz w:val="22"/>
          <w:szCs w:val="22"/>
        </w:rPr>
        <w:t>and</w:t>
      </w:r>
      <w:r w:rsidRPr="000B4D76">
        <w:rPr>
          <w:sz w:val="22"/>
          <w:szCs w:val="22"/>
        </w:rPr>
        <w:t xml:space="preserve"> Abdul-Hakim, R. </w:t>
      </w:r>
      <w:r w:rsidRPr="000B4D76">
        <w:rPr>
          <w:sz w:val="22"/>
          <w:szCs w:val="22"/>
          <w:lang w:eastAsia="zh-CN"/>
        </w:rPr>
        <w:t>(</w:t>
      </w:r>
      <w:r w:rsidRPr="000B4D76">
        <w:rPr>
          <w:sz w:val="22"/>
          <w:szCs w:val="22"/>
        </w:rPr>
        <w:t>2015</w:t>
      </w:r>
      <w:r w:rsidRPr="000B4D76">
        <w:rPr>
          <w:sz w:val="22"/>
          <w:szCs w:val="22"/>
          <w:lang w:eastAsia="zh-CN"/>
        </w:rPr>
        <w:t>).</w:t>
      </w:r>
      <w:r w:rsidRPr="000B4D76">
        <w:rPr>
          <w:sz w:val="22"/>
          <w:szCs w:val="22"/>
        </w:rPr>
        <w:t xml:space="preserve"> Does Tr</w:t>
      </w:r>
      <w:r w:rsidR="00204822" w:rsidRPr="000B4D76">
        <w:rPr>
          <w:sz w:val="22"/>
          <w:szCs w:val="22"/>
        </w:rPr>
        <w:t>ade-Off Between Child Quantity and Child Quality Exist i</w:t>
      </w:r>
      <w:r w:rsidRPr="000B4D76">
        <w:rPr>
          <w:sz w:val="22"/>
          <w:szCs w:val="22"/>
        </w:rPr>
        <w:t>n Malaysia? </w:t>
      </w:r>
      <w:r w:rsidRPr="000B4D76">
        <w:rPr>
          <w:i/>
          <w:iCs/>
          <w:sz w:val="22"/>
          <w:szCs w:val="22"/>
        </w:rPr>
        <w:t>The Singapore Economic Review</w:t>
      </w:r>
      <w:r w:rsidRPr="000B4D76">
        <w:rPr>
          <w:sz w:val="22"/>
          <w:szCs w:val="22"/>
        </w:rPr>
        <w:t>, </w:t>
      </w:r>
      <w:r w:rsidRPr="000B4D76">
        <w:rPr>
          <w:i/>
          <w:sz w:val="22"/>
          <w:szCs w:val="22"/>
          <w:lang w:eastAsia="zh-CN"/>
        </w:rPr>
        <w:t>60</w:t>
      </w:r>
      <w:r w:rsidRPr="000B4D76">
        <w:rPr>
          <w:sz w:val="22"/>
          <w:szCs w:val="22"/>
          <w:lang w:eastAsia="zh-CN"/>
        </w:rPr>
        <w:t>(4)</w:t>
      </w:r>
      <w:r w:rsidRPr="000B4D76">
        <w:rPr>
          <w:sz w:val="22"/>
          <w:szCs w:val="22"/>
        </w:rPr>
        <w:t>, 1-19.</w:t>
      </w:r>
    </w:p>
    <w:p w:rsidR="00406BBE" w:rsidRPr="000B4D76" w:rsidRDefault="00406BBE" w:rsidP="00CC0C4D">
      <w:pPr>
        <w:adjustRightInd w:val="0"/>
        <w:snapToGrid w:val="0"/>
        <w:spacing w:after="120"/>
        <w:ind w:left="425" w:hanging="425"/>
        <w:rPr>
          <w:sz w:val="22"/>
          <w:szCs w:val="22"/>
          <w:lang w:val="en-NZ"/>
        </w:rPr>
      </w:pPr>
      <w:proofErr w:type="gramStart"/>
      <w:r w:rsidRPr="000B4D76">
        <w:rPr>
          <w:sz w:val="22"/>
          <w:szCs w:val="22"/>
          <w:lang w:val="en-NZ"/>
        </w:rPr>
        <w:t>Alderman, H</w:t>
      </w:r>
      <w:r w:rsidRPr="000B4D76">
        <w:rPr>
          <w:sz w:val="22"/>
          <w:szCs w:val="22"/>
          <w:lang w:val="en-NZ" w:eastAsia="zh-CN"/>
        </w:rPr>
        <w:t>.</w:t>
      </w:r>
      <w:r w:rsidRPr="000B4D76">
        <w:rPr>
          <w:sz w:val="22"/>
          <w:szCs w:val="22"/>
          <w:lang w:val="en-NZ"/>
        </w:rPr>
        <w:t>, Behrman, J</w:t>
      </w:r>
      <w:r w:rsidRPr="000B4D76">
        <w:rPr>
          <w:sz w:val="22"/>
          <w:szCs w:val="22"/>
          <w:lang w:val="en-NZ" w:eastAsia="zh-CN"/>
        </w:rPr>
        <w:t xml:space="preserve">. </w:t>
      </w:r>
      <w:r w:rsidRPr="000B4D76">
        <w:rPr>
          <w:sz w:val="22"/>
          <w:szCs w:val="22"/>
          <w:lang w:val="en-NZ"/>
        </w:rPr>
        <w:t>R</w:t>
      </w:r>
      <w:r w:rsidRPr="000B4D76">
        <w:rPr>
          <w:sz w:val="22"/>
          <w:szCs w:val="22"/>
          <w:lang w:val="en-NZ" w:eastAsia="zh-CN"/>
        </w:rPr>
        <w:t>.</w:t>
      </w:r>
      <w:r w:rsidRPr="000B4D76">
        <w:rPr>
          <w:sz w:val="22"/>
          <w:szCs w:val="22"/>
          <w:lang w:val="en-NZ"/>
        </w:rPr>
        <w:t xml:space="preserve">, </w:t>
      </w:r>
      <w:proofErr w:type="spellStart"/>
      <w:r w:rsidRPr="000B4D76">
        <w:rPr>
          <w:sz w:val="22"/>
          <w:szCs w:val="22"/>
          <w:lang w:val="en-NZ"/>
        </w:rPr>
        <w:t>Lavy</w:t>
      </w:r>
      <w:proofErr w:type="spellEnd"/>
      <w:r w:rsidRPr="000B4D76">
        <w:rPr>
          <w:sz w:val="22"/>
          <w:szCs w:val="22"/>
          <w:lang w:val="en-NZ"/>
        </w:rPr>
        <w:t>, V</w:t>
      </w:r>
      <w:r w:rsidRPr="000B4D76">
        <w:rPr>
          <w:sz w:val="22"/>
          <w:szCs w:val="22"/>
          <w:lang w:val="en-NZ" w:eastAsia="zh-CN"/>
        </w:rPr>
        <w:t>.</w:t>
      </w:r>
      <w:r w:rsidRPr="000B4D76">
        <w:rPr>
          <w:sz w:val="22"/>
          <w:szCs w:val="22"/>
          <w:lang w:val="en-NZ"/>
        </w:rPr>
        <w:t xml:space="preserve"> </w:t>
      </w:r>
      <w:r w:rsidR="00975854" w:rsidRPr="000B4D76">
        <w:rPr>
          <w:sz w:val="22"/>
          <w:szCs w:val="22"/>
          <w:lang w:val="en-NZ"/>
        </w:rPr>
        <w:t>and</w:t>
      </w:r>
      <w:r w:rsidRPr="000B4D76">
        <w:rPr>
          <w:sz w:val="22"/>
          <w:szCs w:val="22"/>
          <w:lang w:val="en-NZ"/>
        </w:rPr>
        <w:t xml:space="preserve"> Menon, R</w:t>
      </w:r>
      <w:r w:rsidRPr="000B4D76">
        <w:rPr>
          <w:sz w:val="22"/>
          <w:szCs w:val="22"/>
          <w:lang w:val="en-NZ" w:eastAsia="zh-CN"/>
        </w:rPr>
        <w:t>.</w:t>
      </w:r>
      <w:r w:rsidRPr="000B4D76">
        <w:rPr>
          <w:sz w:val="22"/>
          <w:szCs w:val="22"/>
          <w:lang w:val="en-NZ"/>
        </w:rPr>
        <w:t xml:space="preserve"> </w:t>
      </w:r>
      <w:r w:rsidRPr="000B4D76">
        <w:rPr>
          <w:sz w:val="22"/>
          <w:szCs w:val="22"/>
          <w:lang w:val="en-NZ" w:eastAsia="zh-CN"/>
        </w:rPr>
        <w:t>(</w:t>
      </w:r>
      <w:r w:rsidRPr="000B4D76">
        <w:rPr>
          <w:sz w:val="22"/>
          <w:szCs w:val="22"/>
          <w:lang w:val="en-NZ"/>
        </w:rPr>
        <w:t>2001</w:t>
      </w:r>
      <w:r w:rsidRPr="000B4D76">
        <w:rPr>
          <w:sz w:val="22"/>
          <w:szCs w:val="22"/>
          <w:lang w:val="en-NZ" w:eastAsia="zh-CN"/>
        </w:rPr>
        <w:t>).</w:t>
      </w:r>
      <w:proofErr w:type="gramEnd"/>
      <w:r w:rsidRPr="000B4D76">
        <w:rPr>
          <w:sz w:val="22"/>
          <w:szCs w:val="22"/>
          <w:lang w:val="en-NZ" w:eastAsia="zh-CN"/>
        </w:rPr>
        <w:t xml:space="preserve"> </w:t>
      </w:r>
      <w:r w:rsidRPr="000B4D76">
        <w:rPr>
          <w:sz w:val="22"/>
          <w:szCs w:val="22"/>
          <w:lang w:val="en-NZ"/>
        </w:rPr>
        <w:t xml:space="preserve">Child Health and School Enrolment: A Longitudinal Analysis. </w:t>
      </w:r>
      <w:r w:rsidRPr="000B4D76">
        <w:rPr>
          <w:i/>
          <w:iCs/>
          <w:sz w:val="22"/>
          <w:szCs w:val="22"/>
          <w:lang w:val="en-NZ"/>
        </w:rPr>
        <w:t>The Journal of Human Resources</w:t>
      </w:r>
      <w:r w:rsidRPr="000B4D76">
        <w:rPr>
          <w:sz w:val="22"/>
          <w:szCs w:val="22"/>
          <w:lang w:val="en-NZ"/>
        </w:rPr>
        <w:t xml:space="preserve">, </w:t>
      </w:r>
      <w:r w:rsidRPr="000B4D76">
        <w:rPr>
          <w:i/>
          <w:sz w:val="22"/>
          <w:szCs w:val="22"/>
          <w:lang w:val="en-NZ"/>
        </w:rPr>
        <w:t>36</w:t>
      </w:r>
      <w:r w:rsidRPr="000B4D76">
        <w:rPr>
          <w:sz w:val="22"/>
          <w:szCs w:val="22"/>
          <w:lang w:val="en-NZ"/>
        </w:rPr>
        <w:t>(1), 185</w:t>
      </w:r>
      <w:r w:rsidRPr="000B4D76">
        <w:rPr>
          <w:sz w:val="22"/>
          <w:szCs w:val="22"/>
          <w:lang w:val="en-NZ"/>
        </w:rPr>
        <w:noBreakHyphen/>
        <w:t xml:space="preserve">205. </w:t>
      </w:r>
    </w:p>
    <w:p w:rsidR="00406BBE" w:rsidRPr="000B4D76" w:rsidRDefault="00406BBE" w:rsidP="00CC0C4D">
      <w:pPr>
        <w:adjustRightInd w:val="0"/>
        <w:snapToGrid w:val="0"/>
        <w:spacing w:after="120"/>
        <w:ind w:left="425" w:hanging="425"/>
        <w:rPr>
          <w:sz w:val="22"/>
          <w:szCs w:val="22"/>
          <w:lang w:eastAsia="zh-CN"/>
        </w:rPr>
      </w:pPr>
      <w:r w:rsidRPr="000B4D76">
        <w:rPr>
          <w:sz w:val="22"/>
          <w:szCs w:val="22"/>
        </w:rPr>
        <w:t xml:space="preserve">Angrist, J., </w:t>
      </w:r>
      <w:proofErr w:type="spellStart"/>
      <w:r w:rsidRPr="000B4D76">
        <w:rPr>
          <w:sz w:val="22"/>
          <w:szCs w:val="22"/>
        </w:rPr>
        <w:t>Lavy</w:t>
      </w:r>
      <w:proofErr w:type="spellEnd"/>
      <w:r w:rsidRPr="000B4D76">
        <w:rPr>
          <w:sz w:val="22"/>
          <w:szCs w:val="22"/>
        </w:rPr>
        <w:t xml:space="preserve">, V., </w:t>
      </w:r>
      <w:r w:rsidR="00975854" w:rsidRPr="000B4D76">
        <w:rPr>
          <w:sz w:val="22"/>
          <w:szCs w:val="22"/>
        </w:rPr>
        <w:t>and</w:t>
      </w:r>
      <w:r w:rsidRPr="000B4D76">
        <w:rPr>
          <w:sz w:val="22"/>
          <w:szCs w:val="22"/>
        </w:rPr>
        <w:t xml:space="preserve"> Schlosser, A. (2010). Multiple experiments for the causal link between the quantity and quality of children.</w:t>
      </w:r>
      <w:r w:rsidRPr="000B4D76">
        <w:rPr>
          <w:i/>
          <w:iCs/>
          <w:sz w:val="22"/>
          <w:szCs w:val="22"/>
        </w:rPr>
        <w:t xml:space="preserve"> Journal of Labor Economics, 28</w:t>
      </w:r>
      <w:r w:rsidR="00204822" w:rsidRPr="000B4D76">
        <w:rPr>
          <w:sz w:val="22"/>
          <w:szCs w:val="22"/>
        </w:rPr>
        <w:t xml:space="preserve">(4), 773-824. </w:t>
      </w:r>
    </w:p>
    <w:p w:rsidR="00406BBE" w:rsidRPr="000B4D76" w:rsidRDefault="00406BBE" w:rsidP="00CC0C4D">
      <w:pPr>
        <w:adjustRightInd w:val="0"/>
        <w:snapToGrid w:val="0"/>
        <w:spacing w:after="120"/>
        <w:ind w:left="425" w:hanging="425"/>
        <w:rPr>
          <w:sz w:val="22"/>
          <w:szCs w:val="22"/>
          <w:lang w:val="en-NZ"/>
        </w:rPr>
      </w:pPr>
      <w:r w:rsidRPr="000B4D76">
        <w:rPr>
          <w:sz w:val="22"/>
          <w:szCs w:val="22"/>
          <w:lang w:val="en-NZ"/>
        </w:rPr>
        <w:t xml:space="preserve">Banister, J. (2009). Coping with Population Aging in China. </w:t>
      </w:r>
      <w:r w:rsidRPr="000B4D76">
        <w:rPr>
          <w:i/>
          <w:sz w:val="22"/>
          <w:szCs w:val="22"/>
          <w:lang w:val="en-NZ"/>
        </w:rPr>
        <w:t>The Conference Board</w:t>
      </w:r>
      <w:r w:rsidRPr="000B4D76">
        <w:rPr>
          <w:sz w:val="22"/>
          <w:szCs w:val="22"/>
          <w:lang w:val="en-NZ"/>
        </w:rPr>
        <w:t>.</w:t>
      </w:r>
    </w:p>
    <w:p w:rsidR="00406BBE" w:rsidRPr="000B4D76" w:rsidRDefault="00406BBE" w:rsidP="00CC0C4D">
      <w:pPr>
        <w:adjustRightInd w:val="0"/>
        <w:snapToGrid w:val="0"/>
        <w:spacing w:after="120"/>
        <w:ind w:left="425" w:hanging="425"/>
        <w:rPr>
          <w:sz w:val="22"/>
          <w:szCs w:val="22"/>
          <w:lang w:val="en-NZ"/>
        </w:rPr>
      </w:pPr>
      <w:r w:rsidRPr="000B4D76">
        <w:rPr>
          <w:sz w:val="22"/>
          <w:szCs w:val="22"/>
        </w:rPr>
        <w:lastRenderedPageBreak/>
        <w:t xml:space="preserve">Banister, J., Bloom, D. E., </w:t>
      </w:r>
      <w:r w:rsidR="00975854" w:rsidRPr="000B4D76">
        <w:rPr>
          <w:sz w:val="22"/>
          <w:szCs w:val="22"/>
        </w:rPr>
        <w:t>and</w:t>
      </w:r>
      <w:r w:rsidRPr="000B4D76">
        <w:rPr>
          <w:sz w:val="22"/>
          <w:szCs w:val="22"/>
        </w:rPr>
        <w:t xml:space="preserve"> Rosenberg, L. (2012). Population aging and economic growth in China.</w:t>
      </w:r>
      <w:r w:rsidRPr="000B4D76">
        <w:rPr>
          <w:i/>
          <w:iCs/>
          <w:sz w:val="22"/>
          <w:szCs w:val="22"/>
        </w:rPr>
        <w:t xml:space="preserve"> The Chinese Economy,</w:t>
      </w:r>
      <w:r w:rsidRPr="000B4D76">
        <w:rPr>
          <w:sz w:val="22"/>
          <w:szCs w:val="22"/>
        </w:rPr>
        <w:t xml:space="preserve"> 114-149.</w:t>
      </w:r>
      <w:r w:rsidRPr="000B4D76" w:rsidDel="00451DCB">
        <w:rPr>
          <w:sz w:val="22"/>
          <w:szCs w:val="22"/>
          <w:lang w:val="en-NZ"/>
        </w:rPr>
        <w:t xml:space="preserve"> </w:t>
      </w:r>
    </w:p>
    <w:p w:rsidR="00406BBE" w:rsidRPr="000B4D76" w:rsidRDefault="00406BBE" w:rsidP="00CC0C4D">
      <w:pPr>
        <w:adjustRightInd w:val="0"/>
        <w:snapToGrid w:val="0"/>
        <w:spacing w:after="120"/>
        <w:ind w:left="425" w:hanging="425"/>
        <w:rPr>
          <w:sz w:val="22"/>
          <w:szCs w:val="22"/>
          <w:lang w:val="en-NZ"/>
        </w:rPr>
      </w:pPr>
      <w:r w:rsidRPr="000B4D76">
        <w:rPr>
          <w:sz w:val="22"/>
          <w:szCs w:val="22"/>
          <w:lang w:val="en-NZ"/>
        </w:rPr>
        <w:t xml:space="preserve">Becker, G.S. </w:t>
      </w:r>
      <w:r w:rsidR="00975854" w:rsidRPr="000B4D76">
        <w:rPr>
          <w:sz w:val="22"/>
          <w:szCs w:val="22"/>
          <w:lang w:val="en-NZ"/>
        </w:rPr>
        <w:t>and</w:t>
      </w:r>
      <w:r w:rsidRPr="000B4D76">
        <w:rPr>
          <w:sz w:val="22"/>
          <w:szCs w:val="22"/>
          <w:lang w:val="en-NZ"/>
        </w:rPr>
        <w:t xml:space="preserve"> Lewis, H.G. (1973). On the Interaction between the Quantity and Quality of Children. </w:t>
      </w:r>
      <w:r w:rsidRPr="000B4D76">
        <w:rPr>
          <w:i/>
          <w:sz w:val="22"/>
          <w:szCs w:val="22"/>
          <w:lang w:val="en-NZ"/>
        </w:rPr>
        <w:t>Journal of Political Economy</w:t>
      </w:r>
      <w:r w:rsidRPr="000B4D76">
        <w:rPr>
          <w:sz w:val="22"/>
          <w:szCs w:val="22"/>
          <w:lang w:val="en-NZ"/>
        </w:rPr>
        <w:t xml:space="preserve">, </w:t>
      </w:r>
      <w:r w:rsidRPr="000B4D76">
        <w:rPr>
          <w:i/>
          <w:sz w:val="22"/>
          <w:szCs w:val="22"/>
          <w:lang w:val="en-NZ"/>
        </w:rPr>
        <w:t>81</w:t>
      </w:r>
      <w:r w:rsidRPr="000B4D76">
        <w:rPr>
          <w:sz w:val="22"/>
          <w:szCs w:val="22"/>
          <w:lang w:val="en-NZ" w:eastAsia="zh-CN"/>
        </w:rPr>
        <w:t>(2)</w:t>
      </w:r>
      <w:r w:rsidRPr="000B4D76">
        <w:rPr>
          <w:sz w:val="22"/>
          <w:szCs w:val="22"/>
          <w:lang w:val="en-NZ"/>
        </w:rPr>
        <w:t>, S279-S288.</w:t>
      </w:r>
    </w:p>
    <w:p w:rsidR="00406BBE" w:rsidRPr="000B4D76" w:rsidRDefault="00406BBE" w:rsidP="00CC0C4D">
      <w:pPr>
        <w:adjustRightInd w:val="0"/>
        <w:snapToGrid w:val="0"/>
        <w:spacing w:after="120"/>
        <w:ind w:left="425" w:hanging="425"/>
        <w:rPr>
          <w:sz w:val="22"/>
          <w:szCs w:val="22"/>
          <w:lang w:val="en-NZ"/>
        </w:rPr>
      </w:pPr>
      <w:r w:rsidRPr="000B4D76">
        <w:rPr>
          <w:sz w:val="22"/>
          <w:szCs w:val="22"/>
        </w:rPr>
        <w:t xml:space="preserve">Becker, G. S., </w:t>
      </w:r>
      <w:r w:rsidR="00975854" w:rsidRPr="000B4D76">
        <w:rPr>
          <w:sz w:val="22"/>
          <w:szCs w:val="22"/>
        </w:rPr>
        <w:t>and</w:t>
      </w:r>
      <w:r w:rsidRPr="000B4D76">
        <w:rPr>
          <w:sz w:val="22"/>
          <w:szCs w:val="22"/>
        </w:rPr>
        <w:t xml:space="preserve"> Tomes, N. (1976). Child endowments and the quantity and quality of children.</w:t>
      </w:r>
      <w:r w:rsidRPr="000B4D76">
        <w:rPr>
          <w:i/>
          <w:iCs/>
          <w:sz w:val="22"/>
          <w:szCs w:val="22"/>
        </w:rPr>
        <w:t xml:space="preserve"> Journal of Political Economy, 84</w:t>
      </w:r>
      <w:r w:rsidRPr="000B4D76">
        <w:rPr>
          <w:sz w:val="22"/>
          <w:szCs w:val="22"/>
        </w:rPr>
        <w:t xml:space="preserve">(4), S143-S162. </w:t>
      </w:r>
    </w:p>
    <w:p w:rsidR="00406BBE" w:rsidRPr="000B4D76" w:rsidRDefault="00406BBE" w:rsidP="00CC0C4D">
      <w:pPr>
        <w:adjustRightInd w:val="0"/>
        <w:snapToGrid w:val="0"/>
        <w:spacing w:after="120"/>
        <w:ind w:left="425" w:hanging="425"/>
        <w:rPr>
          <w:sz w:val="22"/>
          <w:szCs w:val="22"/>
        </w:rPr>
      </w:pPr>
      <w:r w:rsidRPr="000B4D76">
        <w:rPr>
          <w:sz w:val="22"/>
          <w:szCs w:val="22"/>
          <w:lang w:val="en-NZ"/>
        </w:rPr>
        <w:t xml:space="preserve">Behrman, J. R., </w:t>
      </w:r>
      <w:proofErr w:type="spellStart"/>
      <w:r w:rsidRPr="000B4D76">
        <w:rPr>
          <w:sz w:val="22"/>
          <w:szCs w:val="22"/>
          <w:lang w:val="en-NZ"/>
        </w:rPr>
        <w:t>Deolalikar</w:t>
      </w:r>
      <w:proofErr w:type="spellEnd"/>
      <w:r w:rsidRPr="000B4D76">
        <w:rPr>
          <w:sz w:val="22"/>
          <w:szCs w:val="22"/>
          <w:lang w:val="en-NZ"/>
        </w:rPr>
        <w:t xml:space="preserve">, A. B., </w:t>
      </w:r>
      <w:r w:rsidR="00975854" w:rsidRPr="000B4D76">
        <w:rPr>
          <w:sz w:val="22"/>
          <w:szCs w:val="22"/>
          <w:lang w:val="en-NZ"/>
        </w:rPr>
        <w:t>and</w:t>
      </w:r>
      <w:r w:rsidRPr="000B4D76">
        <w:rPr>
          <w:sz w:val="22"/>
          <w:szCs w:val="22"/>
          <w:lang w:val="en-NZ"/>
        </w:rPr>
        <w:t xml:space="preserve"> Wolfe, B. L. (1988). </w:t>
      </w:r>
      <w:r w:rsidRPr="000B4D76">
        <w:rPr>
          <w:sz w:val="22"/>
          <w:szCs w:val="22"/>
        </w:rPr>
        <w:t>Nutrients: Impacts and determinants.</w:t>
      </w:r>
      <w:r w:rsidRPr="000B4D76">
        <w:rPr>
          <w:i/>
          <w:iCs/>
          <w:sz w:val="22"/>
          <w:szCs w:val="22"/>
        </w:rPr>
        <w:t xml:space="preserve"> The World Bank Economic Review, 2</w:t>
      </w:r>
      <w:r w:rsidRPr="000B4D76">
        <w:rPr>
          <w:sz w:val="22"/>
          <w:szCs w:val="22"/>
        </w:rPr>
        <w:t xml:space="preserve">(3), 299-320. </w:t>
      </w:r>
    </w:p>
    <w:p w:rsidR="00A85B3F" w:rsidRPr="000B4D76" w:rsidRDefault="00A85B3F" w:rsidP="00CC0C4D">
      <w:pPr>
        <w:spacing w:after="120"/>
        <w:ind w:left="425" w:hanging="425"/>
        <w:rPr>
          <w:sz w:val="22"/>
          <w:szCs w:val="22"/>
        </w:rPr>
      </w:pPr>
      <w:proofErr w:type="spellStart"/>
      <w:r w:rsidRPr="00E7067A">
        <w:rPr>
          <w:sz w:val="22"/>
          <w:szCs w:val="22"/>
          <w:lang w:val="en-NZ"/>
        </w:rPr>
        <w:t>Bhalotra</w:t>
      </w:r>
      <w:proofErr w:type="spellEnd"/>
      <w:r w:rsidRPr="00E7067A">
        <w:rPr>
          <w:sz w:val="22"/>
          <w:szCs w:val="22"/>
          <w:lang w:val="en-NZ"/>
        </w:rPr>
        <w:t xml:space="preserve">, S. R., </w:t>
      </w:r>
      <w:r w:rsidR="00975854" w:rsidRPr="00E7067A">
        <w:rPr>
          <w:sz w:val="22"/>
          <w:szCs w:val="22"/>
          <w:lang w:val="en-NZ"/>
        </w:rPr>
        <w:t>and</w:t>
      </w:r>
      <w:r w:rsidRPr="00E7067A">
        <w:rPr>
          <w:sz w:val="22"/>
          <w:szCs w:val="22"/>
          <w:lang w:val="en-NZ"/>
        </w:rPr>
        <w:t xml:space="preserve"> Clarke, D. (2016). </w:t>
      </w:r>
      <w:r w:rsidRPr="000B4D76">
        <w:rPr>
          <w:sz w:val="22"/>
          <w:szCs w:val="22"/>
        </w:rPr>
        <w:t xml:space="preserve">The Twin Instrument. </w:t>
      </w:r>
      <w:r w:rsidRPr="000B4D76">
        <w:rPr>
          <w:i/>
          <w:iCs/>
          <w:sz w:val="22"/>
          <w:szCs w:val="22"/>
        </w:rPr>
        <w:t>IZA Discussion Paper</w:t>
      </w:r>
      <w:r w:rsidRPr="000B4D76">
        <w:rPr>
          <w:sz w:val="22"/>
          <w:szCs w:val="22"/>
        </w:rPr>
        <w:t xml:space="preserve"> No. 10405.</w:t>
      </w:r>
    </w:p>
    <w:p w:rsidR="00395DBB" w:rsidRPr="000B4D76" w:rsidRDefault="00395DBB" w:rsidP="00CC0C4D">
      <w:pPr>
        <w:adjustRightInd w:val="0"/>
        <w:snapToGrid w:val="0"/>
        <w:spacing w:after="120"/>
        <w:ind w:left="425" w:hanging="425"/>
        <w:rPr>
          <w:color w:val="000000" w:themeColor="text1"/>
          <w:sz w:val="22"/>
          <w:szCs w:val="22"/>
          <w:lang w:val="en-NZ"/>
        </w:rPr>
      </w:pPr>
      <w:r w:rsidRPr="000B4D76">
        <w:rPr>
          <w:color w:val="000000" w:themeColor="text1"/>
          <w:sz w:val="22"/>
          <w:szCs w:val="22"/>
        </w:rPr>
        <w:t xml:space="preserve">Black, S. E., Devereux, P. J., </w:t>
      </w:r>
      <w:r w:rsidR="00975854" w:rsidRPr="000B4D76">
        <w:rPr>
          <w:color w:val="000000" w:themeColor="text1"/>
          <w:sz w:val="22"/>
          <w:szCs w:val="22"/>
        </w:rPr>
        <w:t>and</w:t>
      </w:r>
      <w:r w:rsidRPr="000B4D76">
        <w:rPr>
          <w:color w:val="000000" w:themeColor="text1"/>
          <w:sz w:val="22"/>
          <w:szCs w:val="22"/>
        </w:rPr>
        <w:t xml:space="preserve"> </w:t>
      </w:r>
      <w:proofErr w:type="spellStart"/>
      <w:r w:rsidRPr="000B4D76">
        <w:rPr>
          <w:color w:val="000000" w:themeColor="text1"/>
          <w:sz w:val="22"/>
          <w:szCs w:val="22"/>
        </w:rPr>
        <w:t>Salvanes</w:t>
      </w:r>
      <w:proofErr w:type="spellEnd"/>
      <w:r w:rsidRPr="000B4D76">
        <w:rPr>
          <w:color w:val="000000" w:themeColor="text1"/>
          <w:sz w:val="22"/>
          <w:szCs w:val="22"/>
        </w:rPr>
        <w:t xml:space="preserve">, K. G. (2005). The more the merrier? </w:t>
      </w:r>
      <w:proofErr w:type="gramStart"/>
      <w:r w:rsidRPr="000B4D76">
        <w:rPr>
          <w:color w:val="000000" w:themeColor="text1"/>
          <w:sz w:val="22"/>
          <w:szCs w:val="22"/>
        </w:rPr>
        <w:t>the</w:t>
      </w:r>
      <w:proofErr w:type="gramEnd"/>
      <w:r w:rsidRPr="000B4D76">
        <w:rPr>
          <w:color w:val="000000" w:themeColor="text1"/>
          <w:sz w:val="22"/>
          <w:szCs w:val="22"/>
        </w:rPr>
        <w:t xml:space="preserve"> effect of family size and birth order on children's education.</w:t>
      </w:r>
      <w:r w:rsidRPr="000B4D76">
        <w:rPr>
          <w:i/>
          <w:iCs/>
          <w:color w:val="000000" w:themeColor="text1"/>
          <w:sz w:val="22"/>
          <w:szCs w:val="22"/>
        </w:rPr>
        <w:t xml:space="preserve"> Quarterly Journal of Economics, 120</w:t>
      </w:r>
      <w:r w:rsidRPr="000B4D76">
        <w:rPr>
          <w:color w:val="000000" w:themeColor="text1"/>
          <w:sz w:val="22"/>
          <w:szCs w:val="22"/>
        </w:rPr>
        <w:t xml:space="preserve">(2), 669-700. </w:t>
      </w:r>
    </w:p>
    <w:p w:rsidR="000810BF" w:rsidRDefault="000810BF" w:rsidP="00CC0C4D">
      <w:pPr>
        <w:adjustRightInd w:val="0"/>
        <w:snapToGrid w:val="0"/>
        <w:spacing w:after="120"/>
        <w:ind w:left="425" w:hanging="425"/>
        <w:contextualSpacing/>
        <w:rPr>
          <w:sz w:val="22"/>
          <w:szCs w:val="22"/>
          <w:lang w:eastAsia="zh-CN"/>
        </w:rPr>
      </w:pPr>
      <w:r w:rsidRPr="000B4D76">
        <w:rPr>
          <w:sz w:val="22"/>
          <w:szCs w:val="22"/>
          <w:lang w:eastAsia="zh-CN"/>
        </w:rPr>
        <w:t xml:space="preserve">Bound, J., Jaeger, D. A., </w:t>
      </w:r>
      <w:r w:rsidR="00975854" w:rsidRPr="000B4D76">
        <w:rPr>
          <w:sz w:val="22"/>
          <w:szCs w:val="22"/>
          <w:lang w:eastAsia="zh-CN"/>
        </w:rPr>
        <w:t>and</w:t>
      </w:r>
      <w:r w:rsidRPr="000B4D76">
        <w:rPr>
          <w:sz w:val="22"/>
          <w:szCs w:val="22"/>
          <w:lang w:eastAsia="zh-CN"/>
        </w:rPr>
        <w:t xml:space="preserve"> Baker, R. M. (1995). Problems with instrumental variables estimation when the correlation between the instruments and the endogenous explanatory variable is weak. </w:t>
      </w:r>
      <w:r w:rsidRPr="000B4D76">
        <w:rPr>
          <w:i/>
          <w:sz w:val="22"/>
          <w:szCs w:val="22"/>
          <w:lang w:eastAsia="zh-CN"/>
        </w:rPr>
        <w:t>Journal of the American Statistical Association, 90</w:t>
      </w:r>
      <w:r w:rsidRPr="000B4D76">
        <w:rPr>
          <w:sz w:val="22"/>
          <w:szCs w:val="22"/>
          <w:lang w:eastAsia="zh-CN"/>
        </w:rPr>
        <w:t xml:space="preserve">(430), 443–450. </w:t>
      </w:r>
    </w:p>
    <w:p w:rsidR="00FB5AC1" w:rsidRPr="00FB5AC1" w:rsidRDefault="00FB5AC1" w:rsidP="00CC0C4D">
      <w:pPr>
        <w:adjustRightInd w:val="0"/>
        <w:snapToGrid w:val="0"/>
        <w:spacing w:after="120"/>
        <w:ind w:left="425" w:hanging="425"/>
        <w:contextualSpacing/>
        <w:rPr>
          <w:sz w:val="12"/>
          <w:szCs w:val="12"/>
          <w:lang w:eastAsia="zh-CN"/>
        </w:rPr>
      </w:pPr>
    </w:p>
    <w:p w:rsidR="00406BBE" w:rsidRPr="000B4D76" w:rsidRDefault="00406BBE" w:rsidP="00CC0C4D">
      <w:pPr>
        <w:adjustRightInd w:val="0"/>
        <w:snapToGrid w:val="0"/>
        <w:spacing w:after="120"/>
        <w:ind w:left="425" w:hanging="425"/>
        <w:rPr>
          <w:i/>
          <w:sz w:val="22"/>
          <w:szCs w:val="22"/>
          <w:lang w:eastAsia="zh-CN"/>
        </w:rPr>
      </w:pPr>
      <w:proofErr w:type="spellStart"/>
      <w:r w:rsidRPr="000B4D76">
        <w:rPr>
          <w:sz w:val="22"/>
          <w:szCs w:val="22"/>
        </w:rPr>
        <w:t>Bredenkamp</w:t>
      </w:r>
      <w:proofErr w:type="spellEnd"/>
      <w:r w:rsidRPr="000B4D76">
        <w:rPr>
          <w:sz w:val="22"/>
          <w:szCs w:val="22"/>
        </w:rPr>
        <w:t>, C. (200</w:t>
      </w:r>
      <w:r w:rsidRPr="000B4D76">
        <w:rPr>
          <w:sz w:val="22"/>
          <w:szCs w:val="22"/>
          <w:lang w:eastAsia="zh-CN"/>
        </w:rPr>
        <w:t>9</w:t>
      </w:r>
      <w:r w:rsidRPr="000B4D76">
        <w:rPr>
          <w:sz w:val="22"/>
          <w:szCs w:val="22"/>
        </w:rPr>
        <w:t>).</w:t>
      </w:r>
      <w:r w:rsidRPr="000B4D76">
        <w:rPr>
          <w:sz w:val="22"/>
          <w:szCs w:val="22"/>
          <w:lang w:eastAsia="zh-CN"/>
        </w:rPr>
        <w:t xml:space="preserve"> Policy-related determinants of child nutritional status in China: The effect of only-child status and access to healthcare. </w:t>
      </w:r>
      <w:r w:rsidRPr="000B4D76">
        <w:rPr>
          <w:i/>
          <w:sz w:val="22"/>
          <w:szCs w:val="22"/>
          <w:lang w:eastAsia="zh-CN"/>
        </w:rPr>
        <w:t xml:space="preserve">Social Science </w:t>
      </w:r>
      <w:r w:rsidR="00975854" w:rsidRPr="000B4D76">
        <w:rPr>
          <w:i/>
          <w:sz w:val="22"/>
          <w:szCs w:val="22"/>
          <w:lang w:eastAsia="zh-CN"/>
        </w:rPr>
        <w:t>and</w:t>
      </w:r>
      <w:r w:rsidRPr="000B4D76">
        <w:rPr>
          <w:i/>
          <w:sz w:val="22"/>
          <w:szCs w:val="22"/>
          <w:lang w:eastAsia="zh-CN"/>
        </w:rPr>
        <w:t xml:space="preserve"> Medicine, 69(10), </w:t>
      </w:r>
      <w:r w:rsidRPr="000B4D76">
        <w:rPr>
          <w:sz w:val="22"/>
          <w:szCs w:val="22"/>
          <w:lang w:eastAsia="zh-CN"/>
        </w:rPr>
        <w:t xml:space="preserve">1531-1538. </w:t>
      </w:r>
    </w:p>
    <w:p w:rsidR="00406BBE" w:rsidRPr="000B4D76" w:rsidRDefault="00406BBE" w:rsidP="00CC0C4D">
      <w:pPr>
        <w:adjustRightInd w:val="0"/>
        <w:snapToGrid w:val="0"/>
        <w:spacing w:after="120"/>
        <w:ind w:left="425" w:hanging="425"/>
        <w:rPr>
          <w:sz w:val="22"/>
          <w:szCs w:val="22"/>
        </w:rPr>
      </w:pPr>
      <w:bookmarkStart w:id="15" w:name="OLE_LINK5"/>
      <w:bookmarkStart w:id="16" w:name="OLE_LINK6"/>
      <w:proofErr w:type="spellStart"/>
      <w:r w:rsidRPr="000B4D76">
        <w:rPr>
          <w:sz w:val="22"/>
          <w:szCs w:val="22"/>
          <w:lang w:val="en-NZ"/>
        </w:rPr>
        <w:t>Bulte</w:t>
      </w:r>
      <w:proofErr w:type="spellEnd"/>
      <w:r w:rsidRPr="000B4D76">
        <w:rPr>
          <w:sz w:val="22"/>
          <w:szCs w:val="22"/>
          <w:lang w:val="en-NZ"/>
        </w:rPr>
        <w:t xml:space="preserve">, E., </w:t>
      </w:r>
      <w:proofErr w:type="spellStart"/>
      <w:r w:rsidRPr="000B4D76">
        <w:rPr>
          <w:sz w:val="22"/>
          <w:szCs w:val="22"/>
          <w:lang w:val="en-NZ"/>
        </w:rPr>
        <w:t>Heerink</w:t>
      </w:r>
      <w:proofErr w:type="spellEnd"/>
      <w:r w:rsidRPr="000B4D76">
        <w:rPr>
          <w:sz w:val="22"/>
          <w:szCs w:val="22"/>
          <w:lang w:val="en-NZ"/>
        </w:rPr>
        <w:t xml:space="preserve">, N., </w:t>
      </w:r>
      <w:r w:rsidR="00975854" w:rsidRPr="000B4D76">
        <w:rPr>
          <w:sz w:val="22"/>
          <w:szCs w:val="22"/>
          <w:lang w:val="en-NZ"/>
        </w:rPr>
        <w:t>and</w:t>
      </w:r>
      <w:r w:rsidRPr="000B4D76">
        <w:rPr>
          <w:sz w:val="22"/>
          <w:szCs w:val="22"/>
          <w:lang w:val="en-NZ"/>
        </w:rPr>
        <w:t xml:space="preserve"> Zhang, X. (2011). </w:t>
      </w:r>
      <w:r w:rsidRPr="000B4D76">
        <w:rPr>
          <w:sz w:val="22"/>
          <w:szCs w:val="22"/>
        </w:rPr>
        <w:t xml:space="preserve">China’s one-child policy and </w:t>
      </w:r>
      <w:r w:rsidR="00975854" w:rsidRPr="000B4D76">
        <w:rPr>
          <w:sz w:val="22"/>
          <w:szCs w:val="22"/>
        </w:rPr>
        <w:t>'</w:t>
      </w:r>
      <w:r w:rsidRPr="000B4D76">
        <w:rPr>
          <w:sz w:val="22"/>
          <w:szCs w:val="22"/>
        </w:rPr>
        <w:t>the mystery of missing women</w:t>
      </w:r>
      <w:r w:rsidR="00975854" w:rsidRPr="000B4D76">
        <w:rPr>
          <w:sz w:val="22"/>
          <w:szCs w:val="22"/>
        </w:rPr>
        <w:t>'</w:t>
      </w:r>
      <w:r w:rsidRPr="000B4D76">
        <w:rPr>
          <w:sz w:val="22"/>
          <w:szCs w:val="22"/>
        </w:rPr>
        <w:t>: Ethnic minorities and male-biased sex ratios.</w:t>
      </w:r>
      <w:r w:rsidRPr="000B4D76">
        <w:rPr>
          <w:i/>
          <w:iCs/>
          <w:sz w:val="22"/>
          <w:szCs w:val="22"/>
        </w:rPr>
        <w:t xml:space="preserve"> Oxford Bulletin of Economics and Statistics, 73</w:t>
      </w:r>
      <w:r w:rsidRPr="000B4D76">
        <w:rPr>
          <w:sz w:val="22"/>
          <w:szCs w:val="22"/>
        </w:rPr>
        <w:t xml:space="preserve">(1), 21-39. </w:t>
      </w:r>
    </w:p>
    <w:p w:rsidR="00406BBE" w:rsidRPr="000B4D76" w:rsidRDefault="00406BBE" w:rsidP="00CC0C4D">
      <w:pPr>
        <w:adjustRightInd w:val="0"/>
        <w:snapToGrid w:val="0"/>
        <w:spacing w:after="120"/>
        <w:ind w:left="425" w:hanging="425"/>
        <w:rPr>
          <w:sz w:val="22"/>
          <w:szCs w:val="22"/>
        </w:rPr>
      </w:pPr>
      <w:r w:rsidRPr="000B4D76">
        <w:rPr>
          <w:sz w:val="22"/>
          <w:szCs w:val="22"/>
        </w:rPr>
        <w:t xml:space="preserve">Conley, D., </w:t>
      </w:r>
      <w:r w:rsidR="00975854" w:rsidRPr="000B4D76">
        <w:rPr>
          <w:sz w:val="22"/>
          <w:szCs w:val="22"/>
        </w:rPr>
        <w:t>and</w:t>
      </w:r>
      <w:r w:rsidRPr="000B4D76">
        <w:rPr>
          <w:sz w:val="22"/>
          <w:szCs w:val="22"/>
        </w:rPr>
        <w:t xml:space="preserve"> </w:t>
      </w:r>
      <w:proofErr w:type="spellStart"/>
      <w:r w:rsidRPr="000B4D76">
        <w:rPr>
          <w:sz w:val="22"/>
          <w:szCs w:val="22"/>
        </w:rPr>
        <w:t>Glauber</w:t>
      </w:r>
      <w:proofErr w:type="spellEnd"/>
      <w:r w:rsidRPr="000B4D76">
        <w:rPr>
          <w:sz w:val="22"/>
          <w:szCs w:val="22"/>
        </w:rPr>
        <w:t xml:space="preserve">, R. (2006). Parental educational investment and children's academic risk: Estimates of the impact of </w:t>
      </w:r>
      <w:proofErr w:type="spellStart"/>
      <w:r w:rsidRPr="000B4D76">
        <w:rPr>
          <w:sz w:val="22"/>
          <w:szCs w:val="22"/>
        </w:rPr>
        <w:t>sibship</w:t>
      </w:r>
      <w:proofErr w:type="spellEnd"/>
      <w:r w:rsidRPr="000B4D76">
        <w:rPr>
          <w:sz w:val="22"/>
          <w:szCs w:val="22"/>
        </w:rPr>
        <w:t xml:space="preserve"> size and birth order from exogenous variation in fertility.</w:t>
      </w:r>
      <w:r w:rsidRPr="000B4D76">
        <w:rPr>
          <w:i/>
          <w:iCs/>
          <w:sz w:val="22"/>
          <w:szCs w:val="22"/>
        </w:rPr>
        <w:t xml:space="preserve"> The Journal of Human Resources, 41</w:t>
      </w:r>
      <w:r w:rsidRPr="000B4D76">
        <w:rPr>
          <w:sz w:val="22"/>
          <w:szCs w:val="22"/>
        </w:rPr>
        <w:t>(4), 722-737.</w:t>
      </w:r>
    </w:p>
    <w:p w:rsidR="00331525" w:rsidRPr="000B4D76" w:rsidRDefault="00331525" w:rsidP="00CC0C4D">
      <w:pPr>
        <w:adjustRightInd w:val="0"/>
        <w:snapToGrid w:val="0"/>
        <w:spacing w:after="120"/>
        <w:ind w:left="425" w:hanging="425"/>
        <w:rPr>
          <w:sz w:val="22"/>
          <w:szCs w:val="22"/>
          <w:lang w:val="en-NZ" w:eastAsia="zh-CN"/>
        </w:rPr>
      </w:pPr>
      <w:r w:rsidRPr="000B4D76">
        <w:rPr>
          <w:sz w:val="22"/>
          <w:szCs w:val="22"/>
          <w:lang w:val="en-NZ" w:eastAsia="zh-CN"/>
        </w:rPr>
        <w:t xml:space="preserve">Davidson, R. </w:t>
      </w:r>
      <w:r w:rsidR="00975854" w:rsidRPr="000B4D76">
        <w:rPr>
          <w:sz w:val="22"/>
          <w:szCs w:val="22"/>
          <w:lang w:val="en-NZ" w:eastAsia="zh-CN"/>
        </w:rPr>
        <w:t>and</w:t>
      </w:r>
      <w:r w:rsidRPr="000B4D76">
        <w:rPr>
          <w:sz w:val="22"/>
          <w:szCs w:val="22"/>
          <w:lang w:val="en-NZ" w:eastAsia="zh-CN"/>
        </w:rPr>
        <w:t xml:space="preserve"> MacKinnon, J. (1993). </w:t>
      </w:r>
      <w:r w:rsidRPr="000B4D76">
        <w:rPr>
          <w:i/>
          <w:iCs/>
          <w:sz w:val="22"/>
          <w:szCs w:val="22"/>
          <w:lang w:val="en-NZ" w:eastAsia="zh-CN"/>
        </w:rPr>
        <w:t>Estimation and Inference in Econometrics</w:t>
      </w:r>
      <w:r w:rsidRPr="000B4D76">
        <w:rPr>
          <w:sz w:val="22"/>
          <w:szCs w:val="22"/>
          <w:lang w:val="en-NZ" w:eastAsia="zh-CN"/>
        </w:rPr>
        <w:t xml:space="preserve"> Oxford University Press: New York.</w:t>
      </w:r>
    </w:p>
    <w:bookmarkEnd w:id="15"/>
    <w:bookmarkEnd w:id="16"/>
    <w:p w:rsidR="00406BBE" w:rsidRPr="000B4D76" w:rsidRDefault="00406BBE" w:rsidP="00CC0C4D">
      <w:pPr>
        <w:adjustRightInd w:val="0"/>
        <w:snapToGrid w:val="0"/>
        <w:spacing w:after="120"/>
        <w:ind w:left="425" w:hanging="425"/>
        <w:rPr>
          <w:sz w:val="22"/>
          <w:szCs w:val="22"/>
          <w:lang w:val="en-NZ"/>
        </w:rPr>
      </w:pPr>
      <w:proofErr w:type="spellStart"/>
      <w:r w:rsidRPr="000B4D76">
        <w:rPr>
          <w:sz w:val="22"/>
          <w:szCs w:val="22"/>
        </w:rPr>
        <w:t>Glewwe</w:t>
      </w:r>
      <w:proofErr w:type="spellEnd"/>
      <w:r w:rsidRPr="000B4D76">
        <w:rPr>
          <w:sz w:val="22"/>
          <w:szCs w:val="22"/>
        </w:rPr>
        <w:t>, P. (1999). Why does mother's schooling raise child health in devel</w:t>
      </w:r>
      <w:r w:rsidR="00C62587" w:rsidRPr="000B4D76">
        <w:rPr>
          <w:sz w:val="22"/>
          <w:szCs w:val="22"/>
        </w:rPr>
        <w:t xml:space="preserve">oping countries? </w:t>
      </w:r>
      <w:proofErr w:type="gramStart"/>
      <w:r w:rsidR="00C62587" w:rsidRPr="000B4D76">
        <w:rPr>
          <w:sz w:val="22"/>
          <w:szCs w:val="22"/>
        </w:rPr>
        <w:t>evidence</w:t>
      </w:r>
      <w:proofErr w:type="gramEnd"/>
      <w:r w:rsidR="00C62587" w:rsidRPr="000B4D76">
        <w:rPr>
          <w:sz w:val="22"/>
          <w:szCs w:val="22"/>
        </w:rPr>
        <w:t xml:space="preserve"> from M</w:t>
      </w:r>
      <w:r w:rsidRPr="000B4D76">
        <w:rPr>
          <w:sz w:val="22"/>
          <w:szCs w:val="22"/>
        </w:rPr>
        <w:t>orocco.</w:t>
      </w:r>
      <w:r w:rsidRPr="000B4D76">
        <w:rPr>
          <w:i/>
          <w:iCs/>
          <w:sz w:val="22"/>
          <w:szCs w:val="22"/>
        </w:rPr>
        <w:t xml:space="preserve"> The Journal of Human Resources, 34</w:t>
      </w:r>
      <w:r w:rsidRPr="000B4D76">
        <w:rPr>
          <w:sz w:val="22"/>
          <w:szCs w:val="22"/>
        </w:rPr>
        <w:t>(1), 124-159.</w:t>
      </w:r>
    </w:p>
    <w:p w:rsidR="00406BBE" w:rsidRPr="000B4D76" w:rsidRDefault="00406BBE" w:rsidP="00CC0C4D">
      <w:pPr>
        <w:adjustRightInd w:val="0"/>
        <w:snapToGrid w:val="0"/>
        <w:spacing w:after="120"/>
        <w:ind w:left="425" w:hanging="425"/>
        <w:rPr>
          <w:sz w:val="22"/>
          <w:szCs w:val="22"/>
          <w:lang w:val="en-NZ"/>
        </w:rPr>
      </w:pPr>
      <w:proofErr w:type="spellStart"/>
      <w:r w:rsidRPr="000B4D76">
        <w:rPr>
          <w:sz w:val="22"/>
          <w:szCs w:val="22"/>
        </w:rPr>
        <w:t>Greenhalgh</w:t>
      </w:r>
      <w:proofErr w:type="spellEnd"/>
      <w:r w:rsidRPr="000B4D76">
        <w:rPr>
          <w:sz w:val="22"/>
          <w:szCs w:val="22"/>
        </w:rPr>
        <w:t>, S. (1986). Shifts in China's population policy, 1984-86: Views from the central, provincial, and local levels.</w:t>
      </w:r>
      <w:r w:rsidRPr="000B4D76">
        <w:rPr>
          <w:i/>
          <w:iCs/>
          <w:sz w:val="22"/>
          <w:szCs w:val="22"/>
        </w:rPr>
        <w:t xml:space="preserve"> Population and Development Review, 12</w:t>
      </w:r>
      <w:r w:rsidRPr="000B4D76">
        <w:rPr>
          <w:sz w:val="22"/>
          <w:szCs w:val="22"/>
        </w:rPr>
        <w:t>(3), 491-515.</w:t>
      </w:r>
    </w:p>
    <w:p w:rsidR="00406BBE" w:rsidRPr="000B4D76" w:rsidRDefault="00406BBE" w:rsidP="00CC0C4D">
      <w:pPr>
        <w:adjustRightInd w:val="0"/>
        <w:snapToGrid w:val="0"/>
        <w:spacing w:after="120"/>
        <w:ind w:left="425" w:hanging="425"/>
        <w:rPr>
          <w:sz w:val="22"/>
          <w:szCs w:val="22"/>
          <w:lang w:val="en-NZ"/>
        </w:rPr>
      </w:pPr>
      <w:proofErr w:type="spellStart"/>
      <w:proofErr w:type="gramStart"/>
      <w:r w:rsidRPr="000B4D76">
        <w:rPr>
          <w:sz w:val="22"/>
          <w:szCs w:val="22"/>
          <w:lang w:val="en-NZ"/>
        </w:rPr>
        <w:t>Gu</w:t>
      </w:r>
      <w:proofErr w:type="spellEnd"/>
      <w:proofErr w:type="gramEnd"/>
      <w:r w:rsidRPr="000B4D76">
        <w:rPr>
          <w:sz w:val="22"/>
          <w:szCs w:val="22"/>
          <w:lang w:val="en-NZ"/>
        </w:rPr>
        <w:t>, B., Wang</w:t>
      </w:r>
      <w:r w:rsidR="00087D15" w:rsidRPr="000B4D76">
        <w:rPr>
          <w:sz w:val="22"/>
          <w:szCs w:val="22"/>
          <w:lang w:val="en-NZ"/>
        </w:rPr>
        <w:t xml:space="preserve">, F, </w:t>
      </w:r>
      <w:proofErr w:type="spellStart"/>
      <w:r w:rsidR="00087D15" w:rsidRPr="000B4D76">
        <w:rPr>
          <w:sz w:val="22"/>
          <w:szCs w:val="22"/>
          <w:lang w:val="en-NZ"/>
        </w:rPr>
        <w:t>Guo</w:t>
      </w:r>
      <w:proofErr w:type="spellEnd"/>
      <w:r w:rsidR="00087D15" w:rsidRPr="000B4D76">
        <w:rPr>
          <w:sz w:val="22"/>
          <w:szCs w:val="22"/>
          <w:lang w:val="en-NZ"/>
        </w:rPr>
        <w:t xml:space="preserve">, Z. </w:t>
      </w:r>
      <w:r w:rsidR="00975854" w:rsidRPr="000B4D76">
        <w:rPr>
          <w:sz w:val="22"/>
          <w:szCs w:val="22"/>
          <w:lang w:val="en-NZ"/>
        </w:rPr>
        <w:t>and</w:t>
      </w:r>
      <w:r w:rsidR="00087D15" w:rsidRPr="000B4D76">
        <w:rPr>
          <w:sz w:val="22"/>
          <w:szCs w:val="22"/>
          <w:lang w:val="en-NZ"/>
        </w:rPr>
        <w:t xml:space="preserve"> Zhang, E. (2007)</w:t>
      </w:r>
      <w:r w:rsidRPr="000B4D76">
        <w:rPr>
          <w:sz w:val="22"/>
          <w:szCs w:val="22"/>
          <w:lang w:val="en-NZ"/>
        </w:rPr>
        <w:t xml:space="preserve">. </w:t>
      </w:r>
      <w:r w:rsidRPr="000B4D76">
        <w:rPr>
          <w:sz w:val="22"/>
          <w:szCs w:val="22"/>
        </w:rPr>
        <w:t>China's local and national fertility policies at the end of the twentieth century.</w:t>
      </w:r>
      <w:r w:rsidRPr="000B4D76">
        <w:rPr>
          <w:i/>
          <w:iCs/>
          <w:sz w:val="22"/>
          <w:szCs w:val="22"/>
        </w:rPr>
        <w:t xml:space="preserve"> Population and Development Review, 33</w:t>
      </w:r>
      <w:r w:rsidR="00E244BD" w:rsidRPr="000B4D76">
        <w:rPr>
          <w:sz w:val="22"/>
          <w:szCs w:val="22"/>
        </w:rPr>
        <w:t>(1), 129-</w:t>
      </w:r>
      <w:r w:rsidR="000810BF" w:rsidRPr="000B4D76">
        <w:rPr>
          <w:sz w:val="22"/>
          <w:szCs w:val="22"/>
          <w:lang w:eastAsia="zh-CN"/>
        </w:rPr>
        <w:t>1</w:t>
      </w:r>
      <w:r w:rsidRPr="000B4D76">
        <w:rPr>
          <w:sz w:val="22"/>
          <w:szCs w:val="22"/>
        </w:rPr>
        <w:t>47.</w:t>
      </w:r>
    </w:p>
    <w:p w:rsidR="00406BBE" w:rsidRPr="000B4D76" w:rsidRDefault="00406BBE" w:rsidP="00CC0C4D">
      <w:pPr>
        <w:adjustRightInd w:val="0"/>
        <w:snapToGrid w:val="0"/>
        <w:spacing w:after="120"/>
        <w:ind w:left="425" w:hanging="425"/>
        <w:rPr>
          <w:sz w:val="22"/>
          <w:szCs w:val="22"/>
          <w:lang w:val="en-NZ"/>
        </w:rPr>
      </w:pPr>
      <w:proofErr w:type="spellStart"/>
      <w:r w:rsidRPr="000B4D76">
        <w:rPr>
          <w:sz w:val="22"/>
          <w:szCs w:val="22"/>
        </w:rPr>
        <w:t>Hanushek</w:t>
      </w:r>
      <w:proofErr w:type="spellEnd"/>
      <w:r w:rsidRPr="000B4D76">
        <w:rPr>
          <w:sz w:val="22"/>
          <w:szCs w:val="22"/>
        </w:rPr>
        <w:t>, E. A. (1992). The trade-off between child quantity and quality.</w:t>
      </w:r>
      <w:r w:rsidRPr="000B4D76">
        <w:rPr>
          <w:i/>
          <w:iCs/>
          <w:sz w:val="22"/>
          <w:szCs w:val="22"/>
        </w:rPr>
        <w:t xml:space="preserve"> Journal of Political Economy, 100</w:t>
      </w:r>
      <w:r w:rsidR="00E244BD" w:rsidRPr="000B4D76">
        <w:rPr>
          <w:sz w:val="22"/>
          <w:szCs w:val="22"/>
        </w:rPr>
        <w:t xml:space="preserve">(1), 84-117. </w:t>
      </w:r>
    </w:p>
    <w:p w:rsidR="002F6033" w:rsidRDefault="002F6033" w:rsidP="00CC0C4D">
      <w:pPr>
        <w:snapToGrid w:val="0"/>
        <w:spacing w:after="120"/>
        <w:ind w:left="425" w:hanging="425"/>
        <w:contextualSpacing/>
        <w:rPr>
          <w:sz w:val="22"/>
          <w:szCs w:val="22"/>
          <w:lang w:eastAsia="zh-CN" w:bidi="ar-SA"/>
        </w:rPr>
      </w:pPr>
      <w:proofErr w:type="spellStart"/>
      <w:r w:rsidRPr="000B4D76">
        <w:rPr>
          <w:sz w:val="22"/>
          <w:szCs w:val="22"/>
          <w:lang w:eastAsia="zh-CN" w:bidi="ar-SA"/>
        </w:rPr>
        <w:t>Hausman</w:t>
      </w:r>
      <w:proofErr w:type="spellEnd"/>
      <w:r w:rsidRPr="000B4D76">
        <w:rPr>
          <w:sz w:val="22"/>
          <w:szCs w:val="22"/>
          <w:lang w:eastAsia="zh-CN" w:bidi="ar-SA"/>
        </w:rPr>
        <w:t xml:space="preserve">, J. (1978). Specification Tests in Econometrics. </w:t>
      </w:r>
      <w:r w:rsidRPr="000B4D76">
        <w:rPr>
          <w:i/>
          <w:iCs/>
          <w:sz w:val="22"/>
          <w:szCs w:val="22"/>
          <w:lang w:eastAsia="zh-CN" w:bidi="ar-SA"/>
        </w:rPr>
        <w:t>Econometrica</w:t>
      </w:r>
      <w:r w:rsidRPr="000B4D76">
        <w:rPr>
          <w:sz w:val="22"/>
          <w:szCs w:val="22"/>
          <w:lang w:eastAsia="zh-CN" w:bidi="ar-SA"/>
        </w:rPr>
        <w:t>, 46(6), 1251-1271.</w:t>
      </w:r>
    </w:p>
    <w:p w:rsidR="00FB5AC1" w:rsidRPr="00FB5AC1" w:rsidRDefault="00FB5AC1" w:rsidP="00CC0C4D">
      <w:pPr>
        <w:snapToGrid w:val="0"/>
        <w:spacing w:after="120"/>
        <w:ind w:left="425" w:hanging="425"/>
        <w:contextualSpacing/>
        <w:rPr>
          <w:sz w:val="12"/>
          <w:szCs w:val="12"/>
          <w:lang w:eastAsia="zh-CN" w:bidi="ar-SA"/>
        </w:rPr>
      </w:pPr>
    </w:p>
    <w:p w:rsidR="00406BBE" w:rsidRPr="000B4D76" w:rsidRDefault="00406BBE" w:rsidP="00CC0C4D">
      <w:pPr>
        <w:autoSpaceDE w:val="0"/>
        <w:autoSpaceDN w:val="0"/>
        <w:adjustRightInd w:val="0"/>
        <w:snapToGrid w:val="0"/>
        <w:spacing w:after="120"/>
        <w:ind w:left="425" w:hanging="425"/>
        <w:rPr>
          <w:sz w:val="22"/>
          <w:szCs w:val="22"/>
          <w:lang w:eastAsia="zh-CN"/>
        </w:rPr>
      </w:pPr>
      <w:proofErr w:type="spellStart"/>
      <w:r w:rsidRPr="000B4D76">
        <w:rPr>
          <w:sz w:val="22"/>
          <w:szCs w:val="22"/>
        </w:rPr>
        <w:t>Hesketh</w:t>
      </w:r>
      <w:proofErr w:type="spellEnd"/>
      <w:r w:rsidRPr="000B4D76">
        <w:rPr>
          <w:sz w:val="22"/>
          <w:szCs w:val="22"/>
        </w:rPr>
        <w:t xml:space="preserve">, T., Lu, L., </w:t>
      </w:r>
      <w:r w:rsidR="00975854" w:rsidRPr="000B4D76">
        <w:rPr>
          <w:sz w:val="22"/>
          <w:szCs w:val="22"/>
        </w:rPr>
        <w:t>and</w:t>
      </w:r>
      <w:r w:rsidRPr="000B4D76">
        <w:rPr>
          <w:sz w:val="22"/>
          <w:szCs w:val="22"/>
        </w:rPr>
        <w:t xml:space="preserve"> Xing, Z. W. (2005). The effect of China’s one-child family policy after 25 years.</w:t>
      </w:r>
      <w:r w:rsidRPr="000B4D76">
        <w:rPr>
          <w:i/>
          <w:iCs/>
          <w:sz w:val="22"/>
          <w:szCs w:val="22"/>
        </w:rPr>
        <w:t xml:space="preserve"> The New England Journal of Medicine, 353</w:t>
      </w:r>
      <w:r w:rsidRPr="000B4D76">
        <w:rPr>
          <w:sz w:val="22"/>
          <w:szCs w:val="22"/>
        </w:rPr>
        <w:t xml:space="preserve">(11), 1171-1176. </w:t>
      </w:r>
    </w:p>
    <w:p w:rsidR="00406BBE" w:rsidRPr="000B4D76" w:rsidRDefault="00406BBE" w:rsidP="00CC0C4D">
      <w:pPr>
        <w:adjustRightInd w:val="0"/>
        <w:snapToGrid w:val="0"/>
        <w:spacing w:after="120"/>
        <w:ind w:left="425" w:hanging="425"/>
        <w:rPr>
          <w:sz w:val="22"/>
          <w:szCs w:val="22"/>
        </w:rPr>
      </w:pPr>
      <w:r w:rsidRPr="000B4D76">
        <w:rPr>
          <w:sz w:val="22"/>
          <w:szCs w:val="22"/>
        </w:rPr>
        <w:t xml:space="preserve">Huang, Yue, (2015), </w:t>
      </w:r>
      <w:r w:rsidRPr="000B4D76">
        <w:rPr>
          <w:i/>
          <w:sz w:val="22"/>
          <w:szCs w:val="22"/>
        </w:rPr>
        <w:t>Does A Child Quantity-Quality Trade-Off Exist? Evidence from the One-Child Policy in China</w:t>
      </w:r>
      <w:r w:rsidRPr="000B4D76">
        <w:rPr>
          <w:sz w:val="22"/>
          <w:szCs w:val="22"/>
          <w:lang w:eastAsia="zh-CN"/>
        </w:rPr>
        <w:t>. Paper presented at the</w:t>
      </w:r>
      <w:r w:rsidRPr="000B4D76">
        <w:rPr>
          <w:sz w:val="22"/>
          <w:szCs w:val="22"/>
        </w:rPr>
        <w:t xml:space="preserve"> Annual Conference 2015 (Muenster): Economic Development - Theory and Policy, </w:t>
      </w:r>
      <w:proofErr w:type="spellStart"/>
      <w:r w:rsidRPr="000B4D76">
        <w:rPr>
          <w:sz w:val="22"/>
          <w:szCs w:val="22"/>
        </w:rPr>
        <w:t>Verein</w:t>
      </w:r>
      <w:proofErr w:type="spellEnd"/>
      <w:r w:rsidRPr="000B4D76">
        <w:rPr>
          <w:sz w:val="22"/>
          <w:szCs w:val="22"/>
        </w:rPr>
        <w:t xml:space="preserve"> </w:t>
      </w:r>
      <w:proofErr w:type="spellStart"/>
      <w:r w:rsidRPr="000B4D76">
        <w:rPr>
          <w:sz w:val="22"/>
          <w:szCs w:val="22"/>
        </w:rPr>
        <w:t>für</w:t>
      </w:r>
      <w:proofErr w:type="spellEnd"/>
      <w:r w:rsidRPr="000B4D76">
        <w:rPr>
          <w:sz w:val="22"/>
          <w:szCs w:val="22"/>
        </w:rPr>
        <w:t xml:space="preserve"> </w:t>
      </w:r>
      <w:proofErr w:type="spellStart"/>
      <w:r w:rsidRPr="000B4D76">
        <w:rPr>
          <w:sz w:val="22"/>
          <w:szCs w:val="22"/>
        </w:rPr>
        <w:t>Socialpolitik</w:t>
      </w:r>
      <w:proofErr w:type="spellEnd"/>
      <w:r w:rsidRPr="000B4D76">
        <w:rPr>
          <w:sz w:val="22"/>
          <w:szCs w:val="22"/>
        </w:rPr>
        <w:t xml:space="preserve"> / German Economic Association. </w:t>
      </w:r>
      <w:proofErr w:type="gramStart"/>
      <w:r w:rsidRPr="000B4D76">
        <w:rPr>
          <w:sz w:val="22"/>
          <w:szCs w:val="22"/>
          <w:lang w:eastAsia="zh-CN"/>
        </w:rPr>
        <w:t>Retrieved</w:t>
      </w:r>
      <w:r w:rsidRPr="000B4D76">
        <w:rPr>
          <w:sz w:val="22"/>
          <w:szCs w:val="22"/>
        </w:rPr>
        <w:t xml:space="preserve"> http://EconPapers.repec.org/RePEc:zbw:vfsc15:113215.</w:t>
      </w:r>
      <w:proofErr w:type="gramEnd"/>
    </w:p>
    <w:p w:rsidR="00406BBE" w:rsidRPr="000B4D76" w:rsidRDefault="00406BBE" w:rsidP="00CC0C4D">
      <w:pPr>
        <w:adjustRightInd w:val="0"/>
        <w:snapToGrid w:val="0"/>
        <w:spacing w:after="120"/>
        <w:ind w:left="425" w:hanging="425"/>
        <w:rPr>
          <w:sz w:val="22"/>
          <w:szCs w:val="22"/>
        </w:rPr>
      </w:pPr>
      <w:r w:rsidRPr="000B4D76">
        <w:rPr>
          <w:sz w:val="22"/>
          <w:szCs w:val="22"/>
        </w:rPr>
        <w:t>Lee, J. (2008). Sibling size and investment in children's education: An Asian instrument.</w:t>
      </w:r>
      <w:r w:rsidRPr="000B4D76">
        <w:rPr>
          <w:i/>
          <w:iCs/>
          <w:sz w:val="22"/>
          <w:szCs w:val="22"/>
        </w:rPr>
        <w:t xml:space="preserve"> Journal of Population Economics, 21</w:t>
      </w:r>
      <w:r w:rsidRPr="000B4D76">
        <w:rPr>
          <w:sz w:val="22"/>
          <w:szCs w:val="22"/>
        </w:rPr>
        <w:t>(4), 855-875.</w:t>
      </w:r>
    </w:p>
    <w:p w:rsidR="00406BBE" w:rsidRPr="000B4D76" w:rsidRDefault="00406BBE" w:rsidP="00CC0C4D">
      <w:pPr>
        <w:adjustRightInd w:val="0"/>
        <w:snapToGrid w:val="0"/>
        <w:spacing w:after="120"/>
        <w:ind w:left="425" w:hanging="425"/>
        <w:rPr>
          <w:sz w:val="22"/>
          <w:szCs w:val="22"/>
          <w:lang w:val="en-NZ"/>
        </w:rPr>
      </w:pPr>
      <w:r w:rsidRPr="000B4D76">
        <w:rPr>
          <w:sz w:val="22"/>
          <w:szCs w:val="22"/>
        </w:rPr>
        <w:t xml:space="preserve">Li, H., Yao, X., Zhang, J., </w:t>
      </w:r>
      <w:r w:rsidR="00975854" w:rsidRPr="000B4D76">
        <w:rPr>
          <w:sz w:val="22"/>
          <w:szCs w:val="22"/>
        </w:rPr>
        <w:t>and</w:t>
      </w:r>
      <w:r w:rsidRPr="000B4D76">
        <w:rPr>
          <w:sz w:val="22"/>
          <w:szCs w:val="22"/>
        </w:rPr>
        <w:t xml:space="preserve"> Zhou, L. (2005). Parental childcare and children's educational attainment: Evidence from China.</w:t>
      </w:r>
      <w:r w:rsidRPr="000B4D76">
        <w:rPr>
          <w:i/>
          <w:iCs/>
          <w:sz w:val="22"/>
          <w:szCs w:val="22"/>
        </w:rPr>
        <w:t xml:space="preserve"> Applied Economics, 37</w:t>
      </w:r>
      <w:r w:rsidRPr="000B4D76">
        <w:rPr>
          <w:sz w:val="22"/>
          <w:szCs w:val="22"/>
        </w:rPr>
        <w:t>(18), 2067-2076.</w:t>
      </w:r>
    </w:p>
    <w:p w:rsidR="00406BBE" w:rsidRPr="000B4D76" w:rsidRDefault="00406BBE" w:rsidP="00CC0C4D">
      <w:pPr>
        <w:adjustRightInd w:val="0"/>
        <w:snapToGrid w:val="0"/>
        <w:spacing w:after="120"/>
        <w:ind w:left="425" w:hanging="425"/>
        <w:rPr>
          <w:sz w:val="22"/>
          <w:szCs w:val="22"/>
          <w:lang w:val="en-NZ"/>
        </w:rPr>
      </w:pPr>
      <w:r w:rsidRPr="000B4D76">
        <w:rPr>
          <w:sz w:val="22"/>
          <w:szCs w:val="22"/>
          <w:lang w:val="en-NZ"/>
        </w:rPr>
        <w:t xml:space="preserve">Li, H., Zhang, J., </w:t>
      </w:r>
      <w:r w:rsidR="00975854" w:rsidRPr="000B4D76">
        <w:rPr>
          <w:sz w:val="22"/>
          <w:szCs w:val="22"/>
          <w:lang w:val="en-NZ"/>
        </w:rPr>
        <w:t>and</w:t>
      </w:r>
      <w:r w:rsidRPr="000B4D76">
        <w:rPr>
          <w:sz w:val="22"/>
          <w:szCs w:val="22"/>
          <w:lang w:val="en-NZ"/>
        </w:rPr>
        <w:t xml:space="preserve"> Zhu, Y. (2008). </w:t>
      </w:r>
      <w:r w:rsidRPr="000B4D76">
        <w:rPr>
          <w:sz w:val="22"/>
          <w:szCs w:val="22"/>
        </w:rPr>
        <w:t>The Quantity-Quality Trade-off of Children in a Developing Country: Identification Using Chinese Twins.</w:t>
      </w:r>
      <w:r w:rsidRPr="000B4D76">
        <w:rPr>
          <w:i/>
          <w:iCs/>
          <w:sz w:val="22"/>
          <w:szCs w:val="22"/>
        </w:rPr>
        <w:t xml:space="preserve"> Demography, 45</w:t>
      </w:r>
      <w:r w:rsidR="00E244BD" w:rsidRPr="000B4D76">
        <w:rPr>
          <w:sz w:val="22"/>
          <w:szCs w:val="22"/>
        </w:rPr>
        <w:t>(1), 223</w:t>
      </w:r>
      <w:r w:rsidR="00E244BD" w:rsidRPr="000B4D76">
        <w:rPr>
          <w:sz w:val="22"/>
          <w:szCs w:val="22"/>
        </w:rPr>
        <w:noBreakHyphen/>
      </w:r>
      <w:r w:rsidRPr="000B4D76">
        <w:rPr>
          <w:sz w:val="22"/>
          <w:szCs w:val="22"/>
        </w:rPr>
        <w:t>243.</w:t>
      </w:r>
    </w:p>
    <w:p w:rsidR="00406BBE" w:rsidRPr="000B4D76" w:rsidRDefault="00406BBE" w:rsidP="00CC0C4D">
      <w:pPr>
        <w:adjustRightInd w:val="0"/>
        <w:snapToGrid w:val="0"/>
        <w:spacing w:after="120"/>
        <w:ind w:left="425" w:hanging="425"/>
        <w:rPr>
          <w:sz w:val="22"/>
          <w:szCs w:val="22"/>
          <w:lang w:val="en-NZ"/>
        </w:rPr>
      </w:pPr>
      <w:r w:rsidRPr="000B4D76">
        <w:rPr>
          <w:sz w:val="22"/>
          <w:szCs w:val="22"/>
        </w:rPr>
        <w:lastRenderedPageBreak/>
        <w:t xml:space="preserve">Li, J. (2004). Gender inequality, family </w:t>
      </w:r>
      <w:proofErr w:type="gramStart"/>
      <w:r w:rsidRPr="000B4D76">
        <w:rPr>
          <w:sz w:val="22"/>
          <w:szCs w:val="22"/>
        </w:rPr>
        <w:t>planning,</w:t>
      </w:r>
      <w:proofErr w:type="gramEnd"/>
      <w:r w:rsidRPr="000B4D76">
        <w:rPr>
          <w:sz w:val="22"/>
          <w:szCs w:val="22"/>
        </w:rPr>
        <w:t xml:space="preserve"> and maternal and child care in a rural Chinese county.</w:t>
      </w:r>
      <w:r w:rsidRPr="000B4D76">
        <w:rPr>
          <w:i/>
          <w:iCs/>
          <w:sz w:val="22"/>
          <w:szCs w:val="22"/>
        </w:rPr>
        <w:t xml:space="preserve"> Social Science </w:t>
      </w:r>
      <w:r w:rsidR="00975854" w:rsidRPr="000B4D76">
        <w:rPr>
          <w:i/>
          <w:iCs/>
          <w:sz w:val="22"/>
          <w:szCs w:val="22"/>
        </w:rPr>
        <w:t>and</w:t>
      </w:r>
      <w:r w:rsidRPr="000B4D76">
        <w:rPr>
          <w:i/>
          <w:iCs/>
          <w:sz w:val="22"/>
          <w:szCs w:val="22"/>
        </w:rPr>
        <w:t xml:space="preserve"> Medicine, 59</w:t>
      </w:r>
      <w:r w:rsidRPr="000B4D76">
        <w:rPr>
          <w:sz w:val="22"/>
          <w:szCs w:val="22"/>
        </w:rPr>
        <w:t xml:space="preserve">(4), 695-708. </w:t>
      </w:r>
    </w:p>
    <w:p w:rsidR="00406BBE" w:rsidRPr="000B4D76" w:rsidRDefault="00C62D23" w:rsidP="00CC0C4D">
      <w:pPr>
        <w:adjustRightInd w:val="0"/>
        <w:snapToGrid w:val="0"/>
        <w:spacing w:after="120"/>
        <w:ind w:left="425" w:hanging="425"/>
        <w:rPr>
          <w:i/>
          <w:sz w:val="22"/>
          <w:szCs w:val="22"/>
        </w:rPr>
      </w:pPr>
      <w:r>
        <w:rPr>
          <w:sz w:val="22"/>
          <w:szCs w:val="22"/>
        </w:rPr>
        <w:t>Li, S; Zhang, Y.</w:t>
      </w:r>
      <w:r w:rsidR="00406BBE" w:rsidRPr="000B4D76">
        <w:rPr>
          <w:sz w:val="22"/>
          <w:szCs w:val="22"/>
        </w:rPr>
        <w:t xml:space="preserve"> </w:t>
      </w:r>
      <w:r w:rsidR="00975854" w:rsidRPr="000B4D76">
        <w:rPr>
          <w:sz w:val="22"/>
          <w:szCs w:val="22"/>
        </w:rPr>
        <w:t>and</w:t>
      </w:r>
      <w:r w:rsidR="00406BBE" w:rsidRPr="000B4D76">
        <w:rPr>
          <w:sz w:val="22"/>
          <w:szCs w:val="22"/>
        </w:rPr>
        <w:t xml:space="preserve"> Feldman, M. W. (2010) Birth Registration in China: Practices, Problems and Policies. </w:t>
      </w:r>
      <w:r w:rsidR="00406BBE" w:rsidRPr="000B4D76">
        <w:rPr>
          <w:i/>
          <w:sz w:val="22"/>
          <w:szCs w:val="22"/>
        </w:rPr>
        <w:t xml:space="preserve">Population Research and Policy Review, 29, </w:t>
      </w:r>
      <w:r w:rsidR="00406BBE" w:rsidRPr="000B4D76">
        <w:rPr>
          <w:sz w:val="22"/>
          <w:szCs w:val="22"/>
        </w:rPr>
        <w:t>297-317</w:t>
      </w:r>
      <w:r w:rsidR="00406BBE" w:rsidRPr="000B4D76">
        <w:rPr>
          <w:i/>
          <w:sz w:val="22"/>
          <w:szCs w:val="22"/>
        </w:rPr>
        <w:t xml:space="preserve">. </w:t>
      </w:r>
    </w:p>
    <w:p w:rsidR="00406BBE" w:rsidRPr="000B4D76" w:rsidRDefault="00C62D23" w:rsidP="00CC0C4D">
      <w:pPr>
        <w:adjustRightInd w:val="0"/>
        <w:snapToGrid w:val="0"/>
        <w:spacing w:after="120"/>
        <w:ind w:left="425" w:hanging="425"/>
        <w:rPr>
          <w:sz w:val="22"/>
          <w:szCs w:val="22"/>
        </w:rPr>
      </w:pPr>
      <w:r>
        <w:rPr>
          <w:sz w:val="22"/>
          <w:szCs w:val="22"/>
          <w:lang w:val="en-NZ"/>
        </w:rPr>
        <w:t>Liu, H., Fang, H.</w:t>
      </w:r>
      <w:r w:rsidR="00406BBE" w:rsidRPr="000B4D76">
        <w:rPr>
          <w:sz w:val="22"/>
          <w:szCs w:val="22"/>
          <w:lang w:val="en-NZ"/>
        </w:rPr>
        <w:t xml:space="preserve"> </w:t>
      </w:r>
      <w:r w:rsidR="00975854" w:rsidRPr="000B4D76">
        <w:rPr>
          <w:sz w:val="22"/>
          <w:szCs w:val="22"/>
          <w:lang w:val="en-NZ"/>
        </w:rPr>
        <w:t>and</w:t>
      </w:r>
      <w:r w:rsidR="00406BBE" w:rsidRPr="000B4D76">
        <w:rPr>
          <w:sz w:val="22"/>
          <w:szCs w:val="22"/>
          <w:lang w:val="en-NZ"/>
        </w:rPr>
        <w:t xml:space="preserve"> Zhao, Z. (2013). </w:t>
      </w:r>
      <w:r w:rsidR="00406BBE" w:rsidRPr="000B4D76">
        <w:rPr>
          <w:sz w:val="22"/>
          <w:szCs w:val="22"/>
        </w:rPr>
        <w:t>Urban-rural disparities of child health and nutritional status in China from 1989 to 2006.</w:t>
      </w:r>
      <w:r w:rsidR="00406BBE" w:rsidRPr="000B4D76">
        <w:rPr>
          <w:i/>
          <w:iCs/>
          <w:sz w:val="22"/>
          <w:szCs w:val="22"/>
        </w:rPr>
        <w:t xml:space="preserve"> Economics and Human Biology, 11</w:t>
      </w:r>
      <w:r w:rsidR="00406BBE" w:rsidRPr="000B4D76">
        <w:rPr>
          <w:sz w:val="22"/>
          <w:szCs w:val="22"/>
        </w:rPr>
        <w:t xml:space="preserve">(3), 294-309. </w:t>
      </w:r>
    </w:p>
    <w:p w:rsidR="00406BBE" w:rsidRPr="000B4D76" w:rsidRDefault="00406BBE" w:rsidP="00CC0C4D">
      <w:pPr>
        <w:adjustRightInd w:val="0"/>
        <w:snapToGrid w:val="0"/>
        <w:spacing w:after="120"/>
        <w:ind w:left="425" w:hanging="425"/>
        <w:rPr>
          <w:sz w:val="22"/>
          <w:szCs w:val="22"/>
        </w:rPr>
      </w:pPr>
      <w:r w:rsidRPr="000B4D76">
        <w:rPr>
          <w:sz w:val="22"/>
          <w:szCs w:val="22"/>
        </w:rPr>
        <w:t>Liu, H. (2014). The quality-quantity trade-off: Evidence from the relaxation of China’s one-child policy.</w:t>
      </w:r>
      <w:r w:rsidRPr="000B4D76">
        <w:rPr>
          <w:i/>
          <w:iCs/>
          <w:sz w:val="22"/>
          <w:szCs w:val="22"/>
        </w:rPr>
        <w:t xml:space="preserve"> Journal of Population Economics, 27</w:t>
      </w:r>
      <w:r w:rsidRPr="000B4D76">
        <w:rPr>
          <w:sz w:val="22"/>
          <w:szCs w:val="22"/>
        </w:rPr>
        <w:t>(2), 565-602.</w:t>
      </w:r>
    </w:p>
    <w:p w:rsidR="0015629C" w:rsidRPr="000B4D76" w:rsidRDefault="00C62D23" w:rsidP="00CC0C4D">
      <w:pPr>
        <w:adjustRightInd w:val="0"/>
        <w:snapToGrid w:val="0"/>
        <w:spacing w:after="120"/>
        <w:ind w:left="425" w:hanging="425"/>
        <w:rPr>
          <w:sz w:val="22"/>
          <w:szCs w:val="22"/>
        </w:rPr>
      </w:pPr>
      <w:r>
        <w:rPr>
          <w:sz w:val="22"/>
          <w:szCs w:val="22"/>
          <w:lang w:val="en-NZ"/>
        </w:rPr>
        <w:t>Lu, Y.</w:t>
      </w:r>
      <w:r w:rsidR="0015629C" w:rsidRPr="000B4D76">
        <w:rPr>
          <w:sz w:val="22"/>
          <w:szCs w:val="22"/>
          <w:lang w:val="en-NZ"/>
        </w:rPr>
        <w:t xml:space="preserve"> </w:t>
      </w:r>
      <w:r w:rsidR="00975854" w:rsidRPr="000B4D76">
        <w:rPr>
          <w:sz w:val="22"/>
          <w:szCs w:val="22"/>
          <w:lang w:val="en-NZ"/>
        </w:rPr>
        <w:t>and</w:t>
      </w:r>
      <w:r w:rsidR="0015629C" w:rsidRPr="000B4D76">
        <w:rPr>
          <w:sz w:val="22"/>
          <w:szCs w:val="22"/>
          <w:lang w:val="en-NZ"/>
        </w:rPr>
        <w:t xml:space="preserve"> </w:t>
      </w:r>
      <w:proofErr w:type="spellStart"/>
      <w:r w:rsidR="0015629C" w:rsidRPr="000B4D76">
        <w:rPr>
          <w:sz w:val="22"/>
          <w:szCs w:val="22"/>
          <w:lang w:val="en-NZ"/>
        </w:rPr>
        <w:t>Treiman</w:t>
      </w:r>
      <w:proofErr w:type="spellEnd"/>
      <w:r w:rsidR="0015629C" w:rsidRPr="000B4D76">
        <w:rPr>
          <w:sz w:val="22"/>
          <w:szCs w:val="22"/>
          <w:lang w:val="en-NZ"/>
        </w:rPr>
        <w:t xml:space="preserve">, D. J. (2008). </w:t>
      </w:r>
      <w:r w:rsidR="0015629C" w:rsidRPr="000B4D76">
        <w:rPr>
          <w:sz w:val="22"/>
          <w:szCs w:val="22"/>
        </w:rPr>
        <w:t xml:space="preserve">The Effect of </w:t>
      </w:r>
      <w:proofErr w:type="spellStart"/>
      <w:r w:rsidR="0015629C" w:rsidRPr="000B4D76">
        <w:rPr>
          <w:sz w:val="22"/>
          <w:szCs w:val="22"/>
        </w:rPr>
        <w:t>Sibship</w:t>
      </w:r>
      <w:proofErr w:type="spellEnd"/>
      <w:r w:rsidR="0015629C" w:rsidRPr="000B4D76">
        <w:rPr>
          <w:sz w:val="22"/>
          <w:szCs w:val="22"/>
        </w:rPr>
        <w:t xml:space="preserve"> Size on Educational Attainment in China: Period Variations.</w:t>
      </w:r>
      <w:r w:rsidR="0015629C" w:rsidRPr="000B4D76">
        <w:rPr>
          <w:i/>
          <w:iCs/>
          <w:sz w:val="22"/>
          <w:szCs w:val="22"/>
        </w:rPr>
        <w:t xml:space="preserve"> American Sociological Review, 73</w:t>
      </w:r>
      <w:r w:rsidR="0015629C" w:rsidRPr="000B4D76">
        <w:rPr>
          <w:sz w:val="22"/>
          <w:szCs w:val="22"/>
        </w:rPr>
        <w:t xml:space="preserve">(5), 813-834. </w:t>
      </w:r>
    </w:p>
    <w:p w:rsidR="00406BBE" w:rsidRPr="000B4D76" w:rsidRDefault="00406BBE" w:rsidP="00CC0C4D">
      <w:pPr>
        <w:adjustRightInd w:val="0"/>
        <w:snapToGrid w:val="0"/>
        <w:spacing w:after="120"/>
        <w:ind w:left="425" w:hanging="425"/>
        <w:rPr>
          <w:sz w:val="22"/>
          <w:szCs w:val="22"/>
        </w:rPr>
      </w:pPr>
      <w:r w:rsidRPr="000B4D76">
        <w:rPr>
          <w:sz w:val="22"/>
          <w:szCs w:val="22"/>
        </w:rPr>
        <w:t>Qian, N. (2009). Quantity-quality and the one child policy: the only-child disadvantage in school</w:t>
      </w:r>
      <w:r w:rsidR="00C62587" w:rsidRPr="000B4D76">
        <w:rPr>
          <w:sz w:val="22"/>
          <w:szCs w:val="22"/>
        </w:rPr>
        <w:t xml:space="preserve"> enrollment in rural C</w:t>
      </w:r>
      <w:r w:rsidR="00E244BD" w:rsidRPr="000B4D76">
        <w:rPr>
          <w:sz w:val="22"/>
          <w:szCs w:val="22"/>
        </w:rPr>
        <w:t>hina. NBER Working P</w:t>
      </w:r>
      <w:r w:rsidRPr="000B4D76">
        <w:rPr>
          <w:sz w:val="22"/>
          <w:szCs w:val="22"/>
        </w:rPr>
        <w:t xml:space="preserve">aper no. 14973. </w:t>
      </w:r>
      <w:r w:rsidRPr="000B4D76">
        <w:rPr>
          <w:i/>
          <w:sz w:val="22"/>
          <w:szCs w:val="22"/>
        </w:rPr>
        <w:t>National Bureau of Economic Research.</w:t>
      </w:r>
    </w:p>
    <w:p w:rsidR="00406BBE" w:rsidRPr="000B4D76" w:rsidRDefault="00406BBE" w:rsidP="00CC0C4D">
      <w:pPr>
        <w:adjustRightInd w:val="0"/>
        <w:snapToGrid w:val="0"/>
        <w:spacing w:after="120"/>
        <w:ind w:left="425" w:hanging="425"/>
        <w:rPr>
          <w:sz w:val="22"/>
          <w:szCs w:val="22"/>
          <w:lang w:val="en-NZ"/>
        </w:rPr>
      </w:pPr>
      <w:proofErr w:type="spellStart"/>
      <w:r w:rsidRPr="000B4D76">
        <w:rPr>
          <w:sz w:val="22"/>
          <w:szCs w:val="22"/>
          <w:lang w:val="en-NZ"/>
        </w:rPr>
        <w:t>Rosenzweig</w:t>
      </w:r>
      <w:proofErr w:type="spellEnd"/>
      <w:r w:rsidRPr="000B4D76">
        <w:rPr>
          <w:sz w:val="22"/>
          <w:szCs w:val="22"/>
          <w:lang w:val="en-NZ"/>
        </w:rPr>
        <w:t xml:space="preserve">, M. R. </w:t>
      </w:r>
      <w:r w:rsidR="00975854" w:rsidRPr="000B4D76">
        <w:rPr>
          <w:sz w:val="22"/>
          <w:szCs w:val="22"/>
          <w:lang w:val="en-NZ"/>
        </w:rPr>
        <w:t>and</w:t>
      </w:r>
      <w:r w:rsidRPr="000B4D76">
        <w:rPr>
          <w:sz w:val="22"/>
          <w:szCs w:val="22"/>
          <w:lang w:val="en-NZ"/>
        </w:rPr>
        <w:t xml:space="preserve"> </w:t>
      </w:r>
      <w:proofErr w:type="spellStart"/>
      <w:r w:rsidRPr="000B4D76">
        <w:rPr>
          <w:sz w:val="22"/>
          <w:szCs w:val="22"/>
          <w:lang w:val="en-NZ"/>
        </w:rPr>
        <w:t>Wolpin</w:t>
      </w:r>
      <w:proofErr w:type="spellEnd"/>
      <w:r w:rsidRPr="000B4D76">
        <w:rPr>
          <w:sz w:val="22"/>
          <w:szCs w:val="22"/>
          <w:lang w:val="en-NZ"/>
        </w:rPr>
        <w:t xml:space="preserve">, K.I. (1980). Testing the Quantity-Quality Fertility Model: The Use of Twins as a Natural Experiment. </w:t>
      </w:r>
      <w:r w:rsidRPr="000B4D76">
        <w:rPr>
          <w:i/>
          <w:iCs/>
          <w:sz w:val="22"/>
          <w:szCs w:val="22"/>
          <w:lang w:val="en-NZ"/>
        </w:rPr>
        <w:t>Econometrica, 48</w:t>
      </w:r>
      <w:r w:rsidRPr="000B4D76">
        <w:rPr>
          <w:sz w:val="22"/>
          <w:szCs w:val="22"/>
          <w:lang w:val="en-NZ"/>
        </w:rPr>
        <w:t>(1), 227-240.</w:t>
      </w:r>
    </w:p>
    <w:p w:rsidR="00395DBB" w:rsidRPr="000B4D76" w:rsidRDefault="00395DBB" w:rsidP="00CC0C4D">
      <w:pPr>
        <w:adjustRightInd w:val="0"/>
        <w:snapToGrid w:val="0"/>
        <w:spacing w:after="120"/>
        <w:ind w:left="425" w:hanging="425"/>
        <w:rPr>
          <w:color w:val="000000" w:themeColor="text1"/>
          <w:sz w:val="22"/>
          <w:szCs w:val="22"/>
        </w:rPr>
      </w:pPr>
      <w:r w:rsidRPr="00E7067A">
        <w:rPr>
          <w:color w:val="000000" w:themeColor="text1"/>
          <w:sz w:val="22"/>
          <w:szCs w:val="22"/>
          <w:lang w:val="de-DE"/>
        </w:rPr>
        <w:t xml:space="preserve">Rosenzweig, M. R., </w:t>
      </w:r>
      <w:r w:rsidR="00975854" w:rsidRPr="00E7067A">
        <w:rPr>
          <w:color w:val="000000" w:themeColor="text1"/>
          <w:sz w:val="22"/>
          <w:szCs w:val="22"/>
          <w:lang w:val="de-DE"/>
        </w:rPr>
        <w:t>and</w:t>
      </w:r>
      <w:r w:rsidRPr="00E7067A">
        <w:rPr>
          <w:color w:val="000000" w:themeColor="text1"/>
          <w:sz w:val="22"/>
          <w:szCs w:val="22"/>
          <w:lang w:val="de-DE"/>
        </w:rPr>
        <w:t xml:space="preserve"> Zhang, J. (2009). </w:t>
      </w:r>
      <w:r w:rsidRPr="000B4D76">
        <w:rPr>
          <w:color w:val="000000" w:themeColor="text1"/>
          <w:sz w:val="22"/>
          <w:szCs w:val="22"/>
        </w:rPr>
        <w:t xml:space="preserve">Do population control policies induce </w:t>
      </w:r>
      <w:r w:rsidR="00E244BD" w:rsidRPr="000B4D76">
        <w:rPr>
          <w:color w:val="000000" w:themeColor="text1"/>
          <w:sz w:val="22"/>
          <w:szCs w:val="22"/>
        </w:rPr>
        <w:t>more human capital investment? T</w:t>
      </w:r>
      <w:r w:rsidRPr="000B4D76">
        <w:rPr>
          <w:color w:val="000000" w:themeColor="text1"/>
          <w:sz w:val="22"/>
          <w:szCs w:val="22"/>
        </w:rPr>
        <w:t xml:space="preserve">wins, birth </w:t>
      </w:r>
      <w:r w:rsidR="00E244BD" w:rsidRPr="000B4D76">
        <w:rPr>
          <w:color w:val="000000" w:themeColor="text1"/>
          <w:sz w:val="22"/>
          <w:szCs w:val="22"/>
        </w:rPr>
        <w:t>weight and C</w:t>
      </w:r>
      <w:r w:rsidRPr="000B4D76">
        <w:rPr>
          <w:color w:val="000000" w:themeColor="text1"/>
          <w:sz w:val="22"/>
          <w:szCs w:val="22"/>
        </w:rPr>
        <w:t xml:space="preserve">hina's </w:t>
      </w:r>
      <w:r w:rsidR="00975854" w:rsidRPr="000B4D76">
        <w:rPr>
          <w:color w:val="000000" w:themeColor="text1"/>
          <w:sz w:val="22"/>
          <w:szCs w:val="22"/>
        </w:rPr>
        <w:t>'</w:t>
      </w:r>
      <w:r w:rsidRPr="000B4D76">
        <w:rPr>
          <w:color w:val="000000" w:themeColor="text1"/>
          <w:sz w:val="22"/>
          <w:szCs w:val="22"/>
        </w:rPr>
        <w:t>one-child</w:t>
      </w:r>
      <w:r w:rsidR="00975854" w:rsidRPr="000B4D76">
        <w:rPr>
          <w:color w:val="000000" w:themeColor="text1"/>
          <w:sz w:val="22"/>
          <w:szCs w:val="22"/>
        </w:rPr>
        <w:t>'</w:t>
      </w:r>
      <w:r w:rsidRPr="000B4D76">
        <w:rPr>
          <w:color w:val="000000" w:themeColor="text1"/>
          <w:sz w:val="22"/>
          <w:szCs w:val="22"/>
        </w:rPr>
        <w:t xml:space="preserve"> policy.</w:t>
      </w:r>
      <w:r w:rsidRPr="000B4D76">
        <w:rPr>
          <w:i/>
          <w:iCs/>
          <w:color w:val="000000" w:themeColor="text1"/>
          <w:sz w:val="22"/>
          <w:szCs w:val="22"/>
        </w:rPr>
        <w:t xml:space="preserve"> The Review of Economic Studies, 76</w:t>
      </w:r>
      <w:r w:rsidRPr="000B4D76">
        <w:rPr>
          <w:color w:val="000000" w:themeColor="text1"/>
          <w:sz w:val="22"/>
          <w:szCs w:val="22"/>
        </w:rPr>
        <w:t xml:space="preserve">(3), 1149-1174. </w:t>
      </w:r>
    </w:p>
    <w:p w:rsidR="00406BBE" w:rsidRPr="000B4D76" w:rsidRDefault="00406BBE" w:rsidP="00CC0C4D">
      <w:pPr>
        <w:adjustRightInd w:val="0"/>
        <w:snapToGrid w:val="0"/>
        <w:spacing w:after="120"/>
        <w:ind w:left="425" w:hanging="425"/>
        <w:rPr>
          <w:sz w:val="22"/>
          <w:szCs w:val="22"/>
          <w:lang w:val="en-NZ"/>
        </w:rPr>
      </w:pPr>
      <w:r w:rsidRPr="000B4D76">
        <w:rPr>
          <w:sz w:val="22"/>
          <w:szCs w:val="22"/>
          <w:lang w:val="en-NZ"/>
        </w:rPr>
        <w:t xml:space="preserve">Shi, Z., Lien, N., Kumar, B. N., </w:t>
      </w:r>
      <w:r w:rsidR="00975854" w:rsidRPr="000B4D76">
        <w:rPr>
          <w:sz w:val="22"/>
          <w:szCs w:val="22"/>
          <w:lang w:val="en-NZ"/>
        </w:rPr>
        <w:t>and</w:t>
      </w:r>
      <w:r w:rsidRPr="000B4D76">
        <w:rPr>
          <w:sz w:val="22"/>
          <w:szCs w:val="22"/>
          <w:lang w:val="en-NZ"/>
        </w:rPr>
        <w:t xml:space="preserve"> </w:t>
      </w:r>
      <w:proofErr w:type="spellStart"/>
      <w:r w:rsidRPr="000B4D76">
        <w:rPr>
          <w:sz w:val="22"/>
          <w:szCs w:val="22"/>
          <w:lang w:val="en-NZ"/>
        </w:rPr>
        <w:t>Holmboe-Ottesen</w:t>
      </w:r>
      <w:proofErr w:type="spellEnd"/>
      <w:r w:rsidRPr="000B4D76">
        <w:rPr>
          <w:sz w:val="22"/>
          <w:szCs w:val="22"/>
          <w:lang w:val="en-NZ"/>
        </w:rPr>
        <w:t xml:space="preserve">, G. (2005). </w:t>
      </w:r>
      <w:r w:rsidRPr="000B4D76">
        <w:rPr>
          <w:sz w:val="22"/>
          <w:szCs w:val="22"/>
        </w:rPr>
        <w:t>Socio-demographic differences in food habits and preferences of school adolescents in Jiangsu province, China.</w:t>
      </w:r>
      <w:r w:rsidRPr="000B4D76">
        <w:rPr>
          <w:i/>
          <w:iCs/>
          <w:sz w:val="22"/>
          <w:szCs w:val="22"/>
        </w:rPr>
        <w:t xml:space="preserve"> European Journal of Clinical Nutrition, 59</w:t>
      </w:r>
      <w:r w:rsidRPr="000B4D76">
        <w:rPr>
          <w:sz w:val="22"/>
          <w:szCs w:val="22"/>
        </w:rPr>
        <w:t xml:space="preserve">(12), 1439-1448. </w:t>
      </w:r>
    </w:p>
    <w:p w:rsidR="00406BBE" w:rsidRPr="000B4D76" w:rsidRDefault="00406BBE" w:rsidP="00CC0C4D">
      <w:pPr>
        <w:adjustRightInd w:val="0"/>
        <w:snapToGrid w:val="0"/>
        <w:spacing w:after="120"/>
        <w:ind w:left="425" w:hanging="425"/>
        <w:rPr>
          <w:sz w:val="22"/>
          <w:szCs w:val="22"/>
          <w:lang w:val="en-NZ"/>
        </w:rPr>
      </w:pPr>
      <w:r w:rsidRPr="000B4D76">
        <w:rPr>
          <w:sz w:val="22"/>
          <w:szCs w:val="22"/>
          <w:lang w:val="en-NZ"/>
        </w:rPr>
        <w:t>Short, S</w:t>
      </w:r>
      <w:r w:rsidR="00331525" w:rsidRPr="000B4D76">
        <w:rPr>
          <w:sz w:val="22"/>
          <w:szCs w:val="22"/>
          <w:lang w:val="en-NZ"/>
        </w:rPr>
        <w:t>.</w:t>
      </w:r>
      <w:r w:rsidRPr="000B4D76">
        <w:rPr>
          <w:sz w:val="22"/>
          <w:szCs w:val="22"/>
          <w:lang w:val="en-NZ"/>
        </w:rPr>
        <w:t xml:space="preserve"> </w:t>
      </w:r>
      <w:r w:rsidR="00975854" w:rsidRPr="000B4D76">
        <w:rPr>
          <w:sz w:val="22"/>
          <w:szCs w:val="22"/>
          <w:lang w:val="en-NZ"/>
        </w:rPr>
        <w:t>and</w:t>
      </w:r>
      <w:r w:rsidRPr="000B4D76">
        <w:rPr>
          <w:sz w:val="22"/>
          <w:szCs w:val="22"/>
          <w:lang w:val="en-NZ"/>
        </w:rPr>
        <w:t xml:space="preserve"> </w:t>
      </w:r>
      <w:proofErr w:type="spellStart"/>
      <w:r w:rsidRPr="000B4D76">
        <w:rPr>
          <w:sz w:val="22"/>
          <w:szCs w:val="22"/>
          <w:lang w:val="en-NZ"/>
        </w:rPr>
        <w:t>Zhai</w:t>
      </w:r>
      <w:proofErr w:type="spellEnd"/>
      <w:r w:rsidRPr="000B4D76">
        <w:rPr>
          <w:sz w:val="22"/>
          <w:szCs w:val="22"/>
          <w:lang w:val="en-NZ"/>
        </w:rPr>
        <w:t xml:space="preserve">, F. (1998). </w:t>
      </w:r>
      <w:r w:rsidR="00E244BD" w:rsidRPr="000B4D76">
        <w:rPr>
          <w:sz w:val="22"/>
          <w:szCs w:val="22"/>
          <w:lang w:val="en-NZ"/>
        </w:rPr>
        <w:t>Looking l</w:t>
      </w:r>
      <w:r w:rsidRPr="000B4D76">
        <w:rPr>
          <w:sz w:val="22"/>
          <w:szCs w:val="22"/>
          <w:lang w:val="en-NZ"/>
        </w:rPr>
        <w:t>ocal</w:t>
      </w:r>
      <w:r w:rsidR="00E244BD" w:rsidRPr="000B4D76">
        <w:rPr>
          <w:sz w:val="22"/>
          <w:szCs w:val="22"/>
          <w:lang w:val="en-NZ"/>
        </w:rPr>
        <w:t>ly at China’s one-child p</w:t>
      </w:r>
      <w:r w:rsidRPr="000B4D76">
        <w:rPr>
          <w:sz w:val="22"/>
          <w:szCs w:val="22"/>
          <w:lang w:val="en-NZ"/>
        </w:rPr>
        <w:t xml:space="preserve">olicy. </w:t>
      </w:r>
      <w:r w:rsidRPr="000B4D76">
        <w:rPr>
          <w:i/>
          <w:sz w:val="22"/>
          <w:szCs w:val="22"/>
          <w:lang w:val="en-NZ"/>
        </w:rPr>
        <w:t>Studies in Family Planning</w:t>
      </w:r>
      <w:r w:rsidRPr="000B4D76">
        <w:rPr>
          <w:i/>
          <w:iCs/>
          <w:sz w:val="22"/>
          <w:szCs w:val="22"/>
        </w:rPr>
        <w:t>, 29</w:t>
      </w:r>
      <w:r w:rsidRPr="000B4D76">
        <w:rPr>
          <w:sz w:val="22"/>
          <w:szCs w:val="22"/>
        </w:rPr>
        <w:t>(4), 373-387</w:t>
      </w:r>
      <w:r w:rsidRPr="000B4D76">
        <w:rPr>
          <w:sz w:val="22"/>
          <w:szCs w:val="22"/>
          <w:lang w:val="en-NZ"/>
        </w:rPr>
        <w:t xml:space="preserve">. </w:t>
      </w:r>
    </w:p>
    <w:p w:rsidR="00406BBE" w:rsidRPr="000B4D76" w:rsidRDefault="00331525" w:rsidP="00CC0C4D">
      <w:pPr>
        <w:autoSpaceDE w:val="0"/>
        <w:autoSpaceDN w:val="0"/>
        <w:adjustRightInd w:val="0"/>
        <w:snapToGrid w:val="0"/>
        <w:spacing w:after="120"/>
        <w:ind w:left="425" w:hanging="425"/>
        <w:rPr>
          <w:sz w:val="22"/>
          <w:szCs w:val="22"/>
          <w:lang w:val="en-NZ"/>
        </w:rPr>
      </w:pPr>
      <w:r w:rsidRPr="000B4D76">
        <w:rPr>
          <w:sz w:val="22"/>
          <w:szCs w:val="22"/>
        </w:rPr>
        <w:t>Short, S.</w:t>
      </w:r>
      <w:r w:rsidR="00406BBE" w:rsidRPr="000B4D76">
        <w:rPr>
          <w:sz w:val="22"/>
          <w:szCs w:val="22"/>
        </w:rPr>
        <w:t xml:space="preserve">, Xu, S., </w:t>
      </w:r>
      <w:proofErr w:type="spellStart"/>
      <w:r w:rsidR="00406BBE" w:rsidRPr="000B4D76">
        <w:rPr>
          <w:sz w:val="22"/>
          <w:szCs w:val="22"/>
        </w:rPr>
        <w:t>Zhai</w:t>
      </w:r>
      <w:proofErr w:type="spellEnd"/>
      <w:r w:rsidR="00406BBE" w:rsidRPr="000B4D76">
        <w:rPr>
          <w:sz w:val="22"/>
          <w:szCs w:val="22"/>
        </w:rPr>
        <w:t xml:space="preserve">, F. </w:t>
      </w:r>
      <w:r w:rsidR="00975854" w:rsidRPr="000B4D76">
        <w:rPr>
          <w:sz w:val="22"/>
          <w:szCs w:val="22"/>
        </w:rPr>
        <w:t>and</w:t>
      </w:r>
      <w:r w:rsidR="00406BBE" w:rsidRPr="000B4D76">
        <w:rPr>
          <w:sz w:val="22"/>
          <w:szCs w:val="22"/>
        </w:rPr>
        <w:t xml:space="preserve"> Yang, M. (2001). China's one-child policy and the care of children: An analysis using qualitative and quantitative data.</w:t>
      </w:r>
      <w:r w:rsidR="00406BBE" w:rsidRPr="000B4D76">
        <w:rPr>
          <w:i/>
          <w:iCs/>
          <w:sz w:val="22"/>
          <w:szCs w:val="22"/>
        </w:rPr>
        <w:t xml:space="preserve"> Social Forces, 79</w:t>
      </w:r>
      <w:r w:rsidR="00406BBE" w:rsidRPr="000B4D76">
        <w:rPr>
          <w:sz w:val="22"/>
          <w:szCs w:val="22"/>
        </w:rPr>
        <w:t>(3), 913-943.</w:t>
      </w:r>
    </w:p>
    <w:p w:rsidR="00406BBE" w:rsidRPr="000B4D76" w:rsidRDefault="00406BBE" w:rsidP="00CC0C4D">
      <w:pPr>
        <w:adjustRightInd w:val="0"/>
        <w:snapToGrid w:val="0"/>
        <w:spacing w:after="120"/>
        <w:ind w:left="425" w:hanging="425"/>
        <w:rPr>
          <w:sz w:val="22"/>
          <w:szCs w:val="22"/>
        </w:rPr>
      </w:pPr>
      <w:r w:rsidRPr="000B4D76">
        <w:rPr>
          <w:sz w:val="22"/>
          <w:szCs w:val="22"/>
        </w:rPr>
        <w:t xml:space="preserve">The Legislative Affairs Commission of the Standing Committee of the National People’s Congress of the People’s Republic of China. (2002) </w:t>
      </w:r>
      <w:r w:rsidRPr="000B4D76">
        <w:rPr>
          <w:i/>
          <w:sz w:val="22"/>
          <w:szCs w:val="22"/>
        </w:rPr>
        <w:t>Population and Family Planning Law of the People’s Republic of China.</w:t>
      </w:r>
      <w:r w:rsidRPr="000B4D76">
        <w:rPr>
          <w:sz w:val="22"/>
          <w:szCs w:val="22"/>
        </w:rPr>
        <w:t xml:space="preserve"> The China Population Publishing House.</w:t>
      </w:r>
    </w:p>
    <w:p w:rsidR="00406BBE" w:rsidRPr="000B4D76" w:rsidRDefault="00406BBE" w:rsidP="00CC0C4D">
      <w:pPr>
        <w:autoSpaceDE w:val="0"/>
        <w:autoSpaceDN w:val="0"/>
        <w:adjustRightInd w:val="0"/>
        <w:snapToGrid w:val="0"/>
        <w:spacing w:after="120"/>
        <w:ind w:left="425" w:hanging="425"/>
        <w:rPr>
          <w:bCs/>
          <w:sz w:val="22"/>
          <w:szCs w:val="22"/>
          <w:lang w:val="en-NZ"/>
        </w:rPr>
      </w:pPr>
      <w:r w:rsidRPr="000B4D76">
        <w:rPr>
          <w:bCs/>
          <w:sz w:val="22"/>
          <w:szCs w:val="22"/>
          <w:lang w:val="en-NZ"/>
        </w:rPr>
        <w:t xml:space="preserve">Wang, F. (2005). Can China Afford to Continue Its One-Child Policy?’ </w:t>
      </w:r>
      <w:r w:rsidRPr="000B4D76">
        <w:rPr>
          <w:i/>
          <w:iCs/>
          <w:sz w:val="22"/>
          <w:szCs w:val="22"/>
        </w:rPr>
        <w:t xml:space="preserve">Asia - Pacific Issues, </w:t>
      </w:r>
      <w:r w:rsidRPr="000B4D76">
        <w:rPr>
          <w:sz w:val="22"/>
          <w:szCs w:val="22"/>
        </w:rPr>
        <w:t>(77), 1.</w:t>
      </w:r>
    </w:p>
    <w:p w:rsidR="00406BBE" w:rsidRPr="000B4D76" w:rsidRDefault="00406BBE" w:rsidP="00CC0C4D">
      <w:pPr>
        <w:autoSpaceDE w:val="0"/>
        <w:autoSpaceDN w:val="0"/>
        <w:adjustRightInd w:val="0"/>
        <w:snapToGrid w:val="0"/>
        <w:spacing w:after="120"/>
        <w:ind w:left="425" w:hanging="425"/>
        <w:rPr>
          <w:bCs/>
          <w:i/>
          <w:sz w:val="22"/>
          <w:szCs w:val="22"/>
          <w:lang w:val="en-NZ"/>
        </w:rPr>
      </w:pPr>
      <w:r w:rsidRPr="000B4D76">
        <w:rPr>
          <w:sz w:val="22"/>
          <w:szCs w:val="22"/>
        </w:rPr>
        <w:t xml:space="preserve">Wang, Z., </w:t>
      </w:r>
      <w:proofErr w:type="spellStart"/>
      <w:r w:rsidRPr="000B4D76">
        <w:rPr>
          <w:sz w:val="22"/>
          <w:szCs w:val="22"/>
        </w:rPr>
        <w:t>Zhai</w:t>
      </w:r>
      <w:proofErr w:type="spellEnd"/>
      <w:r w:rsidRPr="000B4D76">
        <w:rPr>
          <w:sz w:val="22"/>
          <w:szCs w:val="22"/>
        </w:rPr>
        <w:t xml:space="preserve">, F., Du, S., </w:t>
      </w:r>
      <w:r w:rsidR="00975854" w:rsidRPr="000B4D76">
        <w:rPr>
          <w:sz w:val="22"/>
          <w:szCs w:val="22"/>
        </w:rPr>
        <w:t>and</w:t>
      </w:r>
      <w:r w:rsidRPr="000B4D76">
        <w:rPr>
          <w:sz w:val="22"/>
          <w:szCs w:val="22"/>
        </w:rPr>
        <w:t xml:space="preserve"> </w:t>
      </w:r>
      <w:proofErr w:type="spellStart"/>
      <w:r w:rsidRPr="000B4D76">
        <w:rPr>
          <w:sz w:val="22"/>
          <w:szCs w:val="22"/>
        </w:rPr>
        <w:t>Popkin</w:t>
      </w:r>
      <w:proofErr w:type="spellEnd"/>
      <w:r w:rsidRPr="000B4D76">
        <w:rPr>
          <w:sz w:val="22"/>
          <w:szCs w:val="22"/>
        </w:rPr>
        <w:t>, B. (2008). Dynamic shifts in Chinese eating behaviors.</w:t>
      </w:r>
      <w:r w:rsidRPr="000B4D76">
        <w:rPr>
          <w:i/>
          <w:iCs/>
          <w:sz w:val="22"/>
          <w:szCs w:val="22"/>
        </w:rPr>
        <w:t xml:space="preserve"> Asia Pacific Journal of Clinical Nutrition, 17</w:t>
      </w:r>
      <w:r w:rsidRPr="000B4D76">
        <w:rPr>
          <w:sz w:val="22"/>
          <w:szCs w:val="22"/>
        </w:rPr>
        <w:t>(1), 123-130.</w:t>
      </w:r>
    </w:p>
    <w:p w:rsidR="00FB5AC1" w:rsidRDefault="00E244BD" w:rsidP="00FB5AC1">
      <w:pPr>
        <w:adjustRightInd w:val="0"/>
        <w:snapToGrid w:val="0"/>
        <w:ind w:left="425" w:hanging="425"/>
        <w:rPr>
          <w:rFonts w:eastAsia="SimSun"/>
          <w:sz w:val="22"/>
          <w:szCs w:val="22"/>
        </w:rPr>
      </w:pPr>
      <w:r w:rsidRPr="000B4D76">
        <w:rPr>
          <w:sz w:val="22"/>
          <w:szCs w:val="22"/>
        </w:rPr>
        <w:t xml:space="preserve">World Bank. (2016). </w:t>
      </w:r>
      <w:r w:rsidRPr="000B4D76">
        <w:rPr>
          <w:rFonts w:eastAsia="SimSun"/>
          <w:i/>
          <w:sz w:val="22"/>
          <w:szCs w:val="22"/>
        </w:rPr>
        <w:t>World Development Indicators</w:t>
      </w:r>
      <w:r w:rsidRPr="000B4D76">
        <w:rPr>
          <w:rFonts w:eastAsia="SimSun"/>
          <w:sz w:val="22"/>
          <w:szCs w:val="22"/>
        </w:rPr>
        <w:t>.</w:t>
      </w:r>
    </w:p>
    <w:p w:rsidR="00E244BD" w:rsidRPr="000B4D76" w:rsidRDefault="00E244BD" w:rsidP="00CC0C4D">
      <w:pPr>
        <w:adjustRightInd w:val="0"/>
        <w:snapToGrid w:val="0"/>
        <w:spacing w:after="120"/>
        <w:ind w:left="425" w:hanging="425"/>
        <w:rPr>
          <w:sz w:val="22"/>
          <w:szCs w:val="22"/>
        </w:rPr>
      </w:pPr>
      <w:r w:rsidRPr="000B4D76">
        <w:rPr>
          <w:rFonts w:eastAsia="SimSun"/>
          <w:sz w:val="22"/>
          <w:szCs w:val="22"/>
        </w:rPr>
        <w:t xml:space="preserve"> </w:t>
      </w:r>
      <w:r w:rsidR="00FB5AC1">
        <w:rPr>
          <w:rFonts w:eastAsia="SimSun"/>
          <w:sz w:val="22"/>
          <w:szCs w:val="22"/>
        </w:rPr>
        <w:tab/>
      </w:r>
      <w:r w:rsidRPr="000B4D76">
        <w:rPr>
          <w:sz w:val="22"/>
          <w:szCs w:val="22"/>
        </w:rPr>
        <w:t xml:space="preserve">Retrieved </w:t>
      </w:r>
      <w:r w:rsidRPr="00FB5AC1">
        <w:rPr>
          <w:rFonts w:eastAsia="SimSun"/>
          <w:sz w:val="22"/>
          <w:szCs w:val="22"/>
        </w:rPr>
        <w:t>http://data.worldbank.org/indicator/SP.DYN.TFRT.IN</w:t>
      </w:r>
    </w:p>
    <w:p w:rsidR="00FB5AC1" w:rsidRPr="000B4D76" w:rsidRDefault="00406BBE" w:rsidP="00FB5AC1">
      <w:pPr>
        <w:adjustRightInd w:val="0"/>
        <w:snapToGrid w:val="0"/>
        <w:spacing w:after="120"/>
        <w:ind w:left="425" w:hanging="425"/>
        <w:rPr>
          <w:sz w:val="22"/>
          <w:szCs w:val="22"/>
          <w:lang w:val="en-NZ"/>
        </w:rPr>
      </w:pPr>
      <w:r w:rsidRPr="000B4D76">
        <w:rPr>
          <w:sz w:val="22"/>
          <w:szCs w:val="22"/>
          <w:lang w:val="en-NZ" w:eastAsia="zh-CN"/>
        </w:rPr>
        <w:t xml:space="preserve">World Health Organization. (2007). </w:t>
      </w:r>
      <w:r w:rsidRPr="000B4D76">
        <w:rPr>
          <w:i/>
          <w:sz w:val="22"/>
          <w:szCs w:val="22"/>
          <w:lang w:val="en-NZ" w:eastAsia="zh-CN"/>
        </w:rPr>
        <w:t>Computation of Centiles and Z-Scores for Height-For-Age, Weight-For-Age and BMI-For-Age.</w:t>
      </w:r>
      <w:r w:rsidRPr="000B4D76">
        <w:rPr>
          <w:sz w:val="22"/>
          <w:szCs w:val="22"/>
          <w:lang w:val="en-NZ" w:eastAsia="zh-CN"/>
        </w:rPr>
        <w:t xml:space="preserve"> </w:t>
      </w:r>
      <w:r w:rsidR="00FB5AC1">
        <w:rPr>
          <w:sz w:val="22"/>
          <w:szCs w:val="22"/>
          <w:lang w:val="en-NZ" w:eastAsia="zh-CN"/>
        </w:rPr>
        <w:t xml:space="preserve"> </w:t>
      </w:r>
      <w:proofErr w:type="gramStart"/>
      <w:r w:rsidR="00FB5AC1" w:rsidRPr="000B4D76">
        <w:rPr>
          <w:sz w:val="22"/>
          <w:szCs w:val="22"/>
          <w:lang w:val="en-NZ" w:eastAsia="zh-CN"/>
        </w:rPr>
        <w:t>Retrieved</w:t>
      </w:r>
      <w:r w:rsidR="00FB5AC1">
        <w:rPr>
          <w:sz w:val="22"/>
          <w:szCs w:val="22"/>
          <w:lang w:val="en-NZ" w:eastAsia="zh-CN"/>
        </w:rPr>
        <w:t xml:space="preserve"> </w:t>
      </w:r>
      <w:r w:rsidR="00FB5AC1" w:rsidRPr="000B4D76">
        <w:rPr>
          <w:sz w:val="22"/>
          <w:szCs w:val="22"/>
          <w:lang w:val="en-NZ" w:eastAsia="zh-CN"/>
        </w:rPr>
        <w:t xml:space="preserve"> http</w:t>
      </w:r>
      <w:proofErr w:type="gramEnd"/>
      <w:r w:rsidR="00FB5AC1" w:rsidRPr="000B4D76">
        <w:rPr>
          <w:sz w:val="22"/>
          <w:szCs w:val="22"/>
          <w:lang w:val="en-NZ" w:eastAsia="zh-CN"/>
        </w:rPr>
        <w:t>://www.who.int/growthref/computation.pdf.</w:t>
      </w:r>
    </w:p>
    <w:p w:rsidR="00406BBE" w:rsidRPr="000B4D76" w:rsidRDefault="00406BBE" w:rsidP="00CC0C4D">
      <w:pPr>
        <w:adjustRightInd w:val="0"/>
        <w:snapToGrid w:val="0"/>
        <w:spacing w:after="120"/>
        <w:ind w:left="425" w:hanging="425"/>
        <w:rPr>
          <w:sz w:val="22"/>
          <w:szCs w:val="22"/>
          <w:lang w:val="en-NZ" w:eastAsia="zh-CN"/>
        </w:rPr>
      </w:pPr>
      <w:r w:rsidRPr="000B4D76">
        <w:rPr>
          <w:sz w:val="22"/>
          <w:szCs w:val="22"/>
          <w:lang w:val="en-NZ" w:eastAsia="zh-CN"/>
        </w:rPr>
        <w:t xml:space="preserve"> Xinhua Net (Chinese). (2015). Retrieved from http://news.xinhuanet.com/health/2015-10/30/c_128374158.htm</w:t>
      </w:r>
    </w:p>
    <w:p w:rsidR="00406BBE" w:rsidRPr="000B4D76" w:rsidRDefault="00406BBE" w:rsidP="00CC0C4D">
      <w:pPr>
        <w:adjustRightInd w:val="0"/>
        <w:snapToGrid w:val="0"/>
        <w:spacing w:after="120"/>
        <w:ind w:left="425" w:hanging="425"/>
        <w:rPr>
          <w:color w:val="000000" w:themeColor="text1"/>
          <w:sz w:val="22"/>
          <w:szCs w:val="22"/>
          <w:lang w:val="en-NZ"/>
        </w:rPr>
      </w:pPr>
      <w:r w:rsidRPr="000B4D76">
        <w:rPr>
          <w:sz w:val="22"/>
          <w:szCs w:val="22"/>
        </w:rPr>
        <w:t>Yang, J. (2007). China's one-child policy and overweight children in the 1990s.</w:t>
      </w:r>
      <w:r w:rsidRPr="000B4D76">
        <w:rPr>
          <w:i/>
          <w:iCs/>
          <w:sz w:val="22"/>
          <w:szCs w:val="22"/>
        </w:rPr>
        <w:t xml:space="preserve"> Social </w:t>
      </w:r>
      <w:r w:rsidRPr="000B4D76">
        <w:rPr>
          <w:i/>
          <w:iCs/>
          <w:color w:val="000000" w:themeColor="text1"/>
          <w:sz w:val="22"/>
          <w:szCs w:val="22"/>
        </w:rPr>
        <w:t xml:space="preserve">Science </w:t>
      </w:r>
      <w:r w:rsidR="00975854" w:rsidRPr="000B4D76">
        <w:rPr>
          <w:i/>
          <w:iCs/>
          <w:color w:val="000000" w:themeColor="text1"/>
          <w:sz w:val="22"/>
          <w:szCs w:val="22"/>
        </w:rPr>
        <w:t>and</w:t>
      </w:r>
      <w:r w:rsidRPr="000B4D76">
        <w:rPr>
          <w:i/>
          <w:iCs/>
          <w:color w:val="000000" w:themeColor="text1"/>
          <w:sz w:val="22"/>
          <w:szCs w:val="22"/>
        </w:rPr>
        <w:t xml:space="preserve"> Medicine, 64</w:t>
      </w:r>
      <w:r w:rsidRPr="000B4D76">
        <w:rPr>
          <w:color w:val="000000" w:themeColor="text1"/>
          <w:sz w:val="22"/>
          <w:szCs w:val="22"/>
        </w:rPr>
        <w:t xml:space="preserve">(10), 2043-2057. </w:t>
      </w:r>
    </w:p>
    <w:p w:rsidR="00406BBE" w:rsidRDefault="00406BBE" w:rsidP="00CC0C4D">
      <w:pPr>
        <w:adjustRightInd w:val="0"/>
        <w:snapToGrid w:val="0"/>
        <w:spacing w:after="120"/>
        <w:ind w:left="425" w:hanging="425"/>
        <w:rPr>
          <w:color w:val="000000" w:themeColor="text1"/>
          <w:sz w:val="22"/>
          <w:szCs w:val="22"/>
          <w:lang w:eastAsia="zh-CN"/>
        </w:rPr>
      </w:pPr>
      <w:r w:rsidRPr="000B4D76">
        <w:rPr>
          <w:color w:val="000000" w:themeColor="text1"/>
          <w:sz w:val="22"/>
          <w:szCs w:val="22"/>
          <w:lang w:eastAsia="zh-CN"/>
        </w:rPr>
        <w:t xml:space="preserve">Zhang, J., Xu, P. </w:t>
      </w:r>
      <w:r w:rsidR="00975854" w:rsidRPr="000B4D76">
        <w:rPr>
          <w:color w:val="000000" w:themeColor="text1"/>
          <w:sz w:val="22"/>
          <w:szCs w:val="22"/>
          <w:lang w:eastAsia="zh-CN"/>
        </w:rPr>
        <w:t>and</w:t>
      </w:r>
      <w:r w:rsidRPr="000B4D76">
        <w:rPr>
          <w:color w:val="000000" w:themeColor="text1"/>
          <w:sz w:val="22"/>
          <w:szCs w:val="22"/>
          <w:lang w:eastAsia="zh-CN"/>
        </w:rPr>
        <w:t xml:space="preserve"> Liu, Feng. (2016) One-child policy and childhood obesity. </w:t>
      </w:r>
      <w:r w:rsidRPr="000B4D76">
        <w:rPr>
          <w:i/>
          <w:color w:val="000000" w:themeColor="text1"/>
          <w:sz w:val="22"/>
          <w:szCs w:val="22"/>
          <w:lang w:eastAsia="zh-CN"/>
        </w:rPr>
        <w:t xml:space="preserve">China Economic Review </w:t>
      </w:r>
      <w:r w:rsidRPr="000B4D76">
        <w:rPr>
          <w:color w:val="000000" w:themeColor="text1"/>
          <w:sz w:val="22"/>
          <w:szCs w:val="22"/>
          <w:lang w:eastAsia="zh-CN"/>
        </w:rPr>
        <w:t xml:space="preserve">(2016), </w:t>
      </w:r>
      <w:r w:rsidR="00DC65BA" w:rsidRPr="00D53EB4">
        <w:rPr>
          <w:sz w:val="22"/>
          <w:szCs w:val="22"/>
          <w:lang w:eastAsia="zh-CN"/>
        </w:rPr>
        <w:t>http://dx.doi.org/10.1016/j.chieco.2016.05.003</w:t>
      </w:r>
    </w:p>
    <w:p w:rsidR="00DC65BA" w:rsidRPr="000B4D76" w:rsidRDefault="00DC65BA" w:rsidP="00CC0C4D">
      <w:pPr>
        <w:adjustRightInd w:val="0"/>
        <w:snapToGrid w:val="0"/>
        <w:spacing w:after="120"/>
        <w:ind w:left="425" w:hanging="425"/>
        <w:rPr>
          <w:color w:val="000000" w:themeColor="text1"/>
          <w:sz w:val="22"/>
          <w:szCs w:val="22"/>
          <w:lang w:eastAsia="zh-CN"/>
        </w:rPr>
      </w:pPr>
      <w:r w:rsidRPr="000B4D76">
        <w:rPr>
          <w:sz w:val="22"/>
          <w:szCs w:val="22"/>
        </w:rPr>
        <w:t>Zhu, W. X. (2003). The One Child Family</w:t>
      </w:r>
      <w:r>
        <w:rPr>
          <w:sz w:val="22"/>
          <w:szCs w:val="22"/>
        </w:rPr>
        <w:t xml:space="preserve"> </w:t>
      </w:r>
      <w:proofErr w:type="spellStart"/>
      <w:r w:rsidRPr="000B4D76">
        <w:rPr>
          <w:sz w:val="22"/>
          <w:szCs w:val="22"/>
        </w:rPr>
        <w:t>Policy.</w:t>
      </w:r>
      <w:r>
        <w:rPr>
          <w:i/>
          <w:iCs/>
          <w:sz w:val="22"/>
          <w:szCs w:val="22"/>
        </w:rPr>
        <w:t>A</w:t>
      </w:r>
      <w:r w:rsidRPr="000B4D76">
        <w:rPr>
          <w:i/>
          <w:iCs/>
          <w:sz w:val="22"/>
          <w:szCs w:val="22"/>
        </w:rPr>
        <w:t>rchives</w:t>
      </w:r>
      <w:proofErr w:type="spellEnd"/>
      <w:r w:rsidRPr="000B4D76">
        <w:rPr>
          <w:i/>
          <w:iCs/>
          <w:sz w:val="22"/>
          <w:szCs w:val="22"/>
        </w:rPr>
        <w:t xml:space="preserve"> of Disease in Childhood, 88</w:t>
      </w:r>
      <w:r w:rsidRPr="000B4D76">
        <w:rPr>
          <w:sz w:val="22"/>
          <w:szCs w:val="22"/>
        </w:rPr>
        <w:t>(6), 463-464.</w:t>
      </w:r>
    </w:p>
    <w:tbl>
      <w:tblPr>
        <w:tblW w:w="8797" w:type="dxa"/>
        <w:tblLayout w:type="fixed"/>
        <w:tblCellMar>
          <w:left w:w="28" w:type="dxa"/>
          <w:right w:w="28" w:type="dxa"/>
        </w:tblCellMar>
        <w:tblLook w:val="04A0" w:firstRow="1" w:lastRow="0" w:firstColumn="1" w:lastColumn="0" w:noHBand="0" w:noVBand="1"/>
      </w:tblPr>
      <w:tblGrid>
        <w:gridCol w:w="5013"/>
        <w:gridCol w:w="1261"/>
        <w:gridCol w:w="1261"/>
        <w:gridCol w:w="1262"/>
      </w:tblGrid>
      <w:tr w:rsidR="007351CA" w:rsidRPr="005827A1" w:rsidTr="00AE79F6">
        <w:tc>
          <w:tcPr>
            <w:tcW w:w="5013" w:type="dxa"/>
            <w:tcBorders>
              <w:top w:val="nil"/>
              <w:left w:val="nil"/>
              <w:bottom w:val="nil"/>
              <w:right w:val="nil"/>
            </w:tcBorders>
            <w:shd w:val="clear" w:color="auto" w:fill="auto"/>
            <w:vAlign w:val="bottom"/>
          </w:tcPr>
          <w:p w:rsidR="007351CA" w:rsidRPr="00FF3C66" w:rsidRDefault="00DC65BA" w:rsidP="00DC65BA">
            <w:pPr>
              <w:spacing w:after="200" w:line="276" w:lineRule="auto"/>
              <w:jc w:val="left"/>
              <w:rPr>
                <w:i/>
                <w:iCs/>
                <w:color w:val="000000"/>
                <w:sz w:val="22"/>
                <w:szCs w:val="22"/>
              </w:rPr>
            </w:pPr>
            <w:r w:rsidRPr="000B4D76">
              <w:rPr>
                <w:sz w:val="22"/>
                <w:szCs w:val="22"/>
              </w:rPr>
              <w:t xml:space="preserve"> </w:t>
            </w:r>
            <w:bookmarkStart w:id="17" w:name="_Ref356754511"/>
          </w:p>
        </w:tc>
        <w:tc>
          <w:tcPr>
            <w:tcW w:w="1261" w:type="dxa"/>
            <w:tcBorders>
              <w:top w:val="nil"/>
              <w:left w:val="nil"/>
              <w:bottom w:val="nil"/>
              <w:right w:val="nil"/>
            </w:tcBorders>
            <w:shd w:val="clear" w:color="auto" w:fill="auto"/>
            <w:noWrap/>
            <w:vAlign w:val="bottom"/>
          </w:tcPr>
          <w:p w:rsidR="007351CA" w:rsidRPr="00FF3C66" w:rsidRDefault="007351CA" w:rsidP="00F1102D">
            <w:pPr>
              <w:spacing w:line="288" w:lineRule="auto"/>
              <w:jc w:val="center"/>
              <w:rPr>
                <w:color w:val="000000"/>
                <w:sz w:val="22"/>
                <w:szCs w:val="22"/>
              </w:rPr>
            </w:pPr>
          </w:p>
        </w:tc>
        <w:tc>
          <w:tcPr>
            <w:tcW w:w="1261" w:type="dxa"/>
            <w:tcBorders>
              <w:top w:val="nil"/>
              <w:left w:val="nil"/>
              <w:bottom w:val="nil"/>
              <w:right w:val="nil"/>
            </w:tcBorders>
            <w:shd w:val="clear" w:color="auto" w:fill="auto"/>
            <w:noWrap/>
            <w:vAlign w:val="bottom"/>
          </w:tcPr>
          <w:p w:rsidR="007351CA" w:rsidRPr="00FF3C66" w:rsidRDefault="007351CA" w:rsidP="00F1102D">
            <w:pPr>
              <w:spacing w:line="288" w:lineRule="auto"/>
              <w:jc w:val="center"/>
              <w:rPr>
                <w:color w:val="000000"/>
                <w:sz w:val="22"/>
                <w:szCs w:val="22"/>
              </w:rPr>
            </w:pPr>
          </w:p>
        </w:tc>
        <w:tc>
          <w:tcPr>
            <w:tcW w:w="1262" w:type="dxa"/>
            <w:tcBorders>
              <w:top w:val="nil"/>
              <w:left w:val="nil"/>
              <w:bottom w:val="nil"/>
              <w:right w:val="nil"/>
            </w:tcBorders>
            <w:shd w:val="clear" w:color="auto" w:fill="auto"/>
            <w:noWrap/>
            <w:vAlign w:val="bottom"/>
          </w:tcPr>
          <w:p w:rsidR="007351CA" w:rsidRPr="00FF3C66" w:rsidRDefault="007351CA" w:rsidP="00F1102D">
            <w:pPr>
              <w:spacing w:line="288" w:lineRule="auto"/>
              <w:jc w:val="center"/>
              <w:rPr>
                <w:color w:val="000000"/>
                <w:sz w:val="22"/>
                <w:szCs w:val="22"/>
              </w:rPr>
            </w:pPr>
          </w:p>
        </w:tc>
      </w:tr>
    </w:tbl>
    <w:bookmarkEnd w:id="17"/>
    <w:p w:rsidR="00C62D23" w:rsidRDefault="008B578B" w:rsidP="00C62D23">
      <w:pPr>
        <w:pStyle w:val="Caption"/>
        <w:jc w:val="center"/>
        <w:rPr>
          <w:rFonts w:ascii="Times New Roman" w:hAnsi="Times New Roman" w:cs="Times New Roman"/>
          <w:b/>
          <w:sz w:val="22"/>
          <w:szCs w:val="22"/>
        </w:rPr>
      </w:pPr>
      <w:r>
        <w:rPr>
          <w:rFonts w:ascii="Times New Roman" w:hAnsi="Times New Roman" w:cs="Times New Roman"/>
          <w:b/>
          <w:sz w:val="22"/>
          <w:szCs w:val="22"/>
        </w:rPr>
        <w:br/>
      </w:r>
      <w:r w:rsidR="006603B8" w:rsidRPr="006603B8">
        <w:rPr>
          <w:rFonts w:ascii="Times New Roman" w:hAnsi="Times New Roman" w:cs="Times New Roman"/>
          <w:b/>
          <w:sz w:val="22"/>
          <w:szCs w:val="22"/>
        </w:rPr>
        <w:lastRenderedPageBreak/>
        <w:t xml:space="preserve">Appendix </w:t>
      </w:r>
      <w:r w:rsidR="006603B8" w:rsidRPr="006603B8">
        <w:rPr>
          <w:rFonts w:ascii="Times New Roman" w:hAnsi="Times New Roman" w:cs="Times New Roman"/>
          <w:b/>
          <w:sz w:val="22"/>
          <w:szCs w:val="22"/>
        </w:rPr>
        <w:fldChar w:fldCharType="begin"/>
      </w:r>
      <w:r w:rsidR="006603B8" w:rsidRPr="006603B8">
        <w:rPr>
          <w:rFonts w:ascii="Times New Roman" w:hAnsi="Times New Roman" w:cs="Times New Roman"/>
          <w:b/>
          <w:sz w:val="22"/>
          <w:szCs w:val="22"/>
        </w:rPr>
        <w:instrText xml:space="preserve"> SEQ Appendix \* ARABIC </w:instrText>
      </w:r>
      <w:r w:rsidR="006603B8" w:rsidRPr="006603B8">
        <w:rPr>
          <w:rFonts w:ascii="Times New Roman" w:hAnsi="Times New Roman" w:cs="Times New Roman"/>
          <w:b/>
          <w:sz w:val="22"/>
          <w:szCs w:val="22"/>
        </w:rPr>
        <w:fldChar w:fldCharType="separate"/>
      </w:r>
      <w:r w:rsidR="004A5E7B">
        <w:rPr>
          <w:rFonts w:ascii="Times New Roman" w:hAnsi="Times New Roman" w:cs="Times New Roman"/>
          <w:b/>
          <w:noProof/>
          <w:sz w:val="22"/>
          <w:szCs w:val="22"/>
        </w:rPr>
        <w:t>1</w:t>
      </w:r>
      <w:r w:rsidR="006603B8" w:rsidRPr="006603B8">
        <w:rPr>
          <w:rFonts w:ascii="Times New Roman" w:hAnsi="Times New Roman" w:cs="Times New Roman"/>
          <w:b/>
          <w:sz w:val="22"/>
          <w:szCs w:val="22"/>
        </w:rPr>
        <w:fldChar w:fldCharType="end"/>
      </w:r>
    </w:p>
    <w:p w:rsidR="006603B8" w:rsidRPr="006603B8" w:rsidRDefault="006603B8" w:rsidP="00C62D23">
      <w:pPr>
        <w:pStyle w:val="Caption"/>
        <w:jc w:val="center"/>
        <w:rPr>
          <w:rFonts w:ascii="Times New Roman" w:hAnsi="Times New Roman" w:cs="Times New Roman"/>
          <w:b/>
          <w:sz w:val="22"/>
          <w:szCs w:val="22"/>
        </w:rPr>
      </w:pPr>
      <w:r w:rsidRPr="006603B8">
        <w:rPr>
          <w:rFonts w:ascii="Times New Roman" w:hAnsi="Times New Roman" w:cs="Times New Roman"/>
          <w:b/>
          <w:sz w:val="22"/>
          <w:szCs w:val="22"/>
        </w:rPr>
        <w:t>Time Trend of the Total Fertility Rate in China, 1977-2009</w:t>
      </w:r>
    </w:p>
    <w:p w:rsidR="006603B8" w:rsidRPr="006603B8" w:rsidRDefault="006603B8" w:rsidP="006603B8">
      <w:pPr>
        <w:spacing w:line="288" w:lineRule="auto"/>
        <w:rPr>
          <w:sz w:val="12"/>
          <w:szCs w:val="12"/>
          <w:lang w:val="en-NZ"/>
        </w:rPr>
      </w:pPr>
    </w:p>
    <w:p w:rsidR="006603B8" w:rsidRPr="005827A1" w:rsidRDefault="006603B8" w:rsidP="00D53EB4">
      <w:pPr>
        <w:spacing w:line="288" w:lineRule="auto"/>
        <w:ind w:left="720" w:hanging="720"/>
        <w:jc w:val="center"/>
      </w:pPr>
      <w:r w:rsidRPr="005827A1">
        <w:rPr>
          <w:noProof/>
          <w:lang w:val="en-NZ" w:eastAsia="en-NZ" w:bidi="ar-SA"/>
        </w:rPr>
        <w:drawing>
          <wp:inline distT="0" distB="0" distL="0" distR="0" wp14:anchorId="1712B956" wp14:editId="445CD96E">
            <wp:extent cx="5280660" cy="382524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280660" cy="3825240"/>
                    </a:xfrm>
                    <a:prstGeom prst="rect">
                      <a:avLst/>
                    </a:prstGeom>
                    <a:noFill/>
                    <a:ln w="9525">
                      <a:noFill/>
                      <a:miter lim="800000"/>
                      <a:headEnd/>
                      <a:tailEnd/>
                    </a:ln>
                  </pic:spPr>
                </pic:pic>
              </a:graphicData>
            </a:graphic>
          </wp:inline>
        </w:drawing>
      </w:r>
    </w:p>
    <w:p w:rsidR="00D53EB4" w:rsidRDefault="006603B8" w:rsidP="00C62D23">
      <w:pPr>
        <w:adjustRightInd w:val="0"/>
        <w:snapToGrid w:val="0"/>
        <w:contextualSpacing/>
        <w:rPr>
          <w:rFonts w:eastAsia="SimSun"/>
          <w:sz w:val="20"/>
          <w:szCs w:val="20"/>
        </w:rPr>
      </w:pPr>
      <w:r w:rsidRPr="006603B8">
        <w:rPr>
          <w:rFonts w:eastAsia="SimSun"/>
          <w:i/>
          <w:sz w:val="20"/>
          <w:szCs w:val="20"/>
        </w:rPr>
        <w:t>Sources</w:t>
      </w:r>
      <w:r w:rsidRPr="006603B8">
        <w:rPr>
          <w:rFonts w:eastAsia="SimSun"/>
          <w:sz w:val="20"/>
          <w:szCs w:val="20"/>
        </w:rPr>
        <w:t xml:space="preserve"> </w:t>
      </w:r>
    </w:p>
    <w:p w:rsidR="006603B8" w:rsidRPr="006603B8" w:rsidRDefault="006603B8" w:rsidP="00C62D23">
      <w:pPr>
        <w:adjustRightInd w:val="0"/>
        <w:snapToGrid w:val="0"/>
        <w:contextualSpacing/>
        <w:rPr>
          <w:rFonts w:eastAsia="SimSun"/>
          <w:sz w:val="20"/>
          <w:szCs w:val="20"/>
        </w:rPr>
      </w:pPr>
      <w:r w:rsidRPr="006603B8">
        <w:rPr>
          <w:rFonts w:eastAsia="SimSun"/>
          <w:sz w:val="20"/>
          <w:szCs w:val="20"/>
        </w:rPr>
        <w:t xml:space="preserve">World Development Indicators </w:t>
      </w:r>
    </w:p>
    <w:p w:rsidR="006603B8" w:rsidRDefault="006603B8" w:rsidP="00C62D23">
      <w:pPr>
        <w:adjustRightInd w:val="0"/>
        <w:snapToGrid w:val="0"/>
        <w:contextualSpacing/>
        <w:rPr>
          <w:sz w:val="20"/>
          <w:szCs w:val="20"/>
        </w:rPr>
      </w:pPr>
      <w:r w:rsidRPr="006603B8">
        <w:rPr>
          <w:rFonts w:eastAsia="SimSun"/>
          <w:sz w:val="20"/>
          <w:szCs w:val="20"/>
        </w:rPr>
        <w:t>http://data.worldbank.org/indicator/SP.DYN.TFRT.IN</w:t>
      </w:r>
      <w:r w:rsidRPr="006603B8">
        <w:rPr>
          <w:sz w:val="20"/>
          <w:szCs w:val="20"/>
        </w:rPr>
        <w:t xml:space="preserve">, retrieved September 2016. </w:t>
      </w:r>
    </w:p>
    <w:p w:rsidR="00C62D23" w:rsidRPr="00C62D23" w:rsidRDefault="00C62D23" w:rsidP="00C62D23">
      <w:pPr>
        <w:adjustRightInd w:val="0"/>
        <w:snapToGrid w:val="0"/>
        <w:contextualSpacing/>
        <w:rPr>
          <w:sz w:val="8"/>
          <w:szCs w:val="8"/>
        </w:rPr>
      </w:pPr>
    </w:p>
    <w:p w:rsidR="00D53EB4" w:rsidRDefault="00D53EB4" w:rsidP="00C62D23">
      <w:pPr>
        <w:adjustRightInd w:val="0"/>
        <w:snapToGrid w:val="0"/>
        <w:contextualSpacing/>
        <w:rPr>
          <w:sz w:val="20"/>
          <w:szCs w:val="20"/>
        </w:rPr>
      </w:pPr>
      <w:r>
        <w:rPr>
          <w:i/>
          <w:sz w:val="20"/>
          <w:szCs w:val="20"/>
        </w:rPr>
        <w:t>Source Note</w:t>
      </w:r>
      <w:r w:rsidR="006603B8" w:rsidRPr="006603B8">
        <w:rPr>
          <w:sz w:val="20"/>
          <w:szCs w:val="20"/>
        </w:rPr>
        <w:t xml:space="preserve"> </w:t>
      </w:r>
    </w:p>
    <w:p w:rsidR="006603B8" w:rsidRPr="006603B8" w:rsidRDefault="006603B8" w:rsidP="00C62D23">
      <w:pPr>
        <w:adjustRightInd w:val="0"/>
        <w:snapToGrid w:val="0"/>
        <w:contextualSpacing/>
        <w:rPr>
          <w:sz w:val="20"/>
          <w:szCs w:val="20"/>
        </w:rPr>
      </w:pPr>
      <w:r w:rsidRPr="006603B8">
        <w:rPr>
          <w:rFonts w:eastAsia="SimSun"/>
          <w:sz w:val="20"/>
          <w:szCs w:val="20"/>
        </w:rPr>
        <w:t>Total fertility rate represents the number of children that would be born to a woman if she were to live to the end of her childbearing years and bear children in accordance with age-specific fertility rates of the specified year.</w:t>
      </w:r>
    </w:p>
    <w:p w:rsidR="006603B8" w:rsidRDefault="006603B8" w:rsidP="006603B8">
      <w:pPr>
        <w:adjustRightInd w:val="0"/>
        <w:snapToGrid w:val="0"/>
        <w:spacing w:line="288" w:lineRule="auto"/>
        <w:contextualSpacing/>
        <w:rPr>
          <w:sz w:val="20"/>
          <w:szCs w:val="20"/>
        </w:rPr>
      </w:pPr>
    </w:p>
    <w:p w:rsidR="00C62D23" w:rsidRPr="006603B8" w:rsidRDefault="00C62D23" w:rsidP="006603B8">
      <w:pPr>
        <w:adjustRightInd w:val="0"/>
        <w:snapToGrid w:val="0"/>
        <w:spacing w:line="288" w:lineRule="auto"/>
        <w:contextualSpacing/>
        <w:rPr>
          <w:sz w:val="20"/>
          <w:szCs w:val="20"/>
        </w:rPr>
      </w:pPr>
    </w:p>
    <w:p w:rsidR="006603B8" w:rsidRPr="005827A1" w:rsidRDefault="006603B8" w:rsidP="006603B8">
      <w:pPr>
        <w:adjustRightInd w:val="0"/>
        <w:snapToGrid w:val="0"/>
        <w:spacing w:line="288" w:lineRule="auto"/>
        <w:contextualSpacing/>
      </w:pPr>
    </w:p>
    <w:p w:rsidR="00C62D23" w:rsidRDefault="006603B8" w:rsidP="00C62D23">
      <w:pPr>
        <w:pStyle w:val="Caption"/>
        <w:jc w:val="center"/>
        <w:rPr>
          <w:rFonts w:ascii="Times New Roman" w:hAnsi="Times New Roman" w:cs="Times New Roman"/>
          <w:b/>
          <w:noProof/>
          <w:sz w:val="22"/>
          <w:szCs w:val="22"/>
        </w:rPr>
      </w:pPr>
      <w:r w:rsidRPr="006603B8">
        <w:rPr>
          <w:rFonts w:ascii="Times New Roman" w:hAnsi="Times New Roman" w:cs="Times New Roman"/>
          <w:b/>
          <w:sz w:val="22"/>
          <w:szCs w:val="22"/>
        </w:rPr>
        <w:t xml:space="preserve">Appendix </w:t>
      </w:r>
      <w:r w:rsidRPr="006603B8">
        <w:rPr>
          <w:rFonts w:ascii="Times New Roman" w:hAnsi="Times New Roman" w:cs="Times New Roman"/>
          <w:b/>
          <w:sz w:val="22"/>
          <w:szCs w:val="22"/>
        </w:rPr>
        <w:fldChar w:fldCharType="begin"/>
      </w:r>
      <w:r w:rsidRPr="006603B8">
        <w:rPr>
          <w:rFonts w:ascii="Times New Roman" w:hAnsi="Times New Roman" w:cs="Times New Roman"/>
          <w:b/>
          <w:sz w:val="22"/>
          <w:szCs w:val="22"/>
        </w:rPr>
        <w:instrText xml:space="preserve"> SEQ Appendix \* ARABIC </w:instrText>
      </w:r>
      <w:r w:rsidRPr="006603B8">
        <w:rPr>
          <w:rFonts w:ascii="Times New Roman" w:hAnsi="Times New Roman" w:cs="Times New Roman"/>
          <w:b/>
          <w:sz w:val="22"/>
          <w:szCs w:val="22"/>
        </w:rPr>
        <w:fldChar w:fldCharType="separate"/>
      </w:r>
      <w:r w:rsidR="004A5E7B">
        <w:rPr>
          <w:rFonts w:ascii="Times New Roman" w:hAnsi="Times New Roman" w:cs="Times New Roman"/>
          <w:b/>
          <w:noProof/>
          <w:sz w:val="22"/>
          <w:szCs w:val="22"/>
        </w:rPr>
        <w:t>2</w:t>
      </w:r>
      <w:r w:rsidRPr="006603B8">
        <w:rPr>
          <w:rFonts w:ascii="Times New Roman" w:hAnsi="Times New Roman" w:cs="Times New Roman"/>
          <w:b/>
          <w:noProof/>
          <w:sz w:val="22"/>
          <w:szCs w:val="22"/>
        </w:rPr>
        <w:fldChar w:fldCharType="end"/>
      </w:r>
    </w:p>
    <w:p w:rsidR="008B578B" w:rsidRDefault="006603B8" w:rsidP="00C62D23">
      <w:pPr>
        <w:pStyle w:val="Caption"/>
        <w:spacing w:after="100"/>
        <w:jc w:val="center"/>
        <w:rPr>
          <w:rFonts w:ascii="Times New Roman" w:eastAsiaTheme="minorEastAsia" w:hAnsi="Times New Roman" w:cs="Times New Roman"/>
          <w:b/>
          <w:sz w:val="22"/>
          <w:szCs w:val="22"/>
        </w:rPr>
      </w:pPr>
      <w:r w:rsidRPr="006603B8">
        <w:rPr>
          <w:rFonts w:ascii="Times New Roman" w:eastAsiaTheme="minorEastAsia" w:hAnsi="Times New Roman" w:cs="Times New Roman"/>
          <w:b/>
          <w:sz w:val="22"/>
          <w:szCs w:val="22"/>
        </w:rPr>
        <w:t xml:space="preserve">Sample Distribution of Children by Urban and Rural Location and </w:t>
      </w:r>
      <w:proofErr w:type="spellStart"/>
      <w:r w:rsidRPr="006603B8">
        <w:rPr>
          <w:rFonts w:ascii="Times New Roman" w:eastAsiaTheme="minorEastAsia" w:hAnsi="Times New Roman" w:cs="Times New Roman"/>
          <w:b/>
          <w:i/>
          <w:sz w:val="22"/>
          <w:szCs w:val="22"/>
        </w:rPr>
        <w:t>Hukou</w:t>
      </w:r>
      <w:proofErr w:type="spellEnd"/>
      <w:r w:rsidR="00C62D23">
        <w:rPr>
          <w:rFonts w:ascii="Times New Roman" w:eastAsiaTheme="minorEastAsia" w:hAnsi="Times New Roman" w:cs="Times New Roman"/>
          <w:b/>
          <w:sz w:val="22"/>
          <w:szCs w:val="22"/>
        </w:rPr>
        <w:t xml:space="preserve"> </w:t>
      </w:r>
      <w:r w:rsidR="008B578B">
        <w:rPr>
          <w:rFonts w:ascii="Times New Roman" w:eastAsiaTheme="minorEastAsia" w:hAnsi="Times New Roman" w:cs="Times New Roman"/>
          <w:b/>
          <w:sz w:val="22"/>
          <w:szCs w:val="22"/>
        </w:rPr>
        <w:t>CHNS</w:t>
      </w:r>
    </w:p>
    <w:p w:rsidR="006603B8" w:rsidRPr="006603B8" w:rsidRDefault="006603B8" w:rsidP="00C62D23">
      <w:pPr>
        <w:pStyle w:val="Caption"/>
        <w:spacing w:after="100"/>
        <w:jc w:val="center"/>
        <w:rPr>
          <w:rFonts w:ascii="Times New Roman" w:eastAsiaTheme="minorEastAsia" w:hAnsi="Times New Roman" w:cs="Times New Roman"/>
          <w:b/>
          <w:sz w:val="22"/>
          <w:szCs w:val="22"/>
        </w:rPr>
      </w:pPr>
      <w:r w:rsidRPr="006603B8">
        <w:rPr>
          <w:rFonts w:ascii="Times New Roman" w:eastAsiaTheme="minorEastAsia" w:hAnsi="Times New Roman" w:cs="Times New Roman"/>
          <w:b/>
          <w:sz w:val="22"/>
          <w:szCs w:val="22"/>
        </w:rPr>
        <w:t>1991-2009</w:t>
      </w:r>
    </w:p>
    <w:tbl>
      <w:tblPr>
        <w:tblW w:w="8614" w:type="dxa"/>
        <w:jc w:val="center"/>
        <w:tblLayout w:type="fixed"/>
        <w:tblCellMar>
          <w:left w:w="28" w:type="dxa"/>
          <w:right w:w="28" w:type="dxa"/>
        </w:tblCellMar>
        <w:tblLook w:val="0000" w:firstRow="0" w:lastRow="0" w:firstColumn="0" w:lastColumn="0" w:noHBand="0" w:noVBand="0"/>
      </w:tblPr>
      <w:tblGrid>
        <w:gridCol w:w="2268"/>
        <w:gridCol w:w="1020"/>
        <w:gridCol w:w="1020"/>
        <w:gridCol w:w="113"/>
        <w:gridCol w:w="1020"/>
        <w:gridCol w:w="1020"/>
        <w:gridCol w:w="113"/>
        <w:gridCol w:w="1020"/>
        <w:gridCol w:w="1020"/>
      </w:tblGrid>
      <w:tr w:rsidR="006603B8" w:rsidRPr="005827A1" w:rsidTr="006603B8">
        <w:trPr>
          <w:jc w:val="center"/>
        </w:trPr>
        <w:tc>
          <w:tcPr>
            <w:tcW w:w="2268" w:type="dxa"/>
            <w:tcBorders>
              <w:top w:val="single" w:sz="4" w:space="0" w:color="auto"/>
            </w:tcBorders>
          </w:tcPr>
          <w:p w:rsidR="006603B8" w:rsidRPr="00C62D23" w:rsidRDefault="006603B8" w:rsidP="00126D3D">
            <w:pPr>
              <w:autoSpaceDE w:val="0"/>
              <w:autoSpaceDN w:val="0"/>
              <w:adjustRightInd w:val="0"/>
              <w:spacing w:line="288" w:lineRule="auto"/>
              <w:jc w:val="right"/>
              <w:rPr>
                <w:color w:val="000000"/>
                <w:sz w:val="22"/>
                <w:szCs w:val="22"/>
              </w:rPr>
            </w:pPr>
          </w:p>
        </w:tc>
        <w:tc>
          <w:tcPr>
            <w:tcW w:w="2040" w:type="dxa"/>
            <w:gridSpan w:val="2"/>
            <w:tcBorders>
              <w:top w:val="single" w:sz="4" w:space="0" w:color="auto"/>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Boys</w:t>
            </w:r>
          </w:p>
        </w:tc>
        <w:tc>
          <w:tcPr>
            <w:tcW w:w="113" w:type="dxa"/>
            <w:tcBorders>
              <w:top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p>
        </w:tc>
        <w:tc>
          <w:tcPr>
            <w:tcW w:w="2040" w:type="dxa"/>
            <w:gridSpan w:val="2"/>
            <w:tcBorders>
              <w:top w:val="single" w:sz="4" w:space="0" w:color="auto"/>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Girls</w:t>
            </w:r>
          </w:p>
        </w:tc>
        <w:tc>
          <w:tcPr>
            <w:tcW w:w="113" w:type="dxa"/>
            <w:tcBorders>
              <w:top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p>
        </w:tc>
        <w:tc>
          <w:tcPr>
            <w:tcW w:w="2040" w:type="dxa"/>
            <w:gridSpan w:val="2"/>
            <w:tcBorders>
              <w:top w:val="single" w:sz="4" w:space="0" w:color="auto"/>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All Children</w:t>
            </w:r>
          </w:p>
        </w:tc>
      </w:tr>
      <w:tr w:rsidR="006603B8" w:rsidRPr="005827A1" w:rsidTr="00126D3D">
        <w:trPr>
          <w:jc w:val="center"/>
        </w:trPr>
        <w:tc>
          <w:tcPr>
            <w:tcW w:w="2268" w:type="dxa"/>
            <w:tcBorders>
              <w:bottom w:val="single" w:sz="4" w:space="0" w:color="auto"/>
            </w:tcBorders>
          </w:tcPr>
          <w:p w:rsidR="006603B8" w:rsidRPr="00C62D23" w:rsidRDefault="006603B8" w:rsidP="00126D3D">
            <w:pPr>
              <w:autoSpaceDE w:val="0"/>
              <w:autoSpaceDN w:val="0"/>
              <w:adjustRightInd w:val="0"/>
              <w:spacing w:line="288" w:lineRule="auto"/>
              <w:jc w:val="right"/>
              <w:rPr>
                <w:color w:val="000000"/>
                <w:sz w:val="22"/>
                <w:szCs w:val="22"/>
              </w:rPr>
            </w:pPr>
          </w:p>
        </w:tc>
        <w:tc>
          <w:tcPr>
            <w:tcW w:w="1020" w:type="dxa"/>
            <w:tcBorders>
              <w:top w:val="single" w:sz="4" w:space="0" w:color="auto"/>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Rural</w:t>
            </w:r>
          </w:p>
        </w:tc>
        <w:tc>
          <w:tcPr>
            <w:tcW w:w="1020" w:type="dxa"/>
            <w:tcBorders>
              <w:top w:val="single" w:sz="4" w:space="0" w:color="auto"/>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Urban</w:t>
            </w:r>
          </w:p>
        </w:tc>
        <w:tc>
          <w:tcPr>
            <w:tcW w:w="113"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p>
        </w:tc>
        <w:tc>
          <w:tcPr>
            <w:tcW w:w="1020" w:type="dxa"/>
            <w:tcBorders>
              <w:top w:val="single" w:sz="4" w:space="0" w:color="auto"/>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Rural</w:t>
            </w:r>
          </w:p>
        </w:tc>
        <w:tc>
          <w:tcPr>
            <w:tcW w:w="1020" w:type="dxa"/>
            <w:tcBorders>
              <w:top w:val="single" w:sz="4" w:space="0" w:color="auto"/>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Urban</w:t>
            </w:r>
          </w:p>
        </w:tc>
        <w:tc>
          <w:tcPr>
            <w:tcW w:w="113"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p>
        </w:tc>
        <w:tc>
          <w:tcPr>
            <w:tcW w:w="1020" w:type="dxa"/>
            <w:tcBorders>
              <w:top w:val="single" w:sz="4" w:space="0" w:color="auto"/>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Rural</w:t>
            </w:r>
          </w:p>
        </w:tc>
        <w:tc>
          <w:tcPr>
            <w:tcW w:w="1020" w:type="dxa"/>
            <w:tcBorders>
              <w:top w:val="single" w:sz="4" w:space="0" w:color="auto"/>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Urban</w:t>
            </w:r>
          </w:p>
        </w:tc>
      </w:tr>
      <w:tr w:rsidR="006603B8" w:rsidRPr="005827A1" w:rsidTr="00126D3D">
        <w:trPr>
          <w:jc w:val="center"/>
        </w:trPr>
        <w:tc>
          <w:tcPr>
            <w:tcW w:w="2268" w:type="dxa"/>
            <w:tcBorders>
              <w:top w:val="single" w:sz="4" w:space="0" w:color="auto"/>
            </w:tcBorders>
          </w:tcPr>
          <w:p w:rsidR="006603B8" w:rsidRPr="00C62D23" w:rsidRDefault="006603B8" w:rsidP="00C62D23">
            <w:pPr>
              <w:autoSpaceDE w:val="0"/>
              <w:autoSpaceDN w:val="0"/>
              <w:adjustRightInd w:val="0"/>
              <w:spacing w:before="100" w:line="288" w:lineRule="auto"/>
              <w:rPr>
                <w:color w:val="000000"/>
                <w:sz w:val="22"/>
                <w:szCs w:val="22"/>
              </w:rPr>
            </w:pPr>
            <w:r w:rsidRPr="00C62D23">
              <w:rPr>
                <w:color w:val="000000"/>
                <w:sz w:val="22"/>
                <w:szCs w:val="22"/>
              </w:rPr>
              <w:t xml:space="preserve">Rural </w:t>
            </w:r>
            <w:proofErr w:type="spellStart"/>
            <w:r w:rsidRPr="00C62D23">
              <w:rPr>
                <w:i/>
                <w:color w:val="000000"/>
                <w:sz w:val="22"/>
                <w:szCs w:val="22"/>
              </w:rPr>
              <w:t>Hukou</w:t>
            </w:r>
            <w:proofErr w:type="spellEnd"/>
          </w:p>
        </w:tc>
        <w:tc>
          <w:tcPr>
            <w:tcW w:w="1020" w:type="dxa"/>
            <w:tcBorders>
              <w:top w:val="single" w:sz="4" w:space="0" w:color="auto"/>
            </w:tcBorders>
          </w:tcPr>
          <w:p w:rsidR="006603B8" w:rsidRPr="00C62D23" w:rsidRDefault="006603B8" w:rsidP="00C62D23">
            <w:pPr>
              <w:autoSpaceDE w:val="0"/>
              <w:autoSpaceDN w:val="0"/>
              <w:adjustRightInd w:val="0"/>
              <w:spacing w:before="100" w:line="288" w:lineRule="auto"/>
              <w:jc w:val="center"/>
              <w:rPr>
                <w:color w:val="000000"/>
                <w:sz w:val="22"/>
                <w:szCs w:val="22"/>
              </w:rPr>
            </w:pPr>
            <w:r w:rsidRPr="00C62D23">
              <w:rPr>
                <w:color w:val="000000"/>
                <w:sz w:val="22"/>
                <w:szCs w:val="22"/>
              </w:rPr>
              <w:t>88.3%</w:t>
            </w:r>
          </w:p>
        </w:tc>
        <w:tc>
          <w:tcPr>
            <w:tcW w:w="1020" w:type="dxa"/>
            <w:tcBorders>
              <w:top w:val="single" w:sz="4" w:space="0" w:color="auto"/>
            </w:tcBorders>
          </w:tcPr>
          <w:p w:rsidR="006603B8" w:rsidRPr="00C62D23" w:rsidRDefault="006603B8" w:rsidP="00C62D23">
            <w:pPr>
              <w:autoSpaceDE w:val="0"/>
              <w:autoSpaceDN w:val="0"/>
              <w:adjustRightInd w:val="0"/>
              <w:spacing w:before="100" w:line="288" w:lineRule="auto"/>
              <w:jc w:val="center"/>
              <w:rPr>
                <w:color w:val="000000"/>
                <w:sz w:val="22"/>
                <w:szCs w:val="22"/>
              </w:rPr>
            </w:pPr>
            <w:r w:rsidRPr="00C62D23">
              <w:rPr>
                <w:color w:val="000000"/>
                <w:sz w:val="22"/>
                <w:szCs w:val="22"/>
              </w:rPr>
              <w:t>13.8%</w:t>
            </w:r>
          </w:p>
        </w:tc>
        <w:tc>
          <w:tcPr>
            <w:tcW w:w="113" w:type="dxa"/>
            <w:tcBorders>
              <w:top w:val="single" w:sz="4" w:space="0" w:color="auto"/>
            </w:tcBorders>
          </w:tcPr>
          <w:p w:rsidR="006603B8" w:rsidRPr="00C62D23" w:rsidRDefault="006603B8" w:rsidP="00C62D23">
            <w:pPr>
              <w:autoSpaceDE w:val="0"/>
              <w:autoSpaceDN w:val="0"/>
              <w:adjustRightInd w:val="0"/>
              <w:spacing w:before="100" w:line="288" w:lineRule="auto"/>
              <w:jc w:val="center"/>
              <w:rPr>
                <w:color w:val="000000"/>
                <w:sz w:val="22"/>
                <w:szCs w:val="22"/>
              </w:rPr>
            </w:pPr>
          </w:p>
        </w:tc>
        <w:tc>
          <w:tcPr>
            <w:tcW w:w="1020" w:type="dxa"/>
            <w:tcBorders>
              <w:top w:val="single" w:sz="4" w:space="0" w:color="auto"/>
            </w:tcBorders>
          </w:tcPr>
          <w:p w:rsidR="006603B8" w:rsidRPr="00C62D23" w:rsidRDefault="006603B8" w:rsidP="00C62D23">
            <w:pPr>
              <w:autoSpaceDE w:val="0"/>
              <w:autoSpaceDN w:val="0"/>
              <w:adjustRightInd w:val="0"/>
              <w:spacing w:before="100" w:line="288" w:lineRule="auto"/>
              <w:jc w:val="center"/>
              <w:rPr>
                <w:color w:val="000000"/>
                <w:sz w:val="22"/>
                <w:szCs w:val="22"/>
              </w:rPr>
            </w:pPr>
            <w:r w:rsidRPr="00C62D23">
              <w:rPr>
                <w:color w:val="000000"/>
                <w:sz w:val="22"/>
                <w:szCs w:val="22"/>
              </w:rPr>
              <w:t>87.9%</w:t>
            </w:r>
          </w:p>
        </w:tc>
        <w:tc>
          <w:tcPr>
            <w:tcW w:w="1020" w:type="dxa"/>
            <w:tcBorders>
              <w:top w:val="single" w:sz="4" w:space="0" w:color="auto"/>
            </w:tcBorders>
          </w:tcPr>
          <w:p w:rsidR="006603B8" w:rsidRPr="00C62D23" w:rsidRDefault="006603B8" w:rsidP="00C62D23">
            <w:pPr>
              <w:autoSpaceDE w:val="0"/>
              <w:autoSpaceDN w:val="0"/>
              <w:adjustRightInd w:val="0"/>
              <w:spacing w:before="100" w:line="288" w:lineRule="auto"/>
              <w:jc w:val="center"/>
              <w:rPr>
                <w:color w:val="000000"/>
                <w:sz w:val="22"/>
                <w:szCs w:val="22"/>
              </w:rPr>
            </w:pPr>
            <w:r w:rsidRPr="00C62D23">
              <w:rPr>
                <w:color w:val="000000"/>
                <w:sz w:val="22"/>
                <w:szCs w:val="22"/>
              </w:rPr>
              <w:t>11.1%</w:t>
            </w:r>
          </w:p>
        </w:tc>
        <w:tc>
          <w:tcPr>
            <w:tcW w:w="113" w:type="dxa"/>
            <w:tcBorders>
              <w:top w:val="single" w:sz="4" w:space="0" w:color="auto"/>
            </w:tcBorders>
          </w:tcPr>
          <w:p w:rsidR="006603B8" w:rsidRPr="00C62D23" w:rsidRDefault="006603B8" w:rsidP="00C62D23">
            <w:pPr>
              <w:autoSpaceDE w:val="0"/>
              <w:autoSpaceDN w:val="0"/>
              <w:adjustRightInd w:val="0"/>
              <w:spacing w:before="100" w:line="288" w:lineRule="auto"/>
              <w:jc w:val="center"/>
              <w:rPr>
                <w:color w:val="000000"/>
                <w:sz w:val="22"/>
                <w:szCs w:val="22"/>
              </w:rPr>
            </w:pPr>
          </w:p>
        </w:tc>
        <w:tc>
          <w:tcPr>
            <w:tcW w:w="1020" w:type="dxa"/>
            <w:tcBorders>
              <w:top w:val="single" w:sz="4" w:space="0" w:color="auto"/>
            </w:tcBorders>
          </w:tcPr>
          <w:p w:rsidR="006603B8" w:rsidRPr="00C62D23" w:rsidRDefault="006603B8" w:rsidP="00C62D23">
            <w:pPr>
              <w:autoSpaceDE w:val="0"/>
              <w:autoSpaceDN w:val="0"/>
              <w:adjustRightInd w:val="0"/>
              <w:spacing w:before="100" w:line="288" w:lineRule="auto"/>
              <w:jc w:val="center"/>
              <w:rPr>
                <w:color w:val="000000"/>
                <w:sz w:val="22"/>
                <w:szCs w:val="22"/>
              </w:rPr>
            </w:pPr>
            <w:r w:rsidRPr="00C62D23">
              <w:rPr>
                <w:color w:val="000000"/>
                <w:sz w:val="22"/>
                <w:szCs w:val="22"/>
              </w:rPr>
              <w:t>88.1%</w:t>
            </w:r>
          </w:p>
        </w:tc>
        <w:tc>
          <w:tcPr>
            <w:tcW w:w="1020" w:type="dxa"/>
            <w:tcBorders>
              <w:top w:val="single" w:sz="4" w:space="0" w:color="auto"/>
            </w:tcBorders>
          </w:tcPr>
          <w:p w:rsidR="006603B8" w:rsidRPr="00C62D23" w:rsidRDefault="006603B8" w:rsidP="00C62D23">
            <w:pPr>
              <w:autoSpaceDE w:val="0"/>
              <w:autoSpaceDN w:val="0"/>
              <w:adjustRightInd w:val="0"/>
              <w:spacing w:before="100" w:line="288" w:lineRule="auto"/>
              <w:jc w:val="center"/>
              <w:rPr>
                <w:color w:val="000000"/>
                <w:sz w:val="22"/>
                <w:szCs w:val="22"/>
              </w:rPr>
            </w:pPr>
            <w:r w:rsidRPr="00C62D23">
              <w:rPr>
                <w:color w:val="000000"/>
                <w:sz w:val="22"/>
                <w:szCs w:val="22"/>
              </w:rPr>
              <w:t>12.5%</w:t>
            </w:r>
          </w:p>
        </w:tc>
      </w:tr>
      <w:tr w:rsidR="006603B8" w:rsidRPr="005827A1" w:rsidTr="00126D3D">
        <w:trPr>
          <w:jc w:val="center"/>
        </w:trPr>
        <w:tc>
          <w:tcPr>
            <w:tcW w:w="2268" w:type="dxa"/>
          </w:tcPr>
          <w:p w:rsidR="006603B8" w:rsidRPr="00C62D23" w:rsidRDefault="006603B8" w:rsidP="00126D3D">
            <w:pPr>
              <w:autoSpaceDE w:val="0"/>
              <w:autoSpaceDN w:val="0"/>
              <w:adjustRightInd w:val="0"/>
              <w:spacing w:line="288" w:lineRule="auto"/>
              <w:rPr>
                <w:color w:val="000000"/>
                <w:sz w:val="22"/>
                <w:szCs w:val="22"/>
              </w:rPr>
            </w:pPr>
            <w:r w:rsidRPr="00C62D23">
              <w:rPr>
                <w:color w:val="000000"/>
                <w:sz w:val="22"/>
                <w:szCs w:val="22"/>
              </w:rPr>
              <w:t xml:space="preserve">Urban </w:t>
            </w:r>
            <w:proofErr w:type="spellStart"/>
            <w:r w:rsidRPr="00C62D23">
              <w:rPr>
                <w:i/>
                <w:color w:val="000000"/>
                <w:sz w:val="22"/>
                <w:szCs w:val="22"/>
              </w:rPr>
              <w:t>Hukou</w:t>
            </w:r>
            <w:proofErr w:type="spellEnd"/>
          </w:p>
        </w:tc>
        <w:tc>
          <w:tcPr>
            <w:tcW w:w="1020" w:type="dxa"/>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11.7%</w:t>
            </w:r>
          </w:p>
        </w:tc>
        <w:tc>
          <w:tcPr>
            <w:tcW w:w="1020" w:type="dxa"/>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86.2%</w:t>
            </w:r>
          </w:p>
        </w:tc>
        <w:tc>
          <w:tcPr>
            <w:tcW w:w="113" w:type="dxa"/>
          </w:tcPr>
          <w:p w:rsidR="006603B8" w:rsidRPr="00C62D23" w:rsidRDefault="006603B8" w:rsidP="00126D3D">
            <w:pPr>
              <w:autoSpaceDE w:val="0"/>
              <w:autoSpaceDN w:val="0"/>
              <w:adjustRightInd w:val="0"/>
              <w:spacing w:line="288" w:lineRule="auto"/>
              <w:jc w:val="center"/>
              <w:rPr>
                <w:color w:val="000000"/>
                <w:sz w:val="22"/>
                <w:szCs w:val="22"/>
              </w:rPr>
            </w:pPr>
          </w:p>
        </w:tc>
        <w:tc>
          <w:tcPr>
            <w:tcW w:w="1020" w:type="dxa"/>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12.1%</w:t>
            </w:r>
          </w:p>
        </w:tc>
        <w:tc>
          <w:tcPr>
            <w:tcW w:w="1020" w:type="dxa"/>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88.9%</w:t>
            </w:r>
          </w:p>
        </w:tc>
        <w:tc>
          <w:tcPr>
            <w:tcW w:w="113" w:type="dxa"/>
          </w:tcPr>
          <w:p w:rsidR="006603B8" w:rsidRPr="00C62D23" w:rsidRDefault="006603B8" w:rsidP="00126D3D">
            <w:pPr>
              <w:autoSpaceDE w:val="0"/>
              <w:autoSpaceDN w:val="0"/>
              <w:adjustRightInd w:val="0"/>
              <w:spacing w:line="288" w:lineRule="auto"/>
              <w:jc w:val="center"/>
              <w:rPr>
                <w:color w:val="000000"/>
                <w:sz w:val="22"/>
                <w:szCs w:val="22"/>
              </w:rPr>
            </w:pPr>
          </w:p>
        </w:tc>
        <w:tc>
          <w:tcPr>
            <w:tcW w:w="1020" w:type="dxa"/>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11.9%</w:t>
            </w:r>
          </w:p>
        </w:tc>
        <w:tc>
          <w:tcPr>
            <w:tcW w:w="1020" w:type="dxa"/>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87.5%</w:t>
            </w:r>
          </w:p>
        </w:tc>
      </w:tr>
      <w:tr w:rsidR="006603B8" w:rsidRPr="005827A1" w:rsidTr="00126D3D">
        <w:trPr>
          <w:jc w:val="center"/>
        </w:trPr>
        <w:tc>
          <w:tcPr>
            <w:tcW w:w="2268" w:type="dxa"/>
            <w:tcBorders>
              <w:bottom w:val="single" w:sz="4" w:space="0" w:color="auto"/>
            </w:tcBorders>
          </w:tcPr>
          <w:p w:rsidR="006603B8" w:rsidRPr="00C62D23" w:rsidRDefault="006603B8" w:rsidP="00126D3D">
            <w:pPr>
              <w:autoSpaceDE w:val="0"/>
              <w:autoSpaceDN w:val="0"/>
              <w:adjustRightInd w:val="0"/>
              <w:spacing w:line="288" w:lineRule="auto"/>
              <w:rPr>
                <w:color w:val="000000"/>
                <w:sz w:val="22"/>
                <w:szCs w:val="22"/>
              </w:rPr>
            </w:pPr>
            <w:r w:rsidRPr="00C62D23">
              <w:rPr>
                <w:color w:val="000000"/>
                <w:sz w:val="22"/>
                <w:szCs w:val="22"/>
              </w:rPr>
              <w:t>Number of Observations</w:t>
            </w:r>
          </w:p>
        </w:tc>
        <w:tc>
          <w:tcPr>
            <w:tcW w:w="1020"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4,460</w:t>
            </w:r>
          </w:p>
        </w:tc>
        <w:tc>
          <w:tcPr>
            <w:tcW w:w="1020"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1,502</w:t>
            </w:r>
          </w:p>
        </w:tc>
        <w:tc>
          <w:tcPr>
            <w:tcW w:w="113"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p>
        </w:tc>
        <w:tc>
          <w:tcPr>
            <w:tcW w:w="1020"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3,765</w:t>
            </w:r>
          </w:p>
        </w:tc>
        <w:tc>
          <w:tcPr>
            <w:tcW w:w="1020"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1,266</w:t>
            </w:r>
          </w:p>
        </w:tc>
        <w:tc>
          <w:tcPr>
            <w:tcW w:w="113"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p>
        </w:tc>
        <w:tc>
          <w:tcPr>
            <w:tcW w:w="1020"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8,225</w:t>
            </w:r>
          </w:p>
        </w:tc>
        <w:tc>
          <w:tcPr>
            <w:tcW w:w="1020" w:type="dxa"/>
            <w:tcBorders>
              <w:bottom w:val="single" w:sz="4" w:space="0" w:color="auto"/>
            </w:tcBorders>
          </w:tcPr>
          <w:p w:rsidR="006603B8" w:rsidRPr="00C62D23" w:rsidRDefault="006603B8" w:rsidP="00126D3D">
            <w:pPr>
              <w:autoSpaceDE w:val="0"/>
              <w:autoSpaceDN w:val="0"/>
              <w:adjustRightInd w:val="0"/>
              <w:spacing w:line="288" w:lineRule="auto"/>
              <w:jc w:val="center"/>
              <w:rPr>
                <w:color w:val="000000"/>
                <w:sz w:val="22"/>
                <w:szCs w:val="22"/>
              </w:rPr>
            </w:pPr>
            <w:r w:rsidRPr="00C62D23">
              <w:rPr>
                <w:color w:val="000000"/>
                <w:sz w:val="22"/>
                <w:szCs w:val="22"/>
              </w:rPr>
              <w:t>2,768</w:t>
            </w:r>
          </w:p>
        </w:tc>
      </w:tr>
    </w:tbl>
    <w:p w:rsidR="006603B8" w:rsidRPr="00C62D23" w:rsidRDefault="006603B8" w:rsidP="006603B8">
      <w:pPr>
        <w:spacing w:line="288" w:lineRule="auto"/>
        <w:rPr>
          <w:sz w:val="6"/>
          <w:szCs w:val="6"/>
        </w:rPr>
      </w:pPr>
    </w:p>
    <w:p w:rsidR="00D53EB4" w:rsidRDefault="00D53EB4" w:rsidP="00C62D23">
      <w:pPr>
        <w:ind w:left="142"/>
        <w:rPr>
          <w:i/>
          <w:sz w:val="20"/>
          <w:szCs w:val="20"/>
        </w:rPr>
      </w:pPr>
      <w:r>
        <w:rPr>
          <w:i/>
          <w:sz w:val="20"/>
          <w:szCs w:val="20"/>
        </w:rPr>
        <w:t>Notes</w:t>
      </w:r>
    </w:p>
    <w:p w:rsidR="006603B8" w:rsidRPr="006603B8" w:rsidRDefault="006603B8" w:rsidP="00C62D23">
      <w:pPr>
        <w:ind w:left="142"/>
        <w:rPr>
          <w:sz w:val="20"/>
          <w:szCs w:val="20"/>
          <w:lang w:eastAsia="zh-CN"/>
        </w:rPr>
      </w:pPr>
      <w:r w:rsidRPr="006603B8">
        <w:rPr>
          <w:sz w:val="20"/>
          <w:szCs w:val="20"/>
        </w:rPr>
        <w:t>Sample is from CHNS, 1991 to 2009 waves, all children aged below 18, Han ethnicity with valid information of nutrient intakes, personal characters and parents’ characters and living in a community where Han is the major ethnicity.</w:t>
      </w:r>
    </w:p>
    <w:sectPr w:rsidR="006603B8" w:rsidRPr="006603B8" w:rsidSect="0067410D">
      <w:footerReference w:type="default" r:id="rId16"/>
      <w:endnotePr>
        <w:numFmt w:val="decimal"/>
      </w:end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A0" w:rsidRDefault="00C47AA0" w:rsidP="00B67F1F">
      <w:r>
        <w:separator/>
      </w:r>
    </w:p>
  </w:endnote>
  <w:endnote w:type="continuationSeparator" w:id="0">
    <w:p w:rsidR="00C47AA0" w:rsidRDefault="00C47AA0" w:rsidP="00B6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223178"/>
      <w:docPartObj>
        <w:docPartGallery w:val="Page Numbers (Bottom of Page)"/>
        <w:docPartUnique/>
      </w:docPartObj>
    </w:sdtPr>
    <w:sdtEndPr/>
    <w:sdtContent>
      <w:p w:rsidR="00126D3D" w:rsidRDefault="00126D3D">
        <w:pPr>
          <w:pStyle w:val="Footer"/>
          <w:jc w:val="right"/>
        </w:pPr>
        <w:r>
          <w:fldChar w:fldCharType="begin"/>
        </w:r>
        <w:r>
          <w:instrText xml:space="preserve"> PAGE   \* MERGEFORMAT </w:instrText>
        </w:r>
        <w:r>
          <w:fldChar w:fldCharType="separate"/>
        </w:r>
        <w:r w:rsidR="004A5E7B">
          <w:rPr>
            <w:noProof/>
          </w:rPr>
          <w:t>4</w:t>
        </w:r>
        <w:r>
          <w:rPr>
            <w:noProof/>
          </w:rPr>
          <w:fldChar w:fldCharType="end"/>
        </w:r>
      </w:p>
    </w:sdtContent>
  </w:sdt>
  <w:p w:rsidR="00126D3D" w:rsidRDefault="0012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869" w:rsidRDefault="00E73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52550"/>
      <w:docPartObj>
        <w:docPartGallery w:val="Page Numbers (Bottom of Page)"/>
        <w:docPartUnique/>
      </w:docPartObj>
    </w:sdtPr>
    <w:sdtEndPr>
      <w:rPr>
        <w:noProof/>
      </w:rPr>
    </w:sdtEndPr>
    <w:sdtContent>
      <w:p w:rsidR="00126D3D" w:rsidRDefault="00126D3D">
        <w:pPr>
          <w:pStyle w:val="Footer"/>
          <w:jc w:val="center"/>
        </w:pPr>
        <w:r>
          <w:fldChar w:fldCharType="begin"/>
        </w:r>
        <w:r>
          <w:instrText xml:space="preserve"> PAGE   \* MERGEFORMAT </w:instrText>
        </w:r>
        <w:r>
          <w:fldChar w:fldCharType="separate"/>
        </w:r>
        <w:r w:rsidR="004A5E7B">
          <w:rPr>
            <w:noProof/>
          </w:rPr>
          <w:t>24</w:t>
        </w:r>
        <w:r>
          <w:rPr>
            <w:noProof/>
          </w:rPr>
          <w:fldChar w:fldCharType="end"/>
        </w:r>
      </w:p>
    </w:sdtContent>
  </w:sdt>
  <w:p w:rsidR="00126D3D" w:rsidRDefault="00126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A0" w:rsidRDefault="00C47AA0" w:rsidP="00B67F1F">
      <w:r>
        <w:separator/>
      </w:r>
    </w:p>
  </w:footnote>
  <w:footnote w:type="continuationSeparator" w:id="0">
    <w:p w:rsidR="00C47AA0" w:rsidRDefault="00C47AA0" w:rsidP="00B67F1F">
      <w:r>
        <w:continuationSeparator/>
      </w:r>
    </w:p>
  </w:footnote>
  <w:footnote w:id="1">
    <w:p w:rsidR="00126D3D" w:rsidRPr="005827A1" w:rsidRDefault="00126D3D" w:rsidP="00D53EB4">
      <w:pPr>
        <w:pStyle w:val="FootnoteText"/>
        <w:ind w:left="284" w:hanging="284"/>
        <w:rPr>
          <w:sz w:val="22"/>
          <w:szCs w:val="22"/>
        </w:rPr>
      </w:pPr>
      <w:r w:rsidRPr="005827A1">
        <w:rPr>
          <w:rStyle w:val="FootnoteReference"/>
          <w:sz w:val="22"/>
          <w:szCs w:val="22"/>
        </w:rPr>
        <w:footnoteRef/>
      </w:r>
      <w:r w:rsidRPr="005827A1">
        <w:rPr>
          <w:sz w:val="22"/>
          <w:szCs w:val="22"/>
        </w:rPr>
        <w:t xml:space="preserve"> </w:t>
      </w:r>
      <w:r>
        <w:rPr>
          <w:sz w:val="22"/>
          <w:szCs w:val="22"/>
        </w:rPr>
        <w:tab/>
      </w:r>
      <w:proofErr w:type="spellStart"/>
      <w:r w:rsidRPr="005827A1">
        <w:rPr>
          <w:sz w:val="22"/>
          <w:szCs w:val="22"/>
        </w:rPr>
        <w:t>Bhalotra</w:t>
      </w:r>
      <w:proofErr w:type="spellEnd"/>
      <w:r w:rsidRPr="005827A1">
        <w:rPr>
          <w:sz w:val="22"/>
          <w:szCs w:val="22"/>
        </w:rPr>
        <w:t xml:space="preserve"> and Clarke (2016) note that twins may not be quasi-random, due to positive selection of healthier women into twinning. Studies that ignore this form of selection may be biased in the direction of not finding a quantity-quality tradeoff even when it exists. </w:t>
      </w:r>
    </w:p>
  </w:footnote>
  <w:footnote w:id="2">
    <w:p w:rsidR="00126D3D" w:rsidRPr="005827A1" w:rsidRDefault="00126D3D" w:rsidP="00D53EB4">
      <w:pPr>
        <w:pStyle w:val="FootnoteText"/>
        <w:ind w:left="284" w:hanging="284"/>
        <w:rPr>
          <w:sz w:val="22"/>
          <w:szCs w:val="22"/>
          <w:lang w:eastAsia="zh-CN"/>
        </w:rPr>
      </w:pPr>
      <w:r w:rsidRPr="005827A1">
        <w:rPr>
          <w:rStyle w:val="FootnoteReference"/>
          <w:sz w:val="22"/>
          <w:szCs w:val="22"/>
        </w:rPr>
        <w:footnoteRef/>
      </w:r>
      <w:r w:rsidRPr="005827A1">
        <w:rPr>
          <w:sz w:val="22"/>
          <w:szCs w:val="22"/>
        </w:rPr>
        <w:t xml:space="preserve"> </w:t>
      </w:r>
      <w:r w:rsidR="00D53EB4">
        <w:rPr>
          <w:sz w:val="22"/>
          <w:szCs w:val="22"/>
        </w:rPr>
        <w:tab/>
      </w:r>
      <w:r w:rsidRPr="005827A1">
        <w:rPr>
          <w:rFonts w:hint="eastAsia"/>
          <w:sz w:val="22"/>
          <w:szCs w:val="22"/>
          <w:lang w:eastAsia="zh-CN"/>
        </w:rPr>
        <w:t xml:space="preserve">Total fertility rate is </w:t>
      </w:r>
      <w:r w:rsidR="00D53EB4">
        <w:rPr>
          <w:sz w:val="22"/>
          <w:szCs w:val="22"/>
          <w:lang w:eastAsia="zh-CN"/>
        </w:rPr>
        <w:t>'</w:t>
      </w:r>
      <w:r w:rsidRPr="005827A1">
        <w:rPr>
          <w:sz w:val="22"/>
          <w:szCs w:val="22"/>
          <w:lang w:eastAsia="zh-CN"/>
        </w:rPr>
        <w:t>the number of children that would be born to a woman if she were to live to the end of her childbearing years and bear children in accordance with curre</w:t>
      </w:r>
      <w:r w:rsidR="00D53EB4">
        <w:rPr>
          <w:sz w:val="22"/>
          <w:szCs w:val="22"/>
          <w:lang w:eastAsia="zh-CN"/>
        </w:rPr>
        <w:t>nt age-specific fertility rates'</w:t>
      </w:r>
      <w:r w:rsidRPr="005827A1">
        <w:rPr>
          <w:rFonts w:hint="eastAsia"/>
          <w:sz w:val="22"/>
          <w:szCs w:val="22"/>
          <w:lang w:eastAsia="zh-CN"/>
        </w:rPr>
        <w:t xml:space="preserve"> (The World Bank)</w:t>
      </w:r>
      <w:r w:rsidRPr="005827A1">
        <w:rPr>
          <w:sz w:val="22"/>
          <w:szCs w:val="22"/>
          <w:lang w:eastAsia="zh-CN"/>
        </w:rPr>
        <w:t xml:space="preserve">. </w:t>
      </w:r>
      <w:r>
        <w:rPr>
          <w:sz w:val="22"/>
          <w:szCs w:val="22"/>
          <w:lang w:eastAsia="zh-CN"/>
        </w:rPr>
        <w:t xml:space="preserve"> </w:t>
      </w:r>
      <w:r w:rsidRPr="005827A1">
        <w:rPr>
          <w:sz w:val="22"/>
          <w:szCs w:val="22"/>
          <w:lang w:eastAsia="zh-CN"/>
        </w:rPr>
        <w:t>Appendix 1 shows the total fertility rate of China from 19</w:t>
      </w:r>
      <w:r w:rsidRPr="005827A1">
        <w:rPr>
          <w:rFonts w:hint="eastAsia"/>
          <w:sz w:val="22"/>
          <w:szCs w:val="22"/>
          <w:lang w:eastAsia="zh-CN"/>
        </w:rPr>
        <w:t>77</w:t>
      </w:r>
      <w:r w:rsidRPr="005827A1">
        <w:rPr>
          <w:sz w:val="22"/>
          <w:szCs w:val="22"/>
          <w:lang w:eastAsia="zh-CN"/>
        </w:rPr>
        <w:t xml:space="preserve"> to 2009.</w:t>
      </w:r>
    </w:p>
  </w:footnote>
  <w:footnote w:id="3">
    <w:p w:rsidR="00126D3D" w:rsidRPr="00975854" w:rsidRDefault="00126D3D" w:rsidP="00D53EB4">
      <w:pPr>
        <w:pStyle w:val="FootnoteText"/>
        <w:ind w:left="284" w:hanging="284"/>
        <w:rPr>
          <w:sz w:val="22"/>
          <w:szCs w:val="22"/>
        </w:rPr>
      </w:pPr>
      <w:r w:rsidRPr="00975854">
        <w:rPr>
          <w:rStyle w:val="FootnoteReference"/>
          <w:sz w:val="22"/>
          <w:szCs w:val="22"/>
        </w:rPr>
        <w:footnoteRef/>
      </w:r>
      <w:r w:rsidRPr="00975854">
        <w:rPr>
          <w:sz w:val="22"/>
          <w:szCs w:val="22"/>
        </w:rPr>
        <w:t xml:space="preserve"> </w:t>
      </w:r>
      <w:r w:rsidR="00D53EB4">
        <w:rPr>
          <w:sz w:val="22"/>
          <w:szCs w:val="22"/>
        </w:rPr>
        <w:tab/>
      </w:r>
      <w:r w:rsidRPr="00975854">
        <w:rPr>
          <w:rFonts w:hint="eastAsia"/>
          <w:sz w:val="22"/>
          <w:szCs w:val="22"/>
          <w:lang w:val="en-NZ" w:eastAsia="zh-CN"/>
        </w:rPr>
        <w:t>T</w:t>
      </w:r>
      <w:r w:rsidRPr="00975854">
        <w:rPr>
          <w:sz w:val="22"/>
          <w:szCs w:val="22"/>
          <w:lang w:val="en-NZ"/>
        </w:rPr>
        <w:t>he CHNS data show that in the first survey wave (in 1991) almost one</w:t>
      </w:r>
      <w:r w:rsidRPr="00975854">
        <w:rPr>
          <w:rFonts w:hint="eastAsia"/>
          <w:sz w:val="22"/>
          <w:szCs w:val="22"/>
          <w:lang w:val="en-NZ" w:eastAsia="zh-CN"/>
        </w:rPr>
        <w:t xml:space="preserve"> quarter</w:t>
      </w:r>
      <w:r w:rsidRPr="00975854">
        <w:rPr>
          <w:sz w:val="22"/>
          <w:szCs w:val="22"/>
          <w:lang w:val="en-NZ"/>
        </w:rPr>
        <w:t xml:space="preserve"> of </w:t>
      </w:r>
      <w:r w:rsidRPr="00975854">
        <w:rPr>
          <w:rFonts w:hint="eastAsia"/>
          <w:sz w:val="22"/>
          <w:szCs w:val="22"/>
          <w:lang w:val="en-NZ" w:eastAsia="zh-CN"/>
        </w:rPr>
        <w:t xml:space="preserve">Han </w:t>
      </w:r>
      <w:r w:rsidRPr="00975854">
        <w:rPr>
          <w:sz w:val="22"/>
          <w:szCs w:val="22"/>
          <w:lang w:val="en-NZ"/>
        </w:rPr>
        <w:t xml:space="preserve">children aged less than 18 might </w:t>
      </w:r>
      <w:r w:rsidR="00D53EB4">
        <w:rPr>
          <w:sz w:val="22"/>
          <w:szCs w:val="22"/>
          <w:lang w:val="en-NZ"/>
        </w:rPr>
        <w:t>be considered as the result of 'unsanctioned births'</w:t>
      </w:r>
      <w:r w:rsidRPr="00975854">
        <w:rPr>
          <w:sz w:val="22"/>
          <w:szCs w:val="22"/>
          <w:lang w:val="en-NZ"/>
        </w:rPr>
        <w:t xml:space="preserve"> due either to parents being too young or to the number</w:t>
      </w:r>
      <w:r w:rsidRPr="00975854">
        <w:rPr>
          <w:rFonts w:hint="eastAsia"/>
          <w:sz w:val="22"/>
          <w:szCs w:val="22"/>
          <w:lang w:val="en-NZ" w:eastAsia="zh-CN"/>
        </w:rPr>
        <w:t>/age</w:t>
      </w:r>
      <w:r w:rsidRPr="00975854">
        <w:rPr>
          <w:sz w:val="22"/>
          <w:szCs w:val="22"/>
          <w:lang w:val="en-NZ"/>
        </w:rPr>
        <w:t xml:space="preserve"> of elder siblings of the child suggesting that according to the rules in place when the child was born, they were in excess of the number of children allowed</w:t>
      </w:r>
      <w:r w:rsidRPr="00975854">
        <w:rPr>
          <w:rFonts w:hint="eastAsia"/>
          <w:sz w:val="22"/>
          <w:szCs w:val="22"/>
          <w:lang w:val="en-NZ" w:eastAsia="zh-CN"/>
        </w:rPr>
        <w:t xml:space="preserve"> by the local OCP</w:t>
      </w:r>
      <w:r w:rsidRPr="00975854">
        <w:rPr>
          <w:sz w:val="22"/>
          <w:szCs w:val="22"/>
          <w:lang w:val="en-NZ"/>
        </w:rPr>
        <w:t>. Some of these apparently unsanctioned births may reflect survey reporting errors, in terms of misdating ages, but also indicate that fines for unsanctioned births may not have been so high as to present an impossible barrier to extra births. The proportion of the sample who appear to be unsanctioned births falls quickly from 1993 onwards.</w:t>
      </w:r>
    </w:p>
  </w:footnote>
  <w:footnote w:id="4">
    <w:p w:rsidR="00126D3D" w:rsidRDefault="00126D3D" w:rsidP="00D53EB4">
      <w:pPr>
        <w:pStyle w:val="FootnoteText"/>
        <w:ind w:left="284" w:hanging="284"/>
        <w:rPr>
          <w:color w:val="000000" w:themeColor="text1"/>
          <w:sz w:val="22"/>
          <w:szCs w:val="22"/>
          <w:lang w:eastAsia="zh-CN"/>
        </w:rPr>
      </w:pPr>
      <w:r w:rsidRPr="00975854">
        <w:rPr>
          <w:rStyle w:val="FootnoteReference"/>
          <w:color w:val="000000" w:themeColor="text1"/>
          <w:sz w:val="22"/>
          <w:szCs w:val="22"/>
        </w:rPr>
        <w:footnoteRef/>
      </w:r>
      <w:r w:rsidRPr="00975854">
        <w:rPr>
          <w:color w:val="000000" w:themeColor="text1"/>
          <w:sz w:val="22"/>
          <w:szCs w:val="22"/>
        </w:rPr>
        <w:t xml:space="preserve"> </w:t>
      </w:r>
      <w:r w:rsidR="00D53EB4">
        <w:rPr>
          <w:color w:val="000000" w:themeColor="text1"/>
          <w:sz w:val="22"/>
          <w:szCs w:val="22"/>
        </w:rPr>
        <w:tab/>
        <w:t>About 12 percent</w:t>
      </w:r>
      <w:r w:rsidRPr="00975854">
        <w:rPr>
          <w:color w:val="000000" w:themeColor="text1"/>
          <w:sz w:val="22"/>
          <w:szCs w:val="22"/>
        </w:rPr>
        <w:t xml:space="preserve"> of children live in a different sector (urban or rural) than the sector of registration. See Appendix 2 for details.</w:t>
      </w:r>
      <w:r w:rsidRPr="00975854">
        <w:rPr>
          <w:rFonts w:hint="eastAsia"/>
          <w:color w:val="000000" w:themeColor="text1"/>
          <w:sz w:val="22"/>
          <w:szCs w:val="22"/>
          <w:lang w:eastAsia="zh-CN"/>
        </w:rPr>
        <w:t xml:space="preserve"> </w:t>
      </w:r>
    </w:p>
    <w:p w:rsidR="00126D3D" w:rsidRDefault="00126D3D" w:rsidP="00D53EB4">
      <w:pPr>
        <w:pStyle w:val="FootnoteText"/>
        <w:ind w:left="284" w:hanging="284"/>
        <w:rPr>
          <w:color w:val="000000" w:themeColor="text1"/>
          <w:sz w:val="22"/>
          <w:szCs w:val="22"/>
          <w:lang w:eastAsia="zh-CN"/>
        </w:rPr>
      </w:pPr>
    </w:p>
    <w:p w:rsidR="00126D3D" w:rsidRPr="00975854" w:rsidRDefault="00126D3D" w:rsidP="00D53EB4">
      <w:pPr>
        <w:pStyle w:val="FootnoteText"/>
        <w:ind w:left="284" w:hanging="284"/>
        <w:rPr>
          <w:color w:val="000000" w:themeColor="text1"/>
          <w:sz w:val="10"/>
          <w:szCs w:val="10"/>
        </w:rPr>
      </w:pPr>
    </w:p>
  </w:footnote>
  <w:footnote w:id="5">
    <w:p w:rsidR="00126D3D" w:rsidRPr="00975854" w:rsidRDefault="00126D3D" w:rsidP="00D53EB4">
      <w:pPr>
        <w:pStyle w:val="FootnoteText"/>
        <w:ind w:left="284" w:hanging="284"/>
        <w:rPr>
          <w:sz w:val="22"/>
          <w:szCs w:val="22"/>
          <w:lang w:eastAsia="zh-CN"/>
        </w:rPr>
      </w:pPr>
      <w:r w:rsidRPr="00975854">
        <w:rPr>
          <w:rStyle w:val="FootnoteReference"/>
          <w:sz w:val="22"/>
          <w:szCs w:val="22"/>
        </w:rPr>
        <w:footnoteRef/>
      </w:r>
      <w:r w:rsidRPr="00975854">
        <w:rPr>
          <w:sz w:val="22"/>
          <w:szCs w:val="22"/>
        </w:rPr>
        <w:t xml:space="preserve"> </w:t>
      </w:r>
      <w:r w:rsidR="00D53EB4">
        <w:rPr>
          <w:sz w:val="22"/>
          <w:szCs w:val="22"/>
        </w:rPr>
        <w:tab/>
      </w:r>
      <w:r w:rsidRPr="00975854">
        <w:rPr>
          <w:sz w:val="22"/>
          <w:szCs w:val="22"/>
          <w:lang w:eastAsia="zh-CN"/>
        </w:rPr>
        <w:t>T</w:t>
      </w:r>
      <w:r w:rsidRPr="00975854">
        <w:rPr>
          <w:rFonts w:hint="eastAsia"/>
          <w:sz w:val="22"/>
          <w:szCs w:val="22"/>
          <w:lang w:eastAsia="zh-CN"/>
        </w:rPr>
        <w:t xml:space="preserve">he index </w:t>
      </w:r>
      <w:r w:rsidRPr="00975854">
        <w:rPr>
          <w:sz w:val="22"/>
          <w:szCs w:val="22"/>
          <w:lang w:eastAsia="zh-CN"/>
        </w:rPr>
        <w:t>is provided in the CHNS database and is constructed from community level indicators of</w:t>
      </w:r>
      <w:r w:rsidRPr="00975854">
        <w:rPr>
          <w:rFonts w:hint="eastAsia"/>
          <w:sz w:val="22"/>
          <w:szCs w:val="22"/>
          <w:lang w:eastAsia="zh-CN"/>
        </w:rPr>
        <w:t xml:space="preserve">: </w:t>
      </w:r>
      <w:r w:rsidRPr="00975854">
        <w:rPr>
          <w:sz w:val="22"/>
          <w:szCs w:val="22"/>
          <w:lang w:eastAsia="zh-CN"/>
        </w:rPr>
        <w:t>population density, education, sanitation, housing, transportation, communications, health, market development, economic development, diversity, and indicators of modern markets and social services.</w:t>
      </w:r>
    </w:p>
  </w:footnote>
  <w:footnote w:id="6">
    <w:p w:rsidR="00126D3D" w:rsidRPr="00975854" w:rsidRDefault="00126D3D" w:rsidP="00D53EB4">
      <w:pPr>
        <w:pStyle w:val="FootnoteText"/>
        <w:ind w:left="284" w:hanging="284"/>
        <w:rPr>
          <w:sz w:val="22"/>
          <w:szCs w:val="22"/>
          <w:lang w:val="en-NZ"/>
        </w:rPr>
      </w:pPr>
      <w:r w:rsidRPr="00975854">
        <w:rPr>
          <w:rStyle w:val="FootnoteReference"/>
          <w:sz w:val="22"/>
          <w:szCs w:val="22"/>
        </w:rPr>
        <w:footnoteRef/>
      </w:r>
      <w:r w:rsidRPr="00975854">
        <w:rPr>
          <w:sz w:val="22"/>
          <w:szCs w:val="22"/>
        </w:rPr>
        <w:t xml:space="preserve"> </w:t>
      </w:r>
      <w:r w:rsidR="00D53EB4">
        <w:rPr>
          <w:sz w:val="22"/>
          <w:szCs w:val="22"/>
        </w:rPr>
        <w:tab/>
      </w:r>
      <w:r w:rsidRPr="00975854">
        <w:rPr>
          <w:sz w:val="22"/>
          <w:szCs w:val="22"/>
        </w:rPr>
        <w:t>Marriage is the traditional and legal pre-condition of child bearing in China. The legal marriage age is 20 for women and 22 for men from 1980 onwards, and was 18 for women and 20 for men between 1950 and 1980. Children born with either parent under the age limit will be considered an illegal birth.</w:t>
      </w:r>
    </w:p>
  </w:footnote>
  <w:footnote w:id="7">
    <w:p w:rsidR="00126D3D" w:rsidRDefault="00126D3D" w:rsidP="00126D3D">
      <w:pPr>
        <w:pStyle w:val="FootnoteText"/>
        <w:ind w:left="284" w:hanging="284"/>
        <w:rPr>
          <w:sz w:val="22"/>
          <w:szCs w:val="22"/>
          <w:lang w:val="en-NZ" w:eastAsia="zh-CN"/>
        </w:rPr>
      </w:pPr>
      <w:r w:rsidRPr="00033C13">
        <w:rPr>
          <w:rStyle w:val="FootnoteReference"/>
          <w:sz w:val="22"/>
          <w:szCs w:val="22"/>
        </w:rPr>
        <w:footnoteRef/>
      </w:r>
      <w:r w:rsidRPr="00033C13">
        <w:rPr>
          <w:sz w:val="22"/>
          <w:szCs w:val="22"/>
        </w:rPr>
        <w:t xml:space="preserve"> </w:t>
      </w:r>
      <w:r>
        <w:rPr>
          <w:sz w:val="22"/>
          <w:szCs w:val="22"/>
        </w:rPr>
        <w:tab/>
      </w:r>
      <w:r w:rsidRPr="00033C13">
        <w:rPr>
          <w:rFonts w:hint="eastAsia"/>
          <w:sz w:val="22"/>
          <w:szCs w:val="22"/>
          <w:lang w:eastAsia="zh-CN"/>
        </w:rPr>
        <w:t>T</w:t>
      </w:r>
      <w:r w:rsidRPr="00033C13">
        <w:rPr>
          <w:sz w:val="22"/>
          <w:szCs w:val="22"/>
          <w:lang w:eastAsia="zh-CN"/>
        </w:rPr>
        <w:t>h</w:t>
      </w:r>
      <w:r w:rsidRPr="00033C13">
        <w:rPr>
          <w:rFonts w:hint="eastAsia"/>
          <w:sz w:val="22"/>
          <w:szCs w:val="22"/>
          <w:lang w:eastAsia="zh-CN"/>
        </w:rPr>
        <w:t xml:space="preserve">e last </w:t>
      </w:r>
      <w:r w:rsidRPr="00033C13">
        <w:rPr>
          <w:sz w:val="22"/>
          <w:szCs w:val="22"/>
          <w:lang w:eastAsia="zh-CN"/>
        </w:rPr>
        <w:t>exception</w:t>
      </w:r>
      <w:r w:rsidRPr="00033C13">
        <w:rPr>
          <w:rFonts w:hint="eastAsia"/>
          <w:sz w:val="22"/>
          <w:szCs w:val="22"/>
          <w:lang w:eastAsia="zh-CN"/>
        </w:rPr>
        <w:t xml:space="preserve"> was to allow a second child if the first child was </w:t>
      </w:r>
      <w:r w:rsidRPr="00033C13">
        <w:rPr>
          <w:sz w:val="22"/>
          <w:szCs w:val="22"/>
          <w:lang w:eastAsia="zh-CN"/>
        </w:rPr>
        <w:t>handicapped</w:t>
      </w:r>
      <w:r w:rsidRPr="00033C13">
        <w:rPr>
          <w:rFonts w:hint="eastAsia"/>
          <w:sz w:val="22"/>
          <w:szCs w:val="22"/>
          <w:lang w:eastAsia="zh-CN"/>
        </w:rPr>
        <w:t xml:space="preserve">. </w:t>
      </w:r>
      <w:r w:rsidRPr="00033C13">
        <w:rPr>
          <w:sz w:val="22"/>
          <w:szCs w:val="22"/>
          <w:lang w:eastAsia="zh-CN"/>
        </w:rPr>
        <w:t>W</w:t>
      </w:r>
      <w:r w:rsidRPr="00033C13">
        <w:rPr>
          <w:rFonts w:hint="eastAsia"/>
          <w:sz w:val="22"/>
          <w:szCs w:val="22"/>
          <w:lang w:eastAsia="zh-CN"/>
        </w:rPr>
        <w:t xml:space="preserve">e exclude it in this paper because we are not able to tell </w:t>
      </w:r>
      <w:r w:rsidRPr="00033C13">
        <w:rPr>
          <w:sz w:val="22"/>
          <w:szCs w:val="22"/>
          <w:lang w:val="en-NZ" w:eastAsia="zh-CN"/>
        </w:rPr>
        <w:t>whether the first child was handicapped for each family, and hence cannot apply this exception to the families</w:t>
      </w:r>
      <w:r w:rsidRPr="00033C13">
        <w:rPr>
          <w:rFonts w:hint="eastAsia"/>
          <w:sz w:val="22"/>
          <w:szCs w:val="22"/>
          <w:lang w:val="en-NZ" w:eastAsia="zh-CN"/>
        </w:rPr>
        <w:t>.</w:t>
      </w:r>
    </w:p>
    <w:p w:rsidR="00126D3D" w:rsidRPr="00DF388C" w:rsidRDefault="00126D3D" w:rsidP="00126D3D">
      <w:pPr>
        <w:pStyle w:val="FootnoteText"/>
        <w:ind w:left="284" w:hanging="284"/>
        <w:rPr>
          <w:sz w:val="24"/>
          <w:szCs w:val="24"/>
          <w:lang w:eastAsia="zh-CN"/>
        </w:rPr>
      </w:pPr>
    </w:p>
  </w:footnote>
  <w:footnote w:id="8">
    <w:p w:rsidR="00126D3D" w:rsidRDefault="00126D3D" w:rsidP="00126D3D">
      <w:pPr>
        <w:pStyle w:val="FootnoteText"/>
        <w:ind w:left="284" w:hanging="284"/>
        <w:rPr>
          <w:sz w:val="22"/>
          <w:szCs w:val="22"/>
          <w:lang w:val="en-NZ" w:eastAsia="zh-CN"/>
        </w:rPr>
      </w:pPr>
      <w:r w:rsidRPr="00033C13">
        <w:rPr>
          <w:rStyle w:val="FootnoteReference"/>
          <w:sz w:val="22"/>
          <w:szCs w:val="22"/>
        </w:rPr>
        <w:footnoteRef/>
      </w:r>
      <w:r w:rsidRPr="00033C13">
        <w:rPr>
          <w:sz w:val="22"/>
          <w:szCs w:val="22"/>
        </w:rPr>
        <w:t xml:space="preserve"> </w:t>
      </w:r>
      <w:r>
        <w:rPr>
          <w:sz w:val="22"/>
          <w:szCs w:val="22"/>
        </w:rPr>
        <w:tab/>
      </w:r>
      <w:r w:rsidRPr="00033C13">
        <w:rPr>
          <w:rFonts w:hint="eastAsia"/>
          <w:sz w:val="22"/>
          <w:szCs w:val="22"/>
          <w:lang w:val="en-NZ" w:eastAsia="zh-CN"/>
        </w:rPr>
        <w:t xml:space="preserve">For example, Liaoning required </w:t>
      </w:r>
      <w:r w:rsidRPr="00033C13">
        <w:rPr>
          <w:sz w:val="22"/>
          <w:szCs w:val="22"/>
          <w:lang w:val="en-NZ" w:eastAsia="zh-CN"/>
        </w:rPr>
        <w:t>the</w:t>
      </w:r>
      <w:r w:rsidRPr="00033C13">
        <w:rPr>
          <w:rFonts w:hint="eastAsia"/>
          <w:sz w:val="22"/>
          <w:szCs w:val="22"/>
          <w:lang w:val="en-NZ" w:eastAsia="zh-CN"/>
        </w:rPr>
        <w:t xml:space="preserve"> mother to have rural </w:t>
      </w:r>
      <w:proofErr w:type="spellStart"/>
      <w:r w:rsidRPr="00033C13">
        <w:rPr>
          <w:rFonts w:hint="eastAsia"/>
          <w:i/>
          <w:sz w:val="22"/>
          <w:szCs w:val="22"/>
          <w:lang w:val="en-NZ" w:eastAsia="zh-CN"/>
        </w:rPr>
        <w:t>Hukou</w:t>
      </w:r>
      <w:proofErr w:type="spellEnd"/>
      <w:r w:rsidRPr="00033C13">
        <w:rPr>
          <w:rFonts w:hint="eastAsia"/>
          <w:sz w:val="22"/>
          <w:szCs w:val="22"/>
          <w:lang w:val="en-NZ" w:eastAsia="zh-CN"/>
        </w:rPr>
        <w:t xml:space="preserve"> when </w:t>
      </w:r>
      <w:r w:rsidRPr="00033C13">
        <w:rPr>
          <w:sz w:val="22"/>
          <w:szCs w:val="22"/>
          <w:lang w:val="en-NZ" w:eastAsia="zh-CN"/>
        </w:rPr>
        <w:t xml:space="preserve">applying </w:t>
      </w:r>
      <w:r w:rsidRPr="00033C13">
        <w:rPr>
          <w:rFonts w:hint="eastAsia"/>
          <w:sz w:val="22"/>
          <w:szCs w:val="22"/>
          <w:lang w:val="en-NZ" w:eastAsia="zh-CN"/>
        </w:rPr>
        <w:t xml:space="preserve">the girl-exception, and further required the first girl to have rural </w:t>
      </w:r>
      <w:proofErr w:type="spellStart"/>
      <w:r w:rsidRPr="00033C13">
        <w:rPr>
          <w:rFonts w:hint="eastAsia"/>
          <w:i/>
          <w:sz w:val="22"/>
          <w:szCs w:val="22"/>
          <w:lang w:val="en-NZ" w:eastAsia="zh-CN"/>
        </w:rPr>
        <w:t>Hukou</w:t>
      </w:r>
      <w:proofErr w:type="spellEnd"/>
      <w:r w:rsidRPr="00033C13">
        <w:rPr>
          <w:rFonts w:hint="eastAsia"/>
          <w:sz w:val="22"/>
          <w:szCs w:val="22"/>
          <w:lang w:val="en-NZ" w:eastAsia="zh-CN"/>
        </w:rPr>
        <w:t xml:space="preserve"> since 2003; in 1990, Hubei set </w:t>
      </w:r>
      <w:r w:rsidRPr="00033C13">
        <w:rPr>
          <w:sz w:val="22"/>
          <w:szCs w:val="22"/>
          <w:lang w:val="en-NZ" w:eastAsia="zh-CN"/>
        </w:rPr>
        <w:t>the</w:t>
      </w:r>
      <w:r w:rsidRPr="00033C13">
        <w:rPr>
          <w:rFonts w:hint="eastAsia"/>
          <w:sz w:val="22"/>
          <w:szCs w:val="22"/>
          <w:lang w:val="en-NZ" w:eastAsia="zh-CN"/>
        </w:rPr>
        <w:t xml:space="preserve"> birth-gap constraints to be four years and required mother</w:t>
      </w:r>
      <w:r w:rsidRPr="00033C13">
        <w:rPr>
          <w:sz w:val="22"/>
          <w:szCs w:val="22"/>
          <w:lang w:val="en-NZ" w:eastAsia="zh-CN"/>
        </w:rPr>
        <w:t>s</w:t>
      </w:r>
      <w:r w:rsidRPr="00033C13">
        <w:rPr>
          <w:rFonts w:hint="eastAsia"/>
          <w:sz w:val="22"/>
          <w:szCs w:val="22"/>
          <w:lang w:val="en-NZ" w:eastAsia="zh-CN"/>
        </w:rPr>
        <w:t xml:space="preserve"> to be over 28 when having the second child, and relaxed </w:t>
      </w:r>
      <w:r w:rsidRPr="00033C13">
        <w:rPr>
          <w:sz w:val="22"/>
          <w:szCs w:val="22"/>
          <w:lang w:val="en-NZ" w:eastAsia="zh-CN"/>
        </w:rPr>
        <w:t>the</w:t>
      </w:r>
      <w:r w:rsidRPr="00033C13">
        <w:rPr>
          <w:rFonts w:hint="eastAsia"/>
          <w:sz w:val="22"/>
          <w:szCs w:val="22"/>
          <w:lang w:val="en-NZ" w:eastAsia="zh-CN"/>
        </w:rPr>
        <w:t xml:space="preserve"> age limit of the mother</w:t>
      </w:r>
      <w:r w:rsidRPr="00033C13">
        <w:rPr>
          <w:sz w:val="22"/>
          <w:szCs w:val="22"/>
          <w:lang w:val="en-NZ" w:eastAsia="zh-CN"/>
        </w:rPr>
        <w:t>s</w:t>
      </w:r>
      <w:r w:rsidRPr="00033C13">
        <w:rPr>
          <w:rFonts w:hint="eastAsia"/>
          <w:sz w:val="22"/>
          <w:szCs w:val="22"/>
          <w:lang w:val="en-NZ" w:eastAsia="zh-CN"/>
        </w:rPr>
        <w:t xml:space="preserve"> to be 25 in 1999</w:t>
      </w:r>
      <w:r w:rsidRPr="00033C13">
        <w:rPr>
          <w:sz w:val="22"/>
          <w:szCs w:val="22"/>
          <w:lang w:val="en-NZ" w:eastAsia="zh-CN"/>
        </w:rPr>
        <w:t xml:space="preserve"> and</w:t>
      </w:r>
      <w:r w:rsidRPr="00033C13">
        <w:rPr>
          <w:rFonts w:hint="eastAsia"/>
          <w:sz w:val="22"/>
          <w:szCs w:val="22"/>
          <w:lang w:val="en-NZ" w:eastAsia="zh-CN"/>
        </w:rPr>
        <w:t xml:space="preserve"> changed </w:t>
      </w:r>
      <w:r w:rsidRPr="00033C13">
        <w:rPr>
          <w:sz w:val="22"/>
          <w:szCs w:val="22"/>
          <w:lang w:val="en-NZ" w:eastAsia="zh-CN"/>
        </w:rPr>
        <w:t>the</w:t>
      </w:r>
      <w:r w:rsidRPr="00033C13">
        <w:rPr>
          <w:rFonts w:hint="eastAsia"/>
          <w:sz w:val="22"/>
          <w:szCs w:val="22"/>
          <w:lang w:val="en-NZ" w:eastAsia="zh-CN"/>
        </w:rPr>
        <w:t xml:space="preserve"> birth-gap constraint to be two years and only applied to women aged below 28.</w:t>
      </w:r>
    </w:p>
    <w:p w:rsidR="00126D3D" w:rsidRPr="00DF388C" w:rsidRDefault="00126D3D" w:rsidP="00126D3D">
      <w:pPr>
        <w:pStyle w:val="FootnoteText"/>
        <w:ind w:left="284" w:hanging="284"/>
        <w:rPr>
          <w:sz w:val="24"/>
          <w:szCs w:val="24"/>
          <w:lang w:eastAsia="zh-CN"/>
        </w:rPr>
      </w:pPr>
    </w:p>
  </w:footnote>
  <w:footnote w:id="9">
    <w:p w:rsidR="00126D3D" w:rsidRDefault="00126D3D" w:rsidP="00126D3D">
      <w:pPr>
        <w:pStyle w:val="FootnoteText"/>
        <w:ind w:left="284" w:hanging="284"/>
        <w:rPr>
          <w:sz w:val="22"/>
          <w:szCs w:val="22"/>
          <w:lang w:eastAsia="zh-CN"/>
        </w:rPr>
      </w:pPr>
      <w:r w:rsidRPr="00033C13">
        <w:rPr>
          <w:rStyle w:val="FootnoteReference"/>
          <w:sz w:val="22"/>
          <w:szCs w:val="22"/>
        </w:rPr>
        <w:footnoteRef/>
      </w:r>
      <w:r w:rsidRPr="00033C13">
        <w:rPr>
          <w:sz w:val="22"/>
          <w:szCs w:val="22"/>
        </w:rPr>
        <w:t xml:space="preserve"> </w:t>
      </w:r>
      <w:r>
        <w:rPr>
          <w:sz w:val="22"/>
          <w:szCs w:val="22"/>
        </w:rPr>
        <w:tab/>
      </w:r>
      <w:r w:rsidRPr="00033C13">
        <w:rPr>
          <w:sz w:val="22"/>
          <w:szCs w:val="22"/>
          <w:lang w:val="en-NZ"/>
        </w:rPr>
        <w:t xml:space="preserve">When </w:t>
      </w:r>
      <w:r w:rsidRPr="00033C13">
        <w:rPr>
          <w:sz w:val="22"/>
          <w:szCs w:val="22"/>
        </w:rPr>
        <w:t>the standard deviations (SD) for the group are available and the nutrient intakes of the population are normally distributed, RNI equals EAR plus 2SD, otherwise it is set as 1.2</w:t>
      </w:r>
      <w:r w:rsidRPr="00033C13">
        <w:rPr>
          <w:rFonts w:cstheme="minorHAnsi"/>
          <w:sz w:val="22"/>
          <w:szCs w:val="22"/>
        </w:rPr>
        <w:t>×</w:t>
      </w:r>
      <w:r w:rsidRPr="00033C13">
        <w:rPr>
          <w:sz w:val="22"/>
          <w:szCs w:val="22"/>
        </w:rPr>
        <w:t>EA. In this research, 1.2</w:t>
      </w:r>
      <w:r w:rsidRPr="00033C13">
        <w:rPr>
          <w:rFonts w:cstheme="minorHAnsi"/>
          <w:sz w:val="22"/>
          <w:szCs w:val="22"/>
        </w:rPr>
        <w:t>×</w:t>
      </w:r>
      <w:r w:rsidRPr="00033C13">
        <w:rPr>
          <w:sz w:val="22"/>
          <w:szCs w:val="22"/>
        </w:rPr>
        <w:t>EA is used as the reference level for each nutrient due to the lack of information on the SD of the population. RNI for boys and girls</w:t>
      </w:r>
      <w:r w:rsidRPr="00033C13">
        <w:rPr>
          <w:rFonts w:hint="eastAsia"/>
          <w:sz w:val="22"/>
          <w:szCs w:val="22"/>
          <w:lang w:eastAsia="zh-CN"/>
        </w:rPr>
        <w:t xml:space="preserve"> aged </w:t>
      </w:r>
      <w:proofErr w:type="gramStart"/>
      <w:r w:rsidRPr="00033C13">
        <w:rPr>
          <w:rFonts w:hint="eastAsia"/>
          <w:sz w:val="22"/>
          <w:szCs w:val="22"/>
          <w:lang w:eastAsia="zh-CN"/>
        </w:rPr>
        <w:t>under</w:t>
      </w:r>
      <w:proofErr w:type="gramEnd"/>
      <w:r w:rsidRPr="00033C13">
        <w:rPr>
          <w:rFonts w:hint="eastAsia"/>
          <w:sz w:val="22"/>
          <w:szCs w:val="22"/>
          <w:lang w:eastAsia="zh-CN"/>
        </w:rPr>
        <w:t xml:space="preserve"> 18</w:t>
      </w:r>
      <w:r w:rsidRPr="00033C13">
        <w:rPr>
          <w:sz w:val="22"/>
          <w:szCs w:val="22"/>
        </w:rPr>
        <w:t xml:space="preserve"> are exactly the same for fat</w:t>
      </w:r>
      <w:r w:rsidRPr="00033C13">
        <w:rPr>
          <w:rFonts w:hint="eastAsia"/>
          <w:sz w:val="22"/>
          <w:szCs w:val="22"/>
          <w:lang w:eastAsia="zh-CN"/>
        </w:rPr>
        <w:t xml:space="preserve"> </w:t>
      </w:r>
      <w:r w:rsidRPr="00033C13">
        <w:rPr>
          <w:sz w:val="22"/>
          <w:szCs w:val="22"/>
          <w:lang w:eastAsia="zh-CN"/>
        </w:rPr>
        <w:t xml:space="preserve">but differ </w:t>
      </w:r>
      <w:r w:rsidRPr="00033C13">
        <w:rPr>
          <w:rFonts w:hint="eastAsia"/>
          <w:sz w:val="22"/>
          <w:szCs w:val="22"/>
          <w:lang w:eastAsia="zh-CN"/>
        </w:rPr>
        <w:t>in</w:t>
      </w:r>
      <w:r w:rsidRPr="00033C13">
        <w:rPr>
          <w:sz w:val="22"/>
          <w:szCs w:val="22"/>
        </w:rPr>
        <w:t xml:space="preserve"> some age ranges for prot</w:t>
      </w:r>
      <w:r w:rsidRPr="00033C13">
        <w:rPr>
          <w:rFonts w:hint="eastAsia"/>
          <w:sz w:val="22"/>
          <w:szCs w:val="22"/>
          <w:lang w:eastAsia="zh-CN"/>
        </w:rPr>
        <w:t>ei</w:t>
      </w:r>
      <w:r w:rsidRPr="00033C13">
        <w:rPr>
          <w:sz w:val="22"/>
          <w:szCs w:val="22"/>
        </w:rPr>
        <w:t>n</w:t>
      </w:r>
      <w:r w:rsidRPr="00033C13">
        <w:rPr>
          <w:rFonts w:hint="eastAsia"/>
          <w:sz w:val="22"/>
          <w:szCs w:val="22"/>
          <w:lang w:eastAsia="zh-CN"/>
        </w:rPr>
        <w:t xml:space="preserve">. For energy, the RNI is higher for boys than for girls </w:t>
      </w:r>
      <w:r w:rsidRPr="00033C13">
        <w:rPr>
          <w:sz w:val="22"/>
          <w:szCs w:val="22"/>
        </w:rPr>
        <w:t>at all age</w:t>
      </w:r>
      <w:r w:rsidRPr="00033C13">
        <w:rPr>
          <w:rFonts w:hint="eastAsia"/>
          <w:sz w:val="22"/>
          <w:szCs w:val="22"/>
          <w:lang w:eastAsia="zh-CN"/>
        </w:rPr>
        <w:t>s.</w:t>
      </w:r>
    </w:p>
    <w:p w:rsidR="00126D3D" w:rsidRPr="00033C13" w:rsidRDefault="00126D3D" w:rsidP="00126D3D">
      <w:pPr>
        <w:pStyle w:val="FootnoteText"/>
        <w:ind w:left="284" w:hanging="284"/>
        <w:rPr>
          <w:sz w:val="10"/>
          <w:szCs w:val="10"/>
          <w:lang w:val="en-NZ" w:eastAsia="zh-CN"/>
        </w:rPr>
      </w:pPr>
    </w:p>
  </w:footnote>
  <w:footnote w:id="10">
    <w:p w:rsidR="00126D3D" w:rsidRPr="00033C13" w:rsidRDefault="00126D3D" w:rsidP="00033C13">
      <w:pPr>
        <w:pStyle w:val="FootnoteText"/>
        <w:ind w:left="284" w:hanging="284"/>
        <w:rPr>
          <w:sz w:val="22"/>
          <w:szCs w:val="22"/>
          <w:lang w:eastAsia="zh-CN"/>
        </w:rPr>
      </w:pPr>
      <w:r w:rsidRPr="00033C13">
        <w:rPr>
          <w:rStyle w:val="FootnoteReference"/>
          <w:sz w:val="22"/>
          <w:szCs w:val="22"/>
        </w:rPr>
        <w:footnoteRef/>
      </w:r>
      <w:r w:rsidRPr="00033C13">
        <w:rPr>
          <w:sz w:val="22"/>
          <w:szCs w:val="22"/>
        </w:rPr>
        <w:t xml:space="preserve"> </w:t>
      </w:r>
      <w:r>
        <w:rPr>
          <w:sz w:val="22"/>
          <w:szCs w:val="22"/>
        </w:rPr>
        <w:tab/>
      </w:r>
      <w:r w:rsidRPr="00033C13">
        <w:rPr>
          <w:rFonts w:hint="eastAsia"/>
          <w:sz w:val="22"/>
          <w:szCs w:val="22"/>
          <w:lang w:eastAsia="zh-CN"/>
        </w:rPr>
        <w:t xml:space="preserve">Women </w:t>
      </w:r>
      <w:r w:rsidRPr="00033C13">
        <w:rPr>
          <w:sz w:val="22"/>
          <w:szCs w:val="22"/>
          <w:lang w:eastAsia="zh-CN"/>
        </w:rPr>
        <w:t xml:space="preserve">who are reported </w:t>
      </w:r>
      <w:r w:rsidRPr="00033C13">
        <w:rPr>
          <w:rFonts w:hint="eastAsia"/>
          <w:sz w:val="22"/>
          <w:szCs w:val="22"/>
          <w:lang w:eastAsia="zh-CN"/>
        </w:rPr>
        <w:t xml:space="preserve">to be </w:t>
      </w:r>
      <w:r w:rsidRPr="00033C13">
        <w:rPr>
          <w:sz w:val="22"/>
          <w:szCs w:val="22"/>
          <w:lang w:eastAsia="zh-CN"/>
        </w:rPr>
        <w:t>‘</w:t>
      </w:r>
      <w:r w:rsidRPr="00033C13">
        <w:rPr>
          <w:rFonts w:hint="eastAsia"/>
          <w:sz w:val="22"/>
          <w:szCs w:val="22"/>
          <w:lang w:eastAsia="zh-CN"/>
        </w:rPr>
        <w:t>married</w:t>
      </w:r>
      <w:r w:rsidRPr="00033C13">
        <w:rPr>
          <w:sz w:val="22"/>
          <w:szCs w:val="22"/>
          <w:lang w:eastAsia="zh-CN"/>
        </w:rPr>
        <w:t>’</w:t>
      </w:r>
      <w:r w:rsidRPr="00033C13">
        <w:rPr>
          <w:rFonts w:hint="eastAsia"/>
          <w:sz w:val="22"/>
          <w:szCs w:val="22"/>
          <w:lang w:eastAsia="zh-CN"/>
        </w:rPr>
        <w:t xml:space="preserve">, </w:t>
      </w:r>
      <w:r w:rsidRPr="00033C13">
        <w:rPr>
          <w:sz w:val="22"/>
          <w:szCs w:val="22"/>
          <w:lang w:eastAsia="zh-CN"/>
        </w:rPr>
        <w:t>‘</w:t>
      </w:r>
      <w:r w:rsidRPr="00033C13">
        <w:rPr>
          <w:rFonts w:hint="eastAsia"/>
          <w:sz w:val="22"/>
          <w:szCs w:val="22"/>
          <w:lang w:eastAsia="zh-CN"/>
        </w:rPr>
        <w:t>divorced</w:t>
      </w:r>
      <w:r w:rsidRPr="00033C13">
        <w:rPr>
          <w:sz w:val="22"/>
          <w:szCs w:val="22"/>
          <w:lang w:eastAsia="zh-CN"/>
        </w:rPr>
        <w:t>’</w:t>
      </w:r>
      <w:r w:rsidRPr="00033C13">
        <w:rPr>
          <w:rFonts w:hint="eastAsia"/>
          <w:sz w:val="22"/>
          <w:szCs w:val="22"/>
          <w:lang w:eastAsia="zh-CN"/>
        </w:rPr>
        <w:t xml:space="preserve">, </w:t>
      </w:r>
      <w:r w:rsidRPr="00033C13">
        <w:rPr>
          <w:sz w:val="22"/>
          <w:szCs w:val="22"/>
          <w:lang w:eastAsia="zh-CN"/>
        </w:rPr>
        <w:t>‘</w:t>
      </w:r>
      <w:r w:rsidRPr="00033C13">
        <w:rPr>
          <w:rFonts w:hint="eastAsia"/>
          <w:sz w:val="22"/>
          <w:szCs w:val="22"/>
          <w:lang w:eastAsia="zh-CN"/>
        </w:rPr>
        <w:t>widowed</w:t>
      </w:r>
      <w:r w:rsidRPr="00033C13">
        <w:rPr>
          <w:sz w:val="22"/>
          <w:szCs w:val="22"/>
          <w:lang w:eastAsia="zh-CN"/>
        </w:rPr>
        <w:t>’</w:t>
      </w:r>
      <w:r w:rsidRPr="00033C13">
        <w:rPr>
          <w:rFonts w:hint="eastAsia"/>
          <w:sz w:val="22"/>
          <w:szCs w:val="22"/>
          <w:lang w:eastAsia="zh-CN"/>
        </w:rPr>
        <w:t xml:space="preserve"> or </w:t>
      </w:r>
      <w:r w:rsidRPr="00033C13">
        <w:rPr>
          <w:sz w:val="22"/>
          <w:szCs w:val="22"/>
          <w:lang w:eastAsia="zh-CN"/>
        </w:rPr>
        <w:t>‘</w:t>
      </w:r>
      <w:r w:rsidRPr="00033C13">
        <w:rPr>
          <w:rFonts w:hint="eastAsia"/>
          <w:sz w:val="22"/>
          <w:szCs w:val="22"/>
          <w:lang w:eastAsia="zh-CN"/>
        </w:rPr>
        <w:t>separated</w:t>
      </w:r>
      <w:r w:rsidRPr="00033C13">
        <w:rPr>
          <w:sz w:val="22"/>
          <w:szCs w:val="22"/>
          <w:lang w:eastAsia="zh-CN"/>
        </w:rPr>
        <w:t>’</w:t>
      </w:r>
      <w:r w:rsidRPr="00033C13">
        <w:rPr>
          <w:rFonts w:hint="eastAsia"/>
          <w:sz w:val="22"/>
          <w:szCs w:val="22"/>
          <w:lang w:eastAsia="zh-CN"/>
        </w:rPr>
        <w:t xml:space="preserve"> at the time </w:t>
      </w:r>
      <w:r w:rsidRPr="00033C13">
        <w:rPr>
          <w:sz w:val="22"/>
          <w:szCs w:val="22"/>
          <w:lang w:eastAsia="zh-CN"/>
        </w:rPr>
        <w:t xml:space="preserve">of the survey </w:t>
      </w:r>
      <w:r w:rsidRPr="00033C13">
        <w:rPr>
          <w:rFonts w:hint="eastAsia"/>
          <w:sz w:val="22"/>
          <w:szCs w:val="22"/>
          <w:lang w:eastAsia="zh-CN"/>
        </w:rPr>
        <w:t xml:space="preserve">are treated as </w:t>
      </w:r>
      <w:r w:rsidRPr="00033C13">
        <w:rPr>
          <w:sz w:val="22"/>
          <w:szCs w:val="22"/>
          <w:lang w:eastAsia="zh-CN"/>
        </w:rPr>
        <w:t>‘</w:t>
      </w:r>
      <w:r w:rsidRPr="00033C13">
        <w:rPr>
          <w:rFonts w:hint="eastAsia"/>
          <w:sz w:val="22"/>
          <w:szCs w:val="22"/>
          <w:lang w:eastAsia="zh-CN"/>
        </w:rPr>
        <w:t>ever-married</w:t>
      </w:r>
      <w:r w:rsidRPr="00033C13">
        <w:rPr>
          <w:sz w:val="22"/>
          <w:szCs w:val="22"/>
          <w:lang w:eastAsia="zh-CN"/>
        </w:rPr>
        <w:t>’</w:t>
      </w:r>
      <w:r w:rsidRPr="00033C13">
        <w:rPr>
          <w:rFonts w:hint="eastAsia"/>
          <w:sz w:val="22"/>
          <w:szCs w:val="22"/>
          <w:lang w:eastAsia="zh-CN"/>
        </w:rPr>
        <w:t xml:space="preserve">, </w:t>
      </w:r>
    </w:p>
  </w:footnote>
  <w:footnote w:id="11">
    <w:p w:rsidR="00126D3D" w:rsidRPr="006B1E6D" w:rsidRDefault="00126D3D" w:rsidP="006B1E6D">
      <w:pPr>
        <w:pStyle w:val="FootnoteText"/>
        <w:ind w:left="284" w:hanging="284"/>
        <w:rPr>
          <w:color w:val="000000" w:themeColor="text1"/>
          <w:sz w:val="22"/>
          <w:szCs w:val="22"/>
          <w:lang w:eastAsia="zh-CN"/>
        </w:rPr>
      </w:pPr>
      <w:r w:rsidRPr="006B1E6D">
        <w:rPr>
          <w:rStyle w:val="FootnoteReference"/>
          <w:color w:val="000000" w:themeColor="text1"/>
          <w:sz w:val="22"/>
          <w:szCs w:val="22"/>
        </w:rPr>
        <w:footnoteRef/>
      </w:r>
      <w:r w:rsidRPr="006B1E6D">
        <w:rPr>
          <w:color w:val="000000" w:themeColor="text1"/>
          <w:sz w:val="22"/>
          <w:szCs w:val="22"/>
        </w:rPr>
        <w:t xml:space="preserve"> </w:t>
      </w:r>
      <w:r>
        <w:rPr>
          <w:color w:val="000000" w:themeColor="text1"/>
          <w:sz w:val="22"/>
          <w:szCs w:val="22"/>
        </w:rPr>
        <w:tab/>
      </w:r>
      <w:r w:rsidRPr="006B1E6D">
        <w:rPr>
          <w:rFonts w:hint="eastAsia"/>
          <w:color w:val="000000" w:themeColor="text1"/>
          <w:sz w:val="22"/>
          <w:szCs w:val="22"/>
          <w:lang w:eastAsia="zh-CN"/>
        </w:rPr>
        <w:t>For display purpose</w:t>
      </w:r>
      <w:r w:rsidRPr="006B1E6D">
        <w:rPr>
          <w:color w:val="000000" w:themeColor="text1"/>
          <w:sz w:val="22"/>
          <w:szCs w:val="22"/>
          <w:lang w:eastAsia="zh-CN"/>
        </w:rPr>
        <w:t>s</w:t>
      </w:r>
      <w:r w:rsidRPr="006B1E6D">
        <w:rPr>
          <w:rFonts w:hint="eastAsia"/>
          <w:color w:val="000000" w:themeColor="text1"/>
          <w:sz w:val="22"/>
          <w:szCs w:val="22"/>
          <w:lang w:eastAsia="zh-CN"/>
        </w:rPr>
        <w:t xml:space="preserve">, relative intakes </w:t>
      </w:r>
      <w:r w:rsidRPr="006B1E6D">
        <w:rPr>
          <w:color w:val="000000" w:themeColor="text1"/>
          <w:sz w:val="22"/>
          <w:szCs w:val="22"/>
          <w:lang w:eastAsia="zh-CN"/>
        </w:rPr>
        <w:t>are trimmed at the 99th percentile</w:t>
      </w:r>
      <w:r w:rsidRPr="006B1E6D">
        <w:rPr>
          <w:rFonts w:hint="eastAsia"/>
          <w:color w:val="000000" w:themeColor="text1"/>
          <w:sz w:val="22"/>
          <w:szCs w:val="22"/>
          <w:lang w:eastAsia="zh-CN"/>
        </w:rPr>
        <w:t xml:space="preserve">. </w:t>
      </w:r>
      <w:r w:rsidRPr="006B1E6D">
        <w:rPr>
          <w:color w:val="000000" w:themeColor="text1"/>
          <w:sz w:val="22"/>
          <w:szCs w:val="22"/>
          <w:lang w:eastAsia="zh-CN"/>
        </w:rPr>
        <w:t>T</w:t>
      </w:r>
      <w:r w:rsidRPr="006B1E6D">
        <w:rPr>
          <w:rFonts w:hint="eastAsia"/>
          <w:color w:val="000000" w:themeColor="text1"/>
          <w:sz w:val="22"/>
          <w:szCs w:val="22"/>
          <w:lang w:eastAsia="zh-CN"/>
        </w:rPr>
        <w:t xml:space="preserve">he raw distributions are all normal distributions with long tails, with the upper tails for fat being extremely long.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4A5"/>
    <w:multiLevelType w:val="hybridMultilevel"/>
    <w:tmpl w:val="B39E2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84E5C"/>
    <w:multiLevelType w:val="hybridMultilevel"/>
    <w:tmpl w:val="C05C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00B5A"/>
    <w:multiLevelType w:val="hybridMultilevel"/>
    <w:tmpl w:val="3DD46F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D0D9D"/>
    <w:multiLevelType w:val="hybridMultilevel"/>
    <w:tmpl w:val="D4729E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01104D9"/>
    <w:multiLevelType w:val="hybridMultilevel"/>
    <w:tmpl w:val="3D6851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01E03B7"/>
    <w:multiLevelType w:val="hybridMultilevel"/>
    <w:tmpl w:val="A9106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87CC1"/>
    <w:multiLevelType w:val="hybridMultilevel"/>
    <w:tmpl w:val="BA0007EE"/>
    <w:lvl w:ilvl="0" w:tplc="F830F1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C9424F"/>
    <w:multiLevelType w:val="hybridMultilevel"/>
    <w:tmpl w:val="D4729E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2"/>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63"/>
    <w:rsid w:val="000023C4"/>
    <w:rsid w:val="0000256A"/>
    <w:rsid w:val="0000366A"/>
    <w:rsid w:val="00003771"/>
    <w:rsid w:val="000039D5"/>
    <w:rsid w:val="00004467"/>
    <w:rsid w:val="00004766"/>
    <w:rsid w:val="00005443"/>
    <w:rsid w:val="00005D68"/>
    <w:rsid w:val="00007383"/>
    <w:rsid w:val="000102CC"/>
    <w:rsid w:val="000104FE"/>
    <w:rsid w:val="00010C27"/>
    <w:rsid w:val="00010C29"/>
    <w:rsid w:val="000129EF"/>
    <w:rsid w:val="0001324C"/>
    <w:rsid w:val="0001347B"/>
    <w:rsid w:val="00013BC1"/>
    <w:rsid w:val="00013BC8"/>
    <w:rsid w:val="00014A69"/>
    <w:rsid w:val="000150E5"/>
    <w:rsid w:val="000156FF"/>
    <w:rsid w:val="000157B4"/>
    <w:rsid w:val="00021DEE"/>
    <w:rsid w:val="000234F7"/>
    <w:rsid w:val="00023590"/>
    <w:rsid w:val="00023AED"/>
    <w:rsid w:val="00023D02"/>
    <w:rsid w:val="00024BA1"/>
    <w:rsid w:val="000266CE"/>
    <w:rsid w:val="000268E1"/>
    <w:rsid w:val="00027505"/>
    <w:rsid w:val="000308AB"/>
    <w:rsid w:val="00031A20"/>
    <w:rsid w:val="00031DAE"/>
    <w:rsid w:val="0003261C"/>
    <w:rsid w:val="00032D4E"/>
    <w:rsid w:val="0003355F"/>
    <w:rsid w:val="000335BF"/>
    <w:rsid w:val="00033C13"/>
    <w:rsid w:val="0003487E"/>
    <w:rsid w:val="00034CA9"/>
    <w:rsid w:val="00034CE9"/>
    <w:rsid w:val="00034EC2"/>
    <w:rsid w:val="00035116"/>
    <w:rsid w:val="0003726A"/>
    <w:rsid w:val="0003738B"/>
    <w:rsid w:val="00037E9A"/>
    <w:rsid w:val="00040B7A"/>
    <w:rsid w:val="00040E60"/>
    <w:rsid w:val="000410CA"/>
    <w:rsid w:val="00041B9A"/>
    <w:rsid w:val="00041D2B"/>
    <w:rsid w:val="000420EC"/>
    <w:rsid w:val="000424D8"/>
    <w:rsid w:val="0004340D"/>
    <w:rsid w:val="00043EB6"/>
    <w:rsid w:val="00044A11"/>
    <w:rsid w:val="00044B4D"/>
    <w:rsid w:val="00044DAA"/>
    <w:rsid w:val="00047ADE"/>
    <w:rsid w:val="00050291"/>
    <w:rsid w:val="00051797"/>
    <w:rsid w:val="00051A03"/>
    <w:rsid w:val="00052682"/>
    <w:rsid w:val="000539E0"/>
    <w:rsid w:val="00054223"/>
    <w:rsid w:val="00055DE1"/>
    <w:rsid w:val="00055DF0"/>
    <w:rsid w:val="00060C9A"/>
    <w:rsid w:val="0006101C"/>
    <w:rsid w:val="00061629"/>
    <w:rsid w:val="000622CF"/>
    <w:rsid w:val="000624CC"/>
    <w:rsid w:val="000624E7"/>
    <w:rsid w:val="00064B0A"/>
    <w:rsid w:val="00064C57"/>
    <w:rsid w:val="000651EB"/>
    <w:rsid w:val="0006730C"/>
    <w:rsid w:val="00067729"/>
    <w:rsid w:val="000709F4"/>
    <w:rsid w:val="00070E51"/>
    <w:rsid w:val="00072919"/>
    <w:rsid w:val="00072C48"/>
    <w:rsid w:val="00072FF0"/>
    <w:rsid w:val="00073175"/>
    <w:rsid w:val="00073A68"/>
    <w:rsid w:val="00074613"/>
    <w:rsid w:val="00075554"/>
    <w:rsid w:val="00075F5E"/>
    <w:rsid w:val="000778E2"/>
    <w:rsid w:val="000806B5"/>
    <w:rsid w:val="000810BF"/>
    <w:rsid w:val="000812E0"/>
    <w:rsid w:val="00081ABA"/>
    <w:rsid w:val="00081D26"/>
    <w:rsid w:val="00081E74"/>
    <w:rsid w:val="00082707"/>
    <w:rsid w:val="00082C8D"/>
    <w:rsid w:val="00083AD3"/>
    <w:rsid w:val="00083F69"/>
    <w:rsid w:val="000840A1"/>
    <w:rsid w:val="0008507E"/>
    <w:rsid w:val="00085C5A"/>
    <w:rsid w:val="0008633F"/>
    <w:rsid w:val="000866DF"/>
    <w:rsid w:val="00086F94"/>
    <w:rsid w:val="000874C7"/>
    <w:rsid w:val="00087D15"/>
    <w:rsid w:val="000904EE"/>
    <w:rsid w:val="00090948"/>
    <w:rsid w:val="00090C4A"/>
    <w:rsid w:val="00091868"/>
    <w:rsid w:val="00091A2D"/>
    <w:rsid w:val="00091FA5"/>
    <w:rsid w:val="00093985"/>
    <w:rsid w:val="00093A60"/>
    <w:rsid w:val="00094DBE"/>
    <w:rsid w:val="000965D7"/>
    <w:rsid w:val="000974E1"/>
    <w:rsid w:val="0009760D"/>
    <w:rsid w:val="00097D82"/>
    <w:rsid w:val="000A1CBD"/>
    <w:rsid w:val="000A238F"/>
    <w:rsid w:val="000A29BE"/>
    <w:rsid w:val="000A35C3"/>
    <w:rsid w:val="000A3A6F"/>
    <w:rsid w:val="000A4FBC"/>
    <w:rsid w:val="000A57E9"/>
    <w:rsid w:val="000A58C2"/>
    <w:rsid w:val="000B166F"/>
    <w:rsid w:val="000B1EF8"/>
    <w:rsid w:val="000B3267"/>
    <w:rsid w:val="000B3371"/>
    <w:rsid w:val="000B34A7"/>
    <w:rsid w:val="000B35DA"/>
    <w:rsid w:val="000B4D76"/>
    <w:rsid w:val="000B4DEF"/>
    <w:rsid w:val="000B4F15"/>
    <w:rsid w:val="000B4F36"/>
    <w:rsid w:val="000B559B"/>
    <w:rsid w:val="000B5E1B"/>
    <w:rsid w:val="000B7228"/>
    <w:rsid w:val="000B7AAD"/>
    <w:rsid w:val="000C033B"/>
    <w:rsid w:val="000C1141"/>
    <w:rsid w:val="000C217B"/>
    <w:rsid w:val="000C32D4"/>
    <w:rsid w:val="000C3C11"/>
    <w:rsid w:val="000C42BC"/>
    <w:rsid w:val="000C438F"/>
    <w:rsid w:val="000C4BCA"/>
    <w:rsid w:val="000C4C9C"/>
    <w:rsid w:val="000C512C"/>
    <w:rsid w:val="000C629C"/>
    <w:rsid w:val="000C7173"/>
    <w:rsid w:val="000C792D"/>
    <w:rsid w:val="000C7B0E"/>
    <w:rsid w:val="000C7F30"/>
    <w:rsid w:val="000C7F39"/>
    <w:rsid w:val="000D275E"/>
    <w:rsid w:val="000D37D7"/>
    <w:rsid w:val="000D3E1A"/>
    <w:rsid w:val="000D3FD7"/>
    <w:rsid w:val="000D4032"/>
    <w:rsid w:val="000D50CB"/>
    <w:rsid w:val="000D5239"/>
    <w:rsid w:val="000D64CB"/>
    <w:rsid w:val="000D6A41"/>
    <w:rsid w:val="000E035C"/>
    <w:rsid w:val="000E116D"/>
    <w:rsid w:val="000E1536"/>
    <w:rsid w:val="000E23F6"/>
    <w:rsid w:val="000E6595"/>
    <w:rsid w:val="000E75DF"/>
    <w:rsid w:val="000F03FA"/>
    <w:rsid w:val="000F06F8"/>
    <w:rsid w:val="000F088B"/>
    <w:rsid w:val="000F0D59"/>
    <w:rsid w:val="000F1A39"/>
    <w:rsid w:val="000F1C07"/>
    <w:rsid w:val="000F22CE"/>
    <w:rsid w:val="000F36E8"/>
    <w:rsid w:val="000F395B"/>
    <w:rsid w:val="000F4ADE"/>
    <w:rsid w:val="0010157E"/>
    <w:rsid w:val="0010384C"/>
    <w:rsid w:val="001039DE"/>
    <w:rsid w:val="00104383"/>
    <w:rsid w:val="00106E41"/>
    <w:rsid w:val="001074AB"/>
    <w:rsid w:val="00107715"/>
    <w:rsid w:val="001114FB"/>
    <w:rsid w:val="001120F0"/>
    <w:rsid w:val="00112920"/>
    <w:rsid w:val="00112BF9"/>
    <w:rsid w:val="0011349E"/>
    <w:rsid w:val="0011422C"/>
    <w:rsid w:val="00114989"/>
    <w:rsid w:val="00114BC7"/>
    <w:rsid w:val="00116E92"/>
    <w:rsid w:val="00117497"/>
    <w:rsid w:val="001207A5"/>
    <w:rsid w:val="0012251B"/>
    <w:rsid w:val="00123B5E"/>
    <w:rsid w:val="00124E22"/>
    <w:rsid w:val="00126C63"/>
    <w:rsid w:val="00126D3D"/>
    <w:rsid w:val="00126E96"/>
    <w:rsid w:val="00127A7A"/>
    <w:rsid w:val="00127C87"/>
    <w:rsid w:val="00130526"/>
    <w:rsid w:val="00130890"/>
    <w:rsid w:val="00131DD4"/>
    <w:rsid w:val="00132015"/>
    <w:rsid w:val="00133740"/>
    <w:rsid w:val="00133FE9"/>
    <w:rsid w:val="00135372"/>
    <w:rsid w:val="00135AC4"/>
    <w:rsid w:val="00135D99"/>
    <w:rsid w:val="00137F1A"/>
    <w:rsid w:val="0014217A"/>
    <w:rsid w:val="00142D82"/>
    <w:rsid w:val="00143382"/>
    <w:rsid w:val="00143ADE"/>
    <w:rsid w:val="00144D00"/>
    <w:rsid w:val="00145574"/>
    <w:rsid w:val="00145650"/>
    <w:rsid w:val="00146741"/>
    <w:rsid w:val="00146B76"/>
    <w:rsid w:val="001471DE"/>
    <w:rsid w:val="00151284"/>
    <w:rsid w:val="0015165C"/>
    <w:rsid w:val="00153308"/>
    <w:rsid w:val="00153321"/>
    <w:rsid w:val="00154563"/>
    <w:rsid w:val="001549A1"/>
    <w:rsid w:val="00154E85"/>
    <w:rsid w:val="00155731"/>
    <w:rsid w:val="00155D42"/>
    <w:rsid w:val="0015629C"/>
    <w:rsid w:val="00157878"/>
    <w:rsid w:val="00157919"/>
    <w:rsid w:val="001607A2"/>
    <w:rsid w:val="00160CC3"/>
    <w:rsid w:val="001610A3"/>
    <w:rsid w:val="00161AD3"/>
    <w:rsid w:val="00161F65"/>
    <w:rsid w:val="00162925"/>
    <w:rsid w:val="001649D4"/>
    <w:rsid w:val="0016594E"/>
    <w:rsid w:val="00165DFE"/>
    <w:rsid w:val="00165EAA"/>
    <w:rsid w:val="001660D9"/>
    <w:rsid w:val="001677BF"/>
    <w:rsid w:val="001708B4"/>
    <w:rsid w:val="0017228D"/>
    <w:rsid w:val="00172F00"/>
    <w:rsid w:val="001745E5"/>
    <w:rsid w:val="00174627"/>
    <w:rsid w:val="00175242"/>
    <w:rsid w:val="00175B66"/>
    <w:rsid w:val="00175D84"/>
    <w:rsid w:val="00176A26"/>
    <w:rsid w:val="00176BB0"/>
    <w:rsid w:val="00177679"/>
    <w:rsid w:val="00177BFF"/>
    <w:rsid w:val="00177E52"/>
    <w:rsid w:val="00180F7F"/>
    <w:rsid w:val="00183BCA"/>
    <w:rsid w:val="00184A6C"/>
    <w:rsid w:val="00184EF5"/>
    <w:rsid w:val="0018606B"/>
    <w:rsid w:val="00192203"/>
    <w:rsid w:val="00192253"/>
    <w:rsid w:val="001936BD"/>
    <w:rsid w:val="00193B06"/>
    <w:rsid w:val="00194A6C"/>
    <w:rsid w:val="00194B05"/>
    <w:rsid w:val="001955B9"/>
    <w:rsid w:val="00195BAF"/>
    <w:rsid w:val="00195E11"/>
    <w:rsid w:val="0019638D"/>
    <w:rsid w:val="00196E69"/>
    <w:rsid w:val="00197247"/>
    <w:rsid w:val="0019756B"/>
    <w:rsid w:val="001977C6"/>
    <w:rsid w:val="00197B8B"/>
    <w:rsid w:val="00197F14"/>
    <w:rsid w:val="001A0A70"/>
    <w:rsid w:val="001A1982"/>
    <w:rsid w:val="001A2807"/>
    <w:rsid w:val="001A2EDE"/>
    <w:rsid w:val="001A5378"/>
    <w:rsid w:val="001A6607"/>
    <w:rsid w:val="001B1242"/>
    <w:rsid w:val="001B31C5"/>
    <w:rsid w:val="001B3481"/>
    <w:rsid w:val="001B3D59"/>
    <w:rsid w:val="001B3E8E"/>
    <w:rsid w:val="001B47CB"/>
    <w:rsid w:val="001B4D5F"/>
    <w:rsid w:val="001B5B96"/>
    <w:rsid w:val="001B5BBC"/>
    <w:rsid w:val="001C0275"/>
    <w:rsid w:val="001C0E0A"/>
    <w:rsid w:val="001C179E"/>
    <w:rsid w:val="001C2071"/>
    <w:rsid w:val="001C5C2C"/>
    <w:rsid w:val="001C5E82"/>
    <w:rsid w:val="001D244F"/>
    <w:rsid w:val="001D2916"/>
    <w:rsid w:val="001D3C3C"/>
    <w:rsid w:val="001D57F8"/>
    <w:rsid w:val="001E08BC"/>
    <w:rsid w:val="001E2180"/>
    <w:rsid w:val="001E2207"/>
    <w:rsid w:val="001E22E1"/>
    <w:rsid w:val="001E295D"/>
    <w:rsid w:val="001E2989"/>
    <w:rsid w:val="001E2A1C"/>
    <w:rsid w:val="001E4280"/>
    <w:rsid w:val="001E448A"/>
    <w:rsid w:val="001E503D"/>
    <w:rsid w:val="001E5117"/>
    <w:rsid w:val="001E684B"/>
    <w:rsid w:val="001E74A3"/>
    <w:rsid w:val="001E7C9C"/>
    <w:rsid w:val="001E7E9D"/>
    <w:rsid w:val="001F0C27"/>
    <w:rsid w:val="001F25C5"/>
    <w:rsid w:val="001F2729"/>
    <w:rsid w:val="001F32AC"/>
    <w:rsid w:val="001F3841"/>
    <w:rsid w:val="001F3E00"/>
    <w:rsid w:val="001F4A54"/>
    <w:rsid w:val="001F51E1"/>
    <w:rsid w:val="001F5C52"/>
    <w:rsid w:val="001F648A"/>
    <w:rsid w:val="001F6D98"/>
    <w:rsid w:val="0020127F"/>
    <w:rsid w:val="00201E59"/>
    <w:rsid w:val="00202187"/>
    <w:rsid w:val="0020353D"/>
    <w:rsid w:val="00204822"/>
    <w:rsid w:val="00204F3C"/>
    <w:rsid w:val="00205655"/>
    <w:rsid w:val="00207900"/>
    <w:rsid w:val="0021059B"/>
    <w:rsid w:val="00210B40"/>
    <w:rsid w:val="00211504"/>
    <w:rsid w:val="00211792"/>
    <w:rsid w:val="00211DA9"/>
    <w:rsid w:val="0021383A"/>
    <w:rsid w:val="00217511"/>
    <w:rsid w:val="0022006F"/>
    <w:rsid w:val="00221929"/>
    <w:rsid w:val="00222BD6"/>
    <w:rsid w:val="002231E5"/>
    <w:rsid w:val="002245ED"/>
    <w:rsid w:val="00224EF6"/>
    <w:rsid w:val="002253F7"/>
    <w:rsid w:val="00227423"/>
    <w:rsid w:val="00227B60"/>
    <w:rsid w:val="002302F0"/>
    <w:rsid w:val="00230372"/>
    <w:rsid w:val="0023140D"/>
    <w:rsid w:val="0023200C"/>
    <w:rsid w:val="00232024"/>
    <w:rsid w:val="00232482"/>
    <w:rsid w:val="0023478D"/>
    <w:rsid w:val="002347AF"/>
    <w:rsid w:val="00234D98"/>
    <w:rsid w:val="00235F2B"/>
    <w:rsid w:val="00235F84"/>
    <w:rsid w:val="00236072"/>
    <w:rsid w:val="0023612D"/>
    <w:rsid w:val="002367A1"/>
    <w:rsid w:val="00236A69"/>
    <w:rsid w:val="00237FE0"/>
    <w:rsid w:val="00240040"/>
    <w:rsid w:val="00241397"/>
    <w:rsid w:val="002419B0"/>
    <w:rsid w:val="00241AC4"/>
    <w:rsid w:val="002435EC"/>
    <w:rsid w:val="002447F3"/>
    <w:rsid w:val="0024493B"/>
    <w:rsid w:val="00244C23"/>
    <w:rsid w:val="00244EB2"/>
    <w:rsid w:val="00246122"/>
    <w:rsid w:val="00246376"/>
    <w:rsid w:val="002521CA"/>
    <w:rsid w:val="00252505"/>
    <w:rsid w:val="0025308D"/>
    <w:rsid w:val="00253583"/>
    <w:rsid w:val="002559B2"/>
    <w:rsid w:val="002562E1"/>
    <w:rsid w:val="002605A3"/>
    <w:rsid w:val="00262395"/>
    <w:rsid w:val="002627D0"/>
    <w:rsid w:val="00262D2D"/>
    <w:rsid w:val="002636F9"/>
    <w:rsid w:val="00264625"/>
    <w:rsid w:val="00264EF2"/>
    <w:rsid w:val="00265323"/>
    <w:rsid w:val="002660B1"/>
    <w:rsid w:val="002660EF"/>
    <w:rsid w:val="0026642F"/>
    <w:rsid w:val="00266BFF"/>
    <w:rsid w:val="002671C1"/>
    <w:rsid w:val="00267228"/>
    <w:rsid w:val="002672AE"/>
    <w:rsid w:val="00271D07"/>
    <w:rsid w:val="002729D0"/>
    <w:rsid w:val="002739D4"/>
    <w:rsid w:val="00273DB3"/>
    <w:rsid w:val="00275C75"/>
    <w:rsid w:val="00275D4C"/>
    <w:rsid w:val="00275D7B"/>
    <w:rsid w:val="00276960"/>
    <w:rsid w:val="00276D70"/>
    <w:rsid w:val="00277DEB"/>
    <w:rsid w:val="00280884"/>
    <w:rsid w:val="00280956"/>
    <w:rsid w:val="00280F9E"/>
    <w:rsid w:val="0028391B"/>
    <w:rsid w:val="00284430"/>
    <w:rsid w:val="002853C2"/>
    <w:rsid w:val="002860B4"/>
    <w:rsid w:val="00286896"/>
    <w:rsid w:val="00290A96"/>
    <w:rsid w:val="00291F6E"/>
    <w:rsid w:val="00292A8F"/>
    <w:rsid w:val="0029321D"/>
    <w:rsid w:val="00294485"/>
    <w:rsid w:val="00295F69"/>
    <w:rsid w:val="00297362"/>
    <w:rsid w:val="002974A6"/>
    <w:rsid w:val="002978A1"/>
    <w:rsid w:val="002A0B01"/>
    <w:rsid w:val="002A0E3F"/>
    <w:rsid w:val="002A1F48"/>
    <w:rsid w:val="002A2567"/>
    <w:rsid w:val="002A289C"/>
    <w:rsid w:val="002A36C3"/>
    <w:rsid w:val="002A69F5"/>
    <w:rsid w:val="002A6A8D"/>
    <w:rsid w:val="002A7C46"/>
    <w:rsid w:val="002A7FA5"/>
    <w:rsid w:val="002B0210"/>
    <w:rsid w:val="002B16EA"/>
    <w:rsid w:val="002B1803"/>
    <w:rsid w:val="002B2FC2"/>
    <w:rsid w:val="002B6818"/>
    <w:rsid w:val="002B6A1C"/>
    <w:rsid w:val="002B78DB"/>
    <w:rsid w:val="002C41CE"/>
    <w:rsid w:val="002C4369"/>
    <w:rsid w:val="002C59ED"/>
    <w:rsid w:val="002C5AB6"/>
    <w:rsid w:val="002C5E6C"/>
    <w:rsid w:val="002C7F8A"/>
    <w:rsid w:val="002D11D1"/>
    <w:rsid w:val="002D2CC8"/>
    <w:rsid w:val="002D2DDB"/>
    <w:rsid w:val="002D372B"/>
    <w:rsid w:val="002D40F1"/>
    <w:rsid w:val="002D4F1A"/>
    <w:rsid w:val="002D502A"/>
    <w:rsid w:val="002D5F24"/>
    <w:rsid w:val="002D642C"/>
    <w:rsid w:val="002D760C"/>
    <w:rsid w:val="002E04D6"/>
    <w:rsid w:val="002E0ECB"/>
    <w:rsid w:val="002E186A"/>
    <w:rsid w:val="002E2100"/>
    <w:rsid w:val="002E2DA9"/>
    <w:rsid w:val="002E3478"/>
    <w:rsid w:val="002E6265"/>
    <w:rsid w:val="002E6B8E"/>
    <w:rsid w:val="002F0F44"/>
    <w:rsid w:val="002F2077"/>
    <w:rsid w:val="002F265F"/>
    <w:rsid w:val="002F390A"/>
    <w:rsid w:val="002F3966"/>
    <w:rsid w:val="002F6033"/>
    <w:rsid w:val="002F7E3B"/>
    <w:rsid w:val="00300EF9"/>
    <w:rsid w:val="00302E0F"/>
    <w:rsid w:val="003040AE"/>
    <w:rsid w:val="003060F1"/>
    <w:rsid w:val="0030667F"/>
    <w:rsid w:val="0030796C"/>
    <w:rsid w:val="003103F8"/>
    <w:rsid w:val="0031084E"/>
    <w:rsid w:val="00310C4F"/>
    <w:rsid w:val="00310CC8"/>
    <w:rsid w:val="003110DC"/>
    <w:rsid w:val="00311795"/>
    <w:rsid w:val="0031311E"/>
    <w:rsid w:val="00313940"/>
    <w:rsid w:val="0031472D"/>
    <w:rsid w:val="00314747"/>
    <w:rsid w:val="00314C81"/>
    <w:rsid w:val="003159CC"/>
    <w:rsid w:val="003166AF"/>
    <w:rsid w:val="00317391"/>
    <w:rsid w:val="0032264B"/>
    <w:rsid w:val="00323826"/>
    <w:rsid w:val="0032417D"/>
    <w:rsid w:val="00324E23"/>
    <w:rsid w:val="00325B45"/>
    <w:rsid w:val="003269C0"/>
    <w:rsid w:val="00326F19"/>
    <w:rsid w:val="00327CD4"/>
    <w:rsid w:val="00330C1E"/>
    <w:rsid w:val="00330D26"/>
    <w:rsid w:val="00331525"/>
    <w:rsid w:val="00332322"/>
    <w:rsid w:val="003329E1"/>
    <w:rsid w:val="003345D7"/>
    <w:rsid w:val="00334C3A"/>
    <w:rsid w:val="00335462"/>
    <w:rsid w:val="00337416"/>
    <w:rsid w:val="00340211"/>
    <w:rsid w:val="00340A29"/>
    <w:rsid w:val="003412ED"/>
    <w:rsid w:val="0034273A"/>
    <w:rsid w:val="00344ADA"/>
    <w:rsid w:val="00346966"/>
    <w:rsid w:val="0035021F"/>
    <w:rsid w:val="00350395"/>
    <w:rsid w:val="00350423"/>
    <w:rsid w:val="003510B0"/>
    <w:rsid w:val="00351CA0"/>
    <w:rsid w:val="00352042"/>
    <w:rsid w:val="003522EC"/>
    <w:rsid w:val="00353740"/>
    <w:rsid w:val="0035391B"/>
    <w:rsid w:val="0035436F"/>
    <w:rsid w:val="00356650"/>
    <w:rsid w:val="00357C5D"/>
    <w:rsid w:val="00361D9E"/>
    <w:rsid w:val="003636B2"/>
    <w:rsid w:val="00363F4C"/>
    <w:rsid w:val="00364C64"/>
    <w:rsid w:val="00365D81"/>
    <w:rsid w:val="003660E5"/>
    <w:rsid w:val="003667DD"/>
    <w:rsid w:val="0036695B"/>
    <w:rsid w:val="0036786B"/>
    <w:rsid w:val="003679D7"/>
    <w:rsid w:val="00367C12"/>
    <w:rsid w:val="00367D47"/>
    <w:rsid w:val="0037000D"/>
    <w:rsid w:val="00371631"/>
    <w:rsid w:val="0037198E"/>
    <w:rsid w:val="00372751"/>
    <w:rsid w:val="003742F4"/>
    <w:rsid w:val="003744ED"/>
    <w:rsid w:val="00380D79"/>
    <w:rsid w:val="0038107A"/>
    <w:rsid w:val="00381E06"/>
    <w:rsid w:val="00381E12"/>
    <w:rsid w:val="00382254"/>
    <w:rsid w:val="003823CF"/>
    <w:rsid w:val="00382686"/>
    <w:rsid w:val="00383181"/>
    <w:rsid w:val="00383925"/>
    <w:rsid w:val="00383B62"/>
    <w:rsid w:val="003841E5"/>
    <w:rsid w:val="003875E4"/>
    <w:rsid w:val="00391FE2"/>
    <w:rsid w:val="003932F7"/>
    <w:rsid w:val="0039342D"/>
    <w:rsid w:val="00393A42"/>
    <w:rsid w:val="00394006"/>
    <w:rsid w:val="0039411A"/>
    <w:rsid w:val="00394D85"/>
    <w:rsid w:val="00395DBB"/>
    <w:rsid w:val="00396F50"/>
    <w:rsid w:val="003A19B4"/>
    <w:rsid w:val="003A3F55"/>
    <w:rsid w:val="003A4F10"/>
    <w:rsid w:val="003A5077"/>
    <w:rsid w:val="003A55DC"/>
    <w:rsid w:val="003A68CF"/>
    <w:rsid w:val="003A6ACC"/>
    <w:rsid w:val="003A6EB9"/>
    <w:rsid w:val="003A7B81"/>
    <w:rsid w:val="003A7D26"/>
    <w:rsid w:val="003B1514"/>
    <w:rsid w:val="003B19BB"/>
    <w:rsid w:val="003B1A3E"/>
    <w:rsid w:val="003B3AFA"/>
    <w:rsid w:val="003B422A"/>
    <w:rsid w:val="003B6750"/>
    <w:rsid w:val="003B69AD"/>
    <w:rsid w:val="003C07A8"/>
    <w:rsid w:val="003C0EE2"/>
    <w:rsid w:val="003C1D12"/>
    <w:rsid w:val="003C2DD5"/>
    <w:rsid w:val="003C30B7"/>
    <w:rsid w:val="003C3C53"/>
    <w:rsid w:val="003C401B"/>
    <w:rsid w:val="003C423D"/>
    <w:rsid w:val="003C527D"/>
    <w:rsid w:val="003C5AA3"/>
    <w:rsid w:val="003C6532"/>
    <w:rsid w:val="003C6544"/>
    <w:rsid w:val="003C7236"/>
    <w:rsid w:val="003C788F"/>
    <w:rsid w:val="003C7A03"/>
    <w:rsid w:val="003D048E"/>
    <w:rsid w:val="003D0AD2"/>
    <w:rsid w:val="003D0FDB"/>
    <w:rsid w:val="003D2684"/>
    <w:rsid w:val="003D35FB"/>
    <w:rsid w:val="003D3A41"/>
    <w:rsid w:val="003D65A6"/>
    <w:rsid w:val="003D739C"/>
    <w:rsid w:val="003D7518"/>
    <w:rsid w:val="003E1D35"/>
    <w:rsid w:val="003E3FF1"/>
    <w:rsid w:val="003E4994"/>
    <w:rsid w:val="003E4C28"/>
    <w:rsid w:val="003E577C"/>
    <w:rsid w:val="003E6107"/>
    <w:rsid w:val="003F0514"/>
    <w:rsid w:val="003F2938"/>
    <w:rsid w:val="003F380E"/>
    <w:rsid w:val="003F3FD9"/>
    <w:rsid w:val="003F4FF3"/>
    <w:rsid w:val="003F5DD3"/>
    <w:rsid w:val="00401A64"/>
    <w:rsid w:val="0040421C"/>
    <w:rsid w:val="00406362"/>
    <w:rsid w:val="00406BBE"/>
    <w:rsid w:val="0040758C"/>
    <w:rsid w:val="00407B43"/>
    <w:rsid w:val="00410AF0"/>
    <w:rsid w:val="00410B46"/>
    <w:rsid w:val="00411E8D"/>
    <w:rsid w:val="00411F5F"/>
    <w:rsid w:val="00412736"/>
    <w:rsid w:val="00412FBC"/>
    <w:rsid w:val="00413979"/>
    <w:rsid w:val="00415601"/>
    <w:rsid w:val="00415E5D"/>
    <w:rsid w:val="00416F3F"/>
    <w:rsid w:val="004179D1"/>
    <w:rsid w:val="0042085A"/>
    <w:rsid w:val="00421374"/>
    <w:rsid w:val="00422F1D"/>
    <w:rsid w:val="00423030"/>
    <w:rsid w:val="00423EB4"/>
    <w:rsid w:val="00423F67"/>
    <w:rsid w:val="00424069"/>
    <w:rsid w:val="00425B22"/>
    <w:rsid w:val="00425B78"/>
    <w:rsid w:val="00426084"/>
    <w:rsid w:val="004260E4"/>
    <w:rsid w:val="00427009"/>
    <w:rsid w:val="00427967"/>
    <w:rsid w:val="004306AE"/>
    <w:rsid w:val="00430E0D"/>
    <w:rsid w:val="00430E71"/>
    <w:rsid w:val="00434F1E"/>
    <w:rsid w:val="00435405"/>
    <w:rsid w:val="0043671E"/>
    <w:rsid w:val="00436AB9"/>
    <w:rsid w:val="004376EE"/>
    <w:rsid w:val="00437E84"/>
    <w:rsid w:val="004402EC"/>
    <w:rsid w:val="00440B3B"/>
    <w:rsid w:val="00442E32"/>
    <w:rsid w:val="00443577"/>
    <w:rsid w:val="00443AE1"/>
    <w:rsid w:val="004449E7"/>
    <w:rsid w:val="00444CAD"/>
    <w:rsid w:val="00444CDE"/>
    <w:rsid w:val="00444E8D"/>
    <w:rsid w:val="00444F5F"/>
    <w:rsid w:val="004467F4"/>
    <w:rsid w:val="004474A3"/>
    <w:rsid w:val="0044795E"/>
    <w:rsid w:val="00450595"/>
    <w:rsid w:val="00451DCB"/>
    <w:rsid w:val="004520B0"/>
    <w:rsid w:val="004533F2"/>
    <w:rsid w:val="0045541B"/>
    <w:rsid w:val="00457AAB"/>
    <w:rsid w:val="0046018A"/>
    <w:rsid w:val="00460EE2"/>
    <w:rsid w:val="00464332"/>
    <w:rsid w:val="0046451B"/>
    <w:rsid w:val="004652FE"/>
    <w:rsid w:val="00465C20"/>
    <w:rsid w:val="00467EFF"/>
    <w:rsid w:val="004705DC"/>
    <w:rsid w:val="00472387"/>
    <w:rsid w:val="004730DF"/>
    <w:rsid w:val="004769CB"/>
    <w:rsid w:val="00477937"/>
    <w:rsid w:val="004803E3"/>
    <w:rsid w:val="00482042"/>
    <w:rsid w:val="004820E0"/>
    <w:rsid w:val="00485259"/>
    <w:rsid w:val="00485727"/>
    <w:rsid w:val="00486F1D"/>
    <w:rsid w:val="004904F3"/>
    <w:rsid w:val="0049085E"/>
    <w:rsid w:val="00490CA7"/>
    <w:rsid w:val="004911CE"/>
    <w:rsid w:val="00495C91"/>
    <w:rsid w:val="004960D5"/>
    <w:rsid w:val="00496CEF"/>
    <w:rsid w:val="004A0BEB"/>
    <w:rsid w:val="004A158F"/>
    <w:rsid w:val="004A20AF"/>
    <w:rsid w:val="004A20BF"/>
    <w:rsid w:val="004A2B8E"/>
    <w:rsid w:val="004A36B3"/>
    <w:rsid w:val="004A479C"/>
    <w:rsid w:val="004A54A7"/>
    <w:rsid w:val="004A5E7B"/>
    <w:rsid w:val="004A74B8"/>
    <w:rsid w:val="004A78ED"/>
    <w:rsid w:val="004A7B14"/>
    <w:rsid w:val="004A7E53"/>
    <w:rsid w:val="004B00D0"/>
    <w:rsid w:val="004B0936"/>
    <w:rsid w:val="004B0963"/>
    <w:rsid w:val="004B0BB8"/>
    <w:rsid w:val="004B1664"/>
    <w:rsid w:val="004B169A"/>
    <w:rsid w:val="004B2873"/>
    <w:rsid w:val="004B41AE"/>
    <w:rsid w:val="004B5288"/>
    <w:rsid w:val="004B620A"/>
    <w:rsid w:val="004B7155"/>
    <w:rsid w:val="004B7313"/>
    <w:rsid w:val="004B7B9B"/>
    <w:rsid w:val="004C0CB4"/>
    <w:rsid w:val="004C28CE"/>
    <w:rsid w:val="004C402B"/>
    <w:rsid w:val="004C4EC8"/>
    <w:rsid w:val="004C664D"/>
    <w:rsid w:val="004C67A2"/>
    <w:rsid w:val="004D109E"/>
    <w:rsid w:val="004D141E"/>
    <w:rsid w:val="004D338A"/>
    <w:rsid w:val="004D3A72"/>
    <w:rsid w:val="004D3B9F"/>
    <w:rsid w:val="004D3EC4"/>
    <w:rsid w:val="004D559C"/>
    <w:rsid w:val="004D5751"/>
    <w:rsid w:val="004D60F0"/>
    <w:rsid w:val="004D6C79"/>
    <w:rsid w:val="004D6C7D"/>
    <w:rsid w:val="004E0519"/>
    <w:rsid w:val="004E0F84"/>
    <w:rsid w:val="004E13C1"/>
    <w:rsid w:val="004E22DA"/>
    <w:rsid w:val="004E2B02"/>
    <w:rsid w:val="004E2CF3"/>
    <w:rsid w:val="004E37D2"/>
    <w:rsid w:val="004E4377"/>
    <w:rsid w:val="004E4572"/>
    <w:rsid w:val="004E4BD2"/>
    <w:rsid w:val="004E6CFF"/>
    <w:rsid w:val="004E6ED8"/>
    <w:rsid w:val="004E71A0"/>
    <w:rsid w:val="004E71E1"/>
    <w:rsid w:val="004E736E"/>
    <w:rsid w:val="004E75FB"/>
    <w:rsid w:val="004F4199"/>
    <w:rsid w:val="004F6583"/>
    <w:rsid w:val="004F6E2C"/>
    <w:rsid w:val="004F71F9"/>
    <w:rsid w:val="004F7B85"/>
    <w:rsid w:val="004F7CC6"/>
    <w:rsid w:val="00500485"/>
    <w:rsid w:val="00501A82"/>
    <w:rsid w:val="00501B13"/>
    <w:rsid w:val="00501B20"/>
    <w:rsid w:val="005025A1"/>
    <w:rsid w:val="00502A60"/>
    <w:rsid w:val="00504F17"/>
    <w:rsid w:val="0050564B"/>
    <w:rsid w:val="00505685"/>
    <w:rsid w:val="00505B0A"/>
    <w:rsid w:val="005065FC"/>
    <w:rsid w:val="00506E87"/>
    <w:rsid w:val="00506EA5"/>
    <w:rsid w:val="00507497"/>
    <w:rsid w:val="00507E0B"/>
    <w:rsid w:val="00510541"/>
    <w:rsid w:val="005119C4"/>
    <w:rsid w:val="00512513"/>
    <w:rsid w:val="00514C19"/>
    <w:rsid w:val="0051519C"/>
    <w:rsid w:val="00517C19"/>
    <w:rsid w:val="0052071B"/>
    <w:rsid w:val="00521687"/>
    <w:rsid w:val="00522100"/>
    <w:rsid w:val="005241EA"/>
    <w:rsid w:val="0052635D"/>
    <w:rsid w:val="00530E05"/>
    <w:rsid w:val="005312B3"/>
    <w:rsid w:val="005326CB"/>
    <w:rsid w:val="00533AFF"/>
    <w:rsid w:val="00535CF8"/>
    <w:rsid w:val="0053727E"/>
    <w:rsid w:val="00540274"/>
    <w:rsid w:val="00541582"/>
    <w:rsid w:val="00541FB3"/>
    <w:rsid w:val="00542A13"/>
    <w:rsid w:val="005433B5"/>
    <w:rsid w:val="00543818"/>
    <w:rsid w:val="00543C17"/>
    <w:rsid w:val="00543D3F"/>
    <w:rsid w:val="00544CB3"/>
    <w:rsid w:val="005451BE"/>
    <w:rsid w:val="00545AA4"/>
    <w:rsid w:val="0054691E"/>
    <w:rsid w:val="00551074"/>
    <w:rsid w:val="00551593"/>
    <w:rsid w:val="00552613"/>
    <w:rsid w:val="0055429D"/>
    <w:rsid w:val="00554787"/>
    <w:rsid w:val="00554BFB"/>
    <w:rsid w:val="0055568E"/>
    <w:rsid w:val="005562CC"/>
    <w:rsid w:val="005567AF"/>
    <w:rsid w:val="00556E7D"/>
    <w:rsid w:val="00556FCF"/>
    <w:rsid w:val="00557D1E"/>
    <w:rsid w:val="00560186"/>
    <w:rsid w:val="00561512"/>
    <w:rsid w:val="00562EAC"/>
    <w:rsid w:val="00563829"/>
    <w:rsid w:val="00563CD0"/>
    <w:rsid w:val="00564F42"/>
    <w:rsid w:val="005656BA"/>
    <w:rsid w:val="0056689F"/>
    <w:rsid w:val="00566B79"/>
    <w:rsid w:val="00566D60"/>
    <w:rsid w:val="00566F96"/>
    <w:rsid w:val="00567880"/>
    <w:rsid w:val="0057155C"/>
    <w:rsid w:val="0057263F"/>
    <w:rsid w:val="00573AFC"/>
    <w:rsid w:val="00574090"/>
    <w:rsid w:val="00574960"/>
    <w:rsid w:val="0057597B"/>
    <w:rsid w:val="00575CE3"/>
    <w:rsid w:val="005768CA"/>
    <w:rsid w:val="005806DE"/>
    <w:rsid w:val="005812DB"/>
    <w:rsid w:val="005820A8"/>
    <w:rsid w:val="0058219B"/>
    <w:rsid w:val="005827A1"/>
    <w:rsid w:val="005827DD"/>
    <w:rsid w:val="00585DE0"/>
    <w:rsid w:val="00586B80"/>
    <w:rsid w:val="00587DD9"/>
    <w:rsid w:val="005907D6"/>
    <w:rsid w:val="00591678"/>
    <w:rsid w:val="00591AEB"/>
    <w:rsid w:val="0059278B"/>
    <w:rsid w:val="00592F47"/>
    <w:rsid w:val="00593A71"/>
    <w:rsid w:val="005948C0"/>
    <w:rsid w:val="00595209"/>
    <w:rsid w:val="005964B1"/>
    <w:rsid w:val="00596B07"/>
    <w:rsid w:val="005A06C6"/>
    <w:rsid w:val="005A0809"/>
    <w:rsid w:val="005A0B10"/>
    <w:rsid w:val="005A0BFD"/>
    <w:rsid w:val="005A1479"/>
    <w:rsid w:val="005A170E"/>
    <w:rsid w:val="005A21E0"/>
    <w:rsid w:val="005A3AEF"/>
    <w:rsid w:val="005A5DFF"/>
    <w:rsid w:val="005A7626"/>
    <w:rsid w:val="005B2D1E"/>
    <w:rsid w:val="005B32B7"/>
    <w:rsid w:val="005B3F66"/>
    <w:rsid w:val="005B4301"/>
    <w:rsid w:val="005B4885"/>
    <w:rsid w:val="005B4BA4"/>
    <w:rsid w:val="005B4F6D"/>
    <w:rsid w:val="005B54BC"/>
    <w:rsid w:val="005B6111"/>
    <w:rsid w:val="005B6891"/>
    <w:rsid w:val="005C206B"/>
    <w:rsid w:val="005C2E22"/>
    <w:rsid w:val="005C3354"/>
    <w:rsid w:val="005C57B3"/>
    <w:rsid w:val="005C5E30"/>
    <w:rsid w:val="005C5F53"/>
    <w:rsid w:val="005C7573"/>
    <w:rsid w:val="005D069F"/>
    <w:rsid w:val="005D07F1"/>
    <w:rsid w:val="005D0F4D"/>
    <w:rsid w:val="005D14C5"/>
    <w:rsid w:val="005D176D"/>
    <w:rsid w:val="005D18DB"/>
    <w:rsid w:val="005D27A8"/>
    <w:rsid w:val="005D367D"/>
    <w:rsid w:val="005D470F"/>
    <w:rsid w:val="005D489E"/>
    <w:rsid w:val="005D48E7"/>
    <w:rsid w:val="005D4CFC"/>
    <w:rsid w:val="005D54B5"/>
    <w:rsid w:val="005D5AE8"/>
    <w:rsid w:val="005D60C3"/>
    <w:rsid w:val="005D65E3"/>
    <w:rsid w:val="005D6919"/>
    <w:rsid w:val="005D6BFA"/>
    <w:rsid w:val="005E018A"/>
    <w:rsid w:val="005E1AF8"/>
    <w:rsid w:val="005E1E33"/>
    <w:rsid w:val="005E20CB"/>
    <w:rsid w:val="005E20EE"/>
    <w:rsid w:val="005E2909"/>
    <w:rsid w:val="005E36EC"/>
    <w:rsid w:val="005E6C32"/>
    <w:rsid w:val="005F33BC"/>
    <w:rsid w:val="005F63D2"/>
    <w:rsid w:val="00600616"/>
    <w:rsid w:val="00600B72"/>
    <w:rsid w:val="00600FC7"/>
    <w:rsid w:val="00602267"/>
    <w:rsid w:val="00602C2F"/>
    <w:rsid w:val="00603BDC"/>
    <w:rsid w:val="006042E6"/>
    <w:rsid w:val="0060471A"/>
    <w:rsid w:val="00604F64"/>
    <w:rsid w:val="00606B2E"/>
    <w:rsid w:val="00607504"/>
    <w:rsid w:val="006075AC"/>
    <w:rsid w:val="00607E7F"/>
    <w:rsid w:val="0061020E"/>
    <w:rsid w:val="006114D6"/>
    <w:rsid w:val="00612151"/>
    <w:rsid w:val="006152B1"/>
    <w:rsid w:val="00615AC5"/>
    <w:rsid w:val="00616593"/>
    <w:rsid w:val="0061662B"/>
    <w:rsid w:val="006176B6"/>
    <w:rsid w:val="00621150"/>
    <w:rsid w:val="00622C6A"/>
    <w:rsid w:val="00622FD6"/>
    <w:rsid w:val="00624966"/>
    <w:rsid w:val="006255D6"/>
    <w:rsid w:val="0062574F"/>
    <w:rsid w:val="006260A7"/>
    <w:rsid w:val="00631461"/>
    <w:rsid w:val="00631597"/>
    <w:rsid w:val="0063202D"/>
    <w:rsid w:val="006339E4"/>
    <w:rsid w:val="00633B1D"/>
    <w:rsid w:val="00634E0A"/>
    <w:rsid w:val="0063534C"/>
    <w:rsid w:val="00637559"/>
    <w:rsid w:val="00637AD9"/>
    <w:rsid w:val="00640B0D"/>
    <w:rsid w:val="00641E57"/>
    <w:rsid w:val="00641FB5"/>
    <w:rsid w:val="00642C4C"/>
    <w:rsid w:val="00644EDB"/>
    <w:rsid w:val="006454F2"/>
    <w:rsid w:val="00645633"/>
    <w:rsid w:val="00645B66"/>
    <w:rsid w:val="00646B15"/>
    <w:rsid w:val="00650AF5"/>
    <w:rsid w:val="00652699"/>
    <w:rsid w:val="00652C19"/>
    <w:rsid w:val="006532E3"/>
    <w:rsid w:val="00653A79"/>
    <w:rsid w:val="0065474F"/>
    <w:rsid w:val="00654E72"/>
    <w:rsid w:val="00655C51"/>
    <w:rsid w:val="00655DB0"/>
    <w:rsid w:val="0065677D"/>
    <w:rsid w:val="006600FB"/>
    <w:rsid w:val="006603B8"/>
    <w:rsid w:val="0066108D"/>
    <w:rsid w:val="006616AD"/>
    <w:rsid w:val="006637C3"/>
    <w:rsid w:val="00665248"/>
    <w:rsid w:val="00665D74"/>
    <w:rsid w:val="00665FA9"/>
    <w:rsid w:val="00666557"/>
    <w:rsid w:val="00666EEB"/>
    <w:rsid w:val="00667176"/>
    <w:rsid w:val="006678BE"/>
    <w:rsid w:val="00671025"/>
    <w:rsid w:val="00672122"/>
    <w:rsid w:val="006724CA"/>
    <w:rsid w:val="006725F0"/>
    <w:rsid w:val="006731B0"/>
    <w:rsid w:val="00673B2B"/>
    <w:rsid w:val="0067410D"/>
    <w:rsid w:val="00674826"/>
    <w:rsid w:val="00674CC6"/>
    <w:rsid w:val="00675062"/>
    <w:rsid w:val="0067521F"/>
    <w:rsid w:val="006764FA"/>
    <w:rsid w:val="0067651B"/>
    <w:rsid w:val="00676E33"/>
    <w:rsid w:val="006778D3"/>
    <w:rsid w:val="00680946"/>
    <w:rsid w:val="0068321E"/>
    <w:rsid w:val="006837FE"/>
    <w:rsid w:val="00683DFE"/>
    <w:rsid w:val="00686B93"/>
    <w:rsid w:val="00686DFA"/>
    <w:rsid w:val="006875D2"/>
    <w:rsid w:val="006875E9"/>
    <w:rsid w:val="0069027D"/>
    <w:rsid w:val="00690FBC"/>
    <w:rsid w:val="006921FB"/>
    <w:rsid w:val="006947A5"/>
    <w:rsid w:val="00694B3D"/>
    <w:rsid w:val="00695350"/>
    <w:rsid w:val="00695ADF"/>
    <w:rsid w:val="00696416"/>
    <w:rsid w:val="00697265"/>
    <w:rsid w:val="006A0652"/>
    <w:rsid w:val="006A0FC9"/>
    <w:rsid w:val="006A10A4"/>
    <w:rsid w:val="006A3020"/>
    <w:rsid w:val="006A3786"/>
    <w:rsid w:val="006A4067"/>
    <w:rsid w:val="006A48AE"/>
    <w:rsid w:val="006A4AC1"/>
    <w:rsid w:val="006A5360"/>
    <w:rsid w:val="006A7A23"/>
    <w:rsid w:val="006B1C17"/>
    <w:rsid w:val="006B1E6D"/>
    <w:rsid w:val="006B2F3D"/>
    <w:rsid w:val="006B3A87"/>
    <w:rsid w:val="006B3DCB"/>
    <w:rsid w:val="006B4118"/>
    <w:rsid w:val="006B434A"/>
    <w:rsid w:val="006B4A09"/>
    <w:rsid w:val="006B5CC3"/>
    <w:rsid w:val="006B767B"/>
    <w:rsid w:val="006C0677"/>
    <w:rsid w:val="006C079A"/>
    <w:rsid w:val="006C1D6D"/>
    <w:rsid w:val="006C2C6F"/>
    <w:rsid w:val="006C40DD"/>
    <w:rsid w:val="006C421B"/>
    <w:rsid w:val="006C5D55"/>
    <w:rsid w:val="006C5F69"/>
    <w:rsid w:val="006C6D31"/>
    <w:rsid w:val="006C6E77"/>
    <w:rsid w:val="006C7DB2"/>
    <w:rsid w:val="006D0104"/>
    <w:rsid w:val="006D16EB"/>
    <w:rsid w:val="006D1A02"/>
    <w:rsid w:val="006D47EE"/>
    <w:rsid w:val="006D5745"/>
    <w:rsid w:val="006D6BAD"/>
    <w:rsid w:val="006E0044"/>
    <w:rsid w:val="006E0986"/>
    <w:rsid w:val="006E16A9"/>
    <w:rsid w:val="006E1EC8"/>
    <w:rsid w:val="006E2E5C"/>
    <w:rsid w:val="006E2F54"/>
    <w:rsid w:val="006E477B"/>
    <w:rsid w:val="006E6491"/>
    <w:rsid w:val="006E6537"/>
    <w:rsid w:val="006E757A"/>
    <w:rsid w:val="006E77F8"/>
    <w:rsid w:val="006E7AA1"/>
    <w:rsid w:val="006F11A9"/>
    <w:rsid w:val="006F1DA4"/>
    <w:rsid w:val="006F26F9"/>
    <w:rsid w:val="006F2772"/>
    <w:rsid w:val="006F4161"/>
    <w:rsid w:val="006F48ED"/>
    <w:rsid w:val="006F52C4"/>
    <w:rsid w:val="006F5B9A"/>
    <w:rsid w:val="006F6DD3"/>
    <w:rsid w:val="007005F5"/>
    <w:rsid w:val="0070290E"/>
    <w:rsid w:val="00702964"/>
    <w:rsid w:val="00704CCF"/>
    <w:rsid w:val="0070622D"/>
    <w:rsid w:val="007064E2"/>
    <w:rsid w:val="00707E68"/>
    <w:rsid w:val="007107DA"/>
    <w:rsid w:val="00710F20"/>
    <w:rsid w:val="00711448"/>
    <w:rsid w:val="007122E4"/>
    <w:rsid w:val="00712B8B"/>
    <w:rsid w:val="00712ECD"/>
    <w:rsid w:val="007139CA"/>
    <w:rsid w:val="007146A5"/>
    <w:rsid w:val="00715995"/>
    <w:rsid w:val="00716347"/>
    <w:rsid w:val="007165E2"/>
    <w:rsid w:val="00716AE9"/>
    <w:rsid w:val="00717599"/>
    <w:rsid w:val="007175B3"/>
    <w:rsid w:val="0072141B"/>
    <w:rsid w:val="00721F11"/>
    <w:rsid w:val="0072224F"/>
    <w:rsid w:val="0072354F"/>
    <w:rsid w:val="0072485B"/>
    <w:rsid w:val="0072680C"/>
    <w:rsid w:val="007268CB"/>
    <w:rsid w:val="00726F61"/>
    <w:rsid w:val="0073124F"/>
    <w:rsid w:val="0073147A"/>
    <w:rsid w:val="007324BD"/>
    <w:rsid w:val="00732C3C"/>
    <w:rsid w:val="00732CEB"/>
    <w:rsid w:val="00732E6A"/>
    <w:rsid w:val="007332A9"/>
    <w:rsid w:val="00734614"/>
    <w:rsid w:val="00734D4E"/>
    <w:rsid w:val="007351CA"/>
    <w:rsid w:val="00735C81"/>
    <w:rsid w:val="00736976"/>
    <w:rsid w:val="00742008"/>
    <w:rsid w:val="00742522"/>
    <w:rsid w:val="0074301D"/>
    <w:rsid w:val="0074429A"/>
    <w:rsid w:val="0074494A"/>
    <w:rsid w:val="007453DD"/>
    <w:rsid w:val="00745AB4"/>
    <w:rsid w:val="00745FDC"/>
    <w:rsid w:val="0074610F"/>
    <w:rsid w:val="007476FB"/>
    <w:rsid w:val="00750130"/>
    <w:rsid w:val="007506D6"/>
    <w:rsid w:val="0075206D"/>
    <w:rsid w:val="007523C9"/>
    <w:rsid w:val="00753CFE"/>
    <w:rsid w:val="00754494"/>
    <w:rsid w:val="007557E1"/>
    <w:rsid w:val="00755FBA"/>
    <w:rsid w:val="0075608E"/>
    <w:rsid w:val="00757289"/>
    <w:rsid w:val="00757A8C"/>
    <w:rsid w:val="007603C6"/>
    <w:rsid w:val="00760D3C"/>
    <w:rsid w:val="00761843"/>
    <w:rsid w:val="00761BAF"/>
    <w:rsid w:val="0076202D"/>
    <w:rsid w:val="007622EE"/>
    <w:rsid w:val="00763AA9"/>
    <w:rsid w:val="00763FC2"/>
    <w:rsid w:val="00764136"/>
    <w:rsid w:val="007656DE"/>
    <w:rsid w:val="00765906"/>
    <w:rsid w:val="00767FD4"/>
    <w:rsid w:val="00770D15"/>
    <w:rsid w:val="0077331C"/>
    <w:rsid w:val="00774D65"/>
    <w:rsid w:val="00774F50"/>
    <w:rsid w:val="00776946"/>
    <w:rsid w:val="00776B9C"/>
    <w:rsid w:val="0078040E"/>
    <w:rsid w:val="00780EE4"/>
    <w:rsid w:val="00781CF8"/>
    <w:rsid w:val="0078290D"/>
    <w:rsid w:val="0078294E"/>
    <w:rsid w:val="00782AFA"/>
    <w:rsid w:val="0078355F"/>
    <w:rsid w:val="007836CC"/>
    <w:rsid w:val="0078458D"/>
    <w:rsid w:val="00784B84"/>
    <w:rsid w:val="0078522D"/>
    <w:rsid w:val="00785562"/>
    <w:rsid w:val="007878C3"/>
    <w:rsid w:val="0079017B"/>
    <w:rsid w:val="0079093A"/>
    <w:rsid w:val="00791338"/>
    <w:rsid w:val="007913C3"/>
    <w:rsid w:val="00791BCE"/>
    <w:rsid w:val="00792DDA"/>
    <w:rsid w:val="00793425"/>
    <w:rsid w:val="00793B94"/>
    <w:rsid w:val="00794C2D"/>
    <w:rsid w:val="00795C44"/>
    <w:rsid w:val="00796D0E"/>
    <w:rsid w:val="00797122"/>
    <w:rsid w:val="00797762"/>
    <w:rsid w:val="007A05AF"/>
    <w:rsid w:val="007A219C"/>
    <w:rsid w:val="007A24CE"/>
    <w:rsid w:val="007A3B14"/>
    <w:rsid w:val="007A3C6D"/>
    <w:rsid w:val="007A4CE9"/>
    <w:rsid w:val="007A5203"/>
    <w:rsid w:val="007A5311"/>
    <w:rsid w:val="007A5B41"/>
    <w:rsid w:val="007A628C"/>
    <w:rsid w:val="007A62AE"/>
    <w:rsid w:val="007B01B3"/>
    <w:rsid w:val="007B01EA"/>
    <w:rsid w:val="007B29A4"/>
    <w:rsid w:val="007B2D98"/>
    <w:rsid w:val="007B33E7"/>
    <w:rsid w:val="007B363E"/>
    <w:rsid w:val="007B62C6"/>
    <w:rsid w:val="007B653A"/>
    <w:rsid w:val="007B7A01"/>
    <w:rsid w:val="007C082D"/>
    <w:rsid w:val="007C0AD6"/>
    <w:rsid w:val="007C0F4D"/>
    <w:rsid w:val="007C1B17"/>
    <w:rsid w:val="007C2C53"/>
    <w:rsid w:val="007C40F3"/>
    <w:rsid w:val="007C4629"/>
    <w:rsid w:val="007C5316"/>
    <w:rsid w:val="007C596B"/>
    <w:rsid w:val="007C5CE4"/>
    <w:rsid w:val="007C6B71"/>
    <w:rsid w:val="007C73A3"/>
    <w:rsid w:val="007C7953"/>
    <w:rsid w:val="007D0D4E"/>
    <w:rsid w:val="007D1CEA"/>
    <w:rsid w:val="007D2B86"/>
    <w:rsid w:val="007D34AB"/>
    <w:rsid w:val="007D356A"/>
    <w:rsid w:val="007D36FA"/>
    <w:rsid w:val="007D4456"/>
    <w:rsid w:val="007D4554"/>
    <w:rsid w:val="007D49FD"/>
    <w:rsid w:val="007D4EAA"/>
    <w:rsid w:val="007D5148"/>
    <w:rsid w:val="007D57AC"/>
    <w:rsid w:val="007D5FA2"/>
    <w:rsid w:val="007D6349"/>
    <w:rsid w:val="007E03DF"/>
    <w:rsid w:val="007E065A"/>
    <w:rsid w:val="007E1A57"/>
    <w:rsid w:val="007E205D"/>
    <w:rsid w:val="007E23B2"/>
    <w:rsid w:val="007E3409"/>
    <w:rsid w:val="007E39EF"/>
    <w:rsid w:val="007E3A19"/>
    <w:rsid w:val="007E47F3"/>
    <w:rsid w:val="007E6822"/>
    <w:rsid w:val="007E68E5"/>
    <w:rsid w:val="007E6D61"/>
    <w:rsid w:val="007E7C6E"/>
    <w:rsid w:val="007F00FB"/>
    <w:rsid w:val="007F0934"/>
    <w:rsid w:val="007F0DA6"/>
    <w:rsid w:val="007F0EED"/>
    <w:rsid w:val="007F3594"/>
    <w:rsid w:val="007F4EF4"/>
    <w:rsid w:val="007F5D3B"/>
    <w:rsid w:val="0080146F"/>
    <w:rsid w:val="00803984"/>
    <w:rsid w:val="008044BA"/>
    <w:rsid w:val="0080486C"/>
    <w:rsid w:val="0080487D"/>
    <w:rsid w:val="00806E8A"/>
    <w:rsid w:val="00807324"/>
    <w:rsid w:val="00810284"/>
    <w:rsid w:val="008107AA"/>
    <w:rsid w:val="00810BC3"/>
    <w:rsid w:val="00810C72"/>
    <w:rsid w:val="00813748"/>
    <w:rsid w:val="00814EFE"/>
    <w:rsid w:val="00815BF7"/>
    <w:rsid w:val="008173F7"/>
    <w:rsid w:val="00823D7F"/>
    <w:rsid w:val="008248B7"/>
    <w:rsid w:val="00825355"/>
    <w:rsid w:val="008258A0"/>
    <w:rsid w:val="008264E0"/>
    <w:rsid w:val="0083077A"/>
    <w:rsid w:val="0083132C"/>
    <w:rsid w:val="00831B38"/>
    <w:rsid w:val="00831F11"/>
    <w:rsid w:val="0083217B"/>
    <w:rsid w:val="00832F19"/>
    <w:rsid w:val="00833891"/>
    <w:rsid w:val="00833B82"/>
    <w:rsid w:val="00833BF8"/>
    <w:rsid w:val="00834462"/>
    <w:rsid w:val="008349ED"/>
    <w:rsid w:val="00834C62"/>
    <w:rsid w:val="0083671B"/>
    <w:rsid w:val="0083749A"/>
    <w:rsid w:val="00837A8F"/>
    <w:rsid w:val="00837E32"/>
    <w:rsid w:val="0084049B"/>
    <w:rsid w:val="008404AF"/>
    <w:rsid w:val="008408CF"/>
    <w:rsid w:val="00841345"/>
    <w:rsid w:val="00841C6C"/>
    <w:rsid w:val="00842810"/>
    <w:rsid w:val="0084308E"/>
    <w:rsid w:val="008438BB"/>
    <w:rsid w:val="0084488C"/>
    <w:rsid w:val="008452E8"/>
    <w:rsid w:val="0084554A"/>
    <w:rsid w:val="008463A2"/>
    <w:rsid w:val="008471EF"/>
    <w:rsid w:val="00847486"/>
    <w:rsid w:val="008477B0"/>
    <w:rsid w:val="00850F0B"/>
    <w:rsid w:val="0085179F"/>
    <w:rsid w:val="0085270D"/>
    <w:rsid w:val="008541E7"/>
    <w:rsid w:val="00855AA5"/>
    <w:rsid w:val="00855BF8"/>
    <w:rsid w:val="00856547"/>
    <w:rsid w:val="00857081"/>
    <w:rsid w:val="00860DF8"/>
    <w:rsid w:val="00861CE4"/>
    <w:rsid w:val="00863481"/>
    <w:rsid w:val="0086349C"/>
    <w:rsid w:val="008649E2"/>
    <w:rsid w:val="00865881"/>
    <w:rsid w:val="0086797D"/>
    <w:rsid w:val="0087116D"/>
    <w:rsid w:val="00871490"/>
    <w:rsid w:val="008714E9"/>
    <w:rsid w:val="008715BC"/>
    <w:rsid w:val="008772AA"/>
    <w:rsid w:val="008773E2"/>
    <w:rsid w:val="00880A33"/>
    <w:rsid w:val="00882682"/>
    <w:rsid w:val="00882D87"/>
    <w:rsid w:val="00883802"/>
    <w:rsid w:val="008844B7"/>
    <w:rsid w:val="00885F97"/>
    <w:rsid w:val="0088680A"/>
    <w:rsid w:val="00886B42"/>
    <w:rsid w:val="008872BF"/>
    <w:rsid w:val="008901C0"/>
    <w:rsid w:val="00891109"/>
    <w:rsid w:val="008924E8"/>
    <w:rsid w:val="008934B2"/>
    <w:rsid w:val="00893551"/>
    <w:rsid w:val="0089380F"/>
    <w:rsid w:val="008945A8"/>
    <w:rsid w:val="008A005A"/>
    <w:rsid w:val="008A0157"/>
    <w:rsid w:val="008A11B0"/>
    <w:rsid w:val="008A1675"/>
    <w:rsid w:val="008A2B12"/>
    <w:rsid w:val="008A2B8D"/>
    <w:rsid w:val="008A2D65"/>
    <w:rsid w:val="008A4CAC"/>
    <w:rsid w:val="008A4CC8"/>
    <w:rsid w:val="008A53B5"/>
    <w:rsid w:val="008A59A3"/>
    <w:rsid w:val="008A5CEE"/>
    <w:rsid w:val="008B0EF4"/>
    <w:rsid w:val="008B0EF8"/>
    <w:rsid w:val="008B1B11"/>
    <w:rsid w:val="008B1C15"/>
    <w:rsid w:val="008B44CB"/>
    <w:rsid w:val="008B578B"/>
    <w:rsid w:val="008B717B"/>
    <w:rsid w:val="008B7617"/>
    <w:rsid w:val="008C0876"/>
    <w:rsid w:val="008C115C"/>
    <w:rsid w:val="008C20CF"/>
    <w:rsid w:val="008C22AB"/>
    <w:rsid w:val="008C3807"/>
    <w:rsid w:val="008C3AA1"/>
    <w:rsid w:val="008C5C64"/>
    <w:rsid w:val="008C6492"/>
    <w:rsid w:val="008C6535"/>
    <w:rsid w:val="008C6A5B"/>
    <w:rsid w:val="008C6E03"/>
    <w:rsid w:val="008C744D"/>
    <w:rsid w:val="008D0871"/>
    <w:rsid w:val="008D1F90"/>
    <w:rsid w:val="008D3067"/>
    <w:rsid w:val="008D3325"/>
    <w:rsid w:val="008D3EB5"/>
    <w:rsid w:val="008D3FA5"/>
    <w:rsid w:val="008D52F9"/>
    <w:rsid w:val="008D61FE"/>
    <w:rsid w:val="008D6425"/>
    <w:rsid w:val="008E118E"/>
    <w:rsid w:val="008E2614"/>
    <w:rsid w:val="008E2B43"/>
    <w:rsid w:val="008E3AD6"/>
    <w:rsid w:val="008E4084"/>
    <w:rsid w:val="008E47B9"/>
    <w:rsid w:val="008E4895"/>
    <w:rsid w:val="008E4E12"/>
    <w:rsid w:val="008E4F41"/>
    <w:rsid w:val="008E52FC"/>
    <w:rsid w:val="008E708C"/>
    <w:rsid w:val="008E711E"/>
    <w:rsid w:val="008E7827"/>
    <w:rsid w:val="008F0388"/>
    <w:rsid w:val="008F18A3"/>
    <w:rsid w:val="008F2A89"/>
    <w:rsid w:val="008F49C0"/>
    <w:rsid w:val="008F6E73"/>
    <w:rsid w:val="008F7B57"/>
    <w:rsid w:val="008F7F69"/>
    <w:rsid w:val="00900897"/>
    <w:rsid w:val="00901DA6"/>
    <w:rsid w:val="00902573"/>
    <w:rsid w:val="00902A2F"/>
    <w:rsid w:val="009036F0"/>
    <w:rsid w:val="00903AF5"/>
    <w:rsid w:val="0090426D"/>
    <w:rsid w:val="00904B0E"/>
    <w:rsid w:val="00904D48"/>
    <w:rsid w:val="009050EE"/>
    <w:rsid w:val="009051FC"/>
    <w:rsid w:val="00905275"/>
    <w:rsid w:val="00905F6A"/>
    <w:rsid w:val="00907147"/>
    <w:rsid w:val="00911576"/>
    <w:rsid w:val="009116A2"/>
    <w:rsid w:val="00912871"/>
    <w:rsid w:val="009134BB"/>
    <w:rsid w:val="009142EF"/>
    <w:rsid w:val="009150FF"/>
    <w:rsid w:val="0091511A"/>
    <w:rsid w:val="009164B0"/>
    <w:rsid w:val="00916A22"/>
    <w:rsid w:val="009174FD"/>
    <w:rsid w:val="00917939"/>
    <w:rsid w:val="00917AE7"/>
    <w:rsid w:val="00917CE9"/>
    <w:rsid w:val="00920255"/>
    <w:rsid w:val="00922FF2"/>
    <w:rsid w:val="009234FC"/>
    <w:rsid w:val="00923E57"/>
    <w:rsid w:val="009250F4"/>
    <w:rsid w:val="009271CE"/>
    <w:rsid w:val="00927D66"/>
    <w:rsid w:val="00930B85"/>
    <w:rsid w:val="00931050"/>
    <w:rsid w:val="009311CF"/>
    <w:rsid w:val="00931515"/>
    <w:rsid w:val="00932DB2"/>
    <w:rsid w:val="0093366A"/>
    <w:rsid w:val="00933960"/>
    <w:rsid w:val="00933C97"/>
    <w:rsid w:val="00936847"/>
    <w:rsid w:val="00937201"/>
    <w:rsid w:val="0094309B"/>
    <w:rsid w:val="00946A6C"/>
    <w:rsid w:val="0095001F"/>
    <w:rsid w:val="00950664"/>
    <w:rsid w:val="00951B7A"/>
    <w:rsid w:val="00952DA3"/>
    <w:rsid w:val="00954AC5"/>
    <w:rsid w:val="00954CE7"/>
    <w:rsid w:val="009575CB"/>
    <w:rsid w:val="009577B0"/>
    <w:rsid w:val="0096150E"/>
    <w:rsid w:val="00963204"/>
    <w:rsid w:val="00963686"/>
    <w:rsid w:val="00963A96"/>
    <w:rsid w:val="00963BF4"/>
    <w:rsid w:val="0096537A"/>
    <w:rsid w:val="00965E9B"/>
    <w:rsid w:val="009669B2"/>
    <w:rsid w:val="00970D4A"/>
    <w:rsid w:val="009713B4"/>
    <w:rsid w:val="00971417"/>
    <w:rsid w:val="00971837"/>
    <w:rsid w:val="00972A22"/>
    <w:rsid w:val="00973168"/>
    <w:rsid w:val="00975854"/>
    <w:rsid w:val="00980F4B"/>
    <w:rsid w:val="00981F34"/>
    <w:rsid w:val="0098219D"/>
    <w:rsid w:val="00982F8C"/>
    <w:rsid w:val="009838B1"/>
    <w:rsid w:val="0098653A"/>
    <w:rsid w:val="0099042C"/>
    <w:rsid w:val="009905D5"/>
    <w:rsid w:val="00990D75"/>
    <w:rsid w:val="00991F4B"/>
    <w:rsid w:val="00992C11"/>
    <w:rsid w:val="00993AAF"/>
    <w:rsid w:val="00994DF1"/>
    <w:rsid w:val="0099507A"/>
    <w:rsid w:val="00995530"/>
    <w:rsid w:val="009958D4"/>
    <w:rsid w:val="0099640C"/>
    <w:rsid w:val="0099668E"/>
    <w:rsid w:val="009A0C67"/>
    <w:rsid w:val="009A0DE1"/>
    <w:rsid w:val="009A3E3E"/>
    <w:rsid w:val="009A4140"/>
    <w:rsid w:val="009A538E"/>
    <w:rsid w:val="009A6A59"/>
    <w:rsid w:val="009A6B1F"/>
    <w:rsid w:val="009A7B33"/>
    <w:rsid w:val="009B1280"/>
    <w:rsid w:val="009B52B8"/>
    <w:rsid w:val="009B6012"/>
    <w:rsid w:val="009B61CC"/>
    <w:rsid w:val="009B65C9"/>
    <w:rsid w:val="009B6770"/>
    <w:rsid w:val="009B7BA9"/>
    <w:rsid w:val="009C0F12"/>
    <w:rsid w:val="009C11F1"/>
    <w:rsid w:val="009C13AC"/>
    <w:rsid w:val="009C18B8"/>
    <w:rsid w:val="009C29F6"/>
    <w:rsid w:val="009C2DB1"/>
    <w:rsid w:val="009C406B"/>
    <w:rsid w:val="009D068A"/>
    <w:rsid w:val="009D1920"/>
    <w:rsid w:val="009D24DA"/>
    <w:rsid w:val="009D333E"/>
    <w:rsid w:val="009D33B3"/>
    <w:rsid w:val="009D4BB3"/>
    <w:rsid w:val="009D7A9A"/>
    <w:rsid w:val="009E045F"/>
    <w:rsid w:val="009E318A"/>
    <w:rsid w:val="009E5F3E"/>
    <w:rsid w:val="009E6703"/>
    <w:rsid w:val="009E6988"/>
    <w:rsid w:val="009E7FED"/>
    <w:rsid w:val="009F0ADC"/>
    <w:rsid w:val="009F0D78"/>
    <w:rsid w:val="009F2D46"/>
    <w:rsid w:val="009F2F9C"/>
    <w:rsid w:val="009F509E"/>
    <w:rsid w:val="009F59ED"/>
    <w:rsid w:val="009F6CAA"/>
    <w:rsid w:val="009F7299"/>
    <w:rsid w:val="009F7842"/>
    <w:rsid w:val="00A01295"/>
    <w:rsid w:val="00A01BE1"/>
    <w:rsid w:val="00A022FD"/>
    <w:rsid w:val="00A025E9"/>
    <w:rsid w:val="00A030A0"/>
    <w:rsid w:val="00A058FD"/>
    <w:rsid w:val="00A070D5"/>
    <w:rsid w:val="00A10B52"/>
    <w:rsid w:val="00A12157"/>
    <w:rsid w:val="00A13573"/>
    <w:rsid w:val="00A13707"/>
    <w:rsid w:val="00A14054"/>
    <w:rsid w:val="00A14409"/>
    <w:rsid w:val="00A1546E"/>
    <w:rsid w:val="00A163DC"/>
    <w:rsid w:val="00A17096"/>
    <w:rsid w:val="00A21245"/>
    <w:rsid w:val="00A21418"/>
    <w:rsid w:val="00A21706"/>
    <w:rsid w:val="00A22F08"/>
    <w:rsid w:val="00A235F3"/>
    <w:rsid w:val="00A23815"/>
    <w:rsid w:val="00A246AB"/>
    <w:rsid w:val="00A25EE6"/>
    <w:rsid w:val="00A264D9"/>
    <w:rsid w:val="00A26E2E"/>
    <w:rsid w:val="00A27784"/>
    <w:rsid w:val="00A30D15"/>
    <w:rsid w:val="00A31358"/>
    <w:rsid w:val="00A31DA2"/>
    <w:rsid w:val="00A331C4"/>
    <w:rsid w:val="00A331DF"/>
    <w:rsid w:val="00A33E0B"/>
    <w:rsid w:val="00A3450A"/>
    <w:rsid w:val="00A3472C"/>
    <w:rsid w:val="00A34D0F"/>
    <w:rsid w:val="00A35A15"/>
    <w:rsid w:val="00A4128D"/>
    <w:rsid w:val="00A41486"/>
    <w:rsid w:val="00A41BD6"/>
    <w:rsid w:val="00A45316"/>
    <w:rsid w:val="00A45498"/>
    <w:rsid w:val="00A47221"/>
    <w:rsid w:val="00A50815"/>
    <w:rsid w:val="00A51096"/>
    <w:rsid w:val="00A520A3"/>
    <w:rsid w:val="00A52B78"/>
    <w:rsid w:val="00A54526"/>
    <w:rsid w:val="00A5560E"/>
    <w:rsid w:val="00A55D7E"/>
    <w:rsid w:val="00A579EE"/>
    <w:rsid w:val="00A57C5B"/>
    <w:rsid w:val="00A57DC5"/>
    <w:rsid w:val="00A60643"/>
    <w:rsid w:val="00A61856"/>
    <w:rsid w:val="00A6379E"/>
    <w:rsid w:val="00A64941"/>
    <w:rsid w:val="00A66478"/>
    <w:rsid w:val="00A66A68"/>
    <w:rsid w:val="00A72A7F"/>
    <w:rsid w:val="00A72BA1"/>
    <w:rsid w:val="00A72EAD"/>
    <w:rsid w:val="00A753DC"/>
    <w:rsid w:val="00A779B4"/>
    <w:rsid w:val="00A77A8D"/>
    <w:rsid w:val="00A80460"/>
    <w:rsid w:val="00A8063E"/>
    <w:rsid w:val="00A80AA2"/>
    <w:rsid w:val="00A813F4"/>
    <w:rsid w:val="00A81CFE"/>
    <w:rsid w:val="00A82850"/>
    <w:rsid w:val="00A83CE6"/>
    <w:rsid w:val="00A846B0"/>
    <w:rsid w:val="00A84826"/>
    <w:rsid w:val="00A854A0"/>
    <w:rsid w:val="00A85B34"/>
    <w:rsid w:val="00A85B3F"/>
    <w:rsid w:val="00A865C1"/>
    <w:rsid w:val="00A87B1C"/>
    <w:rsid w:val="00A91C99"/>
    <w:rsid w:val="00A91DE6"/>
    <w:rsid w:val="00A92AEF"/>
    <w:rsid w:val="00A92B3C"/>
    <w:rsid w:val="00A93026"/>
    <w:rsid w:val="00A9349D"/>
    <w:rsid w:val="00A9384E"/>
    <w:rsid w:val="00A94804"/>
    <w:rsid w:val="00A94D48"/>
    <w:rsid w:val="00A97A7D"/>
    <w:rsid w:val="00A97D27"/>
    <w:rsid w:val="00AA0E3A"/>
    <w:rsid w:val="00AA133D"/>
    <w:rsid w:val="00AA135A"/>
    <w:rsid w:val="00AA1B7A"/>
    <w:rsid w:val="00AA1CFE"/>
    <w:rsid w:val="00AA1DDE"/>
    <w:rsid w:val="00AA244E"/>
    <w:rsid w:val="00AA2470"/>
    <w:rsid w:val="00AA2806"/>
    <w:rsid w:val="00AA34D9"/>
    <w:rsid w:val="00AA45D2"/>
    <w:rsid w:val="00AA4714"/>
    <w:rsid w:val="00AA50C6"/>
    <w:rsid w:val="00AA529A"/>
    <w:rsid w:val="00AA5657"/>
    <w:rsid w:val="00AA6C0A"/>
    <w:rsid w:val="00AA7623"/>
    <w:rsid w:val="00AB2421"/>
    <w:rsid w:val="00AB3190"/>
    <w:rsid w:val="00AB3ABB"/>
    <w:rsid w:val="00AB45CA"/>
    <w:rsid w:val="00AB4A42"/>
    <w:rsid w:val="00AB6F89"/>
    <w:rsid w:val="00AB6FC4"/>
    <w:rsid w:val="00AC0252"/>
    <w:rsid w:val="00AC0319"/>
    <w:rsid w:val="00AC1DFD"/>
    <w:rsid w:val="00AC248A"/>
    <w:rsid w:val="00AC259F"/>
    <w:rsid w:val="00AC2D69"/>
    <w:rsid w:val="00AC3369"/>
    <w:rsid w:val="00AC3ADB"/>
    <w:rsid w:val="00AC3FA6"/>
    <w:rsid w:val="00AC42F2"/>
    <w:rsid w:val="00AC6F0C"/>
    <w:rsid w:val="00AD04A5"/>
    <w:rsid w:val="00AD0B02"/>
    <w:rsid w:val="00AD0DB6"/>
    <w:rsid w:val="00AD1B1F"/>
    <w:rsid w:val="00AD1C6D"/>
    <w:rsid w:val="00AD217B"/>
    <w:rsid w:val="00AD2260"/>
    <w:rsid w:val="00AD2591"/>
    <w:rsid w:val="00AD2EEB"/>
    <w:rsid w:val="00AD4E29"/>
    <w:rsid w:val="00AD5301"/>
    <w:rsid w:val="00AD54D0"/>
    <w:rsid w:val="00AD5EB5"/>
    <w:rsid w:val="00AD6737"/>
    <w:rsid w:val="00AD6E98"/>
    <w:rsid w:val="00AD7614"/>
    <w:rsid w:val="00AE104A"/>
    <w:rsid w:val="00AE1D63"/>
    <w:rsid w:val="00AE3685"/>
    <w:rsid w:val="00AE79F6"/>
    <w:rsid w:val="00AF032B"/>
    <w:rsid w:val="00AF07DF"/>
    <w:rsid w:val="00AF1840"/>
    <w:rsid w:val="00AF1961"/>
    <w:rsid w:val="00AF1BBF"/>
    <w:rsid w:val="00AF37DE"/>
    <w:rsid w:val="00AF3826"/>
    <w:rsid w:val="00AF387C"/>
    <w:rsid w:val="00AF4127"/>
    <w:rsid w:val="00AF67CB"/>
    <w:rsid w:val="00AF6F7A"/>
    <w:rsid w:val="00AF7785"/>
    <w:rsid w:val="00B0027C"/>
    <w:rsid w:val="00B00977"/>
    <w:rsid w:val="00B013BF"/>
    <w:rsid w:val="00B01CBC"/>
    <w:rsid w:val="00B035CF"/>
    <w:rsid w:val="00B0360C"/>
    <w:rsid w:val="00B04770"/>
    <w:rsid w:val="00B05E43"/>
    <w:rsid w:val="00B0657E"/>
    <w:rsid w:val="00B07E04"/>
    <w:rsid w:val="00B103AF"/>
    <w:rsid w:val="00B10409"/>
    <w:rsid w:val="00B1053A"/>
    <w:rsid w:val="00B10617"/>
    <w:rsid w:val="00B14194"/>
    <w:rsid w:val="00B142EB"/>
    <w:rsid w:val="00B14D25"/>
    <w:rsid w:val="00B1517B"/>
    <w:rsid w:val="00B15711"/>
    <w:rsid w:val="00B162AD"/>
    <w:rsid w:val="00B1704F"/>
    <w:rsid w:val="00B17C2C"/>
    <w:rsid w:val="00B21483"/>
    <w:rsid w:val="00B21D2B"/>
    <w:rsid w:val="00B22AB5"/>
    <w:rsid w:val="00B22EEC"/>
    <w:rsid w:val="00B25733"/>
    <w:rsid w:val="00B2792C"/>
    <w:rsid w:val="00B30788"/>
    <w:rsid w:val="00B30F26"/>
    <w:rsid w:val="00B3289D"/>
    <w:rsid w:val="00B33CB2"/>
    <w:rsid w:val="00B34E1A"/>
    <w:rsid w:val="00B36958"/>
    <w:rsid w:val="00B377CC"/>
    <w:rsid w:val="00B37828"/>
    <w:rsid w:val="00B4016E"/>
    <w:rsid w:val="00B4088B"/>
    <w:rsid w:val="00B41315"/>
    <w:rsid w:val="00B41406"/>
    <w:rsid w:val="00B41819"/>
    <w:rsid w:val="00B42306"/>
    <w:rsid w:val="00B43267"/>
    <w:rsid w:val="00B44F10"/>
    <w:rsid w:val="00B45329"/>
    <w:rsid w:val="00B45551"/>
    <w:rsid w:val="00B478DC"/>
    <w:rsid w:val="00B5093A"/>
    <w:rsid w:val="00B50DD9"/>
    <w:rsid w:val="00B524C1"/>
    <w:rsid w:val="00B528B6"/>
    <w:rsid w:val="00B52931"/>
    <w:rsid w:val="00B52F00"/>
    <w:rsid w:val="00B54B8E"/>
    <w:rsid w:val="00B551D4"/>
    <w:rsid w:val="00B5592E"/>
    <w:rsid w:val="00B55C61"/>
    <w:rsid w:val="00B55DB8"/>
    <w:rsid w:val="00B57001"/>
    <w:rsid w:val="00B574B5"/>
    <w:rsid w:val="00B604F1"/>
    <w:rsid w:val="00B60EE3"/>
    <w:rsid w:val="00B61410"/>
    <w:rsid w:val="00B619D4"/>
    <w:rsid w:val="00B6214A"/>
    <w:rsid w:val="00B62712"/>
    <w:rsid w:val="00B62D23"/>
    <w:rsid w:val="00B63728"/>
    <w:rsid w:val="00B63A6F"/>
    <w:rsid w:val="00B6584C"/>
    <w:rsid w:val="00B66C76"/>
    <w:rsid w:val="00B66D05"/>
    <w:rsid w:val="00B66DC1"/>
    <w:rsid w:val="00B67720"/>
    <w:rsid w:val="00B67B6B"/>
    <w:rsid w:val="00B67F1F"/>
    <w:rsid w:val="00B704FC"/>
    <w:rsid w:val="00B709F9"/>
    <w:rsid w:val="00B70F5A"/>
    <w:rsid w:val="00B72227"/>
    <w:rsid w:val="00B73D8A"/>
    <w:rsid w:val="00B74082"/>
    <w:rsid w:val="00B759C6"/>
    <w:rsid w:val="00B75C2A"/>
    <w:rsid w:val="00B769AF"/>
    <w:rsid w:val="00B77BA0"/>
    <w:rsid w:val="00B810A1"/>
    <w:rsid w:val="00B81766"/>
    <w:rsid w:val="00B82680"/>
    <w:rsid w:val="00B82E11"/>
    <w:rsid w:val="00B831DF"/>
    <w:rsid w:val="00B83CDD"/>
    <w:rsid w:val="00B83DA5"/>
    <w:rsid w:val="00B84AEF"/>
    <w:rsid w:val="00B84BC4"/>
    <w:rsid w:val="00B853C7"/>
    <w:rsid w:val="00B8591E"/>
    <w:rsid w:val="00B85EDD"/>
    <w:rsid w:val="00B8798D"/>
    <w:rsid w:val="00B90B8E"/>
    <w:rsid w:val="00B9227C"/>
    <w:rsid w:val="00B92696"/>
    <w:rsid w:val="00B92E1D"/>
    <w:rsid w:val="00B930B2"/>
    <w:rsid w:val="00B93971"/>
    <w:rsid w:val="00B945BB"/>
    <w:rsid w:val="00B95302"/>
    <w:rsid w:val="00B9683A"/>
    <w:rsid w:val="00B96BC1"/>
    <w:rsid w:val="00B96C1B"/>
    <w:rsid w:val="00B97D25"/>
    <w:rsid w:val="00BA2DF1"/>
    <w:rsid w:val="00BA2EC0"/>
    <w:rsid w:val="00BA338C"/>
    <w:rsid w:val="00BA3A4E"/>
    <w:rsid w:val="00BA45CC"/>
    <w:rsid w:val="00BA576D"/>
    <w:rsid w:val="00BA591B"/>
    <w:rsid w:val="00BA5954"/>
    <w:rsid w:val="00BA6667"/>
    <w:rsid w:val="00BA7522"/>
    <w:rsid w:val="00BA7EBB"/>
    <w:rsid w:val="00BB139A"/>
    <w:rsid w:val="00BB1990"/>
    <w:rsid w:val="00BB1F4A"/>
    <w:rsid w:val="00BB2159"/>
    <w:rsid w:val="00BB278B"/>
    <w:rsid w:val="00BB3F55"/>
    <w:rsid w:val="00BB421E"/>
    <w:rsid w:val="00BB457A"/>
    <w:rsid w:val="00BB511A"/>
    <w:rsid w:val="00BB537F"/>
    <w:rsid w:val="00BB5678"/>
    <w:rsid w:val="00BB73AE"/>
    <w:rsid w:val="00BC097D"/>
    <w:rsid w:val="00BC0BD7"/>
    <w:rsid w:val="00BC1273"/>
    <w:rsid w:val="00BC12EE"/>
    <w:rsid w:val="00BC14C2"/>
    <w:rsid w:val="00BC2265"/>
    <w:rsid w:val="00BC307D"/>
    <w:rsid w:val="00BC310B"/>
    <w:rsid w:val="00BC3E57"/>
    <w:rsid w:val="00BC3F94"/>
    <w:rsid w:val="00BC5B8A"/>
    <w:rsid w:val="00BC7F45"/>
    <w:rsid w:val="00BD0EA0"/>
    <w:rsid w:val="00BD0F99"/>
    <w:rsid w:val="00BD1B19"/>
    <w:rsid w:val="00BD20AC"/>
    <w:rsid w:val="00BD3309"/>
    <w:rsid w:val="00BD3981"/>
    <w:rsid w:val="00BD45F4"/>
    <w:rsid w:val="00BD46D4"/>
    <w:rsid w:val="00BD5ED8"/>
    <w:rsid w:val="00BD67AE"/>
    <w:rsid w:val="00BD7240"/>
    <w:rsid w:val="00BE0590"/>
    <w:rsid w:val="00BE08E0"/>
    <w:rsid w:val="00BE129D"/>
    <w:rsid w:val="00BE14FA"/>
    <w:rsid w:val="00BE178F"/>
    <w:rsid w:val="00BE1B1C"/>
    <w:rsid w:val="00BE3481"/>
    <w:rsid w:val="00BE4A0F"/>
    <w:rsid w:val="00BE5263"/>
    <w:rsid w:val="00BE59E2"/>
    <w:rsid w:val="00BE7048"/>
    <w:rsid w:val="00BF09F3"/>
    <w:rsid w:val="00BF3291"/>
    <w:rsid w:val="00BF47D8"/>
    <w:rsid w:val="00BF6DA5"/>
    <w:rsid w:val="00BF76DE"/>
    <w:rsid w:val="00BF7762"/>
    <w:rsid w:val="00C00462"/>
    <w:rsid w:val="00C01A2B"/>
    <w:rsid w:val="00C0369C"/>
    <w:rsid w:val="00C040BF"/>
    <w:rsid w:val="00C0641D"/>
    <w:rsid w:val="00C116E9"/>
    <w:rsid w:val="00C11EBE"/>
    <w:rsid w:val="00C11F87"/>
    <w:rsid w:val="00C12B5E"/>
    <w:rsid w:val="00C1378F"/>
    <w:rsid w:val="00C146EB"/>
    <w:rsid w:val="00C1501A"/>
    <w:rsid w:val="00C1511B"/>
    <w:rsid w:val="00C179DC"/>
    <w:rsid w:val="00C203B4"/>
    <w:rsid w:val="00C22008"/>
    <w:rsid w:val="00C23FBB"/>
    <w:rsid w:val="00C25D4B"/>
    <w:rsid w:val="00C260C8"/>
    <w:rsid w:val="00C26CF7"/>
    <w:rsid w:val="00C272A3"/>
    <w:rsid w:val="00C27DD3"/>
    <w:rsid w:val="00C31484"/>
    <w:rsid w:val="00C319EC"/>
    <w:rsid w:val="00C31E15"/>
    <w:rsid w:val="00C31F6F"/>
    <w:rsid w:val="00C322CA"/>
    <w:rsid w:val="00C32CB3"/>
    <w:rsid w:val="00C34E92"/>
    <w:rsid w:val="00C3516F"/>
    <w:rsid w:val="00C35BA5"/>
    <w:rsid w:val="00C37B88"/>
    <w:rsid w:val="00C37C57"/>
    <w:rsid w:val="00C40775"/>
    <w:rsid w:val="00C4382F"/>
    <w:rsid w:val="00C43A9D"/>
    <w:rsid w:val="00C44290"/>
    <w:rsid w:val="00C4475F"/>
    <w:rsid w:val="00C44E55"/>
    <w:rsid w:val="00C46278"/>
    <w:rsid w:val="00C46A7A"/>
    <w:rsid w:val="00C47AA0"/>
    <w:rsid w:val="00C47BFA"/>
    <w:rsid w:val="00C50202"/>
    <w:rsid w:val="00C50457"/>
    <w:rsid w:val="00C50729"/>
    <w:rsid w:val="00C50B52"/>
    <w:rsid w:val="00C50CC8"/>
    <w:rsid w:val="00C50E3A"/>
    <w:rsid w:val="00C52D35"/>
    <w:rsid w:val="00C53EF5"/>
    <w:rsid w:val="00C544D9"/>
    <w:rsid w:val="00C54520"/>
    <w:rsid w:val="00C565BA"/>
    <w:rsid w:val="00C57BE4"/>
    <w:rsid w:val="00C6080A"/>
    <w:rsid w:val="00C62156"/>
    <w:rsid w:val="00C62587"/>
    <w:rsid w:val="00C62D23"/>
    <w:rsid w:val="00C636A2"/>
    <w:rsid w:val="00C63E04"/>
    <w:rsid w:val="00C63FC9"/>
    <w:rsid w:val="00C64E79"/>
    <w:rsid w:val="00C65DDF"/>
    <w:rsid w:val="00C66692"/>
    <w:rsid w:val="00C722BC"/>
    <w:rsid w:val="00C739C2"/>
    <w:rsid w:val="00C744B2"/>
    <w:rsid w:val="00C74E74"/>
    <w:rsid w:val="00C75047"/>
    <w:rsid w:val="00C77306"/>
    <w:rsid w:val="00C805BF"/>
    <w:rsid w:val="00C809F1"/>
    <w:rsid w:val="00C8240F"/>
    <w:rsid w:val="00C825D0"/>
    <w:rsid w:val="00C83775"/>
    <w:rsid w:val="00C840ED"/>
    <w:rsid w:val="00C86AFB"/>
    <w:rsid w:val="00C905E0"/>
    <w:rsid w:val="00C90CF7"/>
    <w:rsid w:val="00C92056"/>
    <w:rsid w:val="00C92635"/>
    <w:rsid w:val="00C92AB7"/>
    <w:rsid w:val="00C94F97"/>
    <w:rsid w:val="00C95EDE"/>
    <w:rsid w:val="00C96684"/>
    <w:rsid w:val="00C9797B"/>
    <w:rsid w:val="00C97B12"/>
    <w:rsid w:val="00C97B60"/>
    <w:rsid w:val="00C97B63"/>
    <w:rsid w:val="00CA09AD"/>
    <w:rsid w:val="00CA2071"/>
    <w:rsid w:val="00CA22D4"/>
    <w:rsid w:val="00CA311C"/>
    <w:rsid w:val="00CA3F31"/>
    <w:rsid w:val="00CA443B"/>
    <w:rsid w:val="00CA4B00"/>
    <w:rsid w:val="00CA5499"/>
    <w:rsid w:val="00CA6FB1"/>
    <w:rsid w:val="00CB0BC9"/>
    <w:rsid w:val="00CB0CC4"/>
    <w:rsid w:val="00CB1179"/>
    <w:rsid w:val="00CB1227"/>
    <w:rsid w:val="00CB1875"/>
    <w:rsid w:val="00CB1C0C"/>
    <w:rsid w:val="00CB5E46"/>
    <w:rsid w:val="00CB6C28"/>
    <w:rsid w:val="00CB6D3A"/>
    <w:rsid w:val="00CB7B8D"/>
    <w:rsid w:val="00CC0988"/>
    <w:rsid w:val="00CC0C4D"/>
    <w:rsid w:val="00CC0E84"/>
    <w:rsid w:val="00CC3082"/>
    <w:rsid w:val="00CC328E"/>
    <w:rsid w:val="00CC3391"/>
    <w:rsid w:val="00CC454C"/>
    <w:rsid w:val="00CC4DDC"/>
    <w:rsid w:val="00CC5034"/>
    <w:rsid w:val="00CC6F1D"/>
    <w:rsid w:val="00CC745F"/>
    <w:rsid w:val="00CD2975"/>
    <w:rsid w:val="00CD3546"/>
    <w:rsid w:val="00CD3A5E"/>
    <w:rsid w:val="00CD413A"/>
    <w:rsid w:val="00CD483B"/>
    <w:rsid w:val="00CD4C26"/>
    <w:rsid w:val="00CD5660"/>
    <w:rsid w:val="00CD6272"/>
    <w:rsid w:val="00CD6DFC"/>
    <w:rsid w:val="00CD76DA"/>
    <w:rsid w:val="00CE0C47"/>
    <w:rsid w:val="00CE1477"/>
    <w:rsid w:val="00CE250F"/>
    <w:rsid w:val="00CE2586"/>
    <w:rsid w:val="00CE30E4"/>
    <w:rsid w:val="00CE3D72"/>
    <w:rsid w:val="00CE3E86"/>
    <w:rsid w:val="00CE4651"/>
    <w:rsid w:val="00CE515B"/>
    <w:rsid w:val="00CE674C"/>
    <w:rsid w:val="00CE7304"/>
    <w:rsid w:val="00CE7853"/>
    <w:rsid w:val="00CF28C1"/>
    <w:rsid w:val="00CF2F8E"/>
    <w:rsid w:val="00CF34B3"/>
    <w:rsid w:val="00CF510D"/>
    <w:rsid w:val="00CF56B3"/>
    <w:rsid w:val="00CF6AFC"/>
    <w:rsid w:val="00CF6CCB"/>
    <w:rsid w:val="00CF6E4B"/>
    <w:rsid w:val="00CF6EFD"/>
    <w:rsid w:val="00CF6F8F"/>
    <w:rsid w:val="00D007BC"/>
    <w:rsid w:val="00D01906"/>
    <w:rsid w:val="00D022A9"/>
    <w:rsid w:val="00D024D9"/>
    <w:rsid w:val="00D030AC"/>
    <w:rsid w:val="00D03601"/>
    <w:rsid w:val="00D03CCF"/>
    <w:rsid w:val="00D05660"/>
    <w:rsid w:val="00D0582F"/>
    <w:rsid w:val="00D06F22"/>
    <w:rsid w:val="00D071A3"/>
    <w:rsid w:val="00D10746"/>
    <w:rsid w:val="00D1103B"/>
    <w:rsid w:val="00D112F3"/>
    <w:rsid w:val="00D11CAE"/>
    <w:rsid w:val="00D12F65"/>
    <w:rsid w:val="00D13638"/>
    <w:rsid w:val="00D1476D"/>
    <w:rsid w:val="00D156DF"/>
    <w:rsid w:val="00D16C8A"/>
    <w:rsid w:val="00D17194"/>
    <w:rsid w:val="00D20232"/>
    <w:rsid w:val="00D21998"/>
    <w:rsid w:val="00D21D58"/>
    <w:rsid w:val="00D22215"/>
    <w:rsid w:val="00D227E6"/>
    <w:rsid w:val="00D22F6A"/>
    <w:rsid w:val="00D27A6A"/>
    <w:rsid w:val="00D30904"/>
    <w:rsid w:val="00D30AB7"/>
    <w:rsid w:val="00D310C0"/>
    <w:rsid w:val="00D316AD"/>
    <w:rsid w:val="00D31BAC"/>
    <w:rsid w:val="00D32783"/>
    <w:rsid w:val="00D32BCD"/>
    <w:rsid w:val="00D332A1"/>
    <w:rsid w:val="00D343A6"/>
    <w:rsid w:val="00D3548E"/>
    <w:rsid w:val="00D36625"/>
    <w:rsid w:val="00D36EDC"/>
    <w:rsid w:val="00D37144"/>
    <w:rsid w:val="00D372D2"/>
    <w:rsid w:val="00D37511"/>
    <w:rsid w:val="00D37B2D"/>
    <w:rsid w:val="00D40BB2"/>
    <w:rsid w:val="00D410B4"/>
    <w:rsid w:val="00D42B3A"/>
    <w:rsid w:val="00D42B3E"/>
    <w:rsid w:val="00D432C9"/>
    <w:rsid w:val="00D43C0F"/>
    <w:rsid w:val="00D445E7"/>
    <w:rsid w:val="00D45086"/>
    <w:rsid w:val="00D45763"/>
    <w:rsid w:val="00D4635D"/>
    <w:rsid w:val="00D4787E"/>
    <w:rsid w:val="00D47B85"/>
    <w:rsid w:val="00D504E7"/>
    <w:rsid w:val="00D52F22"/>
    <w:rsid w:val="00D53174"/>
    <w:rsid w:val="00D53392"/>
    <w:rsid w:val="00D5359D"/>
    <w:rsid w:val="00D53EB4"/>
    <w:rsid w:val="00D544C6"/>
    <w:rsid w:val="00D570B3"/>
    <w:rsid w:val="00D57EC6"/>
    <w:rsid w:val="00D60580"/>
    <w:rsid w:val="00D6223C"/>
    <w:rsid w:val="00D6238F"/>
    <w:rsid w:val="00D632F5"/>
    <w:rsid w:val="00D63E8C"/>
    <w:rsid w:val="00D655E3"/>
    <w:rsid w:val="00D7185D"/>
    <w:rsid w:val="00D748F5"/>
    <w:rsid w:val="00D74DAC"/>
    <w:rsid w:val="00D75DAE"/>
    <w:rsid w:val="00D76138"/>
    <w:rsid w:val="00D76E72"/>
    <w:rsid w:val="00D77630"/>
    <w:rsid w:val="00D801F5"/>
    <w:rsid w:val="00D81594"/>
    <w:rsid w:val="00D838CB"/>
    <w:rsid w:val="00D84D2F"/>
    <w:rsid w:val="00D850CD"/>
    <w:rsid w:val="00D853EB"/>
    <w:rsid w:val="00D8581F"/>
    <w:rsid w:val="00D85E29"/>
    <w:rsid w:val="00D87BCE"/>
    <w:rsid w:val="00D9146E"/>
    <w:rsid w:val="00D91CF6"/>
    <w:rsid w:val="00D91E6C"/>
    <w:rsid w:val="00D922FF"/>
    <w:rsid w:val="00D92431"/>
    <w:rsid w:val="00D935B6"/>
    <w:rsid w:val="00D94888"/>
    <w:rsid w:val="00D94AFB"/>
    <w:rsid w:val="00D95B1D"/>
    <w:rsid w:val="00D95B61"/>
    <w:rsid w:val="00D96F59"/>
    <w:rsid w:val="00D97662"/>
    <w:rsid w:val="00D97C7D"/>
    <w:rsid w:val="00DA0F6D"/>
    <w:rsid w:val="00DA1365"/>
    <w:rsid w:val="00DA164B"/>
    <w:rsid w:val="00DA16D7"/>
    <w:rsid w:val="00DA2AEF"/>
    <w:rsid w:val="00DA36C7"/>
    <w:rsid w:val="00DA4421"/>
    <w:rsid w:val="00DA5D7F"/>
    <w:rsid w:val="00DB018D"/>
    <w:rsid w:val="00DB0267"/>
    <w:rsid w:val="00DB0A1B"/>
    <w:rsid w:val="00DB3A6F"/>
    <w:rsid w:val="00DB3DCB"/>
    <w:rsid w:val="00DB69DC"/>
    <w:rsid w:val="00DB7AAD"/>
    <w:rsid w:val="00DB7F3F"/>
    <w:rsid w:val="00DC1163"/>
    <w:rsid w:val="00DC214F"/>
    <w:rsid w:val="00DC2181"/>
    <w:rsid w:val="00DC21CA"/>
    <w:rsid w:val="00DC22FD"/>
    <w:rsid w:val="00DC3EA8"/>
    <w:rsid w:val="00DC4032"/>
    <w:rsid w:val="00DC408D"/>
    <w:rsid w:val="00DC4254"/>
    <w:rsid w:val="00DC5014"/>
    <w:rsid w:val="00DC5C87"/>
    <w:rsid w:val="00DC65BA"/>
    <w:rsid w:val="00DC719F"/>
    <w:rsid w:val="00DC71F1"/>
    <w:rsid w:val="00DC7DE8"/>
    <w:rsid w:val="00DD0BD9"/>
    <w:rsid w:val="00DD15BF"/>
    <w:rsid w:val="00DD32CE"/>
    <w:rsid w:val="00DD3F9B"/>
    <w:rsid w:val="00DD5217"/>
    <w:rsid w:val="00DD62FA"/>
    <w:rsid w:val="00DD7E38"/>
    <w:rsid w:val="00DE0191"/>
    <w:rsid w:val="00DE04E7"/>
    <w:rsid w:val="00DE0782"/>
    <w:rsid w:val="00DE2BB8"/>
    <w:rsid w:val="00DE3383"/>
    <w:rsid w:val="00DE4123"/>
    <w:rsid w:val="00DE5742"/>
    <w:rsid w:val="00DE6009"/>
    <w:rsid w:val="00DE67AF"/>
    <w:rsid w:val="00DE7B8A"/>
    <w:rsid w:val="00DE7CE1"/>
    <w:rsid w:val="00DF1CD4"/>
    <w:rsid w:val="00DF24B1"/>
    <w:rsid w:val="00DF3544"/>
    <w:rsid w:val="00DF37C5"/>
    <w:rsid w:val="00DF388C"/>
    <w:rsid w:val="00DF3BEC"/>
    <w:rsid w:val="00DF4007"/>
    <w:rsid w:val="00DF4402"/>
    <w:rsid w:val="00DF46E9"/>
    <w:rsid w:val="00DF5288"/>
    <w:rsid w:val="00DF5B45"/>
    <w:rsid w:val="00DF5F9E"/>
    <w:rsid w:val="00DF62FD"/>
    <w:rsid w:val="00DF7F12"/>
    <w:rsid w:val="00E00532"/>
    <w:rsid w:val="00E0114E"/>
    <w:rsid w:val="00E01880"/>
    <w:rsid w:val="00E01D54"/>
    <w:rsid w:val="00E03891"/>
    <w:rsid w:val="00E039D6"/>
    <w:rsid w:val="00E043E4"/>
    <w:rsid w:val="00E05122"/>
    <w:rsid w:val="00E07E9E"/>
    <w:rsid w:val="00E118B2"/>
    <w:rsid w:val="00E1351A"/>
    <w:rsid w:val="00E13C12"/>
    <w:rsid w:val="00E1403A"/>
    <w:rsid w:val="00E14A45"/>
    <w:rsid w:val="00E15410"/>
    <w:rsid w:val="00E16377"/>
    <w:rsid w:val="00E163BD"/>
    <w:rsid w:val="00E17652"/>
    <w:rsid w:val="00E17C67"/>
    <w:rsid w:val="00E2065A"/>
    <w:rsid w:val="00E2105A"/>
    <w:rsid w:val="00E229EA"/>
    <w:rsid w:val="00E22C6F"/>
    <w:rsid w:val="00E22FAD"/>
    <w:rsid w:val="00E23007"/>
    <w:rsid w:val="00E23BA9"/>
    <w:rsid w:val="00E23F2B"/>
    <w:rsid w:val="00E244BD"/>
    <w:rsid w:val="00E24725"/>
    <w:rsid w:val="00E25104"/>
    <w:rsid w:val="00E25B4F"/>
    <w:rsid w:val="00E27005"/>
    <w:rsid w:val="00E27966"/>
    <w:rsid w:val="00E30926"/>
    <w:rsid w:val="00E30B32"/>
    <w:rsid w:val="00E31706"/>
    <w:rsid w:val="00E31E6A"/>
    <w:rsid w:val="00E31EFB"/>
    <w:rsid w:val="00E332EB"/>
    <w:rsid w:val="00E33D5C"/>
    <w:rsid w:val="00E341B9"/>
    <w:rsid w:val="00E3661A"/>
    <w:rsid w:val="00E366FA"/>
    <w:rsid w:val="00E3718F"/>
    <w:rsid w:val="00E37958"/>
    <w:rsid w:val="00E40408"/>
    <w:rsid w:val="00E40521"/>
    <w:rsid w:val="00E415D8"/>
    <w:rsid w:val="00E42132"/>
    <w:rsid w:val="00E422CC"/>
    <w:rsid w:val="00E4307C"/>
    <w:rsid w:val="00E43241"/>
    <w:rsid w:val="00E4388A"/>
    <w:rsid w:val="00E43D7F"/>
    <w:rsid w:val="00E446C2"/>
    <w:rsid w:val="00E4513E"/>
    <w:rsid w:val="00E452D8"/>
    <w:rsid w:val="00E4661F"/>
    <w:rsid w:val="00E4762A"/>
    <w:rsid w:val="00E479A7"/>
    <w:rsid w:val="00E50CE7"/>
    <w:rsid w:val="00E5140F"/>
    <w:rsid w:val="00E51B06"/>
    <w:rsid w:val="00E51FC6"/>
    <w:rsid w:val="00E537FE"/>
    <w:rsid w:val="00E5568B"/>
    <w:rsid w:val="00E5647C"/>
    <w:rsid w:val="00E56E7B"/>
    <w:rsid w:val="00E60020"/>
    <w:rsid w:val="00E61309"/>
    <w:rsid w:val="00E617CE"/>
    <w:rsid w:val="00E6262F"/>
    <w:rsid w:val="00E6326F"/>
    <w:rsid w:val="00E63AFD"/>
    <w:rsid w:val="00E63FF1"/>
    <w:rsid w:val="00E64186"/>
    <w:rsid w:val="00E66B40"/>
    <w:rsid w:val="00E6792A"/>
    <w:rsid w:val="00E7067A"/>
    <w:rsid w:val="00E71327"/>
    <w:rsid w:val="00E71BDF"/>
    <w:rsid w:val="00E7232C"/>
    <w:rsid w:val="00E72EB1"/>
    <w:rsid w:val="00E73869"/>
    <w:rsid w:val="00E741AA"/>
    <w:rsid w:val="00E74351"/>
    <w:rsid w:val="00E74514"/>
    <w:rsid w:val="00E74EB7"/>
    <w:rsid w:val="00E7545C"/>
    <w:rsid w:val="00E75D37"/>
    <w:rsid w:val="00E7605E"/>
    <w:rsid w:val="00E76BD4"/>
    <w:rsid w:val="00E80088"/>
    <w:rsid w:val="00E80416"/>
    <w:rsid w:val="00E809F7"/>
    <w:rsid w:val="00E811A5"/>
    <w:rsid w:val="00E81473"/>
    <w:rsid w:val="00E81D0D"/>
    <w:rsid w:val="00E81DFE"/>
    <w:rsid w:val="00E8313F"/>
    <w:rsid w:val="00E8353B"/>
    <w:rsid w:val="00E840F0"/>
    <w:rsid w:val="00E85103"/>
    <w:rsid w:val="00E85711"/>
    <w:rsid w:val="00E85C31"/>
    <w:rsid w:val="00E869AF"/>
    <w:rsid w:val="00E908FA"/>
    <w:rsid w:val="00E90D4C"/>
    <w:rsid w:val="00E911D4"/>
    <w:rsid w:val="00E91AF1"/>
    <w:rsid w:val="00E91E4B"/>
    <w:rsid w:val="00E9247E"/>
    <w:rsid w:val="00E9291A"/>
    <w:rsid w:val="00E92F99"/>
    <w:rsid w:val="00E9358F"/>
    <w:rsid w:val="00E93709"/>
    <w:rsid w:val="00E945AD"/>
    <w:rsid w:val="00E94B34"/>
    <w:rsid w:val="00E9533E"/>
    <w:rsid w:val="00E958CF"/>
    <w:rsid w:val="00E959B2"/>
    <w:rsid w:val="00E95A0C"/>
    <w:rsid w:val="00E95B7B"/>
    <w:rsid w:val="00E960AC"/>
    <w:rsid w:val="00E97005"/>
    <w:rsid w:val="00EA0630"/>
    <w:rsid w:val="00EA0773"/>
    <w:rsid w:val="00EA0A61"/>
    <w:rsid w:val="00EA1B0D"/>
    <w:rsid w:val="00EA379F"/>
    <w:rsid w:val="00EA3F8F"/>
    <w:rsid w:val="00EA47B5"/>
    <w:rsid w:val="00EA4E98"/>
    <w:rsid w:val="00EA5906"/>
    <w:rsid w:val="00EA6753"/>
    <w:rsid w:val="00EB0709"/>
    <w:rsid w:val="00EB08A4"/>
    <w:rsid w:val="00EB3E84"/>
    <w:rsid w:val="00EB42A9"/>
    <w:rsid w:val="00EB42F1"/>
    <w:rsid w:val="00EB4306"/>
    <w:rsid w:val="00EB5145"/>
    <w:rsid w:val="00EB51DC"/>
    <w:rsid w:val="00EB6478"/>
    <w:rsid w:val="00EB6C63"/>
    <w:rsid w:val="00EB77A6"/>
    <w:rsid w:val="00EB7ACB"/>
    <w:rsid w:val="00EC00D5"/>
    <w:rsid w:val="00EC147A"/>
    <w:rsid w:val="00EC264A"/>
    <w:rsid w:val="00EC26A0"/>
    <w:rsid w:val="00EC2A14"/>
    <w:rsid w:val="00EC2C1B"/>
    <w:rsid w:val="00EC369E"/>
    <w:rsid w:val="00EC3F1D"/>
    <w:rsid w:val="00EC7A22"/>
    <w:rsid w:val="00ED0D90"/>
    <w:rsid w:val="00ED1059"/>
    <w:rsid w:val="00ED1849"/>
    <w:rsid w:val="00ED230F"/>
    <w:rsid w:val="00ED25E6"/>
    <w:rsid w:val="00ED357D"/>
    <w:rsid w:val="00ED3CD6"/>
    <w:rsid w:val="00ED42AA"/>
    <w:rsid w:val="00ED4B06"/>
    <w:rsid w:val="00ED5224"/>
    <w:rsid w:val="00ED53A3"/>
    <w:rsid w:val="00ED649F"/>
    <w:rsid w:val="00ED78C0"/>
    <w:rsid w:val="00EE0DDA"/>
    <w:rsid w:val="00EE23B6"/>
    <w:rsid w:val="00EE266A"/>
    <w:rsid w:val="00EE29E1"/>
    <w:rsid w:val="00EE2C31"/>
    <w:rsid w:val="00EE32D6"/>
    <w:rsid w:val="00EE497E"/>
    <w:rsid w:val="00EE49F1"/>
    <w:rsid w:val="00EE4EEA"/>
    <w:rsid w:val="00EE6DD9"/>
    <w:rsid w:val="00EE6FB0"/>
    <w:rsid w:val="00EF0648"/>
    <w:rsid w:val="00EF1AF1"/>
    <w:rsid w:val="00EF3592"/>
    <w:rsid w:val="00EF4168"/>
    <w:rsid w:val="00EF4F47"/>
    <w:rsid w:val="00EF5029"/>
    <w:rsid w:val="00EF564C"/>
    <w:rsid w:val="00EF5C1C"/>
    <w:rsid w:val="00EF631F"/>
    <w:rsid w:val="00EF64F1"/>
    <w:rsid w:val="00EF7EE3"/>
    <w:rsid w:val="00F000F5"/>
    <w:rsid w:val="00F0022E"/>
    <w:rsid w:val="00F0122E"/>
    <w:rsid w:val="00F02F08"/>
    <w:rsid w:val="00F04784"/>
    <w:rsid w:val="00F06FE6"/>
    <w:rsid w:val="00F079FB"/>
    <w:rsid w:val="00F1034D"/>
    <w:rsid w:val="00F1102D"/>
    <w:rsid w:val="00F11068"/>
    <w:rsid w:val="00F117B5"/>
    <w:rsid w:val="00F12E3E"/>
    <w:rsid w:val="00F1362F"/>
    <w:rsid w:val="00F138CE"/>
    <w:rsid w:val="00F140FD"/>
    <w:rsid w:val="00F14FDA"/>
    <w:rsid w:val="00F15CFA"/>
    <w:rsid w:val="00F160AA"/>
    <w:rsid w:val="00F168EA"/>
    <w:rsid w:val="00F17B2C"/>
    <w:rsid w:val="00F20BE6"/>
    <w:rsid w:val="00F2124F"/>
    <w:rsid w:val="00F21A44"/>
    <w:rsid w:val="00F21DAB"/>
    <w:rsid w:val="00F2213B"/>
    <w:rsid w:val="00F22993"/>
    <w:rsid w:val="00F22DB6"/>
    <w:rsid w:val="00F2412E"/>
    <w:rsid w:val="00F247B6"/>
    <w:rsid w:val="00F25440"/>
    <w:rsid w:val="00F26309"/>
    <w:rsid w:val="00F263E3"/>
    <w:rsid w:val="00F26CA3"/>
    <w:rsid w:val="00F2708A"/>
    <w:rsid w:val="00F27A84"/>
    <w:rsid w:val="00F27B43"/>
    <w:rsid w:val="00F31622"/>
    <w:rsid w:val="00F31EE4"/>
    <w:rsid w:val="00F324E1"/>
    <w:rsid w:val="00F35DC6"/>
    <w:rsid w:val="00F36163"/>
    <w:rsid w:val="00F36688"/>
    <w:rsid w:val="00F4029B"/>
    <w:rsid w:val="00F40C99"/>
    <w:rsid w:val="00F40F10"/>
    <w:rsid w:val="00F4106A"/>
    <w:rsid w:val="00F43380"/>
    <w:rsid w:val="00F44E56"/>
    <w:rsid w:val="00F45220"/>
    <w:rsid w:val="00F4547C"/>
    <w:rsid w:val="00F458A9"/>
    <w:rsid w:val="00F4620D"/>
    <w:rsid w:val="00F47B18"/>
    <w:rsid w:val="00F47F10"/>
    <w:rsid w:val="00F523B5"/>
    <w:rsid w:val="00F525DE"/>
    <w:rsid w:val="00F55F9A"/>
    <w:rsid w:val="00F56DA2"/>
    <w:rsid w:val="00F57148"/>
    <w:rsid w:val="00F57357"/>
    <w:rsid w:val="00F61387"/>
    <w:rsid w:val="00F615A6"/>
    <w:rsid w:val="00F618F6"/>
    <w:rsid w:val="00F6306A"/>
    <w:rsid w:val="00F6335D"/>
    <w:rsid w:val="00F64E9A"/>
    <w:rsid w:val="00F651AC"/>
    <w:rsid w:val="00F660B3"/>
    <w:rsid w:val="00F67127"/>
    <w:rsid w:val="00F6714A"/>
    <w:rsid w:val="00F6718F"/>
    <w:rsid w:val="00F67A0D"/>
    <w:rsid w:val="00F7021D"/>
    <w:rsid w:val="00F704F2"/>
    <w:rsid w:val="00F709BA"/>
    <w:rsid w:val="00F70A70"/>
    <w:rsid w:val="00F73531"/>
    <w:rsid w:val="00F73A0E"/>
    <w:rsid w:val="00F74176"/>
    <w:rsid w:val="00F74612"/>
    <w:rsid w:val="00F7553B"/>
    <w:rsid w:val="00F75851"/>
    <w:rsid w:val="00F76ABC"/>
    <w:rsid w:val="00F775E4"/>
    <w:rsid w:val="00F778A1"/>
    <w:rsid w:val="00F779AE"/>
    <w:rsid w:val="00F80A50"/>
    <w:rsid w:val="00F84601"/>
    <w:rsid w:val="00F84802"/>
    <w:rsid w:val="00F84849"/>
    <w:rsid w:val="00F861D2"/>
    <w:rsid w:val="00F86446"/>
    <w:rsid w:val="00F90036"/>
    <w:rsid w:val="00F9075D"/>
    <w:rsid w:val="00F9165F"/>
    <w:rsid w:val="00F92198"/>
    <w:rsid w:val="00F92480"/>
    <w:rsid w:val="00F924B7"/>
    <w:rsid w:val="00F92EC6"/>
    <w:rsid w:val="00F9406A"/>
    <w:rsid w:val="00F94806"/>
    <w:rsid w:val="00F951CF"/>
    <w:rsid w:val="00F9731E"/>
    <w:rsid w:val="00FA05DC"/>
    <w:rsid w:val="00FA1DE1"/>
    <w:rsid w:val="00FA27EA"/>
    <w:rsid w:val="00FA3854"/>
    <w:rsid w:val="00FA3F7D"/>
    <w:rsid w:val="00FA4750"/>
    <w:rsid w:val="00FA4C42"/>
    <w:rsid w:val="00FB0038"/>
    <w:rsid w:val="00FB03D3"/>
    <w:rsid w:val="00FB0D41"/>
    <w:rsid w:val="00FB1D20"/>
    <w:rsid w:val="00FB2F2C"/>
    <w:rsid w:val="00FB4597"/>
    <w:rsid w:val="00FB5A2D"/>
    <w:rsid w:val="00FB5AC1"/>
    <w:rsid w:val="00FB7056"/>
    <w:rsid w:val="00FC0656"/>
    <w:rsid w:val="00FC0F3F"/>
    <w:rsid w:val="00FC1733"/>
    <w:rsid w:val="00FC28D5"/>
    <w:rsid w:val="00FC33D5"/>
    <w:rsid w:val="00FC4C16"/>
    <w:rsid w:val="00FC746F"/>
    <w:rsid w:val="00FC78A1"/>
    <w:rsid w:val="00FD027D"/>
    <w:rsid w:val="00FD18C4"/>
    <w:rsid w:val="00FD20FC"/>
    <w:rsid w:val="00FD2717"/>
    <w:rsid w:val="00FD32FB"/>
    <w:rsid w:val="00FD44DC"/>
    <w:rsid w:val="00FD46C3"/>
    <w:rsid w:val="00FD5397"/>
    <w:rsid w:val="00FD7404"/>
    <w:rsid w:val="00FD7522"/>
    <w:rsid w:val="00FD78D9"/>
    <w:rsid w:val="00FE05E9"/>
    <w:rsid w:val="00FE0A62"/>
    <w:rsid w:val="00FE0D57"/>
    <w:rsid w:val="00FE256D"/>
    <w:rsid w:val="00FE4678"/>
    <w:rsid w:val="00FE588B"/>
    <w:rsid w:val="00FE6F94"/>
    <w:rsid w:val="00FF0B18"/>
    <w:rsid w:val="00FF0BC0"/>
    <w:rsid w:val="00FF19BA"/>
    <w:rsid w:val="00FF3C66"/>
    <w:rsid w:val="00FF3DF8"/>
    <w:rsid w:val="00FF53D5"/>
    <w:rsid w:val="00FF5926"/>
    <w:rsid w:val="00FF5E01"/>
    <w:rsid w:val="00FF637F"/>
    <w:rsid w:val="00FF663C"/>
    <w:rsid w:val="00FF6B0A"/>
    <w:rsid w:val="00FF6E7C"/>
    <w:rsid w:val="00FF7243"/>
    <w:rsid w:val="00FF72BD"/>
    <w:rsid w:val="00FF75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EC"/>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82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82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82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82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2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27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2707"/>
    <w:pPr>
      <w:spacing w:before="240" w:after="60"/>
      <w:outlineLvl w:val="6"/>
    </w:pPr>
  </w:style>
  <w:style w:type="paragraph" w:styleId="Heading8">
    <w:name w:val="heading 8"/>
    <w:basedOn w:val="Normal"/>
    <w:next w:val="Normal"/>
    <w:link w:val="Heading8Char"/>
    <w:uiPriority w:val="9"/>
    <w:semiHidden/>
    <w:unhideWhenUsed/>
    <w:qFormat/>
    <w:rsid w:val="00082707"/>
    <w:pPr>
      <w:spacing w:before="240" w:after="60"/>
      <w:outlineLvl w:val="7"/>
    </w:pPr>
    <w:rPr>
      <w:i/>
      <w:iCs/>
    </w:rPr>
  </w:style>
  <w:style w:type="paragraph" w:styleId="Heading9">
    <w:name w:val="heading 9"/>
    <w:basedOn w:val="Normal"/>
    <w:next w:val="Normal"/>
    <w:link w:val="Heading9Char"/>
    <w:uiPriority w:val="9"/>
    <w:semiHidden/>
    <w:unhideWhenUsed/>
    <w:qFormat/>
    <w:rsid w:val="000827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2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2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2707"/>
    <w:rPr>
      <w:b/>
      <w:bCs/>
      <w:sz w:val="28"/>
      <w:szCs w:val="28"/>
    </w:rPr>
  </w:style>
  <w:style w:type="character" w:customStyle="1" w:styleId="Heading5Char">
    <w:name w:val="Heading 5 Char"/>
    <w:basedOn w:val="DefaultParagraphFont"/>
    <w:link w:val="Heading5"/>
    <w:uiPriority w:val="9"/>
    <w:semiHidden/>
    <w:rsid w:val="00082707"/>
    <w:rPr>
      <w:b/>
      <w:bCs/>
      <w:i/>
      <w:iCs/>
      <w:sz w:val="26"/>
      <w:szCs w:val="26"/>
    </w:rPr>
  </w:style>
  <w:style w:type="character" w:customStyle="1" w:styleId="Heading6Char">
    <w:name w:val="Heading 6 Char"/>
    <w:basedOn w:val="DefaultParagraphFont"/>
    <w:link w:val="Heading6"/>
    <w:uiPriority w:val="9"/>
    <w:semiHidden/>
    <w:rsid w:val="00082707"/>
    <w:rPr>
      <w:b/>
      <w:bCs/>
    </w:rPr>
  </w:style>
  <w:style w:type="character" w:customStyle="1" w:styleId="Heading7Char">
    <w:name w:val="Heading 7 Char"/>
    <w:basedOn w:val="DefaultParagraphFont"/>
    <w:link w:val="Heading7"/>
    <w:uiPriority w:val="9"/>
    <w:semiHidden/>
    <w:rsid w:val="00082707"/>
    <w:rPr>
      <w:sz w:val="24"/>
      <w:szCs w:val="24"/>
    </w:rPr>
  </w:style>
  <w:style w:type="character" w:customStyle="1" w:styleId="Heading8Char">
    <w:name w:val="Heading 8 Char"/>
    <w:basedOn w:val="DefaultParagraphFont"/>
    <w:link w:val="Heading8"/>
    <w:uiPriority w:val="9"/>
    <w:semiHidden/>
    <w:rsid w:val="00082707"/>
    <w:rPr>
      <w:i/>
      <w:iCs/>
      <w:sz w:val="24"/>
      <w:szCs w:val="24"/>
    </w:rPr>
  </w:style>
  <w:style w:type="character" w:customStyle="1" w:styleId="Heading9Char">
    <w:name w:val="Heading 9 Char"/>
    <w:basedOn w:val="DefaultParagraphFont"/>
    <w:link w:val="Heading9"/>
    <w:uiPriority w:val="9"/>
    <w:semiHidden/>
    <w:rsid w:val="00082707"/>
    <w:rPr>
      <w:rFonts w:asciiTheme="majorHAnsi" w:eastAsiaTheme="majorEastAsia" w:hAnsiTheme="majorHAnsi"/>
    </w:rPr>
  </w:style>
  <w:style w:type="paragraph" w:styleId="Title">
    <w:name w:val="Title"/>
    <w:basedOn w:val="Normal"/>
    <w:next w:val="Normal"/>
    <w:link w:val="TitleChar"/>
    <w:uiPriority w:val="10"/>
    <w:qFormat/>
    <w:rsid w:val="00082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2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2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2707"/>
    <w:rPr>
      <w:rFonts w:asciiTheme="majorHAnsi" w:eastAsiaTheme="majorEastAsia" w:hAnsiTheme="majorHAnsi"/>
      <w:sz w:val="24"/>
      <w:szCs w:val="24"/>
    </w:rPr>
  </w:style>
  <w:style w:type="character" w:styleId="Strong">
    <w:name w:val="Strong"/>
    <w:basedOn w:val="DefaultParagraphFont"/>
    <w:uiPriority w:val="22"/>
    <w:qFormat/>
    <w:rsid w:val="00082707"/>
    <w:rPr>
      <w:b/>
      <w:bCs/>
    </w:rPr>
  </w:style>
  <w:style w:type="character" w:styleId="Emphasis">
    <w:name w:val="Emphasis"/>
    <w:basedOn w:val="DefaultParagraphFont"/>
    <w:uiPriority w:val="20"/>
    <w:qFormat/>
    <w:rsid w:val="00082707"/>
    <w:rPr>
      <w:rFonts w:asciiTheme="minorHAnsi" w:hAnsiTheme="minorHAnsi"/>
      <w:b/>
      <w:i/>
      <w:iCs/>
    </w:rPr>
  </w:style>
  <w:style w:type="paragraph" w:styleId="NoSpacing">
    <w:name w:val="No Spacing"/>
    <w:basedOn w:val="Normal"/>
    <w:link w:val="NoSpacingChar"/>
    <w:uiPriority w:val="1"/>
    <w:qFormat/>
    <w:rsid w:val="00082707"/>
    <w:rPr>
      <w:szCs w:val="32"/>
    </w:rPr>
  </w:style>
  <w:style w:type="paragraph" w:styleId="ListParagraph">
    <w:name w:val="List Paragraph"/>
    <w:basedOn w:val="Normal"/>
    <w:uiPriority w:val="34"/>
    <w:qFormat/>
    <w:rsid w:val="00082707"/>
    <w:pPr>
      <w:ind w:left="720"/>
      <w:contextualSpacing/>
    </w:pPr>
  </w:style>
  <w:style w:type="paragraph" w:styleId="Quote">
    <w:name w:val="Quote"/>
    <w:basedOn w:val="Normal"/>
    <w:next w:val="Normal"/>
    <w:link w:val="QuoteChar"/>
    <w:uiPriority w:val="29"/>
    <w:qFormat/>
    <w:rsid w:val="00082707"/>
    <w:rPr>
      <w:i/>
    </w:rPr>
  </w:style>
  <w:style w:type="character" w:customStyle="1" w:styleId="QuoteChar">
    <w:name w:val="Quote Char"/>
    <w:basedOn w:val="DefaultParagraphFont"/>
    <w:link w:val="Quote"/>
    <w:uiPriority w:val="29"/>
    <w:rsid w:val="00082707"/>
    <w:rPr>
      <w:i/>
      <w:sz w:val="24"/>
      <w:szCs w:val="24"/>
    </w:rPr>
  </w:style>
  <w:style w:type="paragraph" w:styleId="IntenseQuote">
    <w:name w:val="Intense Quote"/>
    <w:basedOn w:val="Normal"/>
    <w:next w:val="Normal"/>
    <w:link w:val="IntenseQuoteChar"/>
    <w:uiPriority w:val="30"/>
    <w:qFormat/>
    <w:rsid w:val="00082707"/>
    <w:pPr>
      <w:ind w:left="720" w:right="720"/>
    </w:pPr>
    <w:rPr>
      <w:b/>
      <w:i/>
      <w:szCs w:val="22"/>
    </w:rPr>
  </w:style>
  <w:style w:type="character" w:customStyle="1" w:styleId="IntenseQuoteChar">
    <w:name w:val="Intense Quote Char"/>
    <w:basedOn w:val="DefaultParagraphFont"/>
    <w:link w:val="IntenseQuote"/>
    <w:uiPriority w:val="30"/>
    <w:rsid w:val="00082707"/>
    <w:rPr>
      <w:b/>
      <w:i/>
      <w:sz w:val="24"/>
    </w:rPr>
  </w:style>
  <w:style w:type="character" w:styleId="SubtleEmphasis">
    <w:name w:val="Subtle Emphasis"/>
    <w:uiPriority w:val="19"/>
    <w:qFormat/>
    <w:rsid w:val="00082707"/>
    <w:rPr>
      <w:i/>
      <w:color w:val="5A5A5A" w:themeColor="text1" w:themeTint="A5"/>
    </w:rPr>
  </w:style>
  <w:style w:type="character" w:styleId="IntenseEmphasis">
    <w:name w:val="Intense Emphasis"/>
    <w:basedOn w:val="DefaultParagraphFont"/>
    <w:uiPriority w:val="21"/>
    <w:qFormat/>
    <w:rsid w:val="00082707"/>
    <w:rPr>
      <w:b/>
      <w:i/>
      <w:sz w:val="24"/>
      <w:szCs w:val="24"/>
      <w:u w:val="single"/>
    </w:rPr>
  </w:style>
  <w:style w:type="character" w:styleId="SubtleReference">
    <w:name w:val="Subtle Reference"/>
    <w:basedOn w:val="DefaultParagraphFont"/>
    <w:uiPriority w:val="31"/>
    <w:qFormat/>
    <w:rsid w:val="00082707"/>
    <w:rPr>
      <w:sz w:val="24"/>
      <w:szCs w:val="24"/>
      <w:u w:val="single"/>
    </w:rPr>
  </w:style>
  <w:style w:type="character" w:styleId="IntenseReference">
    <w:name w:val="Intense Reference"/>
    <w:basedOn w:val="DefaultParagraphFont"/>
    <w:uiPriority w:val="32"/>
    <w:qFormat/>
    <w:rsid w:val="00082707"/>
    <w:rPr>
      <w:b/>
      <w:sz w:val="24"/>
      <w:u w:val="single"/>
    </w:rPr>
  </w:style>
  <w:style w:type="character" w:styleId="BookTitle">
    <w:name w:val="Book Title"/>
    <w:basedOn w:val="DefaultParagraphFont"/>
    <w:uiPriority w:val="33"/>
    <w:qFormat/>
    <w:rsid w:val="0008270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082707"/>
    <w:pPr>
      <w:outlineLvl w:val="9"/>
    </w:pPr>
  </w:style>
  <w:style w:type="character" w:customStyle="1" w:styleId="apple-style-span">
    <w:name w:val="apple-style-span"/>
    <w:basedOn w:val="DefaultParagraphFont"/>
    <w:rsid w:val="00754494"/>
  </w:style>
  <w:style w:type="paragraph" w:styleId="FootnoteText">
    <w:name w:val="footnote text"/>
    <w:basedOn w:val="Normal"/>
    <w:link w:val="FootnoteTextChar"/>
    <w:semiHidden/>
    <w:unhideWhenUsed/>
    <w:rsid w:val="00B67F1F"/>
    <w:rPr>
      <w:sz w:val="20"/>
      <w:szCs w:val="20"/>
    </w:rPr>
  </w:style>
  <w:style w:type="character" w:customStyle="1" w:styleId="FootnoteTextChar">
    <w:name w:val="Footnote Text Char"/>
    <w:basedOn w:val="DefaultParagraphFont"/>
    <w:link w:val="FootnoteText"/>
    <w:semiHidden/>
    <w:rsid w:val="00B67F1F"/>
    <w:rPr>
      <w:sz w:val="20"/>
      <w:szCs w:val="20"/>
    </w:rPr>
  </w:style>
  <w:style w:type="character" w:styleId="FootnoteReference">
    <w:name w:val="footnote reference"/>
    <w:basedOn w:val="DefaultParagraphFont"/>
    <w:semiHidden/>
    <w:unhideWhenUsed/>
    <w:rsid w:val="00B67F1F"/>
    <w:rPr>
      <w:vertAlign w:val="superscript"/>
    </w:rPr>
  </w:style>
  <w:style w:type="character" w:styleId="CommentReference">
    <w:name w:val="annotation reference"/>
    <w:basedOn w:val="DefaultParagraphFont"/>
    <w:uiPriority w:val="99"/>
    <w:semiHidden/>
    <w:unhideWhenUsed/>
    <w:rsid w:val="005C7573"/>
    <w:rPr>
      <w:sz w:val="16"/>
      <w:szCs w:val="16"/>
    </w:rPr>
  </w:style>
  <w:style w:type="paragraph" w:styleId="CommentText">
    <w:name w:val="annotation text"/>
    <w:basedOn w:val="Normal"/>
    <w:link w:val="CommentTextChar"/>
    <w:uiPriority w:val="99"/>
    <w:semiHidden/>
    <w:unhideWhenUsed/>
    <w:rsid w:val="005C7573"/>
    <w:rPr>
      <w:sz w:val="20"/>
      <w:szCs w:val="20"/>
    </w:rPr>
  </w:style>
  <w:style w:type="character" w:customStyle="1" w:styleId="CommentTextChar">
    <w:name w:val="Comment Text Char"/>
    <w:basedOn w:val="DefaultParagraphFont"/>
    <w:link w:val="CommentText"/>
    <w:uiPriority w:val="99"/>
    <w:semiHidden/>
    <w:rsid w:val="005C7573"/>
    <w:rPr>
      <w:sz w:val="20"/>
      <w:szCs w:val="20"/>
    </w:rPr>
  </w:style>
  <w:style w:type="paragraph" w:styleId="CommentSubject">
    <w:name w:val="annotation subject"/>
    <w:basedOn w:val="CommentText"/>
    <w:next w:val="CommentText"/>
    <w:link w:val="CommentSubjectChar"/>
    <w:uiPriority w:val="99"/>
    <w:semiHidden/>
    <w:unhideWhenUsed/>
    <w:rsid w:val="005C7573"/>
    <w:rPr>
      <w:b/>
      <w:bCs/>
    </w:rPr>
  </w:style>
  <w:style w:type="character" w:customStyle="1" w:styleId="CommentSubjectChar">
    <w:name w:val="Comment Subject Char"/>
    <w:basedOn w:val="CommentTextChar"/>
    <w:link w:val="CommentSubject"/>
    <w:uiPriority w:val="99"/>
    <w:semiHidden/>
    <w:rsid w:val="005C7573"/>
    <w:rPr>
      <w:b/>
      <w:bCs/>
      <w:sz w:val="20"/>
      <w:szCs w:val="20"/>
    </w:rPr>
  </w:style>
  <w:style w:type="paragraph" w:styleId="BalloonText">
    <w:name w:val="Balloon Text"/>
    <w:basedOn w:val="Normal"/>
    <w:link w:val="BalloonTextChar"/>
    <w:uiPriority w:val="99"/>
    <w:semiHidden/>
    <w:unhideWhenUsed/>
    <w:rsid w:val="005C7573"/>
    <w:rPr>
      <w:rFonts w:ascii="Tahoma" w:hAnsi="Tahoma" w:cs="Tahoma"/>
      <w:sz w:val="16"/>
      <w:szCs w:val="16"/>
    </w:rPr>
  </w:style>
  <w:style w:type="character" w:customStyle="1" w:styleId="BalloonTextChar">
    <w:name w:val="Balloon Text Char"/>
    <w:basedOn w:val="DefaultParagraphFont"/>
    <w:link w:val="BalloonText"/>
    <w:uiPriority w:val="99"/>
    <w:semiHidden/>
    <w:rsid w:val="005C7573"/>
    <w:rPr>
      <w:rFonts w:ascii="Tahoma" w:hAnsi="Tahoma" w:cs="Tahoma"/>
      <w:sz w:val="16"/>
      <w:szCs w:val="16"/>
    </w:rPr>
  </w:style>
  <w:style w:type="paragraph" w:styleId="Footer">
    <w:name w:val="footer"/>
    <w:basedOn w:val="Normal"/>
    <w:link w:val="FooterChar"/>
    <w:uiPriority w:val="99"/>
    <w:rsid w:val="00064C57"/>
    <w:pPr>
      <w:tabs>
        <w:tab w:val="center" w:pos="4153"/>
        <w:tab w:val="right" w:pos="8306"/>
      </w:tabs>
    </w:pPr>
    <w:rPr>
      <w:rFonts w:eastAsia="Times New Roman"/>
      <w:szCs w:val="20"/>
      <w:lang w:val="en-GB" w:eastAsia="en-NZ" w:bidi="ar-SA"/>
    </w:rPr>
  </w:style>
  <w:style w:type="character" w:customStyle="1" w:styleId="FooterChar">
    <w:name w:val="Footer Char"/>
    <w:basedOn w:val="DefaultParagraphFont"/>
    <w:link w:val="Footer"/>
    <w:uiPriority w:val="99"/>
    <w:rsid w:val="00064C57"/>
    <w:rPr>
      <w:rFonts w:ascii="Times New Roman" w:eastAsia="Times New Roman" w:hAnsi="Times New Roman"/>
      <w:sz w:val="24"/>
      <w:szCs w:val="20"/>
      <w:lang w:val="en-GB" w:eastAsia="en-NZ" w:bidi="ar-SA"/>
    </w:rPr>
  </w:style>
  <w:style w:type="paragraph" w:styleId="BodyTextIndent">
    <w:name w:val="Body Text Indent"/>
    <w:basedOn w:val="Normal"/>
    <w:link w:val="BodyTextIndentChar"/>
    <w:semiHidden/>
    <w:rsid w:val="005119C4"/>
    <w:pPr>
      <w:ind w:left="450" w:hanging="450"/>
    </w:pPr>
    <w:rPr>
      <w:rFonts w:eastAsia="Times New Roman"/>
      <w:sz w:val="22"/>
      <w:szCs w:val="20"/>
      <w:lang w:bidi="ar-SA"/>
    </w:rPr>
  </w:style>
  <w:style w:type="character" w:customStyle="1" w:styleId="BodyTextIndentChar">
    <w:name w:val="Body Text Indent Char"/>
    <w:basedOn w:val="DefaultParagraphFont"/>
    <w:link w:val="BodyTextIndent"/>
    <w:semiHidden/>
    <w:rsid w:val="005119C4"/>
    <w:rPr>
      <w:rFonts w:ascii="Times New Roman" w:eastAsia="Times New Roman" w:hAnsi="Times New Roman"/>
      <w:szCs w:val="20"/>
      <w:lang w:bidi="ar-SA"/>
    </w:rPr>
  </w:style>
  <w:style w:type="paragraph" w:styleId="NormalWeb">
    <w:name w:val="Normal (Web)"/>
    <w:basedOn w:val="Normal"/>
    <w:uiPriority w:val="99"/>
    <w:rsid w:val="00153308"/>
    <w:pPr>
      <w:spacing w:after="90" w:line="240" w:lineRule="atLeast"/>
      <w:ind w:left="30" w:right="150"/>
    </w:pPr>
    <w:rPr>
      <w:rFonts w:ascii="Arial" w:eastAsia="Arial Unicode MS" w:hAnsi="Arial" w:cs="Arial"/>
      <w:color w:val="333333"/>
      <w:sz w:val="20"/>
      <w:szCs w:val="20"/>
      <w:lang w:bidi="ar-SA"/>
    </w:rPr>
  </w:style>
  <w:style w:type="paragraph" w:styleId="Header">
    <w:name w:val="header"/>
    <w:basedOn w:val="Normal"/>
    <w:link w:val="HeaderChar"/>
    <w:uiPriority w:val="99"/>
    <w:unhideWhenUsed/>
    <w:rsid w:val="000B5E1B"/>
    <w:pPr>
      <w:tabs>
        <w:tab w:val="center" w:pos="4513"/>
        <w:tab w:val="right" w:pos="9026"/>
      </w:tabs>
    </w:pPr>
  </w:style>
  <w:style w:type="character" w:customStyle="1" w:styleId="HeaderChar">
    <w:name w:val="Header Char"/>
    <w:basedOn w:val="DefaultParagraphFont"/>
    <w:link w:val="Header"/>
    <w:uiPriority w:val="99"/>
    <w:rsid w:val="000B5E1B"/>
    <w:rPr>
      <w:rFonts w:ascii="Times New Roman" w:hAnsi="Times New Roman"/>
      <w:sz w:val="24"/>
      <w:szCs w:val="24"/>
    </w:rPr>
  </w:style>
  <w:style w:type="paragraph" w:styleId="Revision">
    <w:name w:val="Revision"/>
    <w:hidden/>
    <w:uiPriority w:val="99"/>
    <w:semiHidden/>
    <w:rsid w:val="00BA576D"/>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3A7B81"/>
  </w:style>
  <w:style w:type="character" w:styleId="Hyperlink">
    <w:name w:val="Hyperlink"/>
    <w:basedOn w:val="DefaultParagraphFont"/>
    <w:uiPriority w:val="99"/>
    <w:rsid w:val="007603C6"/>
    <w:rPr>
      <w:color w:val="0000FF"/>
      <w:u w:val="single"/>
    </w:rPr>
  </w:style>
  <w:style w:type="character" w:styleId="PageNumber">
    <w:name w:val="page number"/>
    <w:basedOn w:val="DefaultParagraphFont"/>
    <w:rsid w:val="007603C6"/>
  </w:style>
  <w:style w:type="paragraph" w:customStyle="1" w:styleId="Default">
    <w:name w:val="Default"/>
    <w:rsid w:val="00E22C6F"/>
    <w:pPr>
      <w:autoSpaceDE w:val="0"/>
      <w:autoSpaceDN w:val="0"/>
      <w:adjustRightInd w:val="0"/>
      <w:spacing w:after="0" w:line="240" w:lineRule="auto"/>
    </w:pPr>
    <w:rPr>
      <w:rFonts w:ascii="Cambria" w:eastAsia="Calibri" w:hAnsi="Cambria" w:cs="Cambria"/>
      <w:color w:val="000000"/>
      <w:sz w:val="24"/>
      <w:szCs w:val="24"/>
      <w:lang w:val="en-NZ" w:eastAsia="en-NZ" w:bidi="ar-SA"/>
    </w:rPr>
  </w:style>
  <w:style w:type="table" w:styleId="TableGrid">
    <w:name w:val="Table Grid"/>
    <w:basedOn w:val="TableNormal"/>
    <w:uiPriority w:val="59"/>
    <w:rsid w:val="007F3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nhideWhenUsed/>
    <w:rsid w:val="00BB1F4A"/>
    <w:pPr>
      <w:jc w:val="left"/>
    </w:pPr>
    <w:rPr>
      <w:rFonts w:ascii="Consolas" w:hAnsi="Consolas" w:cs="Consolas"/>
      <w:sz w:val="21"/>
      <w:szCs w:val="21"/>
      <w:lang w:val="en-NZ" w:bidi="ar-SA"/>
    </w:rPr>
  </w:style>
  <w:style w:type="character" w:customStyle="1" w:styleId="PlainTextChar">
    <w:name w:val="Plain Text Char"/>
    <w:basedOn w:val="DefaultParagraphFont"/>
    <w:link w:val="PlainText"/>
    <w:rsid w:val="00BB1F4A"/>
    <w:rPr>
      <w:rFonts w:ascii="Consolas" w:hAnsi="Consolas" w:cs="Consolas"/>
      <w:sz w:val="21"/>
      <w:szCs w:val="21"/>
      <w:lang w:val="en-NZ" w:bidi="ar-SA"/>
    </w:rPr>
  </w:style>
  <w:style w:type="paragraph" w:styleId="EndnoteText">
    <w:name w:val="endnote text"/>
    <w:basedOn w:val="Normal"/>
    <w:link w:val="EndnoteTextChar"/>
    <w:uiPriority w:val="99"/>
    <w:semiHidden/>
    <w:unhideWhenUsed/>
    <w:rsid w:val="0074301D"/>
    <w:rPr>
      <w:sz w:val="20"/>
      <w:szCs w:val="20"/>
    </w:rPr>
  </w:style>
  <w:style w:type="character" w:customStyle="1" w:styleId="EndnoteTextChar">
    <w:name w:val="Endnote Text Char"/>
    <w:basedOn w:val="DefaultParagraphFont"/>
    <w:link w:val="EndnoteText"/>
    <w:uiPriority w:val="99"/>
    <w:semiHidden/>
    <w:rsid w:val="0074301D"/>
    <w:rPr>
      <w:rFonts w:ascii="Times New Roman" w:hAnsi="Times New Roman"/>
      <w:sz w:val="20"/>
      <w:szCs w:val="20"/>
    </w:rPr>
  </w:style>
  <w:style w:type="character" w:styleId="EndnoteReference">
    <w:name w:val="endnote reference"/>
    <w:basedOn w:val="DefaultParagraphFont"/>
    <w:uiPriority w:val="99"/>
    <w:semiHidden/>
    <w:unhideWhenUsed/>
    <w:rsid w:val="0074301D"/>
    <w:rPr>
      <w:vertAlign w:val="superscript"/>
    </w:rPr>
  </w:style>
  <w:style w:type="character" w:styleId="PlaceholderText">
    <w:name w:val="Placeholder Text"/>
    <w:basedOn w:val="DefaultParagraphFont"/>
    <w:uiPriority w:val="99"/>
    <w:semiHidden/>
    <w:rsid w:val="001B5BBC"/>
    <w:rPr>
      <w:color w:val="808080"/>
    </w:rPr>
  </w:style>
  <w:style w:type="character" w:styleId="HTMLCode">
    <w:name w:val="HTML Code"/>
    <w:basedOn w:val="DefaultParagraphFont"/>
    <w:uiPriority w:val="99"/>
    <w:semiHidden/>
    <w:unhideWhenUsed/>
    <w:rsid w:val="009311CF"/>
    <w:rPr>
      <w:rFonts w:ascii="Courier New" w:eastAsia="Times New Roman" w:hAnsi="Courier New" w:cs="Courier New"/>
      <w:sz w:val="20"/>
      <w:szCs w:val="20"/>
    </w:rPr>
  </w:style>
  <w:style w:type="paragraph" w:styleId="Caption">
    <w:name w:val="caption"/>
    <w:basedOn w:val="Normal"/>
    <w:next w:val="Normal"/>
    <w:uiPriority w:val="35"/>
    <w:unhideWhenUsed/>
    <w:qFormat/>
    <w:rsid w:val="009A6B1F"/>
    <w:pPr>
      <w:widowControl w:val="0"/>
    </w:pPr>
    <w:rPr>
      <w:rFonts w:asciiTheme="majorHAnsi" w:eastAsia="SimHei" w:hAnsiTheme="majorHAnsi" w:cstheme="majorBidi"/>
      <w:kern w:val="2"/>
      <w:sz w:val="20"/>
      <w:szCs w:val="20"/>
      <w:lang w:val="en-NZ" w:eastAsia="zh-CN" w:bidi="ar-SA"/>
    </w:rPr>
  </w:style>
  <w:style w:type="character" w:styleId="FollowedHyperlink">
    <w:name w:val="FollowedHyperlink"/>
    <w:basedOn w:val="DefaultParagraphFont"/>
    <w:uiPriority w:val="99"/>
    <w:semiHidden/>
    <w:unhideWhenUsed/>
    <w:rsid w:val="00DF37C5"/>
    <w:rPr>
      <w:color w:val="800080" w:themeColor="followedHyperlink"/>
      <w:u w:val="single"/>
    </w:rPr>
  </w:style>
  <w:style w:type="numbering" w:customStyle="1" w:styleId="NoList1">
    <w:name w:val="No List1"/>
    <w:next w:val="NoList"/>
    <w:uiPriority w:val="99"/>
    <w:semiHidden/>
    <w:unhideWhenUsed/>
    <w:rsid w:val="00B528B6"/>
  </w:style>
  <w:style w:type="character" w:customStyle="1" w:styleId="NoSpacingChar">
    <w:name w:val="No Spacing Char"/>
    <w:basedOn w:val="DefaultParagraphFont"/>
    <w:link w:val="NoSpacing"/>
    <w:uiPriority w:val="1"/>
    <w:rsid w:val="00B528B6"/>
    <w:rPr>
      <w:rFonts w:ascii="Times New Roman" w:hAnsi="Times New Roman"/>
      <w:sz w:val="24"/>
      <w:szCs w:val="32"/>
    </w:rPr>
  </w:style>
  <w:style w:type="character" w:customStyle="1" w:styleId="def">
    <w:name w:val="def"/>
    <w:basedOn w:val="DefaultParagraphFont"/>
    <w:rsid w:val="00B528B6"/>
  </w:style>
  <w:style w:type="paragraph" w:styleId="TOC1">
    <w:name w:val="toc 1"/>
    <w:basedOn w:val="Normal"/>
    <w:next w:val="Normal"/>
    <w:autoRedefine/>
    <w:uiPriority w:val="39"/>
    <w:unhideWhenUsed/>
    <w:qFormat/>
    <w:rsid w:val="00B528B6"/>
    <w:pPr>
      <w:tabs>
        <w:tab w:val="right" w:leader="dot" w:pos="9017"/>
      </w:tabs>
      <w:snapToGrid w:val="0"/>
      <w:contextualSpacing/>
      <w:jc w:val="left"/>
    </w:pPr>
    <w:rPr>
      <w:rFonts w:asciiTheme="minorHAnsi" w:hAnsiTheme="minorHAnsi" w:cstheme="minorBidi"/>
      <w:sz w:val="22"/>
      <w:szCs w:val="22"/>
      <w:lang w:val="en-NZ"/>
    </w:rPr>
  </w:style>
  <w:style w:type="paragraph" w:styleId="TOC2">
    <w:name w:val="toc 2"/>
    <w:basedOn w:val="Normal"/>
    <w:next w:val="Normal"/>
    <w:autoRedefine/>
    <w:uiPriority w:val="39"/>
    <w:unhideWhenUsed/>
    <w:qFormat/>
    <w:rsid w:val="00B528B6"/>
    <w:pPr>
      <w:spacing w:after="200" w:line="276" w:lineRule="auto"/>
      <w:ind w:leftChars="200" w:left="420"/>
      <w:jc w:val="left"/>
    </w:pPr>
    <w:rPr>
      <w:rFonts w:asciiTheme="minorHAnsi" w:hAnsiTheme="minorHAnsi" w:cstheme="minorBidi"/>
      <w:sz w:val="22"/>
      <w:szCs w:val="22"/>
      <w:lang w:val="en-NZ"/>
    </w:rPr>
  </w:style>
  <w:style w:type="paragraph" w:styleId="TOC3">
    <w:name w:val="toc 3"/>
    <w:basedOn w:val="Normal"/>
    <w:next w:val="Normal"/>
    <w:autoRedefine/>
    <w:uiPriority w:val="39"/>
    <w:unhideWhenUsed/>
    <w:qFormat/>
    <w:rsid w:val="00B528B6"/>
    <w:pPr>
      <w:spacing w:after="200" w:line="276" w:lineRule="auto"/>
      <w:ind w:leftChars="400" w:left="840"/>
      <w:jc w:val="left"/>
    </w:pPr>
    <w:rPr>
      <w:rFonts w:asciiTheme="minorHAnsi" w:hAnsiTheme="minorHAnsi" w:cstheme="minorBidi"/>
      <w:sz w:val="22"/>
      <w:szCs w:val="22"/>
      <w:lang w:val="en-NZ"/>
    </w:rPr>
  </w:style>
  <w:style w:type="paragraph" w:styleId="BodyTextIndent2">
    <w:name w:val="Body Text Indent 2"/>
    <w:basedOn w:val="Normal"/>
    <w:link w:val="BodyTextIndent2Char"/>
    <w:rsid w:val="00B528B6"/>
    <w:pPr>
      <w:ind w:left="720" w:hanging="720"/>
      <w:jc w:val="left"/>
    </w:pPr>
    <w:rPr>
      <w:rFonts w:eastAsia="Batang"/>
      <w:sz w:val="40"/>
      <w:lang w:val="en-AU" w:bidi="ar-SA"/>
    </w:rPr>
  </w:style>
  <w:style w:type="character" w:customStyle="1" w:styleId="BodyTextIndent2Char">
    <w:name w:val="Body Text Indent 2 Char"/>
    <w:basedOn w:val="DefaultParagraphFont"/>
    <w:link w:val="BodyTextIndent2"/>
    <w:rsid w:val="00B528B6"/>
    <w:rPr>
      <w:rFonts w:ascii="Times New Roman" w:eastAsia="Batang" w:hAnsi="Times New Roman"/>
      <w:sz w:val="40"/>
      <w:szCs w:val="24"/>
      <w:lang w:val="en-AU" w:bidi="ar-SA"/>
    </w:rPr>
  </w:style>
  <w:style w:type="character" w:styleId="HTMLCite">
    <w:name w:val="HTML Cite"/>
    <w:basedOn w:val="DefaultParagraphFont"/>
    <w:uiPriority w:val="99"/>
    <w:semiHidden/>
    <w:unhideWhenUsed/>
    <w:rsid w:val="00B528B6"/>
    <w:rPr>
      <w:i/>
      <w:iCs/>
    </w:rPr>
  </w:style>
  <w:style w:type="character" w:customStyle="1" w:styleId="cit-doi">
    <w:name w:val="cit-doi"/>
    <w:basedOn w:val="DefaultParagraphFont"/>
    <w:rsid w:val="00B528B6"/>
  </w:style>
  <w:style w:type="character" w:customStyle="1" w:styleId="cit-sep">
    <w:name w:val="cit-sep"/>
    <w:basedOn w:val="DefaultParagraphFont"/>
    <w:rsid w:val="00B528B6"/>
  </w:style>
  <w:style w:type="paragraph" w:customStyle="1" w:styleId="CM3">
    <w:name w:val="CM3"/>
    <w:basedOn w:val="Default"/>
    <w:next w:val="Default"/>
    <w:rsid w:val="006E7AA1"/>
    <w:pPr>
      <w:widowControl w:val="0"/>
    </w:pPr>
    <w:rPr>
      <w:rFonts w:ascii="Times New Roman" w:eastAsia="Times New Roman" w:hAnsi="Times New Roman" w:cs="Times New Roman"/>
      <w:color w:val="auto"/>
      <w:lang w:val="en-US" w:eastAsia="en-US"/>
    </w:rPr>
  </w:style>
  <w:style w:type="paragraph" w:customStyle="1" w:styleId="CM4">
    <w:name w:val="CM4"/>
    <w:basedOn w:val="Default"/>
    <w:next w:val="Default"/>
    <w:rsid w:val="006E7AA1"/>
    <w:pPr>
      <w:widowControl w:val="0"/>
      <w:spacing w:line="253" w:lineRule="atLeast"/>
    </w:pPr>
    <w:rPr>
      <w:rFonts w:ascii="Times New Roman" w:eastAsia="Times New Roman" w:hAnsi="Times New Roman" w:cs="Times New Roman"/>
      <w:color w:val="auto"/>
      <w:lang w:val="en-US" w:eastAsia="en-US"/>
    </w:rPr>
  </w:style>
  <w:style w:type="paragraph" w:customStyle="1" w:styleId="CM23">
    <w:name w:val="CM23"/>
    <w:basedOn w:val="Default"/>
    <w:next w:val="Default"/>
    <w:rsid w:val="006E7AA1"/>
    <w:pPr>
      <w:widowControl w:val="0"/>
      <w:spacing w:after="233"/>
    </w:pPr>
    <w:rPr>
      <w:rFonts w:ascii="Times New Roman" w:eastAsia="Times New Roman" w:hAnsi="Times New Roman"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EC"/>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
    <w:qFormat/>
    <w:rsid w:val="000827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827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827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0827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827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827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82707"/>
    <w:pPr>
      <w:spacing w:before="240" w:after="60"/>
      <w:outlineLvl w:val="6"/>
    </w:pPr>
  </w:style>
  <w:style w:type="paragraph" w:styleId="Heading8">
    <w:name w:val="heading 8"/>
    <w:basedOn w:val="Normal"/>
    <w:next w:val="Normal"/>
    <w:link w:val="Heading8Char"/>
    <w:uiPriority w:val="9"/>
    <w:semiHidden/>
    <w:unhideWhenUsed/>
    <w:qFormat/>
    <w:rsid w:val="00082707"/>
    <w:pPr>
      <w:spacing w:before="240" w:after="60"/>
      <w:outlineLvl w:val="7"/>
    </w:pPr>
    <w:rPr>
      <w:i/>
      <w:iCs/>
    </w:rPr>
  </w:style>
  <w:style w:type="paragraph" w:styleId="Heading9">
    <w:name w:val="heading 9"/>
    <w:basedOn w:val="Normal"/>
    <w:next w:val="Normal"/>
    <w:link w:val="Heading9Char"/>
    <w:uiPriority w:val="9"/>
    <w:semiHidden/>
    <w:unhideWhenUsed/>
    <w:qFormat/>
    <w:rsid w:val="000827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7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27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27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82707"/>
    <w:rPr>
      <w:b/>
      <w:bCs/>
      <w:sz w:val="28"/>
      <w:szCs w:val="28"/>
    </w:rPr>
  </w:style>
  <w:style w:type="character" w:customStyle="1" w:styleId="Heading5Char">
    <w:name w:val="Heading 5 Char"/>
    <w:basedOn w:val="DefaultParagraphFont"/>
    <w:link w:val="Heading5"/>
    <w:uiPriority w:val="9"/>
    <w:semiHidden/>
    <w:rsid w:val="00082707"/>
    <w:rPr>
      <w:b/>
      <w:bCs/>
      <w:i/>
      <w:iCs/>
      <w:sz w:val="26"/>
      <w:szCs w:val="26"/>
    </w:rPr>
  </w:style>
  <w:style w:type="character" w:customStyle="1" w:styleId="Heading6Char">
    <w:name w:val="Heading 6 Char"/>
    <w:basedOn w:val="DefaultParagraphFont"/>
    <w:link w:val="Heading6"/>
    <w:uiPriority w:val="9"/>
    <w:semiHidden/>
    <w:rsid w:val="00082707"/>
    <w:rPr>
      <w:b/>
      <w:bCs/>
    </w:rPr>
  </w:style>
  <w:style w:type="character" w:customStyle="1" w:styleId="Heading7Char">
    <w:name w:val="Heading 7 Char"/>
    <w:basedOn w:val="DefaultParagraphFont"/>
    <w:link w:val="Heading7"/>
    <w:uiPriority w:val="9"/>
    <w:semiHidden/>
    <w:rsid w:val="00082707"/>
    <w:rPr>
      <w:sz w:val="24"/>
      <w:szCs w:val="24"/>
    </w:rPr>
  </w:style>
  <w:style w:type="character" w:customStyle="1" w:styleId="Heading8Char">
    <w:name w:val="Heading 8 Char"/>
    <w:basedOn w:val="DefaultParagraphFont"/>
    <w:link w:val="Heading8"/>
    <w:uiPriority w:val="9"/>
    <w:semiHidden/>
    <w:rsid w:val="00082707"/>
    <w:rPr>
      <w:i/>
      <w:iCs/>
      <w:sz w:val="24"/>
      <w:szCs w:val="24"/>
    </w:rPr>
  </w:style>
  <w:style w:type="character" w:customStyle="1" w:styleId="Heading9Char">
    <w:name w:val="Heading 9 Char"/>
    <w:basedOn w:val="DefaultParagraphFont"/>
    <w:link w:val="Heading9"/>
    <w:uiPriority w:val="9"/>
    <w:semiHidden/>
    <w:rsid w:val="00082707"/>
    <w:rPr>
      <w:rFonts w:asciiTheme="majorHAnsi" w:eastAsiaTheme="majorEastAsia" w:hAnsiTheme="majorHAnsi"/>
    </w:rPr>
  </w:style>
  <w:style w:type="paragraph" w:styleId="Title">
    <w:name w:val="Title"/>
    <w:basedOn w:val="Normal"/>
    <w:next w:val="Normal"/>
    <w:link w:val="TitleChar"/>
    <w:uiPriority w:val="10"/>
    <w:qFormat/>
    <w:rsid w:val="000827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27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27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2707"/>
    <w:rPr>
      <w:rFonts w:asciiTheme="majorHAnsi" w:eastAsiaTheme="majorEastAsia" w:hAnsiTheme="majorHAnsi"/>
      <w:sz w:val="24"/>
      <w:szCs w:val="24"/>
    </w:rPr>
  </w:style>
  <w:style w:type="character" w:styleId="Strong">
    <w:name w:val="Strong"/>
    <w:basedOn w:val="DefaultParagraphFont"/>
    <w:uiPriority w:val="22"/>
    <w:qFormat/>
    <w:rsid w:val="00082707"/>
    <w:rPr>
      <w:b/>
      <w:bCs/>
    </w:rPr>
  </w:style>
  <w:style w:type="character" w:styleId="Emphasis">
    <w:name w:val="Emphasis"/>
    <w:basedOn w:val="DefaultParagraphFont"/>
    <w:uiPriority w:val="20"/>
    <w:qFormat/>
    <w:rsid w:val="00082707"/>
    <w:rPr>
      <w:rFonts w:asciiTheme="minorHAnsi" w:hAnsiTheme="minorHAnsi"/>
      <w:b/>
      <w:i/>
      <w:iCs/>
    </w:rPr>
  </w:style>
  <w:style w:type="paragraph" w:styleId="NoSpacing">
    <w:name w:val="No Spacing"/>
    <w:basedOn w:val="Normal"/>
    <w:link w:val="NoSpacingChar"/>
    <w:uiPriority w:val="1"/>
    <w:qFormat/>
    <w:rsid w:val="00082707"/>
    <w:rPr>
      <w:szCs w:val="32"/>
    </w:rPr>
  </w:style>
  <w:style w:type="paragraph" w:styleId="ListParagraph">
    <w:name w:val="List Paragraph"/>
    <w:basedOn w:val="Normal"/>
    <w:uiPriority w:val="34"/>
    <w:qFormat/>
    <w:rsid w:val="00082707"/>
    <w:pPr>
      <w:ind w:left="720"/>
      <w:contextualSpacing/>
    </w:pPr>
  </w:style>
  <w:style w:type="paragraph" w:styleId="Quote">
    <w:name w:val="Quote"/>
    <w:basedOn w:val="Normal"/>
    <w:next w:val="Normal"/>
    <w:link w:val="QuoteChar"/>
    <w:uiPriority w:val="29"/>
    <w:qFormat/>
    <w:rsid w:val="00082707"/>
    <w:rPr>
      <w:i/>
    </w:rPr>
  </w:style>
  <w:style w:type="character" w:customStyle="1" w:styleId="QuoteChar">
    <w:name w:val="Quote Char"/>
    <w:basedOn w:val="DefaultParagraphFont"/>
    <w:link w:val="Quote"/>
    <w:uiPriority w:val="29"/>
    <w:rsid w:val="00082707"/>
    <w:rPr>
      <w:i/>
      <w:sz w:val="24"/>
      <w:szCs w:val="24"/>
    </w:rPr>
  </w:style>
  <w:style w:type="paragraph" w:styleId="IntenseQuote">
    <w:name w:val="Intense Quote"/>
    <w:basedOn w:val="Normal"/>
    <w:next w:val="Normal"/>
    <w:link w:val="IntenseQuoteChar"/>
    <w:uiPriority w:val="30"/>
    <w:qFormat/>
    <w:rsid w:val="00082707"/>
    <w:pPr>
      <w:ind w:left="720" w:right="720"/>
    </w:pPr>
    <w:rPr>
      <w:b/>
      <w:i/>
      <w:szCs w:val="22"/>
    </w:rPr>
  </w:style>
  <w:style w:type="character" w:customStyle="1" w:styleId="IntenseQuoteChar">
    <w:name w:val="Intense Quote Char"/>
    <w:basedOn w:val="DefaultParagraphFont"/>
    <w:link w:val="IntenseQuote"/>
    <w:uiPriority w:val="30"/>
    <w:rsid w:val="00082707"/>
    <w:rPr>
      <w:b/>
      <w:i/>
      <w:sz w:val="24"/>
    </w:rPr>
  </w:style>
  <w:style w:type="character" w:styleId="SubtleEmphasis">
    <w:name w:val="Subtle Emphasis"/>
    <w:uiPriority w:val="19"/>
    <w:qFormat/>
    <w:rsid w:val="00082707"/>
    <w:rPr>
      <w:i/>
      <w:color w:val="5A5A5A" w:themeColor="text1" w:themeTint="A5"/>
    </w:rPr>
  </w:style>
  <w:style w:type="character" w:styleId="IntenseEmphasis">
    <w:name w:val="Intense Emphasis"/>
    <w:basedOn w:val="DefaultParagraphFont"/>
    <w:uiPriority w:val="21"/>
    <w:qFormat/>
    <w:rsid w:val="00082707"/>
    <w:rPr>
      <w:b/>
      <w:i/>
      <w:sz w:val="24"/>
      <w:szCs w:val="24"/>
      <w:u w:val="single"/>
    </w:rPr>
  </w:style>
  <w:style w:type="character" w:styleId="SubtleReference">
    <w:name w:val="Subtle Reference"/>
    <w:basedOn w:val="DefaultParagraphFont"/>
    <w:uiPriority w:val="31"/>
    <w:qFormat/>
    <w:rsid w:val="00082707"/>
    <w:rPr>
      <w:sz w:val="24"/>
      <w:szCs w:val="24"/>
      <w:u w:val="single"/>
    </w:rPr>
  </w:style>
  <w:style w:type="character" w:styleId="IntenseReference">
    <w:name w:val="Intense Reference"/>
    <w:basedOn w:val="DefaultParagraphFont"/>
    <w:uiPriority w:val="32"/>
    <w:qFormat/>
    <w:rsid w:val="00082707"/>
    <w:rPr>
      <w:b/>
      <w:sz w:val="24"/>
      <w:u w:val="single"/>
    </w:rPr>
  </w:style>
  <w:style w:type="character" w:styleId="BookTitle">
    <w:name w:val="Book Title"/>
    <w:basedOn w:val="DefaultParagraphFont"/>
    <w:uiPriority w:val="33"/>
    <w:qFormat/>
    <w:rsid w:val="00082707"/>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082707"/>
    <w:pPr>
      <w:outlineLvl w:val="9"/>
    </w:pPr>
  </w:style>
  <w:style w:type="character" w:customStyle="1" w:styleId="apple-style-span">
    <w:name w:val="apple-style-span"/>
    <w:basedOn w:val="DefaultParagraphFont"/>
    <w:rsid w:val="00754494"/>
  </w:style>
  <w:style w:type="paragraph" w:styleId="FootnoteText">
    <w:name w:val="footnote text"/>
    <w:basedOn w:val="Normal"/>
    <w:link w:val="FootnoteTextChar"/>
    <w:semiHidden/>
    <w:unhideWhenUsed/>
    <w:rsid w:val="00B67F1F"/>
    <w:rPr>
      <w:sz w:val="20"/>
      <w:szCs w:val="20"/>
    </w:rPr>
  </w:style>
  <w:style w:type="character" w:customStyle="1" w:styleId="FootnoteTextChar">
    <w:name w:val="Footnote Text Char"/>
    <w:basedOn w:val="DefaultParagraphFont"/>
    <w:link w:val="FootnoteText"/>
    <w:semiHidden/>
    <w:rsid w:val="00B67F1F"/>
    <w:rPr>
      <w:sz w:val="20"/>
      <w:szCs w:val="20"/>
    </w:rPr>
  </w:style>
  <w:style w:type="character" w:styleId="FootnoteReference">
    <w:name w:val="footnote reference"/>
    <w:basedOn w:val="DefaultParagraphFont"/>
    <w:semiHidden/>
    <w:unhideWhenUsed/>
    <w:rsid w:val="00B67F1F"/>
    <w:rPr>
      <w:vertAlign w:val="superscript"/>
    </w:rPr>
  </w:style>
  <w:style w:type="character" w:styleId="CommentReference">
    <w:name w:val="annotation reference"/>
    <w:basedOn w:val="DefaultParagraphFont"/>
    <w:uiPriority w:val="99"/>
    <w:semiHidden/>
    <w:unhideWhenUsed/>
    <w:rsid w:val="005C7573"/>
    <w:rPr>
      <w:sz w:val="16"/>
      <w:szCs w:val="16"/>
    </w:rPr>
  </w:style>
  <w:style w:type="paragraph" w:styleId="CommentText">
    <w:name w:val="annotation text"/>
    <w:basedOn w:val="Normal"/>
    <w:link w:val="CommentTextChar"/>
    <w:uiPriority w:val="99"/>
    <w:semiHidden/>
    <w:unhideWhenUsed/>
    <w:rsid w:val="005C7573"/>
    <w:rPr>
      <w:sz w:val="20"/>
      <w:szCs w:val="20"/>
    </w:rPr>
  </w:style>
  <w:style w:type="character" w:customStyle="1" w:styleId="CommentTextChar">
    <w:name w:val="Comment Text Char"/>
    <w:basedOn w:val="DefaultParagraphFont"/>
    <w:link w:val="CommentText"/>
    <w:uiPriority w:val="99"/>
    <w:semiHidden/>
    <w:rsid w:val="005C7573"/>
    <w:rPr>
      <w:sz w:val="20"/>
      <w:szCs w:val="20"/>
    </w:rPr>
  </w:style>
  <w:style w:type="paragraph" w:styleId="CommentSubject">
    <w:name w:val="annotation subject"/>
    <w:basedOn w:val="CommentText"/>
    <w:next w:val="CommentText"/>
    <w:link w:val="CommentSubjectChar"/>
    <w:uiPriority w:val="99"/>
    <w:semiHidden/>
    <w:unhideWhenUsed/>
    <w:rsid w:val="005C7573"/>
    <w:rPr>
      <w:b/>
      <w:bCs/>
    </w:rPr>
  </w:style>
  <w:style w:type="character" w:customStyle="1" w:styleId="CommentSubjectChar">
    <w:name w:val="Comment Subject Char"/>
    <w:basedOn w:val="CommentTextChar"/>
    <w:link w:val="CommentSubject"/>
    <w:uiPriority w:val="99"/>
    <w:semiHidden/>
    <w:rsid w:val="005C7573"/>
    <w:rPr>
      <w:b/>
      <w:bCs/>
      <w:sz w:val="20"/>
      <w:szCs w:val="20"/>
    </w:rPr>
  </w:style>
  <w:style w:type="paragraph" w:styleId="BalloonText">
    <w:name w:val="Balloon Text"/>
    <w:basedOn w:val="Normal"/>
    <w:link w:val="BalloonTextChar"/>
    <w:uiPriority w:val="99"/>
    <w:semiHidden/>
    <w:unhideWhenUsed/>
    <w:rsid w:val="005C7573"/>
    <w:rPr>
      <w:rFonts w:ascii="Tahoma" w:hAnsi="Tahoma" w:cs="Tahoma"/>
      <w:sz w:val="16"/>
      <w:szCs w:val="16"/>
    </w:rPr>
  </w:style>
  <w:style w:type="character" w:customStyle="1" w:styleId="BalloonTextChar">
    <w:name w:val="Balloon Text Char"/>
    <w:basedOn w:val="DefaultParagraphFont"/>
    <w:link w:val="BalloonText"/>
    <w:uiPriority w:val="99"/>
    <w:semiHidden/>
    <w:rsid w:val="005C7573"/>
    <w:rPr>
      <w:rFonts w:ascii="Tahoma" w:hAnsi="Tahoma" w:cs="Tahoma"/>
      <w:sz w:val="16"/>
      <w:szCs w:val="16"/>
    </w:rPr>
  </w:style>
  <w:style w:type="paragraph" w:styleId="Footer">
    <w:name w:val="footer"/>
    <w:basedOn w:val="Normal"/>
    <w:link w:val="FooterChar"/>
    <w:uiPriority w:val="99"/>
    <w:rsid w:val="00064C57"/>
    <w:pPr>
      <w:tabs>
        <w:tab w:val="center" w:pos="4153"/>
        <w:tab w:val="right" w:pos="8306"/>
      </w:tabs>
    </w:pPr>
    <w:rPr>
      <w:rFonts w:eastAsia="Times New Roman"/>
      <w:szCs w:val="20"/>
      <w:lang w:val="en-GB" w:eastAsia="en-NZ" w:bidi="ar-SA"/>
    </w:rPr>
  </w:style>
  <w:style w:type="character" w:customStyle="1" w:styleId="FooterChar">
    <w:name w:val="Footer Char"/>
    <w:basedOn w:val="DefaultParagraphFont"/>
    <w:link w:val="Footer"/>
    <w:uiPriority w:val="99"/>
    <w:rsid w:val="00064C57"/>
    <w:rPr>
      <w:rFonts w:ascii="Times New Roman" w:eastAsia="Times New Roman" w:hAnsi="Times New Roman"/>
      <w:sz w:val="24"/>
      <w:szCs w:val="20"/>
      <w:lang w:val="en-GB" w:eastAsia="en-NZ" w:bidi="ar-SA"/>
    </w:rPr>
  </w:style>
  <w:style w:type="paragraph" w:styleId="BodyTextIndent">
    <w:name w:val="Body Text Indent"/>
    <w:basedOn w:val="Normal"/>
    <w:link w:val="BodyTextIndentChar"/>
    <w:semiHidden/>
    <w:rsid w:val="005119C4"/>
    <w:pPr>
      <w:ind w:left="450" w:hanging="450"/>
    </w:pPr>
    <w:rPr>
      <w:rFonts w:eastAsia="Times New Roman"/>
      <w:sz w:val="22"/>
      <w:szCs w:val="20"/>
      <w:lang w:bidi="ar-SA"/>
    </w:rPr>
  </w:style>
  <w:style w:type="character" w:customStyle="1" w:styleId="BodyTextIndentChar">
    <w:name w:val="Body Text Indent Char"/>
    <w:basedOn w:val="DefaultParagraphFont"/>
    <w:link w:val="BodyTextIndent"/>
    <w:semiHidden/>
    <w:rsid w:val="005119C4"/>
    <w:rPr>
      <w:rFonts w:ascii="Times New Roman" w:eastAsia="Times New Roman" w:hAnsi="Times New Roman"/>
      <w:szCs w:val="20"/>
      <w:lang w:bidi="ar-SA"/>
    </w:rPr>
  </w:style>
  <w:style w:type="paragraph" w:styleId="NormalWeb">
    <w:name w:val="Normal (Web)"/>
    <w:basedOn w:val="Normal"/>
    <w:uiPriority w:val="99"/>
    <w:rsid w:val="00153308"/>
    <w:pPr>
      <w:spacing w:after="90" w:line="240" w:lineRule="atLeast"/>
      <w:ind w:left="30" w:right="150"/>
    </w:pPr>
    <w:rPr>
      <w:rFonts w:ascii="Arial" w:eastAsia="Arial Unicode MS" w:hAnsi="Arial" w:cs="Arial"/>
      <w:color w:val="333333"/>
      <w:sz w:val="20"/>
      <w:szCs w:val="20"/>
      <w:lang w:bidi="ar-SA"/>
    </w:rPr>
  </w:style>
  <w:style w:type="paragraph" w:styleId="Header">
    <w:name w:val="header"/>
    <w:basedOn w:val="Normal"/>
    <w:link w:val="HeaderChar"/>
    <w:uiPriority w:val="99"/>
    <w:unhideWhenUsed/>
    <w:rsid w:val="000B5E1B"/>
    <w:pPr>
      <w:tabs>
        <w:tab w:val="center" w:pos="4513"/>
        <w:tab w:val="right" w:pos="9026"/>
      </w:tabs>
    </w:pPr>
  </w:style>
  <w:style w:type="character" w:customStyle="1" w:styleId="HeaderChar">
    <w:name w:val="Header Char"/>
    <w:basedOn w:val="DefaultParagraphFont"/>
    <w:link w:val="Header"/>
    <w:uiPriority w:val="99"/>
    <w:rsid w:val="000B5E1B"/>
    <w:rPr>
      <w:rFonts w:ascii="Times New Roman" w:hAnsi="Times New Roman"/>
      <w:sz w:val="24"/>
      <w:szCs w:val="24"/>
    </w:rPr>
  </w:style>
  <w:style w:type="paragraph" w:styleId="Revision">
    <w:name w:val="Revision"/>
    <w:hidden/>
    <w:uiPriority w:val="99"/>
    <w:semiHidden/>
    <w:rsid w:val="00BA576D"/>
    <w:pPr>
      <w:spacing w:after="0" w:line="240" w:lineRule="auto"/>
    </w:pPr>
    <w:rPr>
      <w:rFonts w:ascii="Times New Roman" w:hAnsi="Times New Roman"/>
      <w:sz w:val="24"/>
      <w:szCs w:val="24"/>
    </w:rPr>
  </w:style>
  <w:style w:type="character" w:customStyle="1" w:styleId="apple-converted-space">
    <w:name w:val="apple-converted-space"/>
    <w:basedOn w:val="DefaultParagraphFont"/>
    <w:rsid w:val="003A7B81"/>
  </w:style>
  <w:style w:type="character" w:styleId="Hyperlink">
    <w:name w:val="Hyperlink"/>
    <w:basedOn w:val="DefaultParagraphFont"/>
    <w:uiPriority w:val="99"/>
    <w:rsid w:val="007603C6"/>
    <w:rPr>
      <w:color w:val="0000FF"/>
      <w:u w:val="single"/>
    </w:rPr>
  </w:style>
  <w:style w:type="character" w:styleId="PageNumber">
    <w:name w:val="page number"/>
    <w:basedOn w:val="DefaultParagraphFont"/>
    <w:rsid w:val="007603C6"/>
  </w:style>
  <w:style w:type="paragraph" w:customStyle="1" w:styleId="Default">
    <w:name w:val="Default"/>
    <w:rsid w:val="00E22C6F"/>
    <w:pPr>
      <w:autoSpaceDE w:val="0"/>
      <w:autoSpaceDN w:val="0"/>
      <w:adjustRightInd w:val="0"/>
      <w:spacing w:after="0" w:line="240" w:lineRule="auto"/>
    </w:pPr>
    <w:rPr>
      <w:rFonts w:ascii="Cambria" w:eastAsia="Calibri" w:hAnsi="Cambria" w:cs="Cambria"/>
      <w:color w:val="000000"/>
      <w:sz w:val="24"/>
      <w:szCs w:val="24"/>
      <w:lang w:val="en-NZ" w:eastAsia="en-NZ" w:bidi="ar-SA"/>
    </w:rPr>
  </w:style>
  <w:style w:type="table" w:styleId="TableGrid">
    <w:name w:val="Table Grid"/>
    <w:basedOn w:val="TableNormal"/>
    <w:uiPriority w:val="59"/>
    <w:rsid w:val="007F35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nhideWhenUsed/>
    <w:rsid w:val="00BB1F4A"/>
    <w:pPr>
      <w:jc w:val="left"/>
    </w:pPr>
    <w:rPr>
      <w:rFonts w:ascii="Consolas" w:hAnsi="Consolas" w:cs="Consolas"/>
      <w:sz w:val="21"/>
      <w:szCs w:val="21"/>
      <w:lang w:val="en-NZ" w:bidi="ar-SA"/>
    </w:rPr>
  </w:style>
  <w:style w:type="character" w:customStyle="1" w:styleId="PlainTextChar">
    <w:name w:val="Plain Text Char"/>
    <w:basedOn w:val="DefaultParagraphFont"/>
    <w:link w:val="PlainText"/>
    <w:rsid w:val="00BB1F4A"/>
    <w:rPr>
      <w:rFonts w:ascii="Consolas" w:hAnsi="Consolas" w:cs="Consolas"/>
      <w:sz w:val="21"/>
      <w:szCs w:val="21"/>
      <w:lang w:val="en-NZ" w:bidi="ar-SA"/>
    </w:rPr>
  </w:style>
  <w:style w:type="paragraph" w:styleId="EndnoteText">
    <w:name w:val="endnote text"/>
    <w:basedOn w:val="Normal"/>
    <w:link w:val="EndnoteTextChar"/>
    <w:uiPriority w:val="99"/>
    <w:semiHidden/>
    <w:unhideWhenUsed/>
    <w:rsid w:val="0074301D"/>
    <w:rPr>
      <w:sz w:val="20"/>
      <w:szCs w:val="20"/>
    </w:rPr>
  </w:style>
  <w:style w:type="character" w:customStyle="1" w:styleId="EndnoteTextChar">
    <w:name w:val="Endnote Text Char"/>
    <w:basedOn w:val="DefaultParagraphFont"/>
    <w:link w:val="EndnoteText"/>
    <w:uiPriority w:val="99"/>
    <w:semiHidden/>
    <w:rsid w:val="0074301D"/>
    <w:rPr>
      <w:rFonts w:ascii="Times New Roman" w:hAnsi="Times New Roman"/>
      <w:sz w:val="20"/>
      <w:szCs w:val="20"/>
    </w:rPr>
  </w:style>
  <w:style w:type="character" w:styleId="EndnoteReference">
    <w:name w:val="endnote reference"/>
    <w:basedOn w:val="DefaultParagraphFont"/>
    <w:uiPriority w:val="99"/>
    <w:semiHidden/>
    <w:unhideWhenUsed/>
    <w:rsid w:val="0074301D"/>
    <w:rPr>
      <w:vertAlign w:val="superscript"/>
    </w:rPr>
  </w:style>
  <w:style w:type="character" w:styleId="PlaceholderText">
    <w:name w:val="Placeholder Text"/>
    <w:basedOn w:val="DefaultParagraphFont"/>
    <w:uiPriority w:val="99"/>
    <w:semiHidden/>
    <w:rsid w:val="001B5BBC"/>
    <w:rPr>
      <w:color w:val="808080"/>
    </w:rPr>
  </w:style>
  <w:style w:type="character" w:styleId="HTMLCode">
    <w:name w:val="HTML Code"/>
    <w:basedOn w:val="DefaultParagraphFont"/>
    <w:uiPriority w:val="99"/>
    <w:semiHidden/>
    <w:unhideWhenUsed/>
    <w:rsid w:val="009311CF"/>
    <w:rPr>
      <w:rFonts w:ascii="Courier New" w:eastAsia="Times New Roman" w:hAnsi="Courier New" w:cs="Courier New"/>
      <w:sz w:val="20"/>
      <w:szCs w:val="20"/>
    </w:rPr>
  </w:style>
  <w:style w:type="paragraph" w:styleId="Caption">
    <w:name w:val="caption"/>
    <w:basedOn w:val="Normal"/>
    <w:next w:val="Normal"/>
    <w:uiPriority w:val="35"/>
    <w:unhideWhenUsed/>
    <w:qFormat/>
    <w:rsid w:val="009A6B1F"/>
    <w:pPr>
      <w:widowControl w:val="0"/>
    </w:pPr>
    <w:rPr>
      <w:rFonts w:asciiTheme="majorHAnsi" w:eastAsia="SimHei" w:hAnsiTheme="majorHAnsi" w:cstheme="majorBidi"/>
      <w:kern w:val="2"/>
      <w:sz w:val="20"/>
      <w:szCs w:val="20"/>
      <w:lang w:val="en-NZ" w:eastAsia="zh-CN" w:bidi="ar-SA"/>
    </w:rPr>
  </w:style>
  <w:style w:type="character" w:styleId="FollowedHyperlink">
    <w:name w:val="FollowedHyperlink"/>
    <w:basedOn w:val="DefaultParagraphFont"/>
    <w:uiPriority w:val="99"/>
    <w:semiHidden/>
    <w:unhideWhenUsed/>
    <w:rsid w:val="00DF37C5"/>
    <w:rPr>
      <w:color w:val="800080" w:themeColor="followedHyperlink"/>
      <w:u w:val="single"/>
    </w:rPr>
  </w:style>
  <w:style w:type="numbering" w:customStyle="1" w:styleId="NoList1">
    <w:name w:val="No List1"/>
    <w:next w:val="NoList"/>
    <w:uiPriority w:val="99"/>
    <w:semiHidden/>
    <w:unhideWhenUsed/>
    <w:rsid w:val="00B528B6"/>
  </w:style>
  <w:style w:type="character" w:customStyle="1" w:styleId="NoSpacingChar">
    <w:name w:val="No Spacing Char"/>
    <w:basedOn w:val="DefaultParagraphFont"/>
    <w:link w:val="NoSpacing"/>
    <w:uiPriority w:val="1"/>
    <w:rsid w:val="00B528B6"/>
    <w:rPr>
      <w:rFonts w:ascii="Times New Roman" w:hAnsi="Times New Roman"/>
      <w:sz w:val="24"/>
      <w:szCs w:val="32"/>
    </w:rPr>
  </w:style>
  <w:style w:type="character" w:customStyle="1" w:styleId="def">
    <w:name w:val="def"/>
    <w:basedOn w:val="DefaultParagraphFont"/>
    <w:rsid w:val="00B528B6"/>
  </w:style>
  <w:style w:type="paragraph" w:styleId="TOC1">
    <w:name w:val="toc 1"/>
    <w:basedOn w:val="Normal"/>
    <w:next w:val="Normal"/>
    <w:autoRedefine/>
    <w:uiPriority w:val="39"/>
    <w:unhideWhenUsed/>
    <w:qFormat/>
    <w:rsid w:val="00B528B6"/>
    <w:pPr>
      <w:tabs>
        <w:tab w:val="right" w:leader="dot" w:pos="9017"/>
      </w:tabs>
      <w:snapToGrid w:val="0"/>
      <w:contextualSpacing/>
      <w:jc w:val="left"/>
    </w:pPr>
    <w:rPr>
      <w:rFonts w:asciiTheme="minorHAnsi" w:hAnsiTheme="minorHAnsi" w:cstheme="minorBidi"/>
      <w:sz w:val="22"/>
      <w:szCs w:val="22"/>
      <w:lang w:val="en-NZ"/>
    </w:rPr>
  </w:style>
  <w:style w:type="paragraph" w:styleId="TOC2">
    <w:name w:val="toc 2"/>
    <w:basedOn w:val="Normal"/>
    <w:next w:val="Normal"/>
    <w:autoRedefine/>
    <w:uiPriority w:val="39"/>
    <w:unhideWhenUsed/>
    <w:qFormat/>
    <w:rsid w:val="00B528B6"/>
    <w:pPr>
      <w:spacing w:after="200" w:line="276" w:lineRule="auto"/>
      <w:ind w:leftChars="200" w:left="420"/>
      <w:jc w:val="left"/>
    </w:pPr>
    <w:rPr>
      <w:rFonts w:asciiTheme="minorHAnsi" w:hAnsiTheme="minorHAnsi" w:cstheme="minorBidi"/>
      <w:sz w:val="22"/>
      <w:szCs w:val="22"/>
      <w:lang w:val="en-NZ"/>
    </w:rPr>
  </w:style>
  <w:style w:type="paragraph" w:styleId="TOC3">
    <w:name w:val="toc 3"/>
    <w:basedOn w:val="Normal"/>
    <w:next w:val="Normal"/>
    <w:autoRedefine/>
    <w:uiPriority w:val="39"/>
    <w:unhideWhenUsed/>
    <w:qFormat/>
    <w:rsid w:val="00B528B6"/>
    <w:pPr>
      <w:spacing w:after="200" w:line="276" w:lineRule="auto"/>
      <w:ind w:leftChars="400" w:left="840"/>
      <w:jc w:val="left"/>
    </w:pPr>
    <w:rPr>
      <w:rFonts w:asciiTheme="minorHAnsi" w:hAnsiTheme="minorHAnsi" w:cstheme="minorBidi"/>
      <w:sz w:val="22"/>
      <w:szCs w:val="22"/>
      <w:lang w:val="en-NZ"/>
    </w:rPr>
  </w:style>
  <w:style w:type="paragraph" w:styleId="BodyTextIndent2">
    <w:name w:val="Body Text Indent 2"/>
    <w:basedOn w:val="Normal"/>
    <w:link w:val="BodyTextIndent2Char"/>
    <w:rsid w:val="00B528B6"/>
    <w:pPr>
      <w:ind w:left="720" w:hanging="720"/>
      <w:jc w:val="left"/>
    </w:pPr>
    <w:rPr>
      <w:rFonts w:eastAsia="Batang"/>
      <w:sz w:val="40"/>
      <w:lang w:val="en-AU" w:bidi="ar-SA"/>
    </w:rPr>
  </w:style>
  <w:style w:type="character" w:customStyle="1" w:styleId="BodyTextIndent2Char">
    <w:name w:val="Body Text Indent 2 Char"/>
    <w:basedOn w:val="DefaultParagraphFont"/>
    <w:link w:val="BodyTextIndent2"/>
    <w:rsid w:val="00B528B6"/>
    <w:rPr>
      <w:rFonts w:ascii="Times New Roman" w:eastAsia="Batang" w:hAnsi="Times New Roman"/>
      <w:sz w:val="40"/>
      <w:szCs w:val="24"/>
      <w:lang w:val="en-AU" w:bidi="ar-SA"/>
    </w:rPr>
  </w:style>
  <w:style w:type="character" w:styleId="HTMLCite">
    <w:name w:val="HTML Cite"/>
    <w:basedOn w:val="DefaultParagraphFont"/>
    <w:uiPriority w:val="99"/>
    <w:semiHidden/>
    <w:unhideWhenUsed/>
    <w:rsid w:val="00B528B6"/>
    <w:rPr>
      <w:i/>
      <w:iCs/>
    </w:rPr>
  </w:style>
  <w:style w:type="character" w:customStyle="1" w:styleId="cit-doi">
    <w:name w:val="cit-doi"/>
    <w:basedOn w:val="DefaultParagraphFont"/>
    <w:rsid w:val="00B528B6"/>
  </w:style>
  <w:style w:type="character" w:customStyle="1" w:styleId="cit-sep">
    <w:name w:val="cit-sep"/>
    <w:basedOn w:val="DefaultParagraphFont"/>
    <w:rsid w:val="00B528B6"/>
  </w:style>
  <w:style w:type="paragraph" w:customStyle="1" w:styleId="CM3">
    <w:name w:val="CM3"/>
    <w:basedOn w:val="Default"/>
    <w:next w:val="Default"/>
    <w:rsid w:val="006E7AA1"/>
    <w:pPr>
      <w:widowControl w:val="0"/>
    </w:pPr>
    <w:rPr>
      <w:rFonts w:ascii="Times New Roman" w:eastAsia="Times New Roman" w:hAnsi="Times New Roman" w:cs="Times New Roman"/>
      <w:color w:val="auto"/>
      <w:lang w:val="en-US" w:eastAsia="en-US"/>
    </w:rPr>
  </w:style>
  <w:style w:type="paragraph" w:customStyle="1" w:styleId="CM4">
    <w:name w:val="CM4"/>
    <w:basedOn w:val="Default"/>
    <w:next w:val="Default"/>
    <w:rsid w:val="006E7AA1"/>
    <w:pPr>
      <w:widowControl w:val="0"/>
      <w:spacing w:line="253" w:lineRule="atLeast"/>
    </w:pPr>
    <w:rPr>
      <w:rFonts w:ascii="Times New Roman" w:eastAsia="Times New Roman" w:hAnsi="Times New Roman" w:cs="Times New Roman"/>
      <w:color w:val="auto"/>
      <w:lang w:val="en-US" w:eastAsia="en-US"/>
    </w:rPr>
  </w:style>
  <w:style w:type="paragraph" w:customStyle="1" w:styleId="CM23">
    <w:name w:val="CM23"/>
    <w:basedOn w:val="Default"/>
    <w:next w:val="Default"/>
    <w:rsid w:val="006E7AA1"/>
    <w:pPr>
      <w:widowControl w:val="0"/>
      <w:spacing w:after="233"/>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4065">
      <w:bodyDiv w:val="1"/>
      <w:marLeft w:val="0"/>
      <w:marRight w:val="0"/>
      <w:marTop w:val="0"/>
      <w:marBottom w:val="0"/>
      <w:divBdr>
        <w:top w:val="none" w:sz="0" w:space="0" w:color="auto"/>
        <w:left w:val="none" w:sz="0" w:space="0" w:color="auto"/>
        <w:bottom w:val="none" w:sz="0" w:space="0" w:color="auto"/>
        <w:right w:val="none" w:sz="0" w:space="0" w:color="auto"/>
      </w:divBdr>
      <w:divsChild>
        <w:div w:id="24255533">
          <w:marLeft w:val="0"/>
          <w:marRight w:val="0"/>
          <w:marTop w:val="0"/>
          <w:marBottom w:val="0"/>
          <w:divBdr>
            <w:top w:val="none" w:sz="0" w:space="0" w:color="auto"/>
            <w:left w:val="none" w:sz="0" w:space="0" w:color="auto"/>
            <w:bottom w:val="none" w:sz="0" w:space="0" w:color="auto"/>
            <w:right w:val="none" w:sz="0" w:space="0" w:color="auto"/>
          </w:divBdr>
        </w:div>
      </w:divsChild>
    </w:div>
    <w:div w:id="152062580">
      <w:bodyDiv w:val="1"/>
      <w:marLeft w:val="0"/>
      <w:marRight w:val="0"/>
      <w:marTop w:val="0"/>
      <w:marBottom w:val="0"/>
      <w:divBdr>
        <w:top w:val="none" w:sz="0" w:space="0" w:color="auto"/>
        <w:left w:val="none" w:sz="0" w:space="0" w:color="auto"/>
        <w:bottom w:val="none" w:sz="0" w:space="0" w:color="auto"/>
        <w:right w:val="none" w:sz="0" w:space="0" w:color="auto"/>
      </w:divBdr>
    </w:div>
    <w:div w:id="227158792">
      <w:bodyDiv w:val="1"/>
      <w:marLeft w:val="0"/>
      <w:marRight w:val="0"/>
      <w:marTop w:val="0"/>
      <w:marBottom w:val="0"/>
      <w:divBdr>
        <w:top w:val="none" w:sz="0" w:space="0" w:color="auto"/>
        <w:left w:val="none" w:sz="0" w:space="0" w:color="auto"/>
        <w:bottom w:val="none" w:sz="0" w:space="0" w:color="auto"/>
        <w:right w:val="none" w:sz="0" w:space="0" w:color="auto"/>
      </w:divBdr>
      <w:divsChild>
        <w:div w:id="964771501">
          <w:marLeft w:val="0"/>
          <w:marRight w:val="0"/>
          <w:marTop w:val="0"/>
          <w:marBottom w:val="0"/>
          <w:divBdr>
            <w:top w:val="none" w:sz="0" w:space="0" w:color="auto"/>
            <w:left w:val="none" w:sz="0" w:space="0" w:color="auto"/>
            <w:bottom w:val="none" w:sz="0" w:space="0" w:color="auto"/>
            <w:right w:val="none" w:sz="0" w:space="0" w:color="auto"/>
          </w:divBdr>
        </w:div>
      </w:divsChild>
    </w:div>
    <w:div w:id="271278969">
      <w:bodyDiv w:val="1"/>
      <w:marLeft w:val="0"/>
      <w:marRight w:val="0"/>
      <w:marTop w:val="0"/>
      <w:marBottom w:val="0"/>
      <w:divBdr>
        <w:top w:val="none" w:sz="0" w:space="0" w:color="auto"/>
        <w:left w:val="none" w:sz="0" w:space="0" w:color="auto"/>
        <w:bottom w:val="none" w:sz="0" w:space="0" w:color="auto"/>
        <w:right w:val="none" w:sz="0" w:space="0" w:color="auto"/>
      </w:divBdr>
      <w:divsChild>
        <w:div w:id="144324492">
          <w:marLeft w:val="0"/>
          <w:marRight w:val="0"/>
          <w:marTop w:val="0"/>
          <w:marBottom w:val="0"/>
          <w:divBdr>
            <w:top w:val="none" w:sz="0" w:space="0" w:color="auto"/>
            <w:left w:val="none" w:sz="0" w:space="0" w:color="auto"/>
            <w:bottom w:val="none" w:sz="0" w:space="0" w:color="auto"/>
            <w:right w:val="none" w:sz="0" w:space="0" w:color="auto"/>
          </w:divBdr>
        </w:div>
      </w:divsChild>
    </w:div>
    <w:div w:id="358051105">
      <w:bodyDiv w:val="1"/>
      <w:marLeft w:val="0"/>
      <w:marRight w:val="0"/>
      <w:marTop w:val="0"/>
      <w:marBottom w:val="0"/>
      <w:divBdr>
        <w:top w:val="none" w:sz="0" w:space="0" w:color="auto"/>
        <w:left w:val="none" w:sz="0" w:space="0" w:color="auto"/>
        <w:bottom w:val="none" w:sz="0" w:space="0" w:color="auto"/>
        <w:right w:val="none" w:sz="0" w:space="0" w:color="auto"/>
      </w:divBdr>
      <w:divsChild>
        <w:div w:id="329916248">
          <w:marLeft w:val="0"/>
          <w:marRight w:val="0"/>
          <w:marTop w:val="0"/>
          <w:marBottom w:val="0"/>
          <w:divBdr>
            <w:top w:val="none" w:sz="0" w:space="0" w:color="auto"/>
            <w:left w:val="none" w:sz="0" w:space="0" w:color="auto"/>
            <w:bottom w:val="none" w:sz="0" w:space="0" w:color="auto"/>
            <w:right w:val="none" w:sz="0" w:space="0" w:color="auto"/>
          </w:divBdr>
        </w:div>
      </w:divsChild>
    </w:div>
    <w:div w:id="396586533">
      <w:bodyDiv w:val="1"/>
      <w:marLeft w:val="0"/>
      <w:marRight w:val="0"/>
      <w:marTop w:val="0"/>
      <w:marBottom w:val="0"/>
      <w:divBdr>
        <w:top w:val="none" w:sz="0" w:space="0" w:color="auto"/>
        <w:left w:val="none" w:sz="0" w:space="0" w:color="auto"/>
        <w:bottom w:val="none" w:sz="0" w:space="0" w:color="auto"/>
        <w:right w:val="none" w:sz="0" w:space="0" w:color="auto"/>
      </w:divBdr>
      <w:divsChild>
        <w:div w:id="17632181">
          <w:marLeft w:val="0"/>
          <w:marRight w:val="0"/>
          <w:marTop w:val="0"/>
          <w:marBottom w:val="0"/>
          <w:divBdr>
            <w:top w:val="none" w:sz="0" w:space="0" w:color="auto"/>
            <w:left w:val="none" w:sz="0" w:space="0" w:color="auto"/>
            <w:bottom w:val="none" w:sz="0" w:space="0" w:color="auto"/>
            <w:right w:val="none" w:sz="0" w:space="0" w:color="auto"/>
          </w:divBdr>
        </w:div>
      </w:divsChild>
    </w:div>
    <w:div w:id="421992320">
      <w:bodyDiv w:val="1"/>
      <w:marLeft w:val="0"/>
      <w:marRight w:val="0"/>
      <w:marTop w:val="0"/>
      <w:marBottom w:val="0"/>
      <w:divBdr>
        <w:top w:val="none" w:sz="0" w:space="0" w:color="auto"/>
        <w:left w:val="none" w:sz="0" w:space="0" w:color="auto"/>
        <w:bottom w:val="none" w:sz="0" w:space="0" w:color="auto"/>
        <w:right w:val="none" w:sz="0" w:space="0" w:color="auto"/>
      </w:divBdr>
    </w:div>
    <w:div w:id="426343147">
      <w:bodyDiv w:val="1"/>
      <w:marLeft w:val="0"/>
      <w:marRight w:val="0"/>
      <w:marTop w:val="0"/>
      <w:marBottom w:val="0"/>
      <w:divBdr>
        <w:top w:val="none" w:sz="0" w:space="0" w:color="auto"/>
        <w:left w:val="none" w:sz="0" w:space="0" w:color="auto"/>
        <w:bottom w:val="none" w:sz="0" w:space="0" w:color="auto"/>
        <w:right w:val="none" w:sz="0" w:space="0" w:color="auto"/>
      </w:divBdr>
      <w:divsChild>
        <w:div w:id="942424029">
          <w:marLeft w:val="0"/>
          <w:marRight w:val="0"/>
          <w:marTop w:val="0"/>
          <w:marBottom w:val="0"/>
          <w:divBdr>
            <w:top w:val="none" w:sz="0" w:space="0" w:color="auto"/>
            <w:left w:val="none" w:sz="0" w:space="0" w:color="auto"/>
            <w:bottom w:val="none" w:sz="0" w:space="0" w:color="auto"/>
            <w:right w:val="none" w:sz="0" w:space="0" w:color="auto"/>
          </w:divBdr>
        </w:div>
      </w:divsChild>
    </w:div>
    <w:div w:id="444889313">
      <w:bodyDiv w:val="1"/>
      <w:marLeft w:val="0"/>
      <w:marRight w:val="0"/>
      <w:marTop w:val="0"/>
      <w:marBottom w:val="0"/>
      <w:divBdr>
        <w:top w:val="none" w:sz="0" w:space="0" w:color="auto"/>
        <w:left w:val="none" w:sz="0" w:space="0" w:color="auto"/>
        <w:bottom w:val="none" w:sz="0" w:space="0" w:color="auto"/>
        <w:right w:val="none" w:sz="0" w:space="0" w:color="auto"/>
      </w:divBdr>
      <w:divsChild>
        <w:div w:id="1781560636">
          <w:marLeft w:val="0"/>
          <w:marRight w:val="0"/>
          <w:marTop w:val="0"/>
          <w:marBottom w:val="0"/>
          <w:divBdr>
            <w:top w:val="none" w:sz="0" w:space="0" w:color="auto"/>
            <w:left w:val="none" w:sz="0" w:space="0" w:color="auto"/>
            <w:bottom w:val="none" w:sz="0" w:space="0" w:color="auto"/>
            <w:right w:val="none" w:sz="0" w:space="0" w:color="auto"/>
          </w:divBdr>
        </w:div>
      </w:divsChild>
    </w:div>
    <w:div w:id="447359980">
      <w:bodyDiv w:val="1"/>
      <w:marLeft w:val="0"/>
      <w:marRight w:val="0"/>
      <w:marTop w:val="0"/>
      <w:marBottom w:val="0"/>
      <w:divBdr>
        <w:top w:val="none" w:sz="0" w:space="0" w:color="auto"/>
        <w:left w:val="none" w:sz="0" w:space="0" w:color="auto"/>
        <w:bottom w:val="none" w:sz="0" w:space="0" w:color="auto"/>
        <w:right w:val="none" w:sz="0" w:space="0" w:color="auto"/>
      </w:divBdr>
      <w:divsChild>
        <w:div w:id="1482621806">
          <w:marLeft w:val="0"/>
          <w:marRight w:val="0"/>
          <w:marTop w:val="0"/>
          <w:marBottom w:val="0"/>
          <w:divBdr>
            <w:top w:val="none" w:sz="0" w:space="0" w:color="auto"/>
            <w:left w:val="none" w:sz="0" w:space="0" w:color="auto"/>
            <w:bottom w:val="none" w:sz="0" w:space="0" w:color="auto"/>
            <w:right w:val="none" w:sz="0" w:space="0" w:color="auto"/>
          </w:divBdr>
        </w:div>
      </w:divsChild>
    </w:div>
    <w:div w:id="504517083">
      <w:bodyDiv w:val="1"/>
      <w:marLeft w:val="0"/>
      <w:marRight w:val="0"/>
      <w:marTop w:val="0"/>
      <w:marBottom w:val="0"/>
      <w:divBdr>
        <w:top w:val="none" w:sz="0" w:space="0" w:color="auto"/>
        <w:left w:val="none" w:sz="0" w:space="0" w:color="auto"/>
        <w:bottom w:val="none" w:sz="0" w:space="0" w:color="auto"/>
        <w:right w:val="none" w:sz="0" w:space="0" w:color="auto"/>
      </w:divBdr>
      <w:divsChild>
        <w:div w:id="719793649">
          <w:marLeft w:val="0"/>
          <w:marRight w:val="0"/>
          <w:marTop w:val="0"/>
          <w:marBottom w:val="0"/>
          <w:divBdr>
            <w:top w:val="none" w:sz="0" w:space="0" w:color="auto"/>
            <w:left w:val="none" w:sz="0" w:space="0" w:color="auto"/>
            <w:bottom w:val="none" w:sz="0" w:space="0" w:color="auto"/>
            <w:right w:val="none" w:sz="0" w:space="0" w:color="auto"/>
          </w:divBdr>
        </w:div>
      </w:divsChild>
    </w:div>
    <w:div w:id="522285485">
      <w:bodyDiv w:val="1"/>
      <w:marLeft w:val="0"/>
      <w:marRight w:val="0"/>
      <w:marTop w:val="0"/>
      <w:marBottom w:val="0"/>
      <w:divBdr>
        <w:top w:val="none" w:sz="0" w:space="0" w:color="auto"/>
        <w:left w:val="none" w:sz="0" w:space="0" w:color="auto"/>
        <w:bottom w:val="none" w:sz="0" w:space="0" w:color="auto"/>
        <w:right w:val="none" w:sz="0" w:space="0" w:color="auto"/>
      </w:divBdr>
      <w:divsChild>
        <w:div w:id="859974409">
          <w:marLeft w:val="0"/>
          <w:marRight w:val="0"/>
          <w:marTop w:val="0"/>
          <w:marBottom w:val="0"/>
          <w:divBdr>
            <w:top w:val="none" w:sz="0" w:space="0" w:color="auto"/>
            <w:left w:val="none" w:sz="0" w:space="0" w:color="auto"/>
            <w:bottom w:val="none" w:sz="0" w:space="0" w:color="auto"/>
            <w:right w:val="none" w:sz="0" w:space="0" w:color="auto"/>
          </w:divBdr>
        </w:div>
      </w:divsChild>
    </w:div>
    <w:div w:id="558395399">
      <w:bodyDiv w:val="1"/>
      <w:marLeft w:val="0"/>
      <w:marRight w:val="0"/>
      <w:marTop w:val="0"/>
      <w:marBottom w:val="0"/>
      <w:divBdr>
        <w:top w:val="none" w:sz="0" w:space="0" w:color="auto"/>
        <w:left w:val="none" w:sz="0" w:space="0" w:color="auto"/>
        <w:bottom w:val="none" w:sz="0" w:space="0" w:color="auto"/>
        <w:right w:val="none" w:sz="0" w:space="0" w:color="auto"/>
      </w:divBdr>
      <w:divsChild>
        <w:div w:id="16929442">
          <w:marLeft w:val="0"/>
          <w:marRight w:val="0"/>
          <w:marTop w:val="0"/>
          <w:marBottom w:val="0"/>
          <w:divBdr>
            <w:top w:val="none" w:sz="0" w:space="0" w:color="auto"/>
            <w:left w:val="none" w:sz="0" w:space="0" w:color="auto"/>
            <w:bottom w:val="none" w:sz="0" w:space="0" w:color="auto"/>
            <w:right w:val="none" w:sz="0" w:space="0" w:color="auto"/>
          </w:divBdr>
        </w:div>
      </w:divsChild>
    </w:div>
    <w:div w:id="606157413">
      <w:bodyDiv w:val="1"/>
      <w:marLeft w:val="0"/>
      <w:marRight w:val="0"/>
      <w:marTop w:val="0"/>
      <w:marBottom w:val="0"/>
      <w:divBdr>
        <w:top w:val="none" w:sz="0" w:space="0" w:color="auto"/>
        <w:left w:val="none" w:sz="0" w:space="0" w:color="auto"/>
        <w:bottom w:val="none" w:sz="0" w:space="0" w:color="auto"/>
        <w:right w:val="none" w:sz="0" w:space="0" w:color="auto"/>
      </w:divBdr>
      <w:divsChild>
        <w:div w:id="1037974750">
          <w:marLeft w:val="0"/>
          <w:marRight w:val="0"/>
          <w:marTop w:val="0"/>
          <w:marBottom w:val="0"/>
          <w:divBdr>
            <w:top w:val="none" w:sz="0" w:space="0" w:color="auto"/>
            <w:left w:val="none" w:sz="0" w:space="0" w:color="auto"/>
            <w:bottom w:val="none" w:sz="0" w:space="0" w:color="auto"/>
            <w:right w:val="none" w:sz="0" w:space="0" w:color="auto"/>
          </w:divBdr>
        </w:div>
      </w:divsChild>
    </w:div>
    <w:div w:id="612173823">
      <w:bodyDiv w:val="1"/>
      <w:marLeft w:val="0"/>
      <w:marRight w:val="0"/>
      <w:marTop w:val="0"/>
      <w:marBottom w:val="0"/>
      <w:divBdr>
        <w:top w:val="none" w:sz="0" w:space="0" w:color="auto"/>
        <w:left w:val="none" w:sz="0" w:space="0" w:color="auto"/>
        <w:bottom w:val="none" w:sz="0" w:space="0" w:color="auto"/>
        <w:right w:val="none" w:sz="0" w:space="0" w:color="auto"/>
      </w:divBdr>
      <w:divsChild>
        <w:div w:id="1627541504">
          <w:marLeft w:val="0"/>
          <w:marRight w:val="0"/>
          <w:marTop w:val="0"/>
          <w:marBottom w:val="0"/>
          <w:divBdr>
            <w:top w:val="none" w:sz="0" w:space="0" w:color="auto"/>
            <w:left w:val="none" w:sz="0" w:space="0" w:color="auto"/>
            <w:bottom w:val="none" w:sz="0" w:space="0" w:color="auto"/>
            <w:right w:val="none" w:sz="0" w:space="0" w:color="auto"/>
          </w:divBdr>
        </w:div>
      </w:divsChild>
    </w:div>
    <w:div w:id="612975377">
      <w:bodyDiv w:val="1"/>
      <w:marLeft w:val="0"/>
      <w:marRight w:val="0"/>
      <w:marTop w:val="0"/>
      <w:marBottom w:val="0"/>
      <w:divBdr>
        <w:top w:val="none" w:sz="0" w:space="0" w:color="auto"/>
        <w:left w:val="none" w:sz="0" w:space="0" w:color="auto"/>
        <w:bottom w:val="none" w:sz="0" w:space="0" w:color="auto"/>
        <w:right w:val="none" w:sz="0" w:space="0" w:color="auto"/>
      </w:divBdr>
      <w:divsChild>
        <w:div w:id="328101897">
          <w:marLeft w:val="0"/>
          <w:marRight w:val="0"/>
          <w:marTop w:val="0"/>
          <w:marBottom w:val="0"/>
          <w:divBdr>
            <w:top w:val="none" w:sz="0" w:space="0" w:color="auto"/>
            <w:left w:val="none" w:sz="0" w:space="0" w:color="auto"/>
            <w:bottom w:val="none" w:sz="0" w:space="0" w:color="auto"/>
            <w:right w:val="none" w:sz="0" w:space="0" w:color="auto"/>
          </w:divBdr>
        </w:div>
      </w:divsChild>
    </w:div>
    <w:div w:id="628441807">
      <w:bodyDiv w:val="1"/>
      <w:marLeft w:val="0"/>
      <w:marRight w:val="0"/>
      <w:marTop w:val="0"/>
      <w:marBottom w:val="0"/>
      <w:divBdr>
        <w:top w:val="none" w:sz="0" w:space="0" w:color="auto"/>
        <w:left w:val="none" w:sz="0" w:space="0" w:color="auto"/>
        <w:bottom w:val="none" w:sz="0" w:space="0" w:color="auto"/>
        <w:right w:val="none" w:sz="0" w:space="0" w:color="auto"/>
      </w:divBdr>
    </w:div>
    <w:div w:id="684791319">
      <w:bodyDiv w:val="1"/>
      <w:marLeft w:val="0"/>
      <w:marRight w:val="0"/>
      <w:marTop w:val="0"/>
      <w:marBottom w:val="0"/>
      <w:divBdr>
        <w:top w:val="none" w:sz="0" w:space="0" w:color="auto"/>
        <w:left w:val="none" w:sz="0" w:space="0" w:color="auto"/>
        <w:bottom w:val="none" w:sz="0" w:space="0" w:color="auto"/>
        <w:right w:val="none" w:sz="0" w:space="0" w:color="auto"/>
      </w:divBdr>
      <w:divsChild>
        <w:div w:id="182863678">
          <w:marLeft w:val="0"/>
          <w:marRight w:val="0"/>
          <w:marTop w:val="0"/>
          <w:marBottom w:val="0"/>
          <w:divBdr>
            <w:top w:val="none" w:sz="0" w:space="0" w:color="auto"/>
            <w:left w:val="none" w:sz="0" w:space="0" w:color="auto"/>
            <w:bottom w:val="none" w:sz="0" w:space="0" w:color="auto"/>
            <w:right w:val="none" w:sz="0" w:space="0" w:color="auto"/>
          </w:divBdr>
        </w:div>
      </w:divsChild>
    </w:div>
    <w:div w:id="804196117">
      <w:bodyDiv w:val="1"/>
      <w:marLeft w:val="0"/>
      <w:marRight w:val="0"/>
      <w:marTop w:val="0"/>
      <w:marBottom w:val="0"/>
      <w:divBdr>
        <w:top w:val="none" w:sz="0" w:space="0" w:color="auto"/>
        <w:left w:val="none" w:sz="0" w:space="0" w:color="auto"/>
        <w:bottom w:val="none" w:sz="0" w:space="0" w:color="auto"/>
        <w:right w:val="none" w:sz="0" w:space="0" w:color="auto"/>
      </w:divBdr>
    </w:div>
    <w:div w:id="845286047">
      <w:bodyDiv w:val="1"/>
      <w:marLeft w:val="0"/>
      <w:marRight w:val="0"/>
      <w:marTop w:val="0"/>
      <w:marBottom w:val="0"/>
      <w:divBdr>
        <w:top w:val="none" w:sz="0" w:space="0" w:color="auto"/>
        <w:left w:val="none" w:sz="0" w:space="0" w:color="auto"/>
        <w:bottom w:val="none" w:sz="0" w:space="0" w:color="auto"/>
        <w:right w:val="none" w:sz="0" w:space="0" w:color="auto"/>
      </w:divBdr>
      <w:divsChild>
        <w:div w:id="2058509096">
          <w:marLeft w:val="0"/>
          <w:marRight w:val="0"/>
          <w:marTop w:val="0"/>
          <w:marBottom w:val="0"/>
          <w:divBdr>
            <w:top w:val="none" w:sz="0" w:space="0" w:color="auto"/>
            <w:left w:val="none" w:sz="0" w:space="0" w:color="auto"/>
            <w:bottom w:val="none" w:sz="0" w:space="0" w:color="auto"/>
            <w:right w:val="none" w:sz="0" w:space="0" w:color="auto"/>
          </w:divBdr>
        </w:div>
      </w:divsChild>
    </w:div>
    <w:div w:id="870919058">
      <w:bodyDiv w:val="1"/>
      <w:marLeft w:val="0"/>
      <w:marRight w:val="0"/>
      <w:marTop w:val="0"/>
      <w:marBottom w:val="0"/>
      <w:divBdr>
        <w:top w:val="none" w:sz="0" w:space="0" w:color="auto"/>
        <w:left w:val="none" w:sz="0" w:space="0" w:color="auto"/>
        <w:bottom w:val="none" w:sz="0" w:space="0" w:color="auto"/>
        <w:right w:val="none" w:sz="0" w:space="0" w:color="auto"/>
      </w:divBdr>
    </w:div>
    <w:div w:id="898438548">
      <w:bodyDiv w:val="1"/>
      <w:marLeft w:val="0"/>
      <w:marRight w:val="0"/>
      <w:marTop w:val="0"/>
      <w:marBottom w:val="0"/>
      <w:divBdr>
        <w:top w:val="none" w:sz="0" w:space="0" w:color="auto"/>
        <w:left w:val="none" w:sz="0" w:space="0" w:color="auto"/>
        <w:bottom w:val="none" w:sz="0" w:space="0" w:color="auto"/>
        <w:right w:val="none" w:sz="0" w:space="0" w:color="auto"/>
      </w:divBdr>
    </w:div>
    <w:div w:id="1001205091">
      <w:bodyDiv w:val="1"/>
      <w:marLeft w:val="0"/>
      <w:marRight w:val="0"/>
      <w:marTop w:val="0"/>
      <w:marBottom w:val="0"/>
      <w:divBdr>
        <w:top w:val="none" w:sz="0" w:space="0" w:color="auto"/>
        <w:left w:val="none" w:sz="0" w:space="0" w:color="auto"/>
        <w:bottom w:val="none" w:sz="0" w:space="0" w:color="auto"/>
        <w:right w:val="none" w:sz="0" w:space="0" w:color="auto"/>
      </w:divBdr>
      <w:divsChild>
        <w:div w:id="1238395032">
          <w:marLeft w:val="0"/>
          <w:marRight w:val="0"/>
          <w:marTop w:val="0"/>
          <w:marBottom w:val="0"/>
          <w:divBdr>
            <w:top w:val="none" w:sz="0" w:space="0" w:color="auto"/>
            <w:left w:val="none" w:sz="0" w:space="0" w:color="auto"/>
            <w:bottom w:val="none" w:sz="0" w:space="0" w:color="auto"/>
            <w:right w:val="none" w:sz="0" w:space="0" w:color="auto"/>
          </w:divBdr>
        </w:div>
      </w:divsChild>
    </w:div>
    <w:div w:id="1009134592">
      <w:bodyDiv w:val="1"/>
      <w:marLeft w:val="0"/>
      <w:marRight w:val="0"/>
      <w:marTop w:val="0"/>
      <w:marBottom w:val="0"/>
      <w:divBdr>
        <w:top w:val="none" w:sz="0" w:space="0" w:color="auto"/>
        <w:left w:val="none" w:sz="0" w:space="0" w:color="auto"/>
        <w:bottom w:val="none" w:sz="0" w:space="0" w:color="auto"/>
        <w:right w:val="none" w:sz="0" w:space="0" w:color="auto"/>
      </w:divBdr>
      <w:divsChild>
        <w:div w:id="1452703441">
          <w:marLeft w:val="0"/>
          <w:marRight w:val="0"/>
          <w:marTop w:val="0"/>
          <w:marBottom w:val="0"/>
          <w:divBdr>
            <w:top w:val="none" w:sz="0" w:space="0" w:color="auto"/>
            <w:left w:val="none" w:sz="0" w:space="0" w:color="auto"/>
            <w:bottom w:val="none" w:sz="0" w:space="0" w:color="auto"/>
            <w:right w:val="none" w:sz="0" w:space="0" w:color="auto"/>
          </w:divBdr>
        </w:div>
      </w:divsChild>
    </w:div>
    <w:div w:id="1013914495">
      <w:bodyDiv w:val="1"/>
      <w:marLeft w:val="0"/>
      <w:marRight w:val="0"/>
      <w:marTop w:val="0"/>
      <w:marBottom w:val="0"/>
      <w:divBdr>
        <w:top w:val="none" w:sz="0" w:space="0" w:color="auto"/>
        <w:left w:val="none" w:sz="0" w:space="0" w:color="auto"/>
        <w:bottom w:val="none" w:sz="0" w:space="0" w:color="auto"/>
        <w:right w:val="none" w:sz="0" w:space="0" w:color="auto"/>
      </w:divBdr>
    </w:div>
    <w:div w:id="1021974510">
      <w:bodyDiv w:val="1"/>
      <w:marLeft w:val="0"/>
      <w:marRight w:val="0"/>
      <w:marTop w:val="0"/>
      <w:marBottom w:val="0"/>
      <w:divBdr>
        <w:top w:val="none" w:sz="0" w:space="0" w:color="auto"/>
        <w:left w:val="none" w:sz="0" w:space="0" w:color="auto"/>
        <w:bottom w:val="none" w:sz="0" w:space="0" w:color="auto"/>
        <w:right w:val="none" w:sz="0" w:space="0" w:color="auto"/>
      </w:divBdr>
      <w:divsChild>
        <w:div w:id="1889099868">
          <w:marLeft w:val="0"/>
          <w:marRight w:val="0"/>
          <w:marTop w:val="0"/>
          <w:marBottom w:val="0"/>
          <w:divBdr>
            <w:top w:val="none" w:sz="0" w:space="0" w:color="auto"/>
            <w:left w:val="none" w:sz="0" w:space="0" w:color="auto"/>
            <w:bottom w:val="none" w:sz="0" w:space="0" w:color="auto"/>
            <w:right w:val="none" w:sz="0" w:space="0" w:color="auto"/>
          </w:divBdr>
        </w:div>
      </w:divsChild>
    </w:div>
    <w:div w:id="1085374139">
      <w:bodyDiv w:val="1"/>
      <w:marLeft w:val="0"/>
      <w:marRight w:val="0"/>
      <w:marTop w:val="0"/>
      <w:marBottom w:val="0"/>
      <w:divBdr>
        <w:top w:val="none" w:sz="0" w:space="0" w:color="auto"/>
        <w:left w:val="none" w:sz="0" w:space="0" w:color="auto"/>
        <w:bottom w:val="none" w:sz="0" w:space="0" w:color="auto"/>
        <w:right w:val="none" w:sz="0" w:space="0" w:color="auto"/>
      </w:divBdr>
      <w:divsChild>
        <w:div w:id="226844650">
          <w:marLeft w:val="0"/>
          <w:marRight w:val="0"/>
          <w:marTop w:val="0"/>
          <w:marBottom w:val="0"/>
          <w:divBdr>
            <w:top w:val="none" w:sz="0" w:space="0" w:color="auto"/>
            <w:left w:val="none" w:sz="0" w:space="0" w:color="auto"/>
            <w:bottom w:val="none" w:sz="0" w:space="0" w:color="auto"/>
            <w:right w:val="none" w:sz="0" w:space="0" w:color="auto"/>
          </w:divBdr>
        </w:div>
      </w:divsChild>
    </w:div>
    <w:div w:id="1111585060">
      <w:bodyDiv w:val="1"/>
      <w:marLeft w:val="0"/>
      <w:marRight w:val="0"/>
      <w:marTop w:val="0"/>
      <w:marBottom w:val="0"/>
      <w:divBdr>
        <w:top w:val="none" w:sz="0" w:space="0" w:color="auto"/>
        <w:left w:val="none" w:sz="0" w:space="0" w:color="auto"/>
        <w:bottom w:val="none" w:sz="0" w:space="0" w:color="auto"/>
        <w:right w:val="none" w:sz="0" w:space="0" w:color="auto"/>
      </w:divBdr>
      <w:divsChild>
        <w:div w:id="1825971280">
          <w:marLeft w:val="0"/>
          <w:marRight w:val="0"/>
          <w:marTop w:val="0"/>
          <w:marBottom w:val="0"/>
          <w:divBdr>
            <w:top w:val="none" w:sz="0" w:space="0" w:color="auto"/>
            <w:left w:val="none" w:sz="0" w:space="0" w:color="auto"/>
            <w:bottom w:val="none" w:sz="0" w:space="0" w:color="auto"/>
            <w:right w:val="none" w:sz="0" w:space="0" w:color="auto"/>
          </w:divBdr>
        </w:div>
      </w:divsChild>
    </w:div>
    <w:div w:id="1188715036">
      <w:bodyDiv w:val="1"/>
      <w:marLeft w:val="0"/>
      <w:marRight w:val="0"/>
      <w:marTop w:val="0"/>
      <w:marBottom w:val="0"/>
      <w:divBdr>
        <w:top w:val="none" w:sz="0" w:space="0" w:color="auto"/>
        <w:left w:val="none" w:sz="0" w:space="0" w:color="auto"/>
        <w:bottom w:val="none" w:sz="0" w:space="0" w:color="auto"/>
        <w:right w:val="none" w:sz="0" w:space="0" w:color="auto"/>
      </w:divBdr>
      <w:divsChild>
        <w:div w:id="1362435770">
          <w:marLeft w:val="0"/>
          <w:marRight w:val="0"/>
          <w:marTop w:val="0"/>
          <w:marBottom w:val="0"/>
          <w:divBdr>
            <w:top w:val="none" w:sz="0" w:space="0" w:color="auto"/>
            <w:left w:val="none" w:sz="0" w:space="0" w:color="auto"/>
            <w:bottom w:val="none" w:sz="0" w:space="0" w:color="auto"/>
            <w:right w:val="none" w:sz="0" w:space="0" w:color="auto"/>
          </w:divBdr>
        </w:div>
      </w:divsChild>
    </w:div>
    <w:div w:id="1190026919">
      <w:bodyDiv w:val="1"/>
      <w:marLeft w:val="0"/>
      <w:marRight w:val="0"/>
      <w:marTop w:val="0"/>
      <w:marBottom w:val="0"/>
      <w:divBdr>
        <w:top w:val="none" w:sz="0" w:space="0" w:color="auto"/>
        <w:left w:val="none" w:sz="0" w:space="0" w:color="auto"/>
        <w:bottom w:val="none" w:sz="0" w:space="0" w:color="auto"/>
        <w:right w:val="none" w:sz="0" w:space="0" w:color="auto"/>
      </w:divBdr>
    </w:div>
    <w:div w:id="1200165132">
      <w:bodyDiv w:val="1"/>
      <w:marLeft w:val="0"/>
      <w:marRight w:val="0"/>
      <w:marTop w:val="0"/>
      <w:marBottom w:val="0"/>
      <w:divBdr>
        <w:top w:val="none" w:sz="0" w:space="0" w:color="auto"/>
        <w:left w:val="none" w:sz="0" w:space="0" w:color="auto"/>
        <w:bottom w:val="none" w:sz="0" w:space="0" w:color="auto"/>
        <w:right w:val="none" w:sz="0" w:space="0" w:color="auto"/>
      </w:divBdr>
      <w:divsChild>
        <w:div w:id="314990660">
          <w:marLeft w:val="0"/>
          <w:marRight w:val="0"/>
          <w:marTop w:val="0"/>
          <w:marBottom w:val="0"/>
          <w:divBdr>
            <w:top w:val="none" w:sz="0" w:space="0" w:color="auto"/>
            <w:left w:val="none" w:sz="0" w:space="0" w:color="auto"/>
            <w:bottom w:val="none" w:sz="0" w:space="0" w:color="auto"/>
            <w:right w:val="none" w:sz="0" w:space="0" w:color="auto"/>
          </w:divBdr>
        </w:div>
      </w:divsChild>
    </w:div>
    <w:div w:id="1202521036">
      <w:bodyDiv w:val="1"/>
      <w:marLeft w:val="0"/>
      <w:marRight w:val="0"/>
      <w:marTop w:val="0"/>
      <w:marBottom w:val="0"/>
      <w:divBdr>
        <w:top w:val="none" w:sz="0" w:space="0" w:color="auto"/>
        <w:left w:val="none" w:sz="0" w:space="0" w:color="auto"/>
        <w:bottom w:val="none" w:sz="0" w:space="0" w:color="auto"/>
        <w:right w:val="none" w:sz="0" w:space="0" w:color="auto"/>
      </w:divBdr>
      <w:divsChild>
        <w:div w:id="655763597">
          <w:marLeft w:val="0"/>
          <w:marRight w:val="0"/>
          <w:marTop w:val="0"/>
          <w:marBottom w:val="0"/>
          <w:divBdr>
            <w:top w:val="none" w:sz="0" w:space="0" w:color="auto"/>
            <w:left w:val="none" w:sz="0" w:space="0" w:color="auto"/>
            <w:bottom w:val="none" w:sz="0" w:space="0" w:color="auto"/>
            <w:right w:val="none" w:sz="0" w:space="0" w:color="auto"/>
          </w:divBdr>
        </w:div>
      </w:divsChild>
    </w:div>
    <w:div w:id="1239944218">
      <w:bodyDiv w:val="1"/>
      <w:marLeft w:val="0"/>
      <w:marRight w:val="0"/>
      <w:marTop w:val="0"/>
      <w:marBottom w:val="0"/>
      <w:divBdr>
        <w:top w:val="none" w:sz="0" w:space="0" w:color="auto"/>
        <w:left w:val="none" w:sz="0" w:space="0" w:color="auto"/>
        <w:bottom w:val="none" w:sz="0" w:space="0" w:color="auto"/>
        <w:right w:val="none" w:sz="0" w:space="0" w:color="auto"/>
      </w:divBdr>
      <w:divsChild>
        <w:div w:id="996500032">
          <w:marLeft w:val="0"/>
          <w:marRight w:val="0"/>
          <w:marTop w:val="0"/>
          <w:marBottom w:val="0"/>
          <w:divBdr>
            <w:top w:val="none" w:sz="0" w:space="0" w:color="auto"/>
            <w:left w:val="none" w:sz="0" w:space="0" w:color="auto"/>
            <w:bottom w:val="none" w:sz="0" w:space="0" w:color="auto"/>
            <w:right w:val="none" w:sz="0" w:space="0" w:color="auto"/>
          </w:divBdr>
        </w:div>
      </w:divsChild>
    </w:div>
    <w:div w:id="1288704481">
      <w:bodyDiv w:val="1"/>
      <w:marLeft w:val="0"/>
      <w:marRight w:val="0"/>
      <w:marTop w:val="0"/>
      <w:marBottom w:val="0"/>
      <w:divBdr>
        <w:top w:val="none" w:sz="0" w:space="0" w:color="auto"/>
        <w:left w:val="none" w:sz="0" w:space="0" w:color="auto"/>
        <w:bottom w:val="none" w:sz="0" w:space="0" w:color="auto"/>
        <w:right w:val="none" w:sz="0" w:space="0" w:color="auto"/>
      </w:divBdr>
    </w:div>
    <w:div w:id="1318151524">
      <w:bodyDiv w:val="1"/>
      <w:marLeft w:val="0"/>
      <w:marRight w:val="0"/>
      <w:marTop w:val="0"/>
      <w:marBottom w:val="0"/>
      <w:divBdr>
        <w:top w:val="none" w:sz="0" w:space="0" w:color="auto"/>
        <w:left w:val="none" w:sz="0" w:space="0" w:color="auto"/>
        <w:bottom w:val="none" w:sz="0" w:space="0" w:color="auto"/>
        <w:right w:val="none" w:sz="0" w:space="0" w:color="auto"/>
      </w:divBdr>
    </w:div>
    <w:div w:id="1331132542">
      <w:bodyDiv w:val="1"/>
      <w:marLeft w:val="0"/>
      <w:marRight w:val="0"/>
      <w:marTop w:val="0"/>
      <w:marBottom w:val="0"/>
      <w:divBdr>
        <w:top w:val="none" w:sz="0" w:space="0" w:color="auto"/>
        <w:left w:val="none" w:sz="0" w:space="0" w:color="auto"/>
        <w:bottom w:val="none" w:sz="0" w:space="0" w:color="auto"/>
        <w:right w:val="none" w:sz="0" w:space="0" w:color="auto"/>
      </w:divBdr>
      <w:divsChild>
        <w:div w:id="1877695309">
          <w:marLeft w:val="0"/>
          <w:marRight w:val="0"/>
          <w:marTop w:val="0"/>
          <w:marBottom w:val="0"/>
          <w:divBdr>
            <w:top w:val="none" w:sz="0" w:space="0" w:color="auto"/>
            <w:left w:val="none" w:sz="0" w:space="0" w:color="auto"/>
            <w:bottom w:val="none" w:sz="0" w:space="0" w:color="auto"/>
            <w:right w:val="none" w:sz="0" w:space="0" w:color="auto"/>
          </w:divBdr>
        </w:div>
      </w:divsChild>
    </w:div>
    <w:div w:id="1372724427">
      <w:bodyDiv w:val="1"/>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
      </w:divsChild>
    </w:div>
    <w:div w:id="1500004566">
      <w:bodyDiv w:val="1"/>
      <w:marLeft w:val="0"/>
      <w:marRight w:val="0"/>
      <w:marTop w:val="0"/>
      <w:marBottom w:val="0"/>
      <w:divBdr>
        <w:top w:val="none" w:sz="0" w:space="0" w:color="auto"/>
        <w:left w:val="none" w:sz="0" w:space="0" w:color="auto"/>
        <w:bottom w:val="none" w:sz="0" w:space="0" w:color="auto"/>
        <w:right w:val="none" w:sz="0" w:space="0" w:color="auto"/>
      </w:divBdr>
      <w:divsChild>
        <w:div w:id="1044135322">
          <w:marLeft w:val="0"/>
          <w:marRight w:val="0"/>
          <w:marTop w:val="0"/>
          <w:marBottom w:val="0"/>
          <w:divBdr>
            <w:top w:val="none" w:sz="0" w:space="0" w:color="auto"/>
            <w:left w:val="none" w:sz="0" w:space="0" w:color="auto"/>
            <w:bottom w:val="none" w:sz="0" w:space="0" w:color="auto"/>
            <w:right w:val="none" w:sz="0" w:space="0" w:color="auto"/>
          </w:divBdr>
        </w:div>
      </w:divsChild>
    </w:div>
    <w:div w:id="1624194062">
      <w:bodyDiv w:val="1"/>
      <w:marLeft w:val="0"/>
      <w:marRight w:val="0"/>
      <w:marTop w:val="0"/>
      <w:marBottom w:val="0"/>
      <w:divBdr>
        <w:top w:val="none" w:sz="0" w:space="0" w:color="auto"/>
        <w:left w:val="none" w:sz="0" w:space="0" w:color="auto"/>
        <w:bottom w:val="none" w:sz="0" w:space="0" w:color="auto"/>
        <w:right w:val="none" w:sz="0" w:space="0" w:color="auto"/>
      </w:divBdr>
    </w:div>
    <w:div w:id="1773698253">
      <w:bodyDiv w:val="1"/>
      <w:marLeft w:val="0"/>
      <w:marRight w:val="0"/>
      <w:marTop w:val="0"/>
      <w:marBottom w:val="0"/>
      <w:divBdr>
        <w:top w:val="none" w:sz="0" w:space="0" w:color="auto"/>
        <w:left w:val="none" w:sz="0" w:space="0" w:color="auto"/>
        <w:bottom w:val="none" w:sz="0" w:space="0" w:color="auto"/>
        <w:right w:val="none" w:sz="0" w:space="0" w:color="auto"/>
      </w:divBdr>
    </w:div>
    <w:div w:id="1786074700">
      <w:bodyDiv w:val="1"/>
      <w:marLeft w:val="0"/>
      <w:marRight w:val="0"/>
      <w:marTop w:val="0"/>
      <w:marBottom w:val="0"/>
      <w:divBdr>
        <w:top w:val="none" w:sz="0" w:space="0" w:color="auto"/>
        <w:left w:val="none" w:sz="0" w:space="0" w:color="auto"/>
        <w:bottom w:val="none" w:sz="0" w:space="0" w:color="auto"/>
        <w:right w:val="none" w:sz="0" w:space="0" w:color="auto"/>
      </w:divBdr>
      <w:divsChild>
        <w:div w:id="354699762">
          <w:marLeft w:val="0"/>
          <w:marRight w:val="0"/>
          <w:marTop w:val="0"/>
          <w:marBottom w:val="0"/>
          <w:divBdr>
            <w:top w:val="none" w:sz="0" w:space="0" w:color="auto"/>
            <w:left w:val="none" w:sz="0" w:space="0" w:color="auto"/>
            <w:bottom w:val="none" w:sz="0" w:space="0" w:color="auto"/>
            <w:right w:val="none" w:sz="0" w:space="0" w:color="auto"/>
          </w:divBdr>
        </w:div>
      </w:divsChild>
    </w:div>
    <w:div w:id="1823621207">
      <w:bodyDiv w:val="1"/>
      <w:marLeft w:val="0"/>
      <w:marRight w:val="0"/>
      <w:marTop w:val="0"/>
      <w:marBottom w:val="0"/>
      <w:divBdr>
        <w:top w:val="none" w:sz="0" w:space="0" w:color="auto"/>
        <w:left w:val="none" w:sz="0" w:space="0" w:color="auto"/>
        <w:bottom w:val="none" w:sz="0" w:space="0" w:color="auto"/>
        <w:right w:val="none" w:sz="0" w:space="0" w:color="auto"/>
      </w:divBdr>
      <w:divsChild>
        <w:div w:id="726994290">
          <w:marLeft w:val="0"/>
          <w:marRight w:val="0"/>
          <w:marTop w:val="0"/>
          <w:marBottom w:val="0"/>
          <w:divBdr>
            <w:top w:val="none" w:sz="0" w:space="0" w:color="auto"/>
            <w:left w:val="none" w:sz="0" w:space="0" w:color="auto"/>
            <w:bottom w:val="none" w:sz="0" w:space="0" w:color="auto"/>
            <w:right w:val="none" w:sz="0" w:space="0" w:color="auto"/>
          </w:divBdr>
        </w:div>
      </w:divsChild>
    </w:div>
    <w:div w:id="1916276761">
      <w:bodyDiv w:val="1"/>
      <w:marLeft w:val="0"/>
      <w:marRight w:val="0"/>
      <w:marTop w:val="0"/>
      <w:marBottom w:val="0"/>
      <w:divBdr>
        <w:top w:val="none" w:sz="0" w:space="0" w:color="auto"/>
        <w:left w:val="none" w:sz="0" w:space="0" w:color="auto"/>
        <w:bottom w:val="none" w:sz="0" w:space="0" w:color="auto"/>
        <w:right w:val="none" w:sz="0" w:space="0" w:color="auto"/>
      </w:divBdr>
    </w:div>
    <w:div w:id="1956593700">
      <w:bodyDiv w:val="1"/>
      <w:marLeft w:val="0"/>
      <w:marRight w:val="0"/>
      <w:marTop w:val="0"/>
      <w:marBottom w:val="0"/>
      <w:divBdr>
        <w:top w:val="none" w:sz="0" w:space="0" w:color="auto"/>
        <w:left w:val="none" w:sz="0" w:space="0" w:color="auto"/>
        <w:bottom w:val="none" w:sz="0" w:space="0" w:color="auto"/>
        <w:right w:val="none" w:sz="0" w:space="0" w:color="auto"/>
      </w:divBdr>
      <w:divsChild>
        <w:div w:id="271011148">
          <w:marLeft w:val="1166"/>
          <w:marRight w:val="0"/>
          <w:marTop w:val="96"/>
          <w:marBottom w:val="0"/>
          <w:divBdr>
            <w:top w:val="none" w:sz="0" w:space="0" w:color="auto"/>
            <w:left w:val="none" w:sz="0" w:space="0" w:color="auto"/>
            <w:bottom w:val="none" w:sz="0" w:space="0" w:color="auto"/>
            <w:right w:val="none" w:sz="0" w:space="0" w:color="auto"/>
          </w:divBdr>
        </w:div>
      </w:divsChild>
    </w:div>
    <w:div w:id="2007589805">
      <w:bodyDiv w:val="1"/>
      <w:marLeft w:val="0"/>
      <w:marRight w:val="0"/>
      <w:marTop w:val="0"/>
      <w:marBottom w:val="0"/>
      <w:divBdr>
        <w:top w:val="none" w:sz="0" w:space="0" w:color="auto"/>
        <w:left w:val="none" w:sz="0" w:space="0" w:color="auto"/>
        <w:bottom w:val="none" w:sz="0" w:space="0" w:color="auto"/>
        <w:right w:val="none" w:sz="0" w:space="0" w:color="auto"/>
      </w:divBdr>
      <w:divsChild>
        <w:div w:id="1585063942">
          <w:marLeft w:val="0"/>
          <w:marRight w:val="0"/>
          <w:marTop w:val="0"/>
          <w:marBottom w:val="0"/>
          <w:divBdr>
            <w:top w:val="none" w:sz="0" w:space="0" w:color="auto"/>
            <w:left w:val="none" w:sz="0" w:space="0" w:color="auto"/>
            <w:bottom w:val="none" w:sz="0" w:space="0" w:color="auto"/>
            <w:right w:val="none" w:sz="0" w:space="0" w:color="auto"/>
          </w:divBdr>
        </w:div>
      </w:divsChild>
    </w:div>
    <w:div w:id="2011904767">
      <w:bodyDiv w:val="1"/>
      <w:marLeft w:val="0"/>
      <w:marRight w:val="0"/>
      <w:marTop w:val="0"/>
      <w:marBottom w:val="0"/>
      <w:divBdr>
        <w:top w:val="none" w:sz="0" w:space="0" w:color="auto"/>
        <w:left w:val="none" w:sz="0" w:space="0" w:color="auto"/>
        <w:bottom w:val="none" w:sz="0" w:space="0" w:color="auto"/>
        <w:right w:val="none" w:sz="0" w:space="0" w:color="auto"/>
      </w:divBdr>
      <w:divsChild>
        <w:div w:id="841895020">
          <w:marLeft w:val="0"/>
          <w:marRight w:val="0"/>
          <w:marTop w:val="0"/>
          <w:marBottom w:val="0"/>
          <w:divBdr>
            <w:top w:val="none" w:sz="0" w:space="0" w:color="auto"/>
            <w:left w:val="none" w:sz="0" w:space="0" w:color="auto"/>
            <w:bottom w:val="none" w:sz="0" w:space="0" w:color="auto"/>
            <w:right w:val="none" w:sz="0" w:space="0" w:color="auto"/>
          </w:divBdr>
        </w:div>
      </w:divsChild>
    </w:div>
    <w:div w:id="20769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0E6F-6403-4421-A4B9-C7B526464B1A}">
  <ds:schemaRefs>
    <ds:schemaRef ds:uri="http://schemas.openxmlformats.org/officeDocument/2006/bibliography"/>
  </ds:schemaRefs>
</ds:datastoreItem>
</file>

<file path=customXml/itemProps2.xml><?xml version="1.0" encoding="utf-8"?>
<ds:datastoreItem xmlns:ds="http://schemas.openxmlformats.org/officeDocument/2006/customXml" ds:itemID="{140FA40A-E289-4F18-8A4A-5794AF70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8588</Words>
  <Characters>48956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CGD</Company>
  <LinksUpToDate>false</LinksUpToDate>
  <CharactersWithSpaces>57430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Garland (JGarland@cgdev.org)</dc:creator>
  <cp:lastModifiedBy>Brian Silverstone</cp:lastModifiedBy>
  <cp:revision>16</cp:revision>
  <cp:lastPrinted>2017-01-12T06:09:00Z</cp:lastPrinted>
  <dcterms:created xsi:type="dcterms:W3CDTF">2017-01-11T02:52:00Z</dcterms:created>
  <dcterms:modified xsi:type="dcterms:W3CDTF">2017-01-12T06:10:00Z</dcterms:modified>
</cp:coreProperties>
</file>