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4D7" w:rsidRDefault="00D904D7" w:rsidP="00A55C36">
      <w:pPr>
        <w:pStyle w:val="Default"/>
        <w:jc w:val="center"/>
        <w:rPr>
          <w:b/>
          <w:bCs/>
          <w:sz w:val="28"/>
          <w:szCs w:val="28"/>
        </w:rPr>
      </w:pPr>
    </w:p>
    <w:p w:rsidR="00D904D7" w:rsidRDefault="00D904D7" w:rsidP="00A55C36">
      <w:pPr>
        <w:pStyle w:val="Default"/>
        <w:jc w:val="center"/>
        <w:rPr>
          <w:b/>
          <w:bCs/>
          <w:sz w:val="28"/>
          <w:szCs w:val="28"/>
        </w:rPr>
      </w:pPr>
    </w:p>
    <w:p w:rsidR="00D904D7" w:rsidRDefault="00D904D7" w:rsidP="00A55C36">
      <w:pPr>
        <w:pStyle w:val="Default"/>
        <w:jc w:val="center"/>
        <w:rPr>
          <w:b/>
          <w:bCs/>
          <w:sz w:val="28"/>
          <w:szCs w:val="28"/>
        </w:rPr>
      </w:pPr>
    </w:p>
    <w:p w:rsidR="00D904D7" w:rsidRDefault="00D904D7" w:rsidP="00A55C36">
      <w:pPr>
        <w:pStyle w:val="Default"/>
        <w:jc w:val="center"/>
        <w:rPr>
          <w:b/>
          <w:bCs/>
          <w:sz w:val="28"/>
          <w:szCs w:val="28"/>
        </w:rPr>
      </w:pPr>
    </w:p>
    <w:p w:rsidR="00D904D7" w:rsidRDefault="00D904D7" w:rsidP="00A55C36">
      <w:pPr>
        <w:pStyle w:val="Default"/>
        <w:jc w:val="center"/>
        <w:rPr>
          <w:b/>
          <w:bCs/>
          <w:sz w:val="28"/>
          <w:szCs w:val="28"/>
        </w:rPr>
      </w:pPr>
    </w:p>
    <w:p w:rsidR="00A55C36" w:rsidRDefault="00A55C36" w:rsidP="00A55C36">
      <w:pPr>
        <w:pStyle w:val="Default"/>
        <w:jc w:val="center"/>
        <w:rPr>
          <w:b/>
          <w:bCs/>
          <w:sz w:val="28"/>
          <w:szCs w:val="28"/>
        </w:rPr>
      </w:pPr>
      <w:r>
        <w:rPr>
          <w:b/>
          <w:bCs/>
          <w:sz w:val="28"/>
          <w:szCs w:val="28"/>
        </w:rPr>
        <w:t>UNIVERSITY OF WAIKATO</w:t>
      </w:r>
    </w:p>
    <w:p w:rsidR="00A55C36" w:rsidRDefault="00A55C36" w:rsidP="00A55C36">
      <w:pPr>
        <w:pStyle w:val="Default"/>
        <w:jc w:val="center"/>
        <w:rPr>
          <w:b/>
          <w:bCs/>
          <w:sz w:val="28"/>
          <w:szCs w:val="28"/>
        </w:rPr>
      </w:pPr>
      <w:r>
        <w:rPr>
          <w:b/>
          <w:bCs/>
          <w:sz w:val="28"/>
          <w:szCs w:val="28"/>
        </w:rPr>
        <w:br/>
        <w:t>Hamilton</w:t>
      </w:r>
    </w:p>
    <w:p w:rsidR="00A55C36" w:rsidRDefault="00A55C36" w:rsidP="00A55C36">
      <w:pPr>
        <w:pStyle w:val="CM1"/>
        <w:spacing w:line="240" w:lineRule="auto"/>
        <w:jc w:val="center"/>
        <w:rPr>
          <w:b/>
          <w:bCs/>
          <w:sz w:val="28"/>
          <w:szCs w:val="28"/>
        </w:rPr>
      </w:pPr>
      <w:r>
        <w:rPr>
          <w:b/>
          <w:bCs/>
          <w:sz w:val="28"/>
          <w:szCs w:val="28"/>
        </w:rPr>
        <w:t xml:space="preserve">New Zealand </w:t>
      </w:r>
    </w:p>
    <w:p w:rsidR="00A55C36" w:rsidRDefault="00A55C36" w:rsidP="00A55C36">
      <w:pPr>
        <w:pStyle w:val="Default"/>
      </w:pPr>
    </w:p>
    <w:p w:rsidR="00A55C36" w:rsidRDefault="00A55C36" w:rsidP="00A55C36">
      <w:pPr>
        <w:pStyle w:val="Default"/>
      </w:pPr>
    </w:p>
    <w:p w:rsidR="00A55C36" w:rsidRDefault="00A55C36" w:rsidP="00A55C36">
      <w:pPr>
        <w:pStyle w:val="Default"/>
      </w:pPr>
    </w:p>
    <w:p w:rsidR="00A55C36" w:rsidRDefault="00A55C36" w:rsidP="00A55C3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A55C36" w:rsidRDefault="00063891" w:rsidP="00A55C36">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The Micro-Geography of Academic Research</w:t>
      </w:r>
      <w:r w:rsidR="00A55C36">
        <w:rPr>
          <w:rFonts w:ascii="Times New Roman" w:hAnsi="Times New Roman"/>
          <w:sz w:val="28"/>
          <w:szCs w:val="28"/>
        </w:rPr>
        <w:t>:</w:t>
      </w:r>
    </w:p>
    <w:p w:rsidR="00A55C36" w:rsidRDefault="00063891" w:rsidP="00A55C36">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How Distinctive is Economics?</w:t>
      </w:r>
    </w:p>
    <w:p w:rsidR="00A55C36" w:rsidRDefault="00A55C36" w:rsidP="00A55C36">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14"/>
          <w:szCs w:val="14"/>
        </w:rPr>
      </w:pPr>
    </w:p>
    <w:p w:rsidR="00A55C36" w:rsidRDefault="00A55C36" w:rsidP="00A55C3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rsidR="00A55C36" w:rsidRDefault="00A55C36" w:rsidP="00A55C3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A55C36" w:rsidRDefault="00A55C36" w:rsidP="00A55C36">
      <w:pPr>
        <w:pStyle w:val="Default"/>
      </w:pPr>
    </w:p>
    <w:p w:rsidR="00A55C36" w:rsidRDefault="00A55C36" w:rsidP="00A55C36">
      <w:pPr>
        <w:pStyle w:val="CM20"/>
        <w:spacing w:after="0"/>
        <w:jc w:val="center"/>
        <w:rPr>
          <w:i/>
          <w:iCs/>
        </w:rPr>
      </w:pPr>
    </w:p>
    <w:p w:rsidR="00A55C36" w:rsidRDefault="00A55C36" w:rsidP="00A55C36">
      <w:pPr>
        <w:pStyle w:val="Default"/>
      </w:pPr>
    </w:p>
    <w:p w:rsidR="00A55C36" w:rsidRDefault="00A55C36" w:rsidP="00A55C36">
      <w:pPr>
        <w:pStyle w:val="Default"/>
        <w:rPr>
          <w:color w:val="auto"/>
        </w:rPr>
      </w:pPr>
    </w:p>
    <w:p w:rsidR="00A55C36" w:rsidRDefault="00A55C36" w:rsidP="00A55C36">
      <w:pPr>
        <w:pStyle w:val="CM22"/>
        <w:spacing w:after="0"/>
        <w:jc w:val="center"/>
        <w:rPr>
          <w:b/>
          <w:bCs/>
          <w:sz w:val="28"/>
          <w:szCs w:val="28"/>
        </w:rPr>
      </w:pPr>
      <w:r>
        <w:rPr>
          <w:b/>
          <w:bCs/>
          <w:sz w:val="28"/>
          <w:szCs w:val="28"/>
        </w:rPr>
        <w:t xml:space="preserve">Working Paper in Economics </w:t>
      </w:r>
      <w:r w:rsidR="00063891">
        <w:rPr>
          <w:b/>
          <w:bCs/>
          <w:sz w:val="28"/>
          <w:szCs w:val="28"/>
        </w:rPr>
        <w:t>3</w:t>
      </w:r>
      <w:r>
        <w:rPr>
          <w:b/>
          <w:bCs/>
          <w:sz w:val="28"/>
          <w:szCs w:val="28"/>
        </w:rPr>
        <w:t>/1</w:t>
      </w:r>
      <w:r w:rsidR="00063891">
        <w:rPr>
          <w:b/>
          <w:bCs/>
          <w:sz w:val="28"/>
          <w:szCs w:val="28"/>
        </w:rPr>
        <w:t>8</w:t>
      </w:r>
    </w:p>
    <w:p w:rsidR="00A55C36" w:rsidRDefault="00A55C36" w:rsidP="00A55C36">
      <w:pPr>
        <w:pStyle w:val="CM22"/>
        <w:spacing w:after="0"/>
        <w:jc w:val="center"/>
        <w:rPr>
          <w:sz w:val="28"/>
          <w:szCs w:val="28"/>
        </w:rPr>
      </w:pPr>
      <w:r>
        <w:rPr>
          <w:b/>
          <w:bCs/>
          <w:sz w:val="28"/>
          <w:szCs w:val="28"/>
        </w:rPr>
        <w:t xml:space="preserve"> </w:t>
      </w:r>
    </w:p>
    <w:p w:rsidR="00A55C36" w:rsidRDefault="00063891" w:rsidP="00A55C36">
      <w:pPr>
        <w:pStyle w:val="CM3"/>
        <w:jc w:val="center"/>
        <w:rPr>
          <w:sz w:val="28"/>
          <w:szCs w:val="28"/>
        </w:rPr>
      </w:pPr>
      <w:r>
        <w:rPr>
          <w:sz w:val="28"/>
          <w:szCs w:val="28"/>
        </w:rPr>
        <w:t xml:space="preserve">February </w:t>
      </w:r>
      <w:r w:rsidR="00A55C36">
        <w:rPr>
          <w:sz w:val="28"/>
          <w:szCs w:val="28"/>
        </w:rPr>
        <w:t>201</w:t>
      </w:r>
      <w:r>
        <w:rPr>
          <w:sz w:val="28"/>
          <w:szCs w:val="28"/>
        </w:rPr>
        <w:t>8</w:t>
      </w:r>
    </w:p>
    <w:p w:rsidR="00A55C36" w:rsidRDefault="00A55C36" w:rsidP="00A55C36">
      <w:pPr>
        <w:pStyle w:val="CM4"/>
        <w:spacing w:line="240" w:lineRule="auto"/>
        <w:jc w:val="center"/>
        <w:rPr>
          <w:b/>
          <w:bCs/>
          <w:sz w:val="22"/>
          <w:szCs w:val="22"/>
        </w:rPr>
      </w:pPr>
    </w:p>
    <w:p w:rsidR="00A55C36" w:rsidRDefault="00A55C36" w:rsidP="00A55C36">
      <w:pPr>
        <w:pStyle w:val="Default"/>
      </w:pPr>
    </w:p>
    <w:p w:rsidR="00A55C36" w:rsidRDefault="00A55C36" w:rsidP="00A55C36">
      <w:pPr>
        <w:pStyle w:val="Default"/>
      </w:pPr>
    </w:p>
    <w:tbl>
      <w:tblPr>
        <w:tblW w:w="0" w:type="auto"/>
        <w:jc w:val="center"/>
        <w:tblLook w:val="04A0" w:firstRow="1" w:lastRow="0" w:firstColumn="1" w:lastColumn="0" w:noHBand="0" w:noVBand="1"/>
      </w:tblPr>
      <w:tblGrid>
        <w:gridCol w:w="4621"/>
      </w:tblGrid>
      <w:tr w:rsidR="00A55C36" w:rsidTr="001554E0">
        <w:trPr>
          <w:jc w:val="center"/>
        </w:trPr>
        <w:tc>
          <w:tcPr>
            <w:tcW w:w="4621" w:type="dxa"/>
          </w:tcPr>
          <w:p w:rsidR="00A55C36" w:rsidRDefault="00A55C36" w:rsidP="001554E0">
            <w:pPr>
              <w:pStyle w:val="CM4"/>
              <w:spacing w:line="240" w:lineRule="auto"/>
              <w:jc w:val="center"/>
              <w:rPr>
                <w:b/>
                <w:bCs/>
                <w:sz w:val="8"/>
                <w:szCs w:val="8"/>
              </w:rPr>
            </w:pPr>
          </w:p>
          <w:p w:rsidR="00A55C36" w:rsidRDefault="00A55C36" w:rsidP="001554E0">
            <w:pPr>
              <w:pStyle w:val="CM4"/>
              <w:spacing w:line="240" w:lineRule="auto"/>
              <w:jc w:val="center"/>
            </w:pPr>
            <w:r>
              <w:rPr>
                <w:b/>
                <w:bCs/>
              </w:rPr>
              <w:t>John Gibson</w:t>
            </w:r>
          </w:p>
          <w:p w:rsidR="00A55C36" w:rsidRDefault="00A55C36" w:rsidP="001554E0">
            <w:pPr>
              <w:pStyle w:val="CM23"/>
              <w:spacing w:after="0"/>
              <w:jc w:val="center"/>
              <w:rPr>
                <w:sz w:val="12"/>
                <w:szCs w:val="12"/>
              </w:rPr>
            </w:pPr>
          </w:p>
          <w:p w:rsidR="00396242" w:rsidRDefault="00396242" w:rsidP="00396242">
            <w:pPr>
              <w:pStyle w:val="CM23"/>
              <w:spacing w:after="0"/>
              <w:jc w:val="center"/>
            </w:pPr>
            <w:r>
              <w:t>School of Ac</w:t>
            </w:r>
            <w:r w:rsidR="00E30FC1">
              <w:t>c</w:t>
            </w:r>
            <w:r>
              <w:t>ounting, Finance</w:t>
            </w:r>
          </w:p>
          <w:p w:rsidR="00396242" w:rsidRPr="00396242" w:rsidRDefault="00396242" w:rsidP="00396242">
            <w:pPr>
              <w:pStyle w:val="Default"/>
              <w:jc w:val="center"/>
              <w:rPr>
                <w:lang w:val="en-US" w:eastAsia="en-US"/>
              </w:rPr>
            </w:pPr>
            <w:r>
              <w:rPr>
                <w:lang w:val="en-US" w:eastAsia="en-US"/>
              </w:rPr>
              <w:t>and Economics</w:t>
            </w:r>
          </w:p>
          <w:p w:rsidR="00A55C36" w:rsidRDefault="00A55C36" w:rsidP="001554E0">
            <w:pPr>
              <w:pStyle w:val="CM23"/>
              <w:spacing w:after="0"/>
              <w:jc w:val="center"/>
            </w:pPr>
            <w:r>
              <w:t>University of Waikato</w:t>
            </w:r>
          </w:p>
          <w:p w:rsidR="00A55C36" w:rsidRDefault="00A55C36" w:rsidP="001554E0">
            <w:pPr>
              <w:pStyle w:val="CM23"/>
              <w:spacing w:after="0"/>
              <w:jc w:val="center"/>
            </w:pPr>
            <w:r>
              <w:t>Private Bag 3105</w:t>
            </w:r>
          </w:p>
          <w:p w:rsidR="00A55C36" w:rsidRDefault="00A55C36" w:rsidP="001554E0">
            <w:pPr>
              <w:pStyle w:val="CM23"/>
              <w:spacing w:after="0"/>
              <w:jc w:val="center"/>
            </w:pPr>
            <w:r>
              <w:t>Hamilton</w:t>
            </w:r>
          </w:p>
          <w:p w:rsidR="00A55C36" w:rsidRDefault="00A55C36" w:rsidP="001554E0">
            <w:pPr>
              <w:pStyle w:val="CM23"/>
              <w:spacing w:after="0"/>
              <w:jc w:val="center"/>
            </w:pPr>
            <w:r>
              <w:t xml:space="preserve">New Zealand, 3240 </w:t>
            </w:r>
          </w:p>
          <w:p w:rsidR="00A55C36" w:rsidRDefault="00A55C36" w:rsidP="001554E0">
            <w:pPr>
              <w:pStyle w:val="Default"/>
              <w:rPr>
                <w:sz w:val="12"/>
                <w:szCs w:val="12"/>
              </w:rPr>
            </w:pPr>
          </w:p>
          <w:p w:rsidR="00A55C36" w:rsidRDefault="00A55C36" w:rsidP="001554E0">
            <w:pPr>
              <w:pStyle w:val="Default"/>
              <w:jc w:val="center"/>
            </w:pPr>
            <w:r>
              <w:t>Tel: +64 (7) 838 4289</w:t>
            </w:r>
          </w:p>
          <w:p w:rsidR="00A55C36" w:rsidRDefault="00A55C36" w:rsidP="001554E0">
            <w:pPr>
              <w:pStyle w:val="CM3"/>
              <w:jc w:val="center"/>
              <w:rPr>
                <w:bCs/>
                <w:sz w:val="12"/>
                <w:szCs w:val="12"/>
              </w:rPr>
            </w:pPr>
          </w:p>
          <w:p w:rsidR="00A55C36" w:rsidRDefault="00A55C36" w:rsidP="001554E0">
            <w:pPr>
              <w:pStyle w:val="CM3"/>
              <w:jc w:val="center"/>
              <w:rPr>
                <w:bCs/>
              </w:rPr>
            </w:pPr>
            <w:r>
              <w:rPr>
                <w:bCs/>
              </w:rPr>
              <w:t>Email: jkgibson@waikato.ac.nz</w:t>
            </w:r>
          </w:p>
          <w:p w:rsidR="00A55C36" w:rsidRDefault="00A55C36" w:rsidP="001554E0">
            <w:pPr>
              <w:pStyle w:val="Default"/>
              <w:jc w:val="center"/>
            </w:pPr>
          </w:p>
        </w:tc>
      </w:tr>
    </w:tbl>
    <w:p w:rsidR="00A55C36" w:rsidRDefault="00A55C36" w:rsidP="00A55C36">
      <w:pPr>
        <w:pStyle w:val="Default"/>
      </w:pPr>
    </w:p>
    <w:p w:rsidR="00A55C36" w:rsidRDefault="00A55C36" w:rsidP="00A55C36">
      <w:pPr>
        <w:spacing w:line="288" w:lineRule="auto"/>
        <w:jc w:val="right"/>
        <w:rPr>
          <w:b/>
          <w:iCs/>
        </w:rPr>
      </w:pPr>
    </w:p>
    <w:p w:rsidR="00A55C36" w:rsidRDefault="00A55C36" w:rsidP="00A55C36">
      <w:pPr>
        <w:spacing w:line="288" w:lineRule="auto"/>
        <w:jc w:val="right"/>
        <w:rPr>
          <w:b/>
          <w:iCs/>
        </w:rPr>
      </w:pPr>
    </w:p>
    <w:p w:rsidR="00A55C36" w:rsidRDefault="00A55C36" w:rsidP="00A55C36">
      <w:pPr>
        <w:spacing w:line="288" w:lineRule="auto"/>
        <w:jc w:val="center"/>
        <w:rPr>
          <w:b/>
          <w:iCs/>
        </w:rPr>
      </w:pPr>
    </w:p>
    <w:p w:rsidR="00A55C36" w:rsidRDefault="00A55C36" w:rsidP="00A55C36">
      <w:pPr>
        <w:spacing w:line="288" w:lineRule="auto"/>
        <w:jc w:val="center"/>
        <w:rPr>
          <w:b/>
          <w:iCs/>
        </w:rPr>
      </w:pPr>
    </w:p>
    <w:p w:rsidR="00A55C36" w:rsidRDefault="00A55C36" w:rsidP="00A55C36">
      <w:pPr>
        <w:spacing w:line="288" w:lineRule="auto"/>
        <w:jc w:val="center"/>
        <w:rPr>
          <w:b/>
        </w:rPr>
      </w:pPr>
    </w:p>
    <w:p w:rsidR="00A55C36" w:rsidRDefault="00A55C36" w:rsidP="00A55C36">
      <w:pPr>
        <w:spacing w:line="288" w:lineRule="auto"/>
        <w:jc w:val="center"/>
        <w:rPr>
          <w:b/>
        </w:rPr>
      </w:pPr>
    </w:p>
    <w:p w:rsidR="00D904D7" w:rsidRDefault="00D904D7" w:rsidP="00D904D7">
      <w:pPr>
        <w:jc w:val="center"/>
        <w:rPr>
          <w:b/>
        </w:rPr>
      </w:pPr>
    </w:p>
    <w:p w:rsidR="00D904D7" w:rsidRDefault="00D904D7" w:rsidP="00D904D7">
      <w:pPr>
        <w:jc w:val="center"/>
        <w:rPr>
          <w:b/>
        </w:rPr>
      </w:pPr>
    </w:p>
    <w:p w:rsidR="00D904D7" w:rsidRDefault="00D904D7" w:rsidP="00D904D7">
      <w:pPr>
        <w:jc w:val="center"/>
        <w:rPr>
          <w:b/>
        </w:rPr>
      </w:pPr>
    </w:p>
    <w:p w:rsidR="00D904D7" w:rsidRDefault="00D904D7" w:rsidP="00D904D7">
      <w:pPr>
        <w:jc w:val="center"/>
        <w:rPr>
          <w:b/>
        </w:rPr>
      </w:pPr>
    </w:p>
    <w:p w:rsidR="00D904D7" w:rsidRDefault="00D904D7" w:rsidP="00D904D7">
      <w:pPr>
        <w:jc w:val="center"/>
        <w:rPr>
          <w:b/>
        </w:rPr>
      </w:pPr>
    </w:p>
    <w:p w:rsidR="00A55C36" w:rsidRDefault="00A55C36" w:rsidP="00D904D7">
      <w:pPr>
        <w:jc w:val="center"/>
        <w:rPr>
          <w:b/>
        </w:rPr>
      </w:pPr>
      <w:r>
        <w:rPr>
          <w:b/>
        </w:rPr>
        <w:t>Abstract</w:t>
      </w:r>
    </w:p>
    <w:p w:rsidR="00A55C36" w:rsidRDefault="00A55C36" w:rsidP="00A55C36">
      <w:pPr>
        <w:spacing w:line="288" w:lineRule="auto"/>
        <w:jc w:val="center"/>
        <w:rPr>
          <w:b/>
          <w:sz w:val="12"/>
          <w:szCs w:val="12"/>
        </w:rPr>
      </w:pPr>
    </w:p>
    <w:p w:rsidR="00063891" w:rsidRDefault="00063891" w:rsidP="00063891">
      <w:pPr>
        <w:pStyle w:val="Abstracttext"/>
        <w:spacing w:after="0" w:line="360" w:lineRule="auto"/>
        <w:jc w:val="both"/>
        <w:rPr>
          <w:rFonts w:ascii="Times New Roman" w:hAnsi="Times New Roman"/>
          <w:sz w:val="24"/>
        </w:rPr>
      </w:pPr>
      <w:r>
        <w:rPr>
          <w:rFonts w:ascii="Times New Roman" w:hAnsi="Times New Roman"/>
          <w:sz w:val="24"/>
        </w:rPr>
        <w:t>This study</w:t>
      </w:r>
      <w:r w:rsidRPr="00C1716C">
        <w:rPr>
          <w:rFonts w:ascii="Times New Roman" w:hAnsi="Times New Roman"/>
          <w:sz w:val="24"/>
        </w:rPr>
        <w:t xml:space="preserve"> </w:t>
      </w:r>
      <w:r>
        <w:rPr>
          <w:rFonts w:ascii="Times New Roman" w:hAnsi="Times New Roman"/>
          <w:sz w:val="24"/>
        </w:rPr>
        <w:t xml:space="preserve">examines micro-geographic clustering of academic research, focusing on economics. Three U.S. ZIP codes are associated with articles in the top five economics journals that garnered one-half of all citations to the articles published in these journals over 2000 to 2015. This remarkable degree of micro-geographic concentration is not apparent in any other discipline. Outside of economics the top three ZIP codes are associated with just 12% of citations to </w:t>
      </w:r>
      <w:r w:rsidR="006B0B82">
        <w:rPr>
          <w:rFonts w:ascii="Times New Roman" w:hAnsi="Times New Roman"/>
          <w:sz w:val="24"/>
        </w:rPr>
        <w:t xml:space="preserve">their </w:t>
      </w:r>
      <w:r>
        <w:rPr>
          <w:rFonts w:ascii="Times New Roman" w:hAnsi="Times New Roman"/>
          <w:sz w:val="24"/>
        </w:rPr>
        <w:t>top five journals, on average. Concentration of citations to economics articles whose authors are associated with a few key ZIP codes has strengthened over time, even as it has weakened for other disciplines. This distinctively high level of spatial concentration in economics research is not consistent with hypotheses about disciplinary differences stemming from market forces or from reliance on research infrastructure located in specific locations.</w:t>
      </w:r>
    </w:p>
    <w:p w:rsidR="00063891" w:rsidRDefault="00063891" w:rsidP="00063891">
      <w:pPr>
        <w:spacing w:line="360" w:lineRule="auto"/>
        <w:jc w:val="both"/>
      </w:pPr>
    </w:p>
    <w:p w:rsidR="00A55C36" w:rsidRDefault="00A55C36" w:rsidP="00063891">
      <w:pPr>
        <w:autoSpaceDE w:val="0"/>
        <w:autoSpaceDN w:val="0"/>
        <w:adjustRightInd w:val="0"/>
        <w:spacing w:line="360" w:lineRule="auto"/>
        <w:rPr>
          <w:lang w:eastAsia="en-NZ"/>
        </w:rPr>
      </w:pPr>
    </w:p>
    <w:p w:rsidR="00A55C36" w:rsidRDefault="00A55C36" w:rsidP="00A55C36">
      <w:pPr>
        <w:spacing w:line="288" w:lineRule="auto"/>
        <w:jc w:val="center"/>
        <w:rPr>
          <w:b/>
        </w:rPr>
      </w:pPr>
      <w:r>
        <w:rPr>
          <w:b/>
        </w:rPr>
        <w:t>Keywords</w:t>
      </w:r>
    </w:p>
    <w:p w:rsidR="00063891" w:rsidRDefault="00063891" w:rsidP="00063891">
      <w:pPr>
        <w:jc w:val="center"/>
        <w:rPr>
          <w:bCs/>
        </w:rPr>
      </w:pPr>
      <w:r>
        <w:rPr>
          <w:bCs/>
        </w:rPr>
        <w:t>citations</w:t>
      </w:r>
    </w:p>
    <w:p w:rsidR="00063891" w:rsidRDefault="00063891" w:rsidP="00063891">
      <w:pPr>
        <w:jc w:val="center"/>
        <w:rPr>
          <w:bCs/>
        </w:rPr>
      </w:pPr>
      <w:r>
        <w:rPr>
          <w:bCs/>
        </w:rPr>
        <w:t>economics</w:t>
      </w:r>
    </w:p>
    <w:p w:rsidR="00063891" w:rsidRDefault="00063891" w:rsidP="00063891">
      <w:pPr>
        <w:jc w:val="center"/>
        <w:rPr>
          <w:bCs/>
        </w:rPr>
      </w:pPr>
      <w:r>
        <w:rPr>
          <w:bCs/>
        </w:rPr>
        <w:t>micro-geography</w:t>
      </w:r>
    </w:p>
    <w:p w:rsidR="00063891" w:rsidRDefault="00063891" w:rsidP="00063891">
      <w:pPr>
        <w:jc w:val="center"/>
        <w:rPr>
          <w:bCs/>
          <w:lang w:val="en-NZ"/>
        </w:rPr>
      </w:pPr>
      <w:proofErr w:type="spellStart"/>
      <w:r>
        <w:rPr>
          <w:bCs/>
          <w:lang w:val="en-NZ"/>
        </w:rPr>
        <w:t>s</w:t>
      </w:r>
      <w:r w:rsidRPr="007A149D">
        <w:rPr>
          <w:bCs/>
          <w:lang w:val="en-NZ"/>
        </w:rPr>
        <w:t>cientometrics</w:t>
      </w:r>
      <w:proofErr w:type="spellEnd"/>
    </w:p>
    <w:p w:rsidR="00A55C36" w:rsidRPr="00FA38FC" w:rsidRDefault="00063891" w:rsidP="00063891">
      <w:pPr>
        <w:spacing w:line="300" w:lineRule="auto"/>
        <w:jc w:val="center"/>
      </w:pPr>
      <w:r>
        <w:rPr>
          <w:bCs/>
        </w:rPr>
        <w:t>spatial concentration</w:t>
      </w:r>
    </w:p>
    <w:p w:rsidR="00A55C36" w:rsidRDefault="00A55C36" w:rsidP="00A55C36">
      <w:pPr>
        <w:spacing w:line="288" w:lineRule="auto"/>
      </w:pPr>
    </w:p>
    <w:p w:rsidR="00A55C36" w:rsidRDefault="00A55C36" w:rsidP="00A55C36">
      <w:pPr>
        <w:spacing w:line="288" w:lineRule="auto"/>
        <w:jc w:val="center"/>
        <w:rPr>
          <w:b/>
        </w:rPr>
      </w:pPr>
      <w:r>
        <w:rPr>
          <w:b/>
        </w:rPr>
        <w:t>JEL Codes</w:t>
      </w:r>
    </w:p>
    <w:p w:rsidR="00063891" w:rsidRPr="00E91E14" w:rsidRDefault="00063891" w:rsidP="00063891">
      <w:pPr>
        <w:jc w:val="center"/>
        <w:rPr>
          <w:bCs/>
        </w:rPr>
      </w:pPr>
      <w:r w:rsidRPr="00E91E14">
        <w:rPr>
          <w:bCs/>
          <w:lang w:val="fr-FR"/>
        </w:rPr>
        <w:t>A12, R12</w:t>
      </w:r>
    </w:p>
    <w:p w:rsidR="00063891" w:rsidRDefault="00063891" w:rsidP="00063891">
      <w:pPr>
        <w:spacing w:line="240" w:lineRule="exact"/>
        <w:rPr>
          <w:sz w:val="22"/>
        </w:rPr>
      </w:pPr>
    </w:p>
    <w:p w:rsidR="00A55C36" w:rsidRDefault="00A55C36" w:rsidP="00A55C36">
      <w:pPr>
        <w:spacing w:line="300" w:lineRule="auto"/>
        <w:jc w:val="center"/>
        <w:rPr>
          <w:lang w:val="en-GB" w:eastAsia="en-NZ"/>
        </w:rPr>
      </w:pPr>
    </w:p>
    <w:p w:rsidR="00A55C36" w:rsidRDefault="00A55C36" w:rsidP="00A55C36">
      <w:pPr>
        <w:spacing w:line="300" w:lineRule="auto"/>
        <w:jc w:val="center"/>
        <w:rPr>
          <w:lang w:val="en-GB" w:eastAsia="en-NZ"/>
        </w:rPr>
      </w:pPr>
    </w:p>
    <w:p w:rsidR="00A55C36" w:rsidRDefault="00A55C36" w:rsidP="00A55C36">
      <w:pPr>
        <w:spacing w:line="300" w:lineRule="auto"/>
        <w:jc w:val="center"/>
        <w:rPr>
          <w:b/>
          <w:sz w:val="22"/>
          <w:szCs w:val="22"/>
        </w:rPr>
      </w:pPr>
      <w:r w:rsidRPr="00FA38FC">
        <w:rPr>
          <w:b/>
          <w:sz w:val="22"/>
          <w:szCs w:val="22"/>
        </w:rPr>
        <w:t>Acknowledgements</w:t>
      </w:r>
    </w:p>
    <w:p w:rsidR="00A55C36" w:rsidRPr="00E62678" w:rsidRDefault="00A55C36" w:rsidP="00A55C36">
      <w:pPr>
        <w:spacing w:line="300" w:lineRule="auto"/>
        <w:jc w:val="center"/>
        <w:rPr>
          <w:sz w:val="10"/>
          <w:szCs w:val="10"/>
        </w:rPr>
      </w:pPr>
    </w:p>
    <w:p w:rsidR="00063891" w:rsidRPr="00FC1C12" w:rsidRDefault="00063891" w:rsidP="00063891">
      <w:pPr>
        <w:jc w:val="center"/>
        <w:rPr>
          <w:sz w:val="22"/>
          <w:szCs w:val="22"/>
        </w:rPr>
      </w:pPr>
      <w:r w:rsidRPr="00FC1C12">
        <w:rPr>
          <w:sz w:val="22"/>
          <w:szCs w:val="22"/>
        </w:rPr>
        <w:t>I am grateful to Philip McCann, Les Oxley and Shaun Hendy for helpful comments.</w:t>
      </w:r>
    </w:p>
    <w:p w:rsidR="00A55C36" w:rsidRPr="00AB50F9" w:rsidRDefault="00063891" w:rsidP="00063891">
      <w:pPr>
        <w:spacing w:line="300" w:lineRule="auto"/>
        <w:jc w:val="both"/>
      </w:pPr>
      <w:r w:rsidRPr="00FC1C12">
        <w:rPr>
          <w:b/>
          <w:sz w:val="22"/>
          <w:szCs w:val="22"/>
        </w:rPr>
        <w:br w:type="page"/>
      </w:r>
    </w:p>
    <w:p w:rsidR="002B7592" w:rsidRPr="000E64DF" w:rsidRDefault="000E64DF" w:rsidP="00762D69">
      <w:pPr>
        <w:numPr>
          <w:ilvl w:val="0"/>
          <w:numId w:val="35"/>
        </w:numPr>
        <w:spacing w:line="288" w:lineRule="auto"/>
        <w:ind w:left="426" w:hanging="426"/>
        <w:rPr>
          <w:b/>
          <w:bCs/>
        </w:rPr>
      </w:pPr>
      <w:r w:rsidRPr="000E64DF">
        <w:rPr>
          <w:b/>
          <w:bCs/>
        </w:rPr>
        <w:lastRenderedPageBreak/>
        <w:t>I</w:t>
      </w:r>
      <w:r w:rsidR="00762D69">
        <w:rPr>
          <w:b/>
          <w:bCs/>
        </w:rPr>
        <w:t>ntroduction</w:t>
      </w:r>
    </w:p>
    <w:p w:rsidR="00762D69" w:rsidRPr="00762D69" w:rsidRDefault="00762D69" w:rsidP="003F5128">
      <w:pPr>
        <w:spacing w:line="288" w:lineRule="auto"/>
        <w:jc w:val="both"/>
        <w:rPr>
          <w:sz w:val="12"/>
          <w:szCs w:val="12"/>
        </w:rPr>
      </w:pPr>
    </w:p>
    <w:p w:rsidR="00D372F4" w:rsidRPr="002F00EA" w:rsidRDefault="00B84376" w:rsidP="003F5128">
      <w:pPr>
        <w:spacing w:line="288" w:lineRule="auto"/>
        <w:jc w:val="both"/>
      </w:pPr>
      <w:r>
        <w:t>T</w:t>
      </w:r>
      <w:r w:rsidR="00D372F4" w:rsidRPr="00700D28">
        <w:t xml:space="preserve">he </w:t>
      </w:r>
      <w:r w:rsidR="0081591C">
        <w:t xml:space="preserve">degree </w:t>
      </w:r>
      <w:r w:rsidR="003D6194">
        <w:t xml:space="preserve">of insularity, </w:t>
      </w:r>
      <w:r w:rsidR="00FE2838">
        <w:t xml:space="preserve">the strength of internal hierarchy, </w:t>
      </w:r>
      <w:r w:rsidR="003D6194">
        <w:t xml:space="preserve">and the concentration of research outputs </w:t>
      </w:r>
      <w:r w:rsidR="0081591C">
        <w:t xml:space="preserve">and recognition </w:t>
      </w:r>
      <w:r w:rsidR="003D6194">
        <w:t>differ</w:t>
      </w:r>
      <w:r w:rsidR="007000B8">
        <w:t xml:space="preserve"> markedly between academic</w:t>
      </w:r>
      <w:r w:rsidR="0081591C">
        <w:t xml:space="preserve"> disciplines. </w:t>
      </w:r>
      <w:r w:rsidR="00572141">
        <w:t>The focus of this paper is on e</w:t>
      </w:r>
      <w:r w:rsidR="003D6194">
        <w:t>conomics</w:t>
      </w:r>
      <w:r w:rsidR="00572141">
        <w:t>, which</w:t>
      </w:r>
      <w:r w:rsidR="003D6194">
        <w:t xml:space="preserve"> is often seen as insular and hierarchical and is highly concentrated in terms of authors, journals, institutions, </w:t>
      </w:r>
      <w:r w:rsidR="008C575E">
        <w:t xml:space="preserve">and </w:t>
      </w:r>
      <w:r w:rsidR="003D6194">
        <w:t>regions (</w:t>
      </w:r>
      <w:proofErr w:type="spellStart"/>
      <w:r w:rsidR="003D6194">
        <w:t>Gloetzl</w:t>
      </w:r>
      <w:proofErr w:type="spellEnd"/>
      <w:r w:rsidR="003D6194">
        <w:t xml:space="preserve"> and Aigner 2017). </w:t>
      </w:r>
      <w:r w:rsidR="005445B5">
        <w:t>In terms of insularity, there is a much higher rate of within-discipline citation than for</w:t>
      </w:r>
      <w:r w:rsidR="00B4632B">
        <w:t xml:space="preserve"> other social sciences, with</w:t>
      </w:r>
      <w:r w:rsidR="005445B5">
        <w:t xml:space="preserve"> the rate that </w:t>
      </w:r>
      <w:r w:rsidR="00CC4E83">
        <w:t>a flagship journal cites top journ</w:t>
      </w:r>
      <w:r w:rsidR="00B4632B">
        <w:t xml:space="preserve">als in other social sciences </w:t>
      </w:r>
      <w:r w:rsidR="00CC4E83">
        <w:t>only one-fifth of that for political science and one-eighth of that for sociology (</w:t>
      </w:r>
      <w:proofErr w:type="spellStart"/>
      <w:r w:rsidR="00CC4E83">
        <w:t>Fourcade</w:t>
      </w:r>
      <w:proofErr w:type="spellEnd"/>
      <w:r w:rsidR="00CC4E83">
        <w:t xml:space="preserve"> </w:t>
      </w:r>
      <w:r w:rsidR="00D050FD" w:rsidRPr="00D050FD">
        <w:rPr>
          <w:i/>
        </w:rPr>
        <w:t>et al.</w:t>
      </w:r>
      <w:r w:rsidR="00AC015A">
        <w:rPr>
          <w:i/>
        </w:rPr>
        <w:t xml:space="preserve"> </w:t>
      </w:r>
      <w:r w:rsidR="00CC4E83">
        <w:t>2015).</w:t>
      </w:r>
      <w:r w:rsidR="002F00EA">
        <w:t xml:space="preserve"> </w:t>
      </w:r>
      <w:r w:rsidR="00572141">
        <w:t>A possible distain for other disciplines may underlie t</w:t>
      </w:r>
      <w:r w:rsidR="00CC4E83">
        <w:t>his asymmetry</w:t>
      </w:r>
      <w:r w:rsidR="005445B5">
        <w:t>. I</w:t>
      </w:r>
      <w:r w:rsidR="003D6194">
        <w:t xml:space="preserve">n the classic account of </w:t>
      </w:r>
      <w:r w:rsidR="003D6194">
        <w:rPr>
          <w:i/>
          <w:iCs/>
        </w:rPr>
        <w:t xml:space="preserve">Life Among the Econ </w:t>
      </w:r>
      <w:r w:rsidR="003D6194">
        <w:t xml:space="preserve">it is noted that </w:t>
      </w:r>
      <w:r w:rsidR="00E91E14">
        <w:t>‘</w:t>
      </w:r>
      <w:r w:rsidR="003D6194">
        <w:t xml:space="preserve">their young are bought up to feel contempt for the softer living in the warmer lands of their </w:t>
      </w:r>
      <w:proofErr w:type="spellStart"/>
      <w:r w:rsidR="003D6194">
        <w:t>neighbours</w:t>
      </w:r>
      <w:proofErr w:type="spellEnd"/>
      <w:r w:rsidR="003D6194">
        <w:t xml:space="preserve">, such as the </w:t>
      </w:r>
      <w:proofErr w:type="spellStart"/>
      <w:r w:rsidR="003D6194">
        <w:t>Polyscis</w:t>
      </w:r>
      <w:proofErr w:type="spellEnd"/>
      <w:r w:rsidR="003D6194">
        <w:t xml:space="preserve"> and </w:t>
      </w:r>
      <w:proofErr w:type="spellStart"/>
      <w:r w:rsidR="003D6194">
        <w:t>Sociogs</w:t>
      </w:r>
      <w:proofErr w:type="spellEnd"/>
      <w:r w:rsidR="00E91E14">
        <w:t>’</w:t>
      </w:r>
      <w:r w:rsidR="00572141">
        <w:t xml:space="preserve"> (</w:t>
      </w:r>
      <w:proofErr w:type="spellStart"/>
      <w:r w:rsidR="00572141">
        <w:t>Leijonhufvud</w:t>
      </w:r>
      <w:proofErr w:type="spellEnd"/>
      <w:r w:rsidR="00AC015A">
        <w:t xml:space="preserve"> </w:t>
      </w:r>
      <w:r w:rsidR="00572141">
        <w:t xml:space="preserve">1973: </w:t>
      </w:r>
      <w:r w:rsidR="005445B5">
        <w:t>327).</w:t>
      </w:r>
      <w:r w:rsidR="002F00EA">
        <w:t xml:space="preserve"> An opinion survey of academics shows a similar pattern; a minori</w:t>
      </w:r>
      <w:r w:rsidR="00A850CC">
        <w:t>ty of surveyed economists agree</w:t>
      </w:r>
      <w:r w:rsidR="002F00EA">
        <w:t xml:space="preserve"> that interdisciplinary knowledge is better than knowledge from a single discipline</w:t>
      </w:r>
      <w:r w:rsidR="00A850CC">
        <w:t xml:space="preserve"> yet </w:t>
      </w:r>
      <w:r w:rsidR="00572141">
        <w:t xml:space="preserve">large </w:t>
      </w:r>
      <w:r w:rsidR="002F00EA">
        <w:t xml:space="preserve">majorities of academics in other disciplines agreed </w:t>
      </w:r>
      <w:r w:rsidR="007000B8">
        <w:t>with this</w:t>
      </w:r>
      <w:r w:rsidR="00A850CC">
        <w:t xml:space="preserve"> proposition </w:t>
      </w:r>
      <w:r w:rsidR="002F00EA">
        <w:t>(</w:t>
      </w:r>
      <w:proofErr w:type="spellStart"/>
      <w:r w:rsidR="002F00EA">
        <w:t>Fourcade</w:t>
      </w:r>
      <w:proofErr w:type="spellEnd"/>
      <w:r w:rsidR="002F00EA">
        <w:t xml:space="preserve"> </w:t>
      </w:r>
      <w:r w:rsidR="00D050FD" w:rsidRPr="00D050FD">
        <w:rPr>
          <w:i/>
        </w:rPr>
        <w:t>et al</w:t>
      </w:r>
      <w:r w:rsidR="00880FC3" w:rsidRPr="00880FC3">
        <w:rPr>
          <w:i/>
        </w:rPr>
        <w:t>.</w:t>
      </w:r>
      <w:r w:rsidR="002F00EA">
        <w:t xml:space="preserve"> 2015).</w:t>
      </w:r>
    </w:p>
    <w:p w:rsidR="00762D69" w:rsidRDefault="00762D69" w:rsidP="003F5128">
      <w:pPr>
        <w:spacing w:line="288" w:lineRule="auto"/>
        <w:ind w:firstLine="397"/>
        <w:jc w:val="lowKashida"/>
      </w:pPr>
    </w:p>
    <w:p w:rsidR="002F00EA" w:rsidRPr="0075721A" w:rsidRDefault="002F00EA" w:rsidP="003F5128">
      <w:pPr>
        <w:spacing w:line="288" w:lineRule="auto"/>
        <w:ind w:firstLine="397"/>
        <w:jc w:val="lowKashida"/>
      </w:pPr>
      <w:r>
        <w:t>In terms of hierarchy</w:t>
      </w:r>
      <w:r w:rsidR="008808A0">
        <w:t>, several studies show aspects of control over the discipline wielded by economists at a few elite U.S. universities. Hodgson and Rothman (1999) study the editors and authors of 30 top economics journals and conclude that an oligopoly</w:t>
      </w:r>
      <w:r w:rsidR="00A850CC">
        <w:t xml:space="preserve"> of US institutions dominates</w:t>
      </w:r>
      <w:r w:rsidR="008808A0">
        <w:t xml:space="preserve"> these</w:t>
      </w:r>
      <w:r w:rsidR="00A850CC">
        <w:t xml:space="preserve"> journals and thereby dominates</w:t>
      </w:r>
      <w:r w:rsidR="008808A0">
        <w:t xml:space="preserve"> economics research</w:t>
      </w:r>
      <w:r w:rsidR="0059536A">
        <w:t xml:space="preserve"> more broadly</w:t>
      </w:r>
      <w:r w:rsidR="008808A0">
        <w:t xml:space="preserve">. It is economists at Harvard and the University of Chicago </w:t>
      </w:r>
      <w:r w:rsidR="0059536A">
        <w:t xml:space="preserve">especially </w:t>
      </w:r>
      <w:r w:rsidR="008808A0">
        <w:t xml:space="preserve">in this </w:t>
      </w:r>
      <w:r w:rsidR="0059536A">
        <w:t xml:space="preserve">elite position; </w:t>
      </w:r>
      <w:r w:rsidR="00A850CC">
        <w:t xml:space="preserve">a study of </w:t>
      </w:r>
      <w:r w:rsidR="008808A0">
        <w:t>articles in e</w:t>
      </w:r>
      <w:r w:rsidR="0024330D">
        <w:t>ight top economics journals that</w:t>
      </w:r>
      <w:r w:rsidR="00A850CC">
        <w:t xml:space="preserve"> controls</w:t>
      </w:r>
      <w:r w:rsidR="008808A0">
        <w:t xml:space="preserve"> for author</w:t>
      </w:r>
      <w:r w:rsidR="00A850CC">
        <w:t xml:space="preserve"> and</w:t>
      </w:r>
      <w:r w:rsidR="008808A0">
        <w:t xml:space="preserve"> journal</w:t>
      </w:r>
      <w:r w:rsidR="0059536A">
        <w:t xml:space="preserve"> quality </w:t>
      </w:r>
      <w:r w:rsidR="00C24542">
        <w:t xml:space="preserve">and article attributes finds those </w:t>
      </w:r>
      <w:r w:rsidR="003A3BAF">
        <w:t>by authors</w:t>
      </w:r>
      <w:r w:rsidR="008808A0">
        <w:t xml:space="preserve"> at Harvard or Chicago received far higher peer recognition (</w:t>
      </w:r>
      <w:proofErr w:type="spellStart"/>
      <w:r w:rsidR="008808A0">
        <w:t>Medoff</w:t>
      </w:r>
      <w:proofErr w:type="spellEnd"/>
      <w:r w:rsidR="008808A0">
        <w:t xml:space="preserve"> 2006).</w:t>
      </w:r>
      <w:r w:rsidR="0075721A">
        <w:t xml:space="preserve"> Part of this dominance may reflect home bias, with three of the eight top journals edited at these two universities</w:t>
      </w:r>
      <w:r w:rsidR="00A850CC">
        <w:t>; Wu (2007) finds high</w:t>
      </w:r>
      <w:r w:rsidR="0075721A">
        <w:t xml:space="preserve"> numbers of in-house authors at the </w:t>
      </w:r>
      <w:r w:rsidR="0075721A">
        <w:rPr>
          <w:i/>
          <w:iCs/>
        </w:rPr>
        <w:t xml:space="preserve">Journal of Political Economy </w:t>
      </w:r>
      <w:r w:rsidR="0075721A">
        <w:t>(</w:t>
      </w:r>
      <w:r w:rsidR="0075721A" w:rsidRPr="0075721A">
        <w:rPr>
          <w:i/>
          <w:iCs/>
        </w:rPr>
        <w:t>JPE</w:t>
      </w:r>
      <w:r w:rsidR="0075721A">
        <w:t xml:space="preserve">) and </w:t>
      </w:r>
      <w:r w:rsidR="0075721A">
        <w:rPr>
          <w:i/>
          <w:iCs/>
        </w:rPr>
        <w:t>Quarterly Journal of Economics</w:t>
      </w:r>
      <w:r w:rsidR="0075721A">
        <w:t xml:space="preserve"> (</w:t>
      </w:r>
      <w:r w:rsidR="0075721A" w:rsidRPr="0075721A">
        <w:rPr>
          <w:i/>
          <w:iCs/>
        </w:rPr>
        <w:t>QJE</w:t>
      </w:r>
      <w:r w:rsidR="0075721A">
        <w:t xml:space="preserve">), while </w:t>
      </w:r>
      <w:proofErr w:type="spellStart"/>
      <w:r w:rsidR="0075721A">
        <w:t>Fourcade</w:t>
      </w:r>
      <w:proofErr w:type="spellEnd"/>
      <w:r w:rsidR="0075721A">
        <w:t xml:space="preserve"> </w:t>
      </w:r>
      <w:r w:rsidR="00D050FD" w:rsidRPr="00D050FD">
        <w:rPr>
          <w:i/>
        </w:rPr>
        <w:t>et al.</w:t>
      </w:r>
      <w:r w:rsidR="0075721A">
        <w:t xml:space="preserve"> (2015) find that this is even greater in terms of where au</w:t>
      </w:r>
      <w:r w:rsidR="00A850CC">
        <w:t>thors earned their PhD. Yet</w:t>
      </w:r>
      <w:r w:rsidR="0075721A">
        <w:t xml:space="preserve">, there was no </w:t>
      </w:r>
      <w:r w:rsidR="00A850CC">
        <w:t xml:space="preserve">similar </w:t>
      </w:r>
      <w:r w:rsidR="0075721A">
        <w:t xml:space="preserve">home bias for the flagship journal in </w:t>
      </w:r>
      <w:r w:rsidR="00A850CC">
        <w:t>sociology</w:t>
      </w:r>
      <w:r w:rsidR="0075721A">
        <w:t>. A somewhat circular and self-perpetuating process of</w:t>
      </w:r>
      <w:r w:rsidR="00A850CC">
        <w:t xml:space="preserve"> elite benefit may occur</w:t>
      </w:r>
      <w:r w:rsidR="0075721A">
        <w:t xml:space="preserve">: </w:t>
      </w:r>
      <w:r w:rsidR="00A850CC">
        <w:t>t</w:t>
      </w:r>
      <w:r w:rsidR="0075721A" w:rsidRPr="0075721A">
        <w:t>hese ar</w:t>
      </w:r>
      <w:r w:rsidR="00A850CC">
        <w:t>e the best institutions, since</w:t>
      </w:r>
      <w:r w:rsidR="0075721A" w:rsidRPr="0075721A">
        <w:t xml:space="preserve"> their economists publish in the best journals, and thes</w:t>
      </w:r>
      <w:r w:rsidR="00A850CC">
        <w:t>e are the best journals, since</w:t>
      </w:r>
      <w:r w:rsidR="0075721A" w:rsidRPr="0075721A">
        <w:t xml:space="preserve"> the best economists publish</w:t>
      </w:r>
      <w:r w:rsidR="00A850CC">
        <w:t xml:space="preserve"> in them</w:t>
      </w:r>
      <w:r w:rsidR="0075721A" w:rsidRPr="0075721A">
        <w:t>.</w:t>
      </w:r>
    </w:p>
    <w:p w:rsidR="00762D69" w:rsidRDefault="00762D69" w:rsidP="003F5128">
      <w:pPr>
        <w:spacing w:line="288" w:lineRule="auto"/>
        <w:ind w:firstLine="397"/>
        <w:jc w:val="lowKashida"/>
      </w:pPr>
    </w:p>
    <w:p w:rsidR="00BA194E" w:rsidRDefault="007000B8" w:rsidP="003F5128">
      <w:pPr>
        <w:spacing w:line="288" w:lineRule="auto"/>
        <w:ind w:firstLine="397"/>
        <w:jc w:val="lowKashida"/>
      </w:pPr>
      <w:r>
        <w:t>The hierarchy in economics publishing also extends to the labor market and to professional organization. A study of hiring in seven disciplines shows that ran</w:t>
      </w:r>
      <w:r w:rsidR="00C24542">
        <w:t>kings have the strongest effect</w:t>
      </w:r>
      <w:r>
        <w:t xml:space="preserve"> on placement in economics; students are hired from departments of higher or similar rank to that of the employing department (Han 2003). </w:t>
      </w:r>
      <w:r w:rsidR="00AC015A">
        <w:t xml:space="preserve"> </w:t>
      </w:r>
      <w:r>
        <w:t>For professional organization, of the</w:t>
      </w:r>
      <w:r w:rsidR="00BA194E">
        <w:t xml:space="preserve"> 120 presidents of the American Economic Association </w:t>
      </w:r>
      <w:r w:rsidR="008300EC">
        <w:t>(AEA)</w:t>
      </w:r>
      <w:r>
        <w:t>,</w:t>
      </w:r>
      <w:r w:rsidR="008300EC">
        <w:t xml:space="preserve"> </w:t>
      </w:r>
      <w:r w:rsidR="005D5A6A">
        <w:t xml:space="preserve">almost 60% of them (n=68) have been </w:t>
      </w:r>
      <w:r w:rsidR="00B20996">
        <w:t>from just six institutions: Harvard (23), Chicago (13), Princeton (10), Yale (9), MIT (7), and Stanford (6).</w:t>
      </w:r>
      <w:r w:rsidR="008300EC">
        <w:t xml:space="preserve"> This</w:t>
      </w:r>
      <w:r w:rsidR="00170BC3">
        <w:t xml:space="preserve"> hierarchy contrasts</w:t>
      </w:r>
      <w:r w:rsidR="008300EC">
        <w:t xml:space="preserve"> with </w:t>
      </w:r>
      <w:r w:rsidR="00170BC3">
        <w:t>other social sciences</w:t>
      </w:r>
      <w:r w:rsidR="008300EC">
        <w:t xml:space="preserve">. </w:t>
      </w:r>
      <w:r w:rsidR="00AC015A">
        <w:t xml:space="preserve"> </w:t>
      </w:r>
      <w:r w:rsidR="008300EC">
        <w:t>For example,</w:t>
      </w:r>
      <w:r w:rsidR="00170BC3">
        <w:t xml:space="preserve"> </w:t>
      </w:r>
      <w:proofErr w:type="spellStart"/>
      <w:r w:rsidR="008300EC">
        <w:t>Fourcade</w:t>
      </w:r>
      <w:proofErr w:type="spellEnd"/>
      <w:r w:rsidR="008300EC">
        <w:t xml:space="preserve"> </w:t>
      </w:r>
      <w:r w:rsidR="00D050FD" w:rsidRPr="00D050FD">
        <w:rPr>
          <w:i/>
        </w:rPr>
        <w:t>et al.</w:t>
      </w:r>
      <w:r w:rsidR="008300EC">
        <w:t xml:space="preserve"> (2015) report th</w:t>
      </w:r>
      <w:r>
        <w:t xml:space="preserve">at </w:t>
      </w:r>
      <w:r w:rsidR="005D5A6A">
        <w:t xml:space="preserve">from </w:t>
      </w:r>
      <w:r>
        <w:t xml:space="preserve">one-third to one-half of </w:t>
      </w:r>
      <w:r w:rsidR="008300EC">
        <w:t>elected executive</w:t>
      </w:r>
      <w:r>
        <w:t>s</w:t>
      </w:r>
      <w:r w:rsidR="008300EC">
        <w:t xml:space="preserve"> of the American Sociological Association </w:t>
      </w:r>
      <w:r w:rsidR="00170BC3">
        <w:t xml:space="preserve">and </w:t>
      </w:r>
      <w:r w:rsidR="008300EC">
        <w:t xml:space="preserve">the American </w:t>
      </w:r>
      <w:r w:rsidR="00170BC3">
        <w:t>Political Science</w:t>
      </w:r>
      <w:r w:rsidR="008300EC">
        <w:t xml:space="preserve"> Association are from </w:t>
      </w:r>
      <w:r w:rsidR="008300EC">
        <w:lastRenderedPageBreak/>
        <w:t>unranked departments, and 20-30% are from places ranked from 21-100</w:t>
      </w:r>
      <w:r w:rsidR="00170BC3">
        <w:t xml:space="preserve">, </w:t>
      </w:r>
      <w:r w:rsidR="008300EC">
        <w:t>while the AEA has no non-appointed officers from any departments ranked below 20</w:t>
      </w:r>
      <w:r w:rsidR="008300EC" w:rsidRPr="008300EC">
        <w:rPr>
          <w:vertAlign w:val="superscript"/>
        </w:rPr>
        <w:t>th</w:t>
      </w:r>
      <w:r w:rsidR="008300EC">
        <w:t>, and, instead, 72% are from the top five departments.</w:t>
      </w:r>
      <w:r w:rsidR="00170BC3">
        <w:t xml:space="preserve"> </w:t>
      </w:r>
    </w:p>
    <w:p w:rsidR="00762D69" w:rsidRDefault="00762D69" w:rsidP="003F5128">
      <w:pPr>
        <w:spacing w:line="288" w:lineRule="auto"/>
        <w:ind w:firstLine="397"/>
        <w:jc w:val="lowKashida"/>
      </w:pPr>
    </w:p>
    <w:p w:rsidR="007000B8" w:rsidRDefault="00FE2838" w:rsidP="003F5128">
      <w:pPr>
        <w:spacing w:line="288" w:lineRule="auto"/>
        <w:ind w:firstLine="397"/>
        <w:jc w:val="lowKashida"/>
        <w:rPr>
          <w:lang w:eastAsia="en-NZ"/>
        </w:rPr>
      </w:pPr>
      <w:r>
        <w:t xml:space="preserve">The insularity and hierarchy within academic economics leads to geographic and institutional concentration. </w:t>
      </w:r>
      <w:r w:rsidR="004F0F07">
        <w:t xml:space="preserve"> </w:t>
      </w:r>
      <w:proofErr w:type="spellStart"/>
      <w:r>
        <w:t>Gloetzl</w:t>
      </w:r>
      <w:proofErr w:type="spellEnd"/>
      <w:r>
        <w:t xml:space="preserve"> and Aigner (2017)</w:t>
      </w:r>
      <w:r w:rsidR="004F0F07">
        <w:t>, for example,</w:t>
      </w:r>
      <w:r>
        <w:t xml:space="preserve"> study 3.4 million citations to 380,000 articles published in 440 economics journals between 1980 and 2014 and find that three-quarters of citations accrued to researchers from North America, whose share of the articles was 49%. The </w:t>
      </w:r>
      <w:r w:rsidR="00567735">
        <w:t>issue of</w:t>
      </w:r>
      <w:r>
        <w:t xml:space="preserve"> American domination in economics was also apparent in earlier studies </w:t>
      </w:r>
      <w:r w:rsidR="00567735">
        <w:t xml:space="preserve">of </w:t>
      </w:r>
      <w:r>
        <w:t>top journals (Kocher and Sutter 2001)</w:t>
      </w:r>
      <w:r w:rsidR="008C575E">
        <w:t xml:space="preserve"> and</w:t>
      </w:r>
      <w:r w:rsidR="00567735">
        <w:t xml:space="preserve"> eminent economists (Frey and </w:t>
      </w:r>
      <w:proofErr w:type="spellStart"/>
      <w:r w:rsidR="00567735" w:rsidRPr="00567735">
        <w:rPr>
          <w:lang w:eastAsia="en-NZ"/>
        </w:rPr>
        <w:t>Pommerehne</w:t>
      </w:r>
      <w:proofErr w:type="spellEnd"/>
      <w:r w:rsidR="005D5A6A">
        <w:rPr>
          <w:lang w:eastAsia="en-NZ"/>
        </w:rPr>
        <w:t xml:space="preserve"> 1988). Yet studies of the concentration of research that only consider geography at the national level miss an importa</w:t>
      </w:r>
      <w:r w:rsidR="0059536A">
        <w:rPr>
          <w:lang w:eastAsia="en-NZ"/>
        </w:rPr>
        <w:t>nt point. T</w:t>
      </w:r>
      <w:r w:rsidR="005D5A6A">
        <w:rPr>
          <w:lang w:eastAsia="en-NZ"/>
        </w:rPr>
        <w:t>he production and recognition of research is even more con</w:t>
      </w:r>
      <w:r w:rsidR="00A60A3F">
        <w:rPr>
          <w:lang w:eastAsia="en-NZ"/>
        </w:rPr>
        <w:t>centrated within countries. While nation</w:t>
      </w:r>
      <w:r w:rsidR="005D5A6A">
        <w:rPr>
          <w:lang w:eastAsia="en-NZ"/>
        </w:rPr>
        <w:t>s may formulate science policy, such as for performance-based university research funding systems (Hicks 2012), it is at very local level</w:t>
      </w:r>
      <w:r w:rsidR="00F209F5">
        <w:rPr>
          <w:lang w:eastAsia="en-NZ"/>
        </w:rPr>
        <w:t>s</w:t>
      </w:r>
      <w:r w:rsidR="005D5A6A">
        <w:rPr>
          <w:lang w:eastAsia="en-NZ"/>
        </w:rPr>
        <w:t xml:space="preserve"> </w:t>
      </w:r>
      <w:r w:rsidR="00A60A3F">
        <w:rPr>
          <w:lang w:eastAsia="en-NZ"/>
        </w:rPr>
        <w:t xml:space="preserve">that </w:t>
      </w:r>
      <w:r w:rsidR="005D5A6A">
        <w:rPr>
          <w:lang w:eastAsia="en-NZ"/>
        </w:rPr>
        <w:t>research is actually done.</w:t>
      </w:r>
    </w:p>
    <w:p w:rsidR="00762D69" w:rsidRDefault="00762D69" w:rsidP="003F5128">
      <w:pPr>
        <w:spacing w:line="288" w:lineRule="auto"/>
        <w:ind w:firstLine="397"/>
        <w:jc w:val="lowKashida"/>
      </w:pPr>
    </w:p>
    <w:p w:rsidR="00F209F5" w:rsidRDefault="00F209F5" w:rsidP="003F5128">
      <w:pPr>
        <w:spacing w:line="288" w:lineRule="auto"/>
        <w:ind w:firstLine="397"/>
        <w:jc w:val="both"/>
      </w:pPr>
      <w:r w:rsidRPr="00700D28">
        <w:t>Th</w:t>
      </w:r>
      <w:r w:rsidR="00A60A3F">
        <w:t xml:space="preserve">is paper </w:t>
      </w:r>
      <w:r w:rsidRPr="00700D28">
        <w:t>provide</w:t>
      </w:r>
      <w:r w:rsidR="00A60A3F">
        <w:t>s</w:t>
      </w:r>
      <w:r w:rsidRPr="00700D28">
        <w:t xml:space="preserve"> evidence on </w:t>
      </w:r>
      <w:r>
        <w:t xml:space="preserve">concentration in economics at the micro-geographic level. </w:t>
      </w:r>
      <w:r w:rsidR="004571D8">
        <w:t>T</w:t>
      </w:r>
      <w:r>
        <w:t xml:space="preserve">he </w:t>
      </w:r>
      <w:r w:rsidR="004571D8">
        <w:t xml:space="preserve">production of articles, and </w:t>
      </w:r>
      <w:r>
        <w:t xml:space="preserve">recognition of research in the form of citations, </w:t>
      </w:r>
      <w:r w:rsidR="004571D8">
        <w:t xml:space="preserve">is studied </w:t>
      </w:r>
      <w:r>
        <w:t xml:space="preserve">at the level of </w:t>
      </w:r>
      <w:r w:rsidR="00A60A3F">
        <w:t xml:space="preserve">U.S. </w:t>
      </w:r>
      <w:r>
        <w:t>ZIP code</w:t>
      </w:r>
      <w:r w:rsidR="0073189E">
        <w:t>s,</w:t>
      </w:r>
      <w:r w:rsidR="00A60A3F">
        <w:t xml:space="preserve"> of which there are</w:t>
      </w:r>
      <w:r>
        <w:t xml:space="preserve"> over 30,000. Yet just three of these ZIP code</w:t>
      </w:r>
      <w:r w:rsidR="0073189E">
        <w:t>s</w:t>
      </w:r>
      <w:r w:rsidR="00B90D6E">
        <w:t xml:space="preserve">: </w:t>
      </w:r>
      <w:r w:rsidR="002B393A">
        <w:t>02138</w:t>
      </w:r>
      <w:r w:rsidR="00B90D6E">
        <w:t>, 60637, and 94</w:t>
      </w:r>
      <w:r w:rsidR="00A60A3F">
        <w:t xml:space="preserve">305 </w:t>
      </w:r>
      <w:r w:rsidR="008C575E">
        <w:t xml:space="preserve">are associated with </w:t>
      </w:r>
      <w:r w:rsidR="00B90D6E">
        <w:t xml:space="preserve">articles in the top five economics journals – </w:t>
      </w:r>
      <w:r w:rsidR="00B90D6E">
        <w:rPr>
          <w:i/>
          <w:iCs/>
        </w:rPr>
        <w:t xml:space="preserve">American Economic Review </w:t>
      </w:r>
      <w:r w:rsidR="00D050FD">
        <w:rPr>
          <w:iCs/>
        </w:rPr>
        <w:t>(</w:t>
      </w:r>
      <w:r w:rsidR="00B90D6E">
        <w:rPr>
          <w:i/>
          <w:iCs/>
        </w:rPr>
        <w:t>AER</w:t>
      </w:r>
      <w:r w:rsidR="00D050FD">
        <w:rPr>
          <w:iCs/>
        </w:rPr>
        <w:t>),</w:t>
      </w:r>
      <w:r w:rsidR="00B90D6E">
        <w:rPr>
          <w:i/>
          <w:iCs/>
        </w:rPr>
        <w:t xml:space="preserve"> </w:t>
      </w:r>
      <w:proofErr w:type="spellStart"/>
      <w:r w:rsidR="00B90D6E">
        <w:rPr>
          <w:i/>
          <w:iCs/>
        </w:rPr>
        <w:t>Econometrica</w:t>
      </w:r>
      <w:proofErr w:type="spellEnd"/>
      <w:r w:rsidR="00B90D6E">
        <w:rPr>
          <w:i/>
          <w:iCs/>
        </w:rPr>
        <w:t>, J</w:t>
      </w:r>
      <w:r w:rsidR="00880FC3">
        <w:rPr>
          <w:i/>
          <w:iCs/>
        </w:rPr>
        <w:t>ournal of Political Economy</w:t>
      </w:r>
      <w:r w:rsidR="00D050FD">
        <w:rPr>
          <w:i/>
          <w:iCs/>
        </w:rPr>
        <w:t xml:space="preserve"> </w:t>
      </w:r>
      <w:r w:rsidR="00D050FD">
        <w:rPr>
          <w:iCs/>
        </w:rPr>
        <w:t>(</w:t>
      </w:r>
      <w:r w:rsidR="00D050FD" w:rsidRPr="00D050FD">
        <w:rPr>
          <w:i/>
          <w:iCs/>
        </w:rPr>
        <w:t>JPE</w:t>
      </w:r>
      <w:r w:rsidR="00D050FD">
        <w:rPr>
          <w:iCs/>
        </w:rPr>
        <w:t>)</w:t>
      </w:r>
      <w:r w:rsidR="00B90D6E">
        <w:rPr>
          <w:i/>
          <w:iCs/>
        </w:rPr>
        <w:t>, Q</w:t>
      </w:r>
      <w:r w:rsidR="00880FC3">
        <w:rPr>
          <w:i/>
          <w:iCs/>
        </w:rPr>
        <w:t>uarterly Journal of Economic</w:t>
      </w:r>
      <w:r w:rsidR="00880FC3">
        <w:rPr>
          <w:i/>
        </w:rPr>
        <w:t xml:space="preserve">s </w:t>
      </w:r>
      <w:r w:rsidR="00D050FD">
        <w:t>(</w:t>
      </w:r>
      <w:r w:rsidR="00D050FD" w:rsidRPr="00D050FD">
        <w:rPr>
          <w:i/>
        </w:rPr>
        <w:t>QJE</w:t>
      </w:r>
      <w:r w:rsidR="00D050FD">
        <w:t>)</w:t>
      </w:r>
      <w:r w:rsidR="006B0B82">
        <w:t xml:space="preserve"> </w:t>
      </w:r>
      <w:r w:rsidR="00B90D6E">
        <w:t xml:space="preserve">and the </w:t>
      </w:r>
      <w:r w:rsidR="00B90D6E">
        <w:rPr>
          <w:i/>
          <w:iCs/>
        </w:rPr>
        <w:t xml:space="preserve">Review of Economic Studies </w:t>
      </w:r>
      <w:r w:rsidR="00B90D6E">
        <w:t>– that garnered one-half of all citations to the articles publi</w:t>
      </w:r>
      <w:r w:rsidR="00A60A3F">
        <w:t xml:space="preserve">shed in these journals over </w:t>
      </w:r>
      <w:r w:rsidR="00B90D6E">
        <w:t xml:space="preserve">2000 to 2015. This remarkable degree of micro-geographic concentration is not apparent in </w:t>
      </w:r>
      <w:r w:rsidR="00E266EB">
        <w:t xml:space="preserve">the </w:t>
      </w:r>
      <w:r w:rsidR="00890E2D">
        <w:t>five</w:t>
      </w:r>
      <w:r w:rsidR="00B90D6E">
        <w:t xml:space="preserve"> </w:t>
      </w:r>
      <w:r w:rsidR="0073189E">
        <w:t>comparator discipline</w:t>
      </w:r>
      <w:r w:rsidR="00890E2D">
        <w:t>s</w:t>
      </w:r>
      <w:r w:rsidR="0073189E">
        <w:t>; on</w:t>
      </w:r>
      <w:r w:rsidR="00B90D6E">
        <w:t xml:space="preserve"> average just</w:t>
      </w:r>
      <w:r w:rsidR="00247FC0">
        <w:t xml:space="preserve"> ov</w:t>
      </w:r>
      <w:r w:rsidR="0073189E">
        <w:t>er 12% of citations accrue</w:t>
      </w:r>
      <w:r w:rsidR="00B90D6E">
        <w:t xml:space="preserve"> to their top three ZIP codes, in terms of where the contributors to their respecti</w:t>
      </w:r>
      <w:r w:rsidR="00C24542">
        <w:t>ve top five journals are affiliated</w:t>
      </w:r>
      <w:r w:rsidR="00B90D6E">
        <w:t>.</w:t>
      </w:r>
    </w:p>
    <w:p w:rsidR="00762D69" w:rsidRPr="00B90D6E" w:rsidRDefault="00762D69" w:rsidP="003F5128">
      <w:pPr>
        <w:spacing w:line="288" w:lineRule="auto"/>
        <w:ind w:firstLine="397"/>
        <w:jc w:val="both"/>
      </w:pPr>
    </w:p>
    <w:p w:rsidR="00EE197C" w:rsidRDefault="0073189E" w:rsidP="003F5128">
      <w:pPr>
        <w:spacing w:line="288" w:lineRule="auto"/>
        <w:ind w:firstLine="397"/>
        <w:jc w:val="both"/>
      </w:pPr>
      <w:r>
        <w:t xml:space="preserve">This extreme degree of micro-geographic concentration highlights that even </w:t>
      </w:r>
      <w:r w:rsidR="00ED5B31">
        <w:t xml:space="preserve">economists </w:t>
      </w:r>
      <w:r>
        <w:t xml:space="preserve">in the leading country may be, effectively, on the outer of the discipline if they have no links into these top ZIP codes. </w:t>
      </w:r>
      <w:r w:rsidR="00EE197C">
        <w:t xml:space="preserve">For example, </w:t>
      </w:r>
      <w:r w:rsidR="00ED5B31">
        <w:t xml:space="preserve">one </w:t>
      </w:r>
      <w:r w:rsidR="00EE197C">
        <w:t>is hardly any closer to the epicenter of economic research</w:t>
      </w:r>
      <w:r w:rsidR="004A01A3">
        <w:t xml:space="preserve"> if located in, say, Moscow, Idaho, at the University of Idaho (ZIP 83844) compared to being in Moscow, Russia. In fact,</w:t>
      </w:r>
      <w:r w:rsidR="00ED5B31">
        <w:t xml:space="preserve"> one may be even further away;</w:t>
      </w:r>
      <w:r w:rsidR="004A01A3">
        <w:t xml:space="preserve"> </w:t>
      </w:r>
      <w:r w:rsidR="00A60A3F">
        <w:t xml:space="preserve">amongst </w:t>
      </w:r>
      <w:r w:rsidR="004A01A3">
        <w:t xml:space="preserve">almost 3,800 author-affiliations for articles in top journals in economics </w:t>
      </w:r>
      <w:r w:rsidR="003A3BAF">
        <w:t xml:space="preserve">studied here, </w:t>
      </w:r>
      <w:r w:rsidR="004A01A3">
        <w:t xml:space="preserve">only one </w:t>
      </w:r>
      <w:r w:rsidR="00A60A3F">
        <w:t xml:space="preserve">is </w:t>
      </w:r>
      <w:r w:rsidR="004A01A3">
        <w:t xml:space="preserve">from Idaho but five </w:t>
      </w:r>
      <w:r w:rsidR="00A60A3F">
        <w:t xml:space="preserve">are </w:t>
      </w:r>
      <w:r w:rsidR="004A01A3">
        <w:t xml:space="preserve">from Russia. Moreover, </w:t>
      </w:r>
      <w:r w:rsidR="008300EC">
        <w:t>t</w:t>
      </w:r>
      <w:r w:rsidR="00C27AD1">
        <w:t>here are at least eight</w:t>
      </w:r>
      <w:r w:rsidR="004A01A3">
        <w:t xml:space="preserve"> U.S. states that have no links to the research in these top journals, in the sense that they contribute zero author-affiliations.</w:t>
      </w:r>
    </w:p>
    <w:p w:rsidR="00762D69" w:rsidRDefault="00762D69" w:rsidP="003F5128">
      <w:pPr>
        <w:spacing w:line="288" w:lineRule="auto"/>
        <w:ind w:firstLine="397"/>
        <w:jc w:val="both"/>
      </w:pPr>
    </w:p>
    <w:p w:rsidR="00F11157" w:rsidRDefault="0073189E" w:rsidP="003F5128">
      <w:pPr>
        <w:spacing w:line="288" w:lineRule="auto"/>
        <w:ind w:firstLine="397"/>
        <w:jc w:val="both"/>
      </w:pPr>
      <w:r>
        <w:t>Typically</w:t>
      </w:r>
      <w:r w:rsidR="00AC015A">
        <w:t>,</w:t>
      </w:r>
      <w:r>
        <w:t xml:space="preserve"> a university will have its own ZIP code so it is worth justifying what insight comes from using this level of disaggregation rather than </w:t>
      </w:r>
      <w:r w:rsidR="00B137FE">
        <w:t xml:space="preserve">the typical </w:t>
      </w:r>
      <w:r>
        <w:t xml:space="preserve">institution-level analysis. </w:t>
      </w:r>
      <w:r w:rsidR="00B137FE">
        <w:t xml:space="preserve">First, by using ZIP codes it </w:t>
      </w:r>
      <w:r>
        <w:t>emphasize</w:t>
      </w:r>
      <w:r w:rsidR="00B137FE">
        <w:t>s</w:t>
      </w:r>
      <w:r>
        <w:t xml:space="preserve"> </w:t>
      </w:r>
      <w:r w:rsidR="00A60A3F">
        <w:t xml:space="preserve">the </w:t>
      </w:r>
      <w:r w:rsidR="00554C74">
        <w:t xml:space="preserve">spatial </w:t>
      </w:r>
      <w:r w:rsidR="00A60A3F">
        <w:t xml:space="preserve">heterogeneity within countries. </w:t>
      </w:r>
      <w:r w:rsidR="007F764F">
        <w:t xml:space="preserve">Second, clusters of geographically proximate groups of inter-linked individuals and organizations (Catini </w:t>
      </w:r>
      <w:r w:rsidR="00D050FD" w:rsidRPr="00D050FD">
        <w:rPr>
          <w:i/>
        </w:rPr>
        <w:t>et al.</w:t>
      </w:r>
      <w:r w:rsidR="007F764F">
        <w:t xml:space="preserve"> 2015) may be observed with the aid of ZIP code maps. For example, the ZIP code for the Massachusetts </w:t>
      </w:r>
      <w:r w:rsidR="00C24542">
        <w:t>Institute of Technology (MIT, 0</w:t>
      </w:r>
      <w:r w:rsidR="007F764F">
        <w:t>2</w:t>
      </w:r>
      <w:r w:rsidR="00C24542">
        <w:t>1</w:t>
      </w:r>
      <w:r w:rsidR="007F764F">
        <w:t>39) borders that for Harvard (</w:t>
      </w:r>
      <w:r w:rsidR="002B393A">
        <w:t>02138</w:t>
      </w:r>
      <w:r w:rsidR="007F764F">
        <w:t xml:space="preserve">) </w:t>
      </w:r>
      <w:r w:rsidR="007F764F">
        <w:lastRenderedPageBreak/>
        <w:t xml:space="preserve">and there are multiple linkages between the two universities, such as joint seminars. </w:t>
      </w:r>
      <w:r w:rsidR="00A60A3F">
        <w:t>Finally</w:t>
      </w:r>
      <w:r w:rsidR="00554C74">
        <w:t xml:space="preserve">, </w:t>
      </w:r>
      <w:r w:rsidR="00F11157">
        <w:t xml:space="preserve">a </w:t>
      </w:r>
      <w:r w:rsidR="00A60A3F">
        <w:t xml:space="preserve">ZIP code may </w:t>
      </w:r>
      <w:r w:rsidR="00554C74">
        <w:t>have two research institution</w:t>
      </w:r>
      <w:r w:rsidR="00B137FE">
        <w:t>s</w:t>
      </w:r>
      <w:r w:rsidR="00554C74">
        <w:t xml:space="preserve">, such as </w:t>
      </w:r>
      <w:r w:rsidR="002B393A">
        <w:t>02138</w:t>
      </w:r>
      <w:r w:rsidR="00554C74">
        <w:t xml:space="preserve"> </w:t>
      </w:r>
      <w:r w:rsidR="00F11157">
        <w:t xml:space="preserve">with </w:t>
      </w:r>
      <w:r w:rsidR="00554C74">
        <w:t>both Harvard and the National Bureau of Economic Research (NBER).</w:t>
      </w:r>
      <w:r w:rsidR="00F11157">
        <w:t xml:space="preserve"> While the NBER has only a small physical footprint, it has an outsized impact on economics, and has been described by Krugman (2013) as </w:t>
      </w:r>
      <w:r w:rsidR="00E91E14">
        <w:t>‘</w:t>
      </w:r>
      <w:r w:rsidR="00F11157" w:rsidRPr="00F11157">
        <w:t>the old-boy network of economics made flesh</w:t>
      </w:r>
      <w:r w:rsidR="00E91E14">
        <w:t>’</w:t>
      </w:r>
      <w:r w:rsidR="00F11157">
        <w:t xml:space="preserve">. This impact </w:t>
      </w:r>
      <w:r w:rsidR="008B26BF">
        <w:t>is much greater than for other virtual research institutes that also run meetings and issue</w:t>
      </w:r>
      <w:r w:rsidR="00F11157">
        <w:t xml:space="preserve"> working papers, </w:t>
      </w:r>
      <w:r w:rsidR="008B26BF">
        <w:t>partly due to the exclusive nat</w:t>
      </w:r>
      <w:r w:rsidR="0024330D">
        <w:t>ure of being an NBER affiliate</w:t>
      </w:r>
      <w:r w:rsidR="00A60A3F">
        <w:t xml:space="preserve"> (</w:t>
      </w:r>
      <w:r w:rsidR="00880FC3" w:rsidRPr="00880FC3">
        <w:t>for example,</w:t>
      </w:r>
      <w:r w:rsidR="008B26BF">
        <w:t xml:space="preserve"> the NBER meetings are by invitation only</w:t>
      </w:r>
      <w:r w:rsidR="00A60A3F">
        <w:t>).</w:t>
      </w:r>
      <w:r w:rsidR="008B26BF">
        <w:t xml:space="preserve"> As Krugman (2013) notes: </w:t>
      </w:r>
      <w:r w:rsidR="00E91E14">
        <w:t>‘</w:t>
      </w:r>
      <w:r w:rsidR="008B26BF">
        <w:t>i</w:t>
      </w:r>
      <w:r w:rsidR="00F11157" w:rsidRPr="00F11157">
        <w:t>f you’re associated with the Bureau, you can get research out quickly in a place everyone will see, whereas if you aren’t in the magic circle, getting noticed can be much harder</w:t>
      </w:r>
      <w:r w:rsidR="008B26BF">
        <w:t>.</w:t>
      </w:r>
      <w:r w:rsidR="00E91E14">
        <w:t>’</w:t>
      </w:r>
    </w:p>
    <w:p w:rsidR="00762D69" w:rsidRDefault="00762D69" w:rsidP="003F5128">
      <w:pPr>
        <w:spacing w:line="288" w:lineRule="auto"/>
        <w:ind w:firstLine="397"/>
        <w:jc w:val="both"/>
      </w:pPr>
    </w:p>
    <w:p w:rsidR="00AD2AF8" w:rsidRDefault="005D3053" w:rsidP="003F5128">
      <w:pPr>
        <w:spacing w:line="288" w:lineRule="auto"/>
        <w:ind w:firstLine="397"/>
        <w:jc w:val="both"/>
      </w:pPr>
      <w:r>
        <w:t xml:space="preserve">The location of the NBER also </w:t>
      </w:r>
      <w:r w:rsidR="0024330D">
        <w:t>highlights a key issue</w:t>
      </w:r>
      <w:r w:rsidR="00AD2AF8">
        <w:t xml:space="preserve"> in spatial economics that </w:t>
      </w:r>
      <w:r w:rsidR="0024330D">
        <w:t xml:space="preserve">underpins </w:t>
      </w:r>
      <w:r w:rsidR="00AD2AF8">
        <w:t xml:space="preserve">the micro-geographic clustering of research. </w:t>
      </w:r>
      <w:r w:rsidR="00F40C27">
        <w:t xml:space="preserve">A theme in popular commentary </w:t>
      </w:r>
      <w:r w:rsidR="00AD2AF8">
        <w:t xml:space="preserve">from recent periods of </w:t>
      </w:r>
      <w:r w:rsidR="00F40C27">
        <w:t>technological change</w:t>
      </w:r>
      <w:r w:rsidR="00AD2AF8">
        <w:t xml:space="preserve"> i</w:t>
      </w:r>
      <w:r w:rsidR="00F40C27">
        <w:t>s</w:t>
      </w:r>
      <w:r w:rsidR="00AD2AF8">
        <w:t xml:space="preserve"> that falling </w:t>
      </w:r>
      <w:r w:rsidR="00F40C27">
        <w:t>costs of enga</w:t>
      </w:r>
      <w:r w:rsidR="00AD2AF8">
        <w:t>ging in activities across space have led</w:t>
      </w:r>
      <w:r w:rsidR="00F40C27">
        <w:t xml:space="preserve"> to the ‘death of distance’ (</w:t>
      </w:r>
      <w:proofErr w:type="spellStart"/>
      <w:r w:rsidR="00F40C27">
        <w:t>Cairncross</w:t>
      </w:r>
      <w:proofErr w:type="spellEnd"/>
      <w:r w:rsidR="00F40C27">
        <w:t xml:space="preserve"> 1997). </w:t>
      </w:r>
      <w:r w:rsidR="00AD2AF8">
        <w:t>With</w:t>
      </w:r>
      <w:r w:rsidR="008E039C">
        <w:t xml:space="preserve"> this interpretation, </w:t>
      </w:r>
      <w:r w:rsidR="00AD2AF8">
        <w:t xml:space="preserve">being on </w:t>
      </w:r>
      <w:r w:rsidR="00F40C27">
        <w:t xml:space="preserve">the geographic periphery becomes less of a handicap and so something like the NBER </w:t>
      </w:r>
      <w:r w:rsidR="00AD2AF8">
        <w:t xml:space="preserve">could locate </w:t>
      </w:r>
      <w:r w:rsidR="00F40C27">
        <w:t xml:space="preserve">somewhere </w:t>
      </w:r>
      <w:r w:rsidR="008E039C">
        <w:t>c</w:t>
      </w:r>
      <w:r w:rsidR="0059536A">
        <w:t xml:space="preserve">heap and central, like Kansas. </w:t>
      </w:r>
      <w:r w:rsidR="0024330D">
        <w:t>Yet</w:t>
      </w:r>
      <w:r w:rsidR="00AD2AF8">
        <w:t xml:space="preserve"> even </w:t>
      </w:r>
      <w:r w:rsidR="00314927">
        <w:t>as</w:t>
      </w:r>
      <w:r w:rsidR="00890E2D">
        <w:t xml:space="preserve"> </w:t>
      </w:r>
      <w:r w:rsidR="00AD2AF8">
        <w:t xml:space="preserve">costs of transmitting goods and information across space have fallen, </w:t>
      </w:r>
      <w:r w:rsidR="00314927">
        <w:t xml:space="preserve">spatial transactions costs </w:t>
      </w:r>
      <w:r w:rsidR="0024330D">
        <w:t xml:space="preserve">have </w:t>
      </w:r>
      <w:r w:rsidR="00314927">
        <w:t>rise</w:t>
      </w:r>
      <w:r w:rsidR="0024330D">
        <w:t>n</w:t>
      </w:r>
      <w:r w:rsidR="00AD2AF8">
        <w:t xml:space="preserve"> because </w:t>
      </w:r>
      <w:r w:rsidR="00EE7EA2">
        <w:t xml:space="preserve">with better </w:t>
      </w:r>
      <w:r w:rsidR="00AD2AF8">
        <w:t>information technologies the quantity, variety, and complexity of the</w:t>
      </w:r>
      <w:r w:rsidR="00314927">
        <w:t xml:space="preserve"> knowledge that is communicated</w:t>
      </w:r>
      <w:r w:rsidR="00EE7EA2">
        <w:t xml:space="preserve"> rises</w:t>
      </w:r>
      <w:r w:rsidR="00314927">
        <w:t>;</w:t>
      </w:r>
      <w:r w:rsidR="00AD2AF8">
        <w:t xml:space="preserve"> </w:t>
      </w:r>
      <w:r w:rsidR="00314927">
        <w:t>since</w:t>
      </w:r>
      <w:r w:rsidR="00AD2AF8">
        <w:t xml:space="preserve"> much of this is of a non-standardized and tacit nature, it increases the premium on face-to-face communication (McCann 2008).</w:t>
      </w:r>
      <w:r w:rsidR="00314927">
        <w:t xml:space="preserve"> Thus, being located in Cambridge, Massachusetts provides an enduring benefit. Indeed, studies suggest that </w:t>
      </w:r>
      <w:r w:rsidR="0024330D">
        <w:t xml:space="preserve">while </w:t>
      </w:r>
      <w:r w:rsidR="00314927">
        <w:t xml:space="preserve">policy </w:t>
      </w:r>
      <w:r w:rsidR="0024330D">
        <w:t xml:space="preserve">makers </w:t>
      </w:r>
      <w:r w:rsidR="00314927">
        <w:t xml:space="preserve">may be able to temporarily disperse research, by </w:t>
      </w:r>
      <w:r w:rsidR="0059536A">
        <w:t>fun</w:t>
      </w:r>
      <w:r w:rsidR="0024330D">
        <w:t xml:space="preserve">ding </w:t>
      </w:r>
      <w:r w:rsidR="00314927">
        <w:t xml:space="preserve">new research universities or by making research expenditures more equally distributed, long-run </w:t>
      </w:r>
      <w:r w:rsidR="00ED5B31">
        <w:t xml:space="preserve">institutional </w:t>
      </w:r>
      <w:r w:rsidR="00314927">
        <w:t xml:space="preserve">mobility is limited </w:t>
      </w:r>
      <w:r w:rsidR="00D71E4C">
        <w:t>and so the research institutions (and locations) at the top of the hierarchy tend to stay there over many decades (</w:t>
      </w:r>
      <w:proofErr w:type="spellStart"/>
      <w:r w:rsidR="00D71E4C">
        <w:t>Brint</w:t>
      </w:r>
      <w:proofErr w:type="spellEnd"/>
      <w:r w:rsidR="00D71E4C">
        <w:t xml:space="preserve"> and </w:t>
      </w:r>
      <w:proofErr w:type="spellStart"/>
      <w:r w:rsidR="00D71E4C">
        <w:t>Carr</w:t>
      </w:r>
      <w:proofErr w:type="spellEnd"/>
      <w:r w:rsidR="00D71E4C">
        <w:t xml:space="preserve"> 2017).</w:t>
      </w:r>
    </w:p>
    <w:p w:rsidR="00762D69" w:rsidRDefault="00762D69" w:rsidP="003F5128">
      <w:pPr>
        <w:spacing w:line="288" w:lineRule="auto"/>
        <w:ind w:firstLine="397"/>
        <w:jc w:val="both"/>
      </w:pPr>
    </w:p>
    <w:p w:rsidR="00012D74" w:rsidRDefault="008C7478" w:rsidP="003F5128">
      <w:pPr>
        <w:spacing w:line="288" w:lineRule="auto"/>
        <w:ind w:firstLine="397"/>
        <w:jc w:val="both"/>
      </w:pPr>
      <w:r>
        <w:t>The extreme concentration in econ</w:t>
      </w:r>
      <w:r w:rsidR="00890E2D">
        <w:t>omics matters for at least two reasons. First, systemic risk may increase</w:t>
      </w:r>
      <w:r>
        <w:t xml:space="preserve"> because</w:t>
      </w:r>
      <w:r w:rsidR="00C0687E">
        <w:t xml:space="preserve"> ideas that challenge the views of the</w:t>
      </w:r>
      <w:r w:rsidR="00C24542">
        <w:t xml:space="preserve"> spatially concentrated</w:t>
      </w:r>
      <w:r w:rsidR="00B4632B">
        <w:t xml:space="preserve"> disciplinary </w:t>
      </w:r>
      <w:r w:rsidR="00890E2D">
        <w:t xml:space="preserve">elite </w:t>
      </w:r>
      <w:r w:rsidR="00E266EB">
        <w:t>may be ignored. By suppressing new perspectives, a</w:t>
      </w:r>
      <w:r w:rsidR="00890E2D">
        <w:t>n i</w:t>
      </w:r>
      <w:r w:rsidR="00C0687E">
        <w:t xml:space="preserve">ntellectual ‘lock-in’ (Hodgson and Rothman 1999) may retard the </w:t>
      </w:r>
      <w:r w:rsidR="00C24542">
        <w:t xml:space="preserve">value </w:t>
      </w:r>
      <w:r w:rsidR="00C0687E">
        <w:t xml:space="preserve">of economics </w:t>
      </w:r>
      <w:r w:rsidR="00890E2D">
        <w:t xml:space="preserve">in helping society </w:t>
      </w:r>
      <w:r w:rsidR="00A64284">
        <w:t>be</w:t>
      </w:r>
      <w:r w:rsidR="00E266EB">
        <w:t xml:space="preserve"> prepare</w:t>
      </w:r>
      <w:r w:rsidR="00A64284">
        <w:t>d</w:t>
      </w:r>
      <w:r w:rsidR="00C0687E">
        <w:t xml:space="preserve"> for </w:t>
      </w:r>
      <w:r w:rsidR="00A64284">
        <w:t xml:space="preserve">future </w:t>
      </w:r>
      <w:r w:rsidR="00C0687E">
        <w:t xml:space="preserve">crises. </w:t>
      </w:r>
      <w:r w:rsidR="00890E2D">
        <w:t xml:space="preserve">In presenting a view from the </w:t>
      </w:r>
      <w:r w:rsidR="00C0687E">
        <w:t>outer</w:t>
      </w:r>
      <w:r w:rsidR="00890E2D">
        <w:t>, from ZIP code 88003</w:t>
      </w:r>
      <w:r w:rsidR="00C0687E">
        <w:t xml:space="preserve"> </w:t>
      </w:r>
      <w:r w:rsidR="00890E2D">
        <w:t>(al</w:t>
      </w:r>
      <w:r w:rsidR="00880FC3">
        <w:t>though</w:t>
      </w:r>
      <w:r w:rsidR="00890E2D">
        <w:t xml:space="preserve"> </w:t>
      </w:r>
      <w:r w:rsidR="00C0687E">
        <w:t xml:space="preserve">still in the leading country), </w:t>
      </w:r>
      <w:proofErr w:type="spellStart"/>
      <w:r w:rsidR="00C0687E">
        <w:t>Adkisson</w:t>
      </w:r>
      <w:proofErr w:type="spellEnd"/>
      <w:r w:rsidR="00C0687E">
        <w:t xml:space="preserve"> (2010: 18) notes</w:t>
      </w:r>
      <w:r w:rsidR="00890E2D">
        <w:t xml:space="preserve"> how this concentration could stunt the discipline</w:t>
      </w:r>
      <w:r w:rsidR="00C0687E">
        <w:t>:</w:t>
      </w:r>
    </w:p>
    <w:p w:rsidR="00762D69" w:rsidRDefault="00762D69" w:rsidP="003F5128">
      <w:pPr>
        <w:spacing w:line="288" w:lineRule="auto"/>
        <w:ind w:firstLine="397"/>
        <w:jc w:val="both"/>
      </w:pPr>
    </w:p>
    <w:p w:rsidR="009A3A43" w:rsidRPr="00EE7EA2" w:rsidRDefault="00C0687E" w:rsidP="0017738C">
      <w:pPr>
        <w:autoSpaceDE w:val="0"/>
        <w:autoSpaceDN w:val="0"/>
        <w:adjustRightInd w:val="0"/>
        <w:spacing w:line="288" w:lineRule="auto"/>
        <w:ind w:left="426" w:right="522"/>
        <w:jc w:val="both"/>
        <w:rPr>
          <w:sz w:val="22"/>
          <w:szCs w:val="22"/>
        </w:rPr>
      </w:pPr>
      <w:r w:rsidRPr="00EE7EA2">
        <w:rPr>
          <w:sz w:val="22"/>
          <w:szCs w:val="22"/>
        </w:rPr>
        <w:t>Still, what if, frustrated by lack of publishing outlets, thousands of bright, well-trained economists would give up the idea of searching for new knowledge and understanding and telling others what they had found. Would they simply have to accept the knowledge created from above (top economists in top journals) and passively deliver this knowledge on to their students? Would they, rather than participating in the scientific quest and encouraging their students to do the same, simply become the mouthpiece of the elite?</w:t>
      </w:r>
    </w:p>
    <w:p w:rsidR="008B79DB" w:rsidRPr="008B79DB" w:rsidRDefault="008B79DB" w:rsidP="003F5128">
      <w:pPr>
        <w:autoSpaceDE w:val="0"/>
        <w:autoSpaceDN w:val="0"/>
        <w:adjustRightInd w:val="0"/>
        <w:spacing w:line="288" w:lineRule="auto"/>
        <w:ind w:left="227" w:right="170"/>
        <w:rPr>
          <w:sz w:val="22"/>
          <w:szCs w:val="22"/>
        </w:rPr>
      </w:pPr>
    </w:p>
    <w:p w:rsidR="008904C2" w:rsidRDefault="008C7478" w:rsidP="006B0B82">
      <w:pPr>
        <w:widowControl w:val="0"/>
        <w:spacing w:line="288" w:lineRule="auto"/>
        <w:ind w:firstLine="397"/>
        <w:jc w:val="both"/>
      </w:pPr>
      <w:r>
        <w:rPr>
          <w:bCs/>
        </w:rPr>
        <w:lastRenderedPageBreak/>
        <w:t xml:space="preserve">This risk is heightened by </w:t>
      </w:r>
      <w:r w:rsidR="00DA1936">
        <w:rPr>
          <w:bCs/>
        </w:rPr>
        <w:t xml:space="preserve">other disciplines </w:t>
      </w:r>
      <w:r>
        <w:rPr>
          <w:bCs/>
        </w:rPr>
        <w:t>increasingly citing</w:t>
      </w:r>
      <w:r w:rsidR="00DA1936">
        <w:rPr>
          <w:bCs/>
        </w:rPr>
        <w:t xml:space="preserve"> economists. For example, </w:t>
      </w:r>
      <w:r w:rsidR="00DA1936">
        <w:rPr>
          <w:bCs/>
          <w:i/>
          <w:iCs/>
        </w:rPr>
        <w:t xml:space="preserve">Web of Science </w:t>
      </w:r>
      <w:r w:rsidR="00DA1936">
        <w:rPr>
          <w:bCs/>
        </w:rPr>
        <w:t xml:space="preserve">data </w:t>
      </w:r>
      <w:r>
        <w:rPr>
          <w:bCs/>
        </w:rPr>
        <w:t xml:space="preserve">on </w:t>
      </w:r>
      <w:r w:rsidR="00DA1936">
        <w:rPr>
          <w:bCs/>
        </w:rPr>
        <w:t>citations between 17 disciplines</w:t>
      </w:r>
      <w:r>
        <w:rPr>
          <w:bCs/>
        </w:rPr>
        <w:t xml:space="preserve"> </w:t>
      </w:r>
      <w:r w:rsidR="00EE7EA2">
        <w:rPr>
          <w:bCs/>
        </w:rPr>
        <w:t xml:space="preserve">from 1970 to 2015 </w:t>
      </w:r>
      <w:r>
        <w:rPr>
          <w:bCs/>
        </w:rPr>
        <w:t xml:space="preserve">show economics </w:t>
      </w:r>
      <w:r w:rsidR="006B6CE0">
        <w:rPr>
          <w:bCs/>
        </w:rPr>
        <w:t>a</w:t>
      </w:r>
      <w:r w:rsidR="008B79DB">
        <w:rPr>
          <w:bCs/>
        </w:rPr>
        <w:t xml:space="preserve">s the </w:t>
      </w:r>
      <w:r w:rsidR="00DA1936">
        <w:rPr>
          <w:bCs/>
        </w:rPr>
        <w:t>most influential (or equal-most) social science for nine disciplines</w:t>
      </w:r>
      <w:r>
        <w:rPr>
          <w:bCs/>
        </w:rPr>
        <w:t>,</w:t>
      </w:r>
      <w:r w:rsidR="00DA1936">
        <w:rPr>
          <w:bCs/>
        </w:rPr>
        <w:t xml:space="preserve"> </w:t>
      </w:r>
      <w:r w:rsidR="00890E2D">
        <w:rPr>
          <w:bCs/>
        </w:rPr>
        <w:t xml:space="preserve">with </w:t>
      </w:r>
      <w:r w:rsidR="00DA1936">
        <w:rPr>
          <w:bCs/>
        </w:rPr>
        <w:t xml:space="preserve">a growing influence in most </w:t>
      </w:r>
      <w:r>
        <w:rPr>
          <w:bCs/>
        </w:rPr>
        <w:t xml:space="preserve">(Angrist </w:t>
      </w:r>
      <w:r w:rsidR="00D050FD" w:rsidRPr="00D050FD">
        <w:rPr>
          <w:bCs/>
          <w:i/>
        </w:rPr>
        <w:t>et al.</w:t>
      </w:r>
      <w:r>
        <w:rPr>
          <w:bCs/>
        </w:rPr>
        <w:t xml:space="preserve"> 2017)</w:t>
      </w:r>
      <w:r w:rsidR="00FA01AF">
        <w:rPr>
          <w:bCs/>
        </w:rPr>
        <w:t xml:space="preserve">. </w:t>
      </w:r>
      <w:r>
        <w:rPr>
          <w:bCs/>
        </w:rPr>
        <w:t xml:space="preserve">It is especially </w:t>
      </w:r>
      <w:r w:rsidR="000F0CCB">
        <w:rPr>
          <w:bCs/>
        </w:rPr>
        <w:t>empir</w:t>
      </w:r>
      <w:r w:rsidR="00890E2D">
        <w:rPr>
          <w:bCs/>
        </w:rPr>
        <w:t>ical work by economists that receives</w:t>
      </w:r>
      <w:r w:rsidR="000F0CCB">
        <w:rPr>
          <w:bCs/>
        </w:rPr>
        <w:t xml:space="preserve"> attention from elsewhere; this contrasts with earlier ‘economic imperialism’ (Lazear, 2000) </w:t>
      </w:r>
      <w:r>
        <w:rPr>
          <w:bCs/>
        </w:rPr>
        <w:t xml:space="preserve">that </w:t>
      </w:r>
      <w:r w:rsidR="000F0CCB">
        <w:rPr>
          <w:bCs/>
        </w:rPr>
        <w:t>focus</w:t>
      </w:r>
      <w:r>
        <w:rPr>
          <w:bCs/>
        </w:rPr>
        <w:t>ed</w:t>
      </w:r>
      <w:r w:rsidR="000F0CCB">
        <w:rPr>
          <w:bCs/>
        </w:rPr>
        <w:t xml:space="preserve"> on </w:t>
      </w:r>
      <w:r w:rsidR="008B1FAC">
        <w:rPr>
          <w:bCs/>
        </w:rPr>
        <w:t xml:space="preserve">the </w:t>
      </w:r>
      <w:r w:rsidR="000F0CCB">
        <w:rPr>
          <w:bCs/>
        </w:rPr>
        <w:t xml:space="preserve">implications </w:t>
      </w:r>
      <w:r w:rsidR="008B1FAC">
        <w:rPr>
          <w:bCs/>
        </w:rPr>
        <w:t xml:space="preserve">of </w:t>
      </w:r>
      <w:r w:rsidR="000F0CCB">
        <w:rPr>
          <w:bCs/>
        </w:rPr>
        <w:t xml:space="preserve">maximization, equilibrium and efficiency </w:t>
      </w:r>
      <w:r>
        <w:rPr>
          <w:bCs/>
        </w:rPr>
        <w:t xml:space="preserve">to occupy </w:t>
      </w:r>
      <w:r w:rsidR="008B1FAC">
        <w:rPr>
          <w:bCs/>
        </w:rPr>
        <w:t xml:space="preserve">intellectual territory </w:t>
      </w:r>
      <w:r w:rsidR="00890E2D">
        <w:rPr>
          <w:bCs/>
        </w:rPr>
        <w:t xml:space="preserve">formerly </w:t>
      </w:r>
      <w:r w:rsidR="008B1FAC">
        <w:rPr>
          <w:bCs/>
        </w:rPr>
        <w:t>outside the discipline’s realm.</w:t>
      </w:r>
      <w:r w:rsidR="006B6CE0">
        <w:rPr>
          <w:bCs/>
        </w:rPr>
        <w:t xml:space="preserve"> I</w:t>
      </w:r>
      <w:r>
        <w:rPr>
          <w:bCs/>
        </w:rPr>
        <w:t xml:space="preserve">f the </w:t>
      </w:r>
      <w:r w:rsidR="008B79DB">
        <w:rPr>
          <w:bCs/>
        </w:rPr>
        <w:t xml:space="preserve">highly cited </w:t>
      </w:r>
      <w:r>
        <w:rPr>
          <w:bCs/>
        </w:rPr>
        <w:t xml:space="preserve">empirical work </w:t>
      </w:r>
      <w:r w:rsidR="008B79DB">
        <w:rPr>
          <w:bCs/>
        </w:rPr>
        <w:t>is produced in just</w:t>
      </w:r>
      <w:r>
        <w:rPr>
          <w:bCs/>
        </w:rPr>
        <w:t xml:space="preserve"> a few </w:t>
      </w:r>
      <w:r w:rsidR="006B6CE0">
        <w:rPr>
          <w:bCs/>
        </w:rPr>
        <w:t xml:space="preserve">places </w:t>
      </w:r>
      <w:r w:rsidR="00890E2D">
        <w:rPr>
          <w:bCs/>
        </w:rPr>
        <w:t xml:space="preserve">there is a danger that other disciplines might gain a skewed understanding, </w:t>
      </w:r>
      <w:r>
        <w:rPr>
          <w:bCs/>
        </w:rPr>
        <w:t>given variation over space in the style of empirical research</w:t>
      </w:r>
      <w:r w:rsidR="00890E2D">
        <w:rPr>
          <w:bCs/>
        </w:rPr>
        <w:t>. For example,</w:t>
      </w:r>
      <w:r w:rsidR="008904C2">
        <w:rPr>
          <w:bCs/>
        </w:rPr>
        <w:t xml:space="preserve"> the so-called </w:t>
      </w:r>
      <w:r w:rsidR="00E91E14">
        <w:t>‘</w:t>
      </w:r>
      <w:r w:rsidR="008904C2">
        <w:t>credibility revolution</w:t>
      </w:r>
      <w:r w:rsidR="00E91E14">
        <w:t>’</w:t>
      </w:r>
      <w:r w:rsidR="008904C2">
        <w:t xml:space="preserve"> from increased u</w:t>
      </w:r>
      <w:r w:rsidR="0079545A">
        <w:t xml:space="preserve">se of randomized trials and </w:t>
      </w:r>
      <w:r w:rsidR="008904C2">
        <w:t xml:space="preserve">quasi-experimental research designs </w:t>
      </w:r>
      <w:r w:rsidR="006B6CE0">
        <w:t>(</w:t>
      </w:r>
      <w:proofErr w:type="spellStart"/>
      <w:r w:rsidR="006B6CE0">
        <w:t>Angist</w:t>
      </w:r>
      <w:proofErr w:type="spellEnd"/>
      <w:r w:rsidR="006B6CE0">
        <w:t xml:space="preserve"> and </w:t>
      </w:r>
      <w:proofErr w:type="spellStart"/>
      <w:r w:rsidR="006B6CE0">
        <w:t>Pischke</w:t>
      </w:r>
      <w:proofErr w:type="spellEnd"/>
      <w:r w:rsidR="00AC015A">
        <w:t xml:space="preserve"> </w:t>
      </w:r>
      <w:r w:rsidR="006B6CE0">
        <w:t xml:space="preserve">2010) </w:t>
      </w:r>
      <w:r w:rsidR="008904C2">
        <w:t>is especially associated with MIT</w:t>
      </w:r>
      <w:r w:rsidR="004571D8">
        <w:t>. Yet t</w:t>
      </w:r>
      <w:r w:rsidR="006B6CE0">
        <w:t>he</w:t>
      </w:r>
      <w:r w:rsidR="008904C2">
        <w:t xml:space="preserve"> doubts </w:t>
      </w:r>
      <w:r w:rsidR="006B6CE0">
        <w:t xml:space="preserve">raised </w:t>
      </w:r>
      <w:r w:rsidR="008904C2">
        <w:t>about this approach (</w:t>
      </w:r>
      <w:r w:rsidR="00D050FD" w:rsidRPr="00D050FD">
        <w:t>for example,</w:t>
      </w:r>
      <w:r w:rsidR="0079545A">
        <w:t xml:space="preserve"> </w:t>
      </w:r>
      <w:r w:rsidR="008904C2">
        <w:t>Keane 2010</w:t>
      </w:r>
      <w:r w:rsidR="00AC015A">
        <w:t>,</w:t>
      </w:r>
      <w:r w:rsidR="008904C2">
        <w:t xml:space="preserve"> </w:t>
      </w:r>
      <w:r w:rsidR="0079545A">
        <w:t>Deaton 2010</w:t>
      </w:r>
      <w:r w:rsidR="00AC015A">
        <w:t>,</w:t>
      </w:r>
      <w:r w:rsidR="0079545A">
        <w:t xml:space="preserve"> </w:t>
      </w:r>
      <w:r w:rsidR="00AC015A">
        <w:t xml:space="preserve">and </w:t>
      </w:r>
      <w:r w:rsidR="0058662E">
        <w:t>Deaton and Cartwright</w:t>
      </w:r>
      <w:r w:rsidR="00AC015A">
        <w:t xml:space="preserve"> </w:t>
      </w:r>
      <w:r w:rsidR="0058662E">
        <w:t>2018</w:t>
      </w:r>
      <w:r w:rsidR="008904C2">
        <w:t>)</w:t>
      </w:r>
      <w:r w:rsidR="0079545A">
        <w:t xml:space="preserve"> may be </w:t>
      </w:r>
      <w:r w:rsidR="006B6CE0">
        <w:t xml:space="preserve">downplayed or </w:t>
      </w:r>
      <w:r w:rsidR="0079545A">
        <w:t xml:space="preserve">missed </w:t>
      </w:r>
      <w:r w:rsidR="006B6CE0">
        <w:t xml:space="preserve">entirely </w:t>
      </w:r>
      <w:r w:rsidR="0079545A">
        <w:t>due to the extreme concentration in economics citations</w:t>
      </w:r>
      <w:r w:rsidR="008904C2">
        <w:t>.</w:t>
      </w:r>
    </w:p>
    <w:p w:rsidR="00762D69" w:rsidRDefault="00762D69" w:rsidP="003F5128">
      <w:pPr>
        <w:widowControl w:val="0"/>
        <w:spacing w:line="288" w:lineRule="auto"/>
        <w:jc w:val="both"/>
      </w:pPr>
    </w:p>
    <w:p w:rsidR="00C0687E" w:rsidRDefault="006B6CE0" w:rsidP="003F5128">
      <w:pPr>
        <w:spacing w:line="288" w:lineRule="auto"/>
        <w:ind w:firstLine="397"/>
        <w:jc w:val="both"/>
      </w:pPr>
      <w:r>
        <w:t>A s</w:t>
      </w:r>
      <w:r w:rsidR="00C0687E">
        <w:t>econd</w:t>
      </w:r>
      <w:r>
        <w:t xml:space="preserve"> reason why concentration in economics versus other disciplines matters is that </w:t>
      </w:r>
      <w:r w:rsidR="00C0687E">
        <w:t xml:space="preserve">countries and </w:t>
      </w:r>
      <w:r>
        <w:t xml:space="preserve">research </w:t>
      </w:r>
      <w:r w:rsidR="00C0687E">
        <w:t xml:space="preserve">institutions </w:t>
      </w:r>
      <w:r>
        <w:t>often try to incentivize</w:t>
      </w:r>
      <w:r w:rsidR="00C0687E">
        <w:t xml:space="preserve"> </w:t>
      </w:r>
      <w:r>
        <w:t xml:space="preserve">academics to publish in the top journals in their discipline. The growth in performance-based university funding systems is both a cause and a symptom of this type of rankings focus. </w:t>
      </w:r>
      <w:r w:rsidR="00C921D3">
        <w:t xml:space="preserve">With such a high proportion </w:t>
      </w:r>
      <w:r>
        <w:t xml:space="preserve">of the space in the top journals in economics – and even more so for the citations to articles </w:t>
      </w:r>
      <w:r w:rsidR="00C921D3">
        <w:t xml:space="preserve">in these journals </w:t>
      </w:r>
      <w:r>
        <w:t xml:space="preserve">– taken up by researchers based in </w:t>
      </w:r>
      <w:r w:rsidR="004571D8">
        <w:t xml:space="preserve">just </w:t>
      </w:r>
      <w:r>
        <w:t xml:space="preserve">a few small areas, there is much less opportunity for </w:t>
      </w:r>
      <w:r w:rsidR="003A3BAF">
        <w:t xml:space="preserve">the </w:t>
      </w:r>
      <w:r>
        <w:t xml:space="preserve">economists </w:t>
      </w:r>
      <w:r w:rsidR="00EE7EA2">
        <w:t xml:space="preserve">who are </w:t>
      </w:r>
      <w:r>
        <w:t xml:space="preserve">located outside these favored </w:t>
      </w:r>
      <w:r w:rsidR="00C24542">
        <w:t xml:space="preserve">areas </w:t>
      </w:r>
      <w:r>
        <w:t>to</w:t>
      </w:r>
      <w:r w:rsidR="00C0687E">
        <w:t xml:space="preserve"> break </w:t>
      </w:r>
      <w:r>
        <w:t xml:space="preserve">into the top journals than </w:t>
      </w:r>
      <w:r w:rsidR="00C0687E">
        <w:t xml:space="preserve">is </w:t>
      </w:r>
      <w:r>
        <w:t xml:space="preserve">the case for </w:t>
      </w:r>
      <w:r w:rsidR="003A3BAF">
        <w:t xml:space="preserve">their colleagues </w:t>
      </w:r>
      <w:r w:rsidR="00C0687E">
        <w:t xml:space="preserve">in other, more open, </w:t>
      </w:r>
      <w:r w:rsidR="003A3BAF">
        <w:t xml:space="preserve">academic </w:t>
      </w:r>
      <w:r w:rsidR="00C0687E">
        <w:t xml:space="preserve">disciplines. </w:t>
      </w:r>
    </w:p>
    <w:p w:rsidR="00762D69" w:rsidRDefault="00762D69" w:rsidP="003F5128">
      <w:pPr>
        <w:spacing w:line="288" w:lineRule="auto"/>
        <w:ind w:firstLine="397"/>
        <w:jc w:val="both"/>
      </w:pPr>
    </w:p>
    <w:p w:rsidR="00C921D3" w:rsidRDefault="00C921D3" w:rsidP="003F5128">
      <w:pPr>
        <w:spacing w:line="288" w:lineRule="auto"/>
        <w:ind w:firstLine="397"/>
        <w:jc w:val="both"/>
      </w:pPr>
      <w:r>
        <w:t xml:space="preserve">The rest of the paper is as follows: Section 2 has a brief review of previous studies of concentration in economics that use </w:t>
      </w:r>
      <w:proofErr w:type="spellStart"/>
      <w:r>
        <w:t>scientometric</w:t>
      </w:r>
      <w:proofErr w:type="spellEnd"/>
      <w:r>
        <w:t xml:space="preserve"> approaches. The data and methods used in this study are described in Section 3, while Section 4 has the results and Section 5 concludes.</w:t>
      </w:r>
    </w:p>
    <w:p w:rsidR="00762D69" w:rsidRDefault="00762D69" w:rsidP="003F5128">
      <w:pPr>
        <w:spacing w:line="288" w:lineRule="auto"/>
        <w:ind w:firstLine="397"/>
        <w:jc w:val="both"/>
      </w:pPr>
    </w:p>
    <w:p w:rsidR="006A0D8F" w:rsidRPr="00B1450C" w:rsidRDefault="00413C06" w:rsidP="00762D69">
      <w:pPr>
        <w:pStyle w:val="ListParagraph"/>
        <w:numPr>
          <w:ilvl w:val="0"/>
          <w:numId w:val="32"/>
        </w:numPr>
        <w:spacing w:line="288" w:lineRule="auto"/>
        <w:ind w:left="284" w:hanging="284"/>
        <w:rPr>
          <w:b/>
          <w:bCs/>
        </w:rPr>
      </w:pPr>
      <w:r>
        <w:rPr>
          <w:b/>
          <w:bCs/>
        </w:rPr>
        <w:t>P</w:t>
      </w:r>
      <w:r w:rsidR="00762D69">
        <w:rPr>
          <w:b/>
          <w:bCs/>
        </w:rPr>
        <w:t>revious Literature</w:t>
      </w:r>
    </w:p>
    <w:p w:rsidR="00762D69" w:rsidRPr="00762D69" w:rsidRDefault="00762D69" w:rsidP="003F5128">
      <w:pPr>
        <w:spacing w:line="288" w:lineRule="auto"/>
        <w:jc w:val="both"/>
        <w:rPr>
          <w:sz w:val="12"/>
          <w:szCs w:val="12"/>
        </w:rPr>
      </w:pPr>
    </w:p>
    <w:p w:rsidR="00483EB7" w:rsidRDefault="00483EB7" w:rsidP="003F5128">
      <w:pPr>
        <w:spacing w:line="288" w:lineRule="auto"/>
        <w:jc w:val="both"/>
      </w:pPr>
      <w:r w:rsidRPr="00700D28">
        <w:t xml:space="preserve">Several recent papers </w:t>
      </w:r>
      <w:r w:rsidR="00ED5B31">
        <w:t>have analyzed quantitative data on the top five journals in economics (</w:t>
      </w:r>
      <w:r w:rsidR="00ED5B31">
        <w:rPr>
          <w:i/>
          <w:iCs/>
        </w:rPr>
        <w:t>AER</w:t>
      </w:r>
      <w:r w:rsidR="00ED5B31">
        <w:t xml:space="preserve">, </w:t>
      </w:r>
      <w:proofErr w:type="spellStart"/>
      <w:r w:rsidR="00ED5B31">
        <w:rPr>
          <w:i/>
          <w:iCs/>
        </w:rPr>
        <w:t>Econometrica</w:t>
      </w:r>
      <w:proofErr w:type="spellEnd"/>
      <w:r w:rsidR="00ED5B31">
        <w:t xml:space="preserve">, </w:t>
      </w:r>
      <w:r w:rsidR="00ED5B31">
        <w:rPr>
          <w:i/>
          <w:iCs/>
        </w:rPr>
        <w:t>JPE</w:t>
      </w:r>
      <w:r w:rsidR="00ED5B31">
        <w:t xml:space="preserve">, </w:t>
      </w:r>
      <w:r w:rsidR="00ED5B31">
        <w:rPr>
          <w:i/>
          <w:iCs/>
        </w:rPr>
        <w:t>QJE</w:t>
      </w:r>
      <w:r w:rsidR="00ED5B31">
        <w:t xml:space="preserve">, and </w:t>
      </w:r>
      <w:r w:rsidR="00ED5B31">
        <w:rPr>
          <w:i/>
          <w:iCs/>
        </w:rPr>
        <w:t>Review of Economic Studies</w:t>
      </w:r>
      <w:r w:rsidR="00ED5B31">
        <w:t>). In a study of one aspect of insularity</w:t>
      </w:r>
      <w:r w:rsidR="006470B0">
        <w:t>,</w:t>
      </w:r>
      <w:r w:rsidR="00ED5B31">
        <w:t xml:space="preserve"> </w:t>
      </w:r>
      <w:proofErr w:type="spellStart"/>
      <w:r w:rsidR="00ED5B31">
        <w:t>Aistleitner</w:t>
      </w:r>
      <w:proofErr w:type="spellEnd"/>
      <w:r w:rsidR="00ED5B31">
        <w:t xml:space="preserve"> </w:t>
      </w:r>
      <w:r w:rsidR="00D050FD" w:rsidRPr="00D050FD">
        <w:rPr>
          <w:i/>
        </w:rPr>
        <w:t>et al.</w:t>
      </w:r>
      <w:r w:rsidR="00ED5B31">
        <w:t xml:space="preserve"> (2017) examine citation patterns for the top five journals and compare them with the patterns for the top five journals in other disciplines. The focus is on what the authors call ‘self-referentiality’, which is the proportion of references for articles in the top five journals over the period 2009 to 2013 that </w:t>
      </w:r>
      <w:r w:rsidR="00E266EB">
        <w:t>cite</w:t>
      </w:r>
      <w:r w:rsidR="00ED5B31">
        <w:t xml:space="preserve"> the same group of journals.</w:t>
      </w:r>
      <w:r w:rsidR="0016214E">
        <w:t xml:space="preserve"> For economics, 28% of references are to other articles in the same </w:t>
      </w:r>
      <w:r w:rsidR="004830C2">
        <w:t xml:space="preserve">group of </w:t>
      </w:r>
      <w:r w:rsidR="0016214E">
        <w:t>journals. For the comparison disciplines the average rat</w:t>
      </w:r>
      <w:r w:rsidR="004830C2">
        <w:t>e of self-referentiality is just</w:t>
      </w:r>
      <w:r w:rsidR="0016214E">
        <w:t xml:space="preserve"> 12%. </w:t>
      </w:r>
      <w:r w:rsidR="004830C2">
        <w:t xml:space="preserve">From </w:t>
      </w:r>
      <w:r w:rsidR="0016214E">
        <w:t xml:space="preserve">these findings, </w:t>
      </w:r>
      <w:r w:rsidR="004830C2">
        <w:t xml:space="preserve">and </w:t>
      </w:r>
      <w:r w:rsidR="0016214E">
        <w:t xml:space="preserve">other </w:t>
      </w:r>
      <w:proofErr w:type="spellStart"/>
      <w:r w:rsidR="0016214E">
        <w:t>scientometric</w:t>
      </w:r>
      <w:proofErr w:type="spellEnd"/>
      <w:r w:rsidR="0016214E">
        <w:t xml:space="preserve"> analyses, the authors conclude that economics is a self-referential intellectual project</w:t>
      </w:r>
      <w:r w:rsidR="004830C2">
        <w:t>,</w:t>
      </w:r>
      <w:r w:rsidR="0016214E">
        <w:t xml:space="preserve"> largely inaccessible to outsiders; in other words, it is quite insular.</w:t>
      </w:r>
    </w:p>
    <w:p w:rsidR="00762D69" w:rsidRDefault="00762D69" w:rsidP="003F5128">
      <w:pPr>
        <w:spacing w:line="288" w:lineRule="auto"/>
        <w:jc w:val="both"/>
      </w:pPr>
    </w:p>
    <w:p w:rsidR="001C3395" w:rsidRDefault="0016214E" w:rsidP="003F5128">
      <w:pPr>
        <w:spacing w:line="288" w:lineRule="auto"/>
        <w:ind w:firstLine="357"/>
        <w:jc w:val="both"/>
      </w:pPr>
      <w:r>
        <w:lastRenderedPageBreak/>
        <w:t xml:space="preserve">There are also studies of the top journals in economics that </w:t>
      </w:r>
      <w:r w:rsidR="001C3395">
        <w:t xml:space="preserve">do not use </w:t>
      </w:r>
      <w:r>
        <w:t xml:space="preserve">comparison disciplines. Card and </w:t>
      </w:r>
      <w:proofErr w:type="spellStart"/>
      <w:r>
        <w:t>DellaVigna</w:t>
      </w:r>
      <w:proofErr w:type="spellEnd"/>
      <w:r>
        <w:t xml:space="preserve"> (2013) examine trends in the top five journals from 1970 to 2012, </w:t>
      </w:r>
      <w:r w:rsidR="00EF7893">
        <w:t xml:space="preserve">in terms of </w:t>
      </w:r>
      <w:r w:rsidR="001C3395">
        <w:t xml:space="preserve">the changes in </w:t>
      </w:r>
      <w:r>
        <w:t xml:space="preserve">rankings </w:t>
      </w:r>
      <w:r w:rsidR="001C3395">
        <w:t>between them</w:t>
      </w:r>
      <w:r>
        <w:t xml:space="preserve">, </w:t>
      </w:r>
      <w:r w:rsidR="00EF7893">
        <w:t xml:space="preserve">the </w:t>
      </w:r>
      <w:r w:rsidR="001C3395">
        <w:t xml:space="preserve">changes in </w:t>
      </w:r>
      <w:r w:rsidR="00EF7893">
        <w:t xml:space="preserve">their </w:t>
      </w:r>
      <w:r w:rsidR="001C3395">
        <w:t xml:space="preserve">acceptance rates, in </w:t>
      </w:r>
      <w:r w:rsidR="00EF7893">
        <w:t xml:space="preserve">article </w:t>
      </w:r>
      <w:r w:rsidR="001C3395">
        <w:t>length</w:t>
      </w:r>
      <w:r w:rsidR="00EF7893">
        <w:t>s</w:t>
      </w:r>
      <w:r w:rsidR="001C3395">
        <w:t xml:space="preserve"> and co-authorship, and the changing composition of the fields that are represented. An analysis of </w:t>
      </w:r>
      <w:r w:rsidR="00B4632B">
        <w:rPr>
          <w:i/>
          <w:iCs/>
        </w:rPr>
        <w:t>Google Scholar</w:t>
      </w:r>
      <w:r w:rsidR="00B4632B">
        <w:t xml:space="preserve"> </w:t>
      </w:r>
      <w:r w:rsidR="001C3395">
        <w:t>citations</w:t>
      </w:r>
      <w:r w:rsidR="00B4632B">
        <w:t xml:space="preserve"> shows </w:t>
      </w:r>
      <w:r w:rsidR="00EF7893">
        <w:t xml:space="preserve">longer papers are cited more and this is </w:t>
      </w:r>
      <w:r w:rsidR="00B4632B">
        <w:t>claimed to be evidence of authors responding</w:t>
      </w:r>
      <w:r w:rsidR="00EF7893">
        <w:t xml:space="preserve"> to </w:t>
      </w:r>
      <w:r w:rsidR="00B4632B">
        <w:t>the heightened competition</w:t>
      </w:r>
      <w:r w:rsidR="00EF7893">
        <w:t xml:space="preserve"> to get into the top journals by improving the quality of their papers, and </w:t>
      </w:r>
      <w:r w:rsidR="00B4632B">
        <w:t xml:space="preserve">this process </w:t>
      </w:r>
      <w:r w:rsidR="00EF7893">
        <w:t>has made them longer.</w:t>
      </w:r>
      <w:r w:rsidR="001C3395">
        <w:t xml:space="preserve"> A related analysis by </w:t>
      </w:r>
      <w:proofErr w:type="spellStart"/>
      <w:r w:rsidR="001C3395">
        <w:t>Hamermesh</w:t>
      </w:r>
      <w:proofErr w:type="spellEnd"/>
      <w:r w:rsidR="001C3395">
        <w:t xml:space="preserve"> (2013)</w:t>
      </w:r>
      <w:r w:rsidR="00EF7893">
        <w:t xml:space="preserve"> looks at articles in the </w:t>
      </w:r>
      <w:r w:rsidR="00EF7893">
        <w:rPr>
          <w:i/>
          <w:iCs/>
        </w:rPr>
        <w:t>AER</w:t>
      </w:r>
      <w:r w:rsidR="00EF7893">
        <w:t xml:space="preserve">, </w:t>
      </w:r>
      <w:r w:rsidR="00EF7893">
        <w:rPr>
          <w:i/>
          <w:iCs/>
        </w:rPr>
        <w:t>JPE</w:t>
      </w:r>
      <w:r w:rsidR="00EF7893">
        <w:t xml:space="preserve"> and </w:t>
      </w:r>
      <w:r w:rsidR="00EF7893">
        <w:rPr>
          <w:i/>
          <w:iCs/>
        </w:rPr>
        <w:t>QJE</w:t>
      </w:r>
      <w:r w:rsidR="00EF7893">
        <w:t xml:space="preserve"> from one year in each decade from the 1960s to the 2010s in order to establish long-term trends. There has been a rise in the share of empirical studies based on laboratory or field</w:t>
      </w:r>
      <w:r w:rsidR="00D2708B">
        <w:t xml:space="preserve"> experiments and other forms of data </w:t>
      </w:r>
      <w:r w:rsidR="00E266EB">
        <w:t xml:space="preserve">that are </w:t>
      </w:r>
      <w:r w:rsidR="00D2708B">
        <w:t>collected by investigators, at the expense of theory studies and empirical studies that borrow data from elsewhere (such a</w:t>
      </w:r>
      <w:r w:rsidR="009443F4">
        <w:t xml:space="preserve">s government statistics). </w:t>
      </w:r>
      <w:r w:rsidR="008C575E">
        <w:t>I</w:t>
      </w:r>
      <w:r w:rsidR="00D2708B">
        <w:t>nve</w:t>
      </w:r>
      <w:r w:rsidR="004830C2">
        <w:t>stigator-collected data</w:t>
      </w:r>
      <w:r w:rsidR="008C575E">
        <w:t xml:space="preserve"> needs more research infrastructure</w:t>
      </w:r>
      <w:r w:rsidR="00D2708B">
        <w:t>, such as de</w:t>
      </w:r>
      <w:r w:rsidR="00B4632B">
        <w:t xml:space="preserve">dicated </w:t>
      </w:r>
      <w:r w:rsidR="008C575E">
        <w:t xml:space="preserve">experimental economics </w:t>
      </w:r>
      <w:r w:rsidR="00B4632B">
        <w:t xml:space="preserve">laboratories, </w:t>
      </w:r>
      <w:r w:rsidR="009443F4">
        <w:t xml:space="preserve">so </w:t>
      </w:r>
      <w:r w:rsidR="00B4632B">
        <w:t>this change</w:t>
      </w:r>
      <w:r w:rsidR="00D2708B">
        <w:t xml:space="preserve"> in empirical methods could contribute to a rise in the micro-geographic concentration of research.</w:t>
      </w:r>
    </w:p>
    <w:p w:rsidR="00762D69" w:rsidRPr="00EF7893" w:rsidRDefault="00762D69" w:rsidP="003F5128">
      <w:pPr>
        <w:spacing w:line="288" w:lineRule="auto"/>
        <w:ind w:firstLine="357"/>
        <w:jc w:val="both"/>
      </w:pPr>
    </w:p>
    <w:p w:rsidR="001C3395" w:rsidRDefault="001C3395" w:rsidP="003F5128">
      <w:pPr>
        <w:spacing w:line="288" w:lineRule="auto"/>
        <w:ind w:firstLine="357"/>
        <w:jc w:val="both"/>
      </w:pPr>
      <w:r>
        <w:t xml:space="preserve">A larger analysis is based on 3.5 million citations to 450,000 research items published from 1956 to 2016 (or from when a journal was first included in </w:t>
      </w:r>
      <w:r>
        <w:rPr>
          <w:i/>
          <w:iCs/>
        </w:rPr>
        <w:t>Web of Science</w:t>
      </w:r>
      <w:r>
        <w:t>) for 675 economics journals (</w:t>
      </w:r>
      <w:proofErr w:type="spellStart"/>
      <w:r>
        <w:t>Gloetzl</w:t>
      </w:r>
      <w:proofErr w:type="spellEnd"/>
      <w:r>
        <w:t xml:space="preserve"> and Aigner, 2017). Over one-quarter (28%) of these citations were to articles in the top five journals (</w:t>
      </w:r>
      <w:r>
        <w:rPr>
          <w:i/>
          <w:iCs/>
        </w:rPr>
        <w:t>AER</w:t>
      </w:r>
      <w:r>
        <w:t xml:space="preserve">, </w:t>
      </w:r>
      <w:r>
        <w:rPr>
          <w:i/>
          <w:iCs/>
        </w:rPr>
        <w:t>JPE</w:t>
      </w:r>
      <w:r>
        <w:t xml:space="preserve">, </w:t>
      </w:r>
      <w:r>
        <w:rPr>
          <w:i/>
          <w:iCs/>
        </w:rPr>
        <w:t>QJE</w:t>
      </w:r>
      <w:r>
        <w:t xml:space="preserve">, </w:t>
      </w:r>
      <w:proofErr w:type="spellStart"/>
      <w:r>
        <w:rPr>
          <w:i/>
          <w:iCs/>
        </w:rPr>
        <w:t>Econometrica</w:t>
      </w:r>
      <w:proofErr w:type="spellEnd"/>
      <w:r>
        <w:t xml:space="preserve">, and the </w:t>
      </w:r>
      <w:r>
        <w:rPr>
          <w:i/>
          <w:iCs/>
        </w:rPr>
        <w:t>Review of Economic Studies</w:t>
      </w:r>
      <w:r>
        <w:t>) even though these journals were home to only 8% of all articles.</w:t>
      </w:r>
      <w:r w:rsidR="00B4632B">
        <w:t xml:space="preserve"> T</w:t>
      </w:r>
      <w:r>
        <w:t xml:space="preserve">he top five </w:t>
      </w:r>
      <w:r w:rsidR="00B4632B">
        <w:t xml:space="preserve">journals </w:t>
      </w:r>
      <w:r>
        <w:t>published 71% of the 100 most-cited articles and this share was stable over time even as the number of journals increased from 40 in 1956 to 675 in 2016; this is indicative of rising concentration over time for citations in economics.</w:t>
      </w:r>
      <w:r w:rsidR="00E266EB">
        <w:t xml:space="preserve"> In addition to concentration in terms of journals, economics is also highly concentrated by institution, with the top five institutions accounting for 19</w:t>
      </w:r>
      <w:r w:rsidR="008C575E">
        <w:t>%</w:t>
      </w:r>
      <w:r w:rsidR="00E266EB">
        <w:t xml:space="preserve"> of all citations, in terms of where authors are affiliated (</w:t>
      </w:r>
      <w:proofErr w:type="spellStart"/>
      <w:r w:rsidR="00E266EB">
        <w:t>Gloetzl</w:t>
      </w:r>
      <w:proofErr w:type="spellEnd"/>
      <w:r w:rsidR="00E266EB">
        <w:t xml:space="preserve"> and Aigner</w:t>
      </w:r>
      <w:r w:rsidR="006470B0">
        <w:t xml:space="preserve"> </w:t>
      </w:r>
      <w:r w:rsidR="00E266EB">
        <w:t>2017).</w:t>
      </w:r>
    </w:p>
    <w:p w:rsidR="00762D69" w:rsidRDefault="00762D69" w:rsidP="003F5128">
      <w:pPr>
        <w:spacing w:line="288" w:lineRule="auto"/>
        <w:ind w:firstLine="357"/>
        <w:jc w:val="both"/>
      </w:pPr>
    </w:p>
    <w:p w:rsidR="00483EB7" w:rsidRDefault="00672881" w:rsidP="003F5128">
      <w:pPr>
        <w:spacing w:line="288" w:lineRule="auto"/>
        <w:ind w:firstLine="357"/>
        <w:jc w:val="both"/>
      </w:pPr>
      <w:r>
        <w:t xml:space="preserve">Moreover, the degree of concentration amongst elite departments is even stronger </w:t>
      </w:r>
      <w:r w:rsidR="00AC0EE1">
        <w:t xml:space="preserve">for </w:t>
      </w:r>
      <w:r>
        <w:t xml:space="preserve">where economists </w:t>
      </w:r>
      <w:r w:rsidR="00AC0EE1">
        <w:t>get</w:t>
      </w:r>
      <w:r>
        <w:t xml:space="preserve"> their PhD, rather than </w:t>
      </w:r>
      <w:r w:rsidR="00AC0EE1">
        <w:t xml:space="preserve">for </w:t>
      </w:r>
      <w:r w:rsidR="00E6706E">
        <w:t>where they are employed</w:t>
      </w:r>
      <w:r>
        <w:t xml:space="preserve">. </w:t>
      </w:r>
      <w:r w:rsidR="00AC0EE1">
        <w:t>While o</w:t>
      </w:r>
      <w:r>
        <w:t>ne-fifth of authors</w:t>
      </w:r>
      <w:r w:rsidR="00E6706E">
        <w:t xml:space="preserve"> of the</w:t>
      </w:r>
      <w:r>
        <w:t xml:space="preserve"> articles published in 1995 </w:t>
      </w:r>
      <w:r w:rsidR="00E6706E">
        <w:t xml:space="preserve">in </w:t>
      </w:r>
      <w:r>
        <w:t xml:space="preserve">a </w:t>
      </w:r>
      <w:r w:rsidR="00E6706E">
        <w:t xml:space="preserve">group of </w:t>
      </w:r>
      <w:r w:rsidR="0059536A">
        <w:t>top 30</w:t>
      </w:r>
      <w:r>
        <w:t xml:space="preserve"> economics journals were </w:t>
      </w:r>
      <w:r w:rsidR="000A1257">
        <w:t xml:space="preserve">from </w:t>
      </w:r>
      <w:r>
        <w:t xml:space="preserve">12 elite U.S. universities, more than half of the authors of articles </w:t>
      </w:r>
      <w:r w:rsidR="0059536A">
        <w:t xml:space="preserve">in these journals </w:t>
      </w:r>
      <w:r>
        <w:t>received their PhD at these universities (Hodgson and Rothman</w:t>
      </w:r>
      <w:r w:rsidR="006470B0">
        <w:t xml:space="preserve"> </w:t>
      </w:r>
      <w:r>
        <w:t xml:space="preserve">1999). </w:t>
      </w:r>
      <w:r w:rsidR="00AC0EE1">
        <w:t>In a</w:t>
      </w:r>
      <w:r>
        <w:t xml:space="preserve">n update of this study, for </w:t>
      </w:r>
      <w:r w:rsidR="000A1257">
        <w:t xml:space="preserve">2014 </w:t>
      </w:r>
      <w:r>
        <w:t xml:space="preserve">articles in three top journals – the </w:t>
      </w:r>
      <w:r w:rsidR="0059536A" w:rsidRPr="0059536A">
        <w:rPr>
          <w:i/>
          <w:iCs/>
        </w:rPr>
        <w:t>AER</w:t>
      </w:r>
      <w:r>
        <w:t xml:space="preserve">, </w:t>
      </w:r>
      <w:r w:rsidR="0059536A" w:rsidRPr="0059536A">
        <w:rPr>
          <w:i/>
          <w:iCs/>
        </w:rPr>
        <w:t>JPE</w:t>
      </w:r>
      <w:r>
        <w:t xml:space="preserve">, and </w:t>
      </w:r>
      <w:r w:rsidR="0059536A" w:rsidRPr="0059536A">
        <w:rPr>
          <w:i/>
          <w:iCs/>
        </w:rPr>
        <w:t>QJE</w:t>
      </w:r>
      <w:r w:rsidR="00AC0EE1">
        <w:t xml:space="preserve"> – over one third (38%) of </w:t>
      </w:r>
      <w:r w:rsidR="009C39D5">
        <w:t xml:space="preserve">the </w:t>
      </w:r>
      <w:r w:rsidR="00AC0EE1">
        <w:t xml:space="preserve">authors were affiliated with the 12 elite universities while 55% of the authors </w:t>
      </w:r>
      <w:r w:rsidR="000A1257">
        <w:t xml:space="preserve">had </w:t>
      </w:r>
      <w:r w:rsidR="00AC0EE1">
        <w:t>received their PhD from this group of universities (</w:t>
      </w:r>
      <w:proofErr w:type="spellStart"/>
      <w:r w:rsidR="00AC0EE1">
        <w:t>Aistleitner</w:t>
      </w:r>
      <w:proofErr w:type="spellEnd"/>
      <w:r w:rsidR="00AC0EE1">
        <w:t xml:space="preserve"> </w:t>
      </w:r>
      <w:r w:rsidR="00D050FD" w:rsidRPr="00D050FD">
        <w:rPr>
          <w:i/>
        </w:rPr>
        <w:t>et al.</w:t>
      </w:r>
      <w:r w:rsidR="00AC0EE1">
        <w:t xml:space="preserve"> 2017).</w:t>
      </w:r>
      <w:r w:rsidR="00E266EB">
        <w:t xml:space="preserve"> This suggests that studying micro-geographic concentration in terms of author </w:t>
      </w:r>
      <w:r w:rsidR="008C575E">
        <w:t xml:space="preserve">affiliations </w:t>
      </w:r>
      <w:r w:rsidR="00E266EB">
        <w:t xml:space="preserve">will provide a lower bound on the extent of spatial heterogeneity </w:t>
      </w:r>
      <w:r w:rsidR="00B4632B">
        <w:t xml:space="preserve">in economics </w:t>
      </w:r>
      <w:r w:rsidR="00E266EB">
        <w:t>since the locations where highly ranked economists received their doctoral training may be even more spatially concentrated</w:t>
      </w:r>
      <w:r w:rsidR="00B4632B">
        <w:t xml:space="preserve"> than are their employing institutions</w:t>
      </w:r>
      <w:r w:rsidR="00E266EB">
        <w:t>.</w:t>
      </w:r>
    </w:p>
    <w:p w:rsidR="00762D69" w:rsidRDefault="00762D69" w:rsidP="003F5128">
      <w:pPr>
        <w:spacing w:line="288" w:lineRule="auto"/>
        <w:ind w:firstLine="357"/>
        <w:jc w:val="both"/>
        <w:rPr>
          <w:bCs/>
        </w:rPr>
      </w:pPr>
    </w:p>
    <w:p w:rsidR="00EF02EF" w:rsidRDefault="00EF02EF" w:rsidP="003F5128">
      <w:pPr>
        <w:spacing w:line="288" w:lineRule="auto"/>
        <w:ind w:firstLine="357"/>
        <w:jc w:val="both"/>
        <w:rPr>
          <w:bCs/>
        </w:rPr>
      </w:pPr>
    </w:p>
    <w:p w:rsidR="00EF02EF" w:rsidRPr="00E266EB" w:rsidRDefault="00EF02EF" w:rsidP="003F5128">
      <w:pPr>
        <w:spacing w:line="288" w:lineRule="auto"/>
        <w:ind w:firstLine="357"/>
        <w:jc w:val="both"/>
        <w:rPr>
          <w:bCs/>
        </w:rPr>
      </w:pPr>
    </w:p>
    <w:p w:rsidR="002B7592" w:rsidRDefault="0059536A" w:rsidP="00762D69">
      <w:pPr>
        <w:keepNext/>
        <w:numPr>
          <w:ilvl w:val="0"/>
          <w:numId w:val="32"/>
        </w:numPr>
        <w:tabs>
          <w:tab w:val="left" w:pos="284"/>
        </w:tabs>
        <w:spacing w:line="288" w:lineRule="auto"/>
        <w:ind w:left="426" w:hanging="426"/>
        <w:rPr>
          <w:b/>
          <w:bCs/>
        </w:rPr>
      </w:pPr>
      <w:r>
        <w:rPr>
          <w:b/>
          <w:bCs/>
        </w:rPr>
        <w:lastRenderedPageBreak/>
        <w:t>D</w:t>
      </w:r>
      <w:r w:rsidR="00762D69">
        <w:rPr>
          <w:b/>
          <w:bCs/>
        </w:rPr>
        <w:t>ata and Methods</w:t>
      </w:r>
    </w:p>
    <w:p w:rsidR="00762D69" w:rsidRPr="00762D69" w:rsidRDefault="00762D69" w:rsidP="003F5128">
      <w:pPr>
        <w:spacing w:line="288" w:lineRule="auto"/>
        <w:jc w:val="both"/>
        <w:rPr>
          <w:sz w:val="12"/>
          <w:szCs w:val="12"/>
        </w:rPr>
      </w:pPr>
    </w:p>
    <w:p w:rsidR="0024330D" w:rsidRDefault="003A3BAF" w:rsidP="003F5128">
      <w:pPr>
        <w:spacing w:line="288" w:lineRule="auto"/>
        <w:jc w:val="both"/>
      </w:pPr>
      <w:r>
        <w:t>In order t</w:t>
      </w:r>
      <w:r w:rsidR="0024330D">
        <w:t>o assess if economics research is unusually concentrated at the micro-geographic level</w:t>
      </w:r>
      <w:r>
        <w:t>,</w:t>
      </w:r>
      <w:r w:rsidR="0024330D">
        <w:t xml:space="preserve"> five comparator disciplines</w:t>
      </w:r>
      <w:r>
        <w:t xml:space="preserve"> are used</w:t>
      </w:r>
      <w:r w:rsidR="0024330D">
        <w:t xml:space="preserve">. This </w:t>
      </w:r>
      <w:r>
        <w:t xml:space="preserve">need </w:t>
      </w:r>
      <w:r w:rsidR="00971B12">
        <w:t xml:space="preserve">for more than one </w:t>
      </w:r>
      <w:r>
        <w:t xml:space="preserve">comparator </w:t>
      </w:r>
      <w:r w:rsidR="0024330D">
        <w:t>reflects an analysis by Hudson (2017)</w:t>
      </w:r>
      <w:r w:rsidR="00E266EB">
        <w:t xml:space="preserve"> of</w:t>
      </w:r>
      <w:r w:rsidR="0024330D">
        <w:t xml:space="preserve"> journal article titles from the 2014 Research Excellence Framework (REF) in the UK, which suggests that most of economics does not link closely with any other discipline. Each </w:t>
      </w:r>
      <w:r>
        <w:t xml:space="preserve">of the five </w:t>
      </w:r>
      <w:r w:rsidR="0024330D">
        <w:t>comparator</w:t>
      </w:r>
      <w:r>
        <w:t>s</w:t>
      </w:r>
      <w:r w:rsidR="0024330D">
        <w:t xml:space="preserve"> has attributes relevant to </w:t>
      </w:r>
      <w:r>
        <w:t xml:space="preserve">possible </w:t>
      </w:r>
      <w:r w:rsidR="0024330D">
        <w:t xml:space="preserve">reasons for why economics may be distinctive. The first two, sociology and psychology, are </w:t>
      </w:r>
      <w:r>
        <w:t xml:space="preserve">thought of as </w:t>
      </w:r>
      <w:r w:rsidR="0024330D">
        <w:t>social sciences, with one relying mainly on observational data while a mix of observational and experimental data is used in psychology – as in economics.</w:t>
      </w:r>
      <w:r>
        <w:t xml:space="preserve"> Psychology is also like economics </w:t>
      </w:r>
      <w:r w:rsidR="00971B12">
        <w:t>in being hard to categorize under</w:t>
      </w:r>
      <w:r>
        <w:t xml:space="preserve"> typical intra-university divisions, since it may be found in an Arts faculty or a Science faculty (or teaching into degrees offered by those faculties), while economics could be in either of those and also in a Business or Commerce faculty.</w:t>
      </w:r>
    </w:p>
    <w:p w:rsidR="00762D69" w:rsidRDefault="00762D69" w:rsidP="003F5128">
      <w:pPr>
        <w:spacing w:line="288" w:lineRule="auto"/>
        <w:jc w:val="both"/>
      </w:pPr>
    </w:p>
    <w:p w:rsidR="003A3BAF" w:rsidRDefault="003A3BAF" w:rsidP="003F5128">
      <w:pPr>
        <w:spacing w:line="288" w:lineRule="auto"/>
        <w:ind w:firstLine="397"/>
        <w:jc w:val="both"/>
      </w:pPr>
      <w:r>
        <w:t>In com</w:t>
      </w:r>
      <w:r w:rsidR="00E266EB">
        <w:t>parison to other social scientists</w:t>
      </w:r>
      <w:r>
        <w:t>, academic economists are usually paid more and one reason for this may be their better outside options, such as in the finance sector. These outside options could induce a spatial concentration in research; universities in major financial centers may pay their economists more, to match the local market, and so productive researchers may congregate in those locations rather than in more remote areas that lack a finance sector. This process should also apply for a business discipline like marketing, since marketing academics also have skills demanded in the private sector and that demand is spatially concentrated.</w:t>
      </w:r>
      <w:r w:rsidR="00E266EB">
        <w:t xml:space="preserve"> It is therefore expected that the spatial concentration in economics will be like that in marketing.</w:t>
      </w:r>
    </w:p>
    <w:p w:rsidR="00762D69" w:rsidRDefault="00762D69" w:rsidP="003F5128">
      <w:pPr>
        <w:spacing w:line="288" w:lineRule="auto"/>
        <w:ind w:firstLine="397"/>
        <w:jc w:val="both"/>
      </w:pPr>
    </w:p>
    <w:p w:rsidR="0024330D" w:rsidRDefault="003A3BAF" w:rsidP="003F5128">
      <w:pPr>
        <w:spacing w:line="288" w:lineRule="auto"/>
        <w:ind w:firstLine="397"/>
        <w:jc w:val="both"/>
      </w:pPr>
      <w:r>
        <w:t xml:space="preserve">A discipline like philosophy offers a complete contrast, since there are few non-academic options for philosophers. </w:t>
      </w:r>
      <w:r w:rsidR="005A14CB">
        <w:t xml:space="preserve"> </w:t>
      </w:r>
      <w:r w:rsidR="009C00E1">
        <w:t>Therefore</w:t>
      </w:r>
      <w:r w:rsidR="005A14CB">
        <w:t>,</w:t>
      </w:r>
      <w:r w:rsidR="009C00E1">
        <w:t xml:space="preserve"> any university system with fairly centralized salary setting (</w:t>
      </w:r>
      <w:r w:rsidR="00D050FD" w:rsidRPr="00D050FD">
        <w:t>for example,</w:t>
      </w:r>
      <w:r w:rsidR="009C00E1">
        <w:t xml:space="preserve"> professors are paid roughly the same irrespective of discipline) will tend to attract very good philosophers (and will tend to be relatively weak in disciplines like finance that offer highly paid outside options). Evidence for this hypothesized pattern is provided by Boyle (2008), </w:t>
      </w:r>
      <w:r w:rsidR="00E266EB">
        <w:t>using the scores by discipline in a national research assessment</w:t>
      </w:r>
      <w:r w:rsidR="009C00E1">
        <w:t xml:space="preserve"> in a country with fairly centralized salaries. This salary effect will tend to disperse academic talent in philosophy and so the micro-geography of philosophy research is expected to be the least concentrated</w:t>
      </w:r>
      <w:r w:rsidR="00971B12">
        <w:t xml:space="preserve"> of the disciplines studied here</w:t>
      </w:r>
      <w:r w:rsidR="009C00E1">
        <w:t xml:space="preserve">. Moreover, much of the </w:t>
      </w:r>
      <w:r w:rsidR="00B4632B">
        <w:t xml:space="preserve">scholarly </w:t>
      </w:r>
      <w:r w:rsidR="009C00E1">
        <w:t xml:space="preserve">discourse in philosophy takes place in books rather than in journals, and </w:t>
      </w:r>
      <w:r w:rsidR="00E266EB">
        <w:t xml:space="preserve">this </w:t>
      </w:r>
      <w:r w:rsidR="009C00E1">
        <w:t xml:space="preserve">gives a further reason </w:t>
      </w:r>
      <w:r w:rsidR="00E266EB">
        <w:t>to expect</w:t>
      </w:r>
      <w:r w:rsidR="009C00E1">
        <w:t xml:space="preserve"> </w:t>
      </w:r>
      <w:r w:rsidR="008C575E">
        <w:t xml:space="preserve">the </w:t>
      </w:r>
      <w:r w:rsidR="009C00E1">
        <w:t xml:space="preserve">philosophy </w:t>
      </w:r>
      <w:r w:rsidR="00971B12">
        <w:t xml:space="preserve">research that is published in </w:t>
      </w:r>
      <w:r w:rsidR="008C575E">
        <w:t xml:space="preserve">top </w:t>
      </w:r>
      <w:r w:rsidR="00971B12">
        <w:t xml:space="preserve">journals </w:t>
      </w:r>
      <w:r w:rsidR="009C00E1">
        <w:t xml:space="preserve">to </w:t>
      </w:r>
      <w:r w:rsidR="008C575E">
        <w:t>come from more spatially dispersed authors</w:t>
      </w:r>
      <w:r w:rsidR="009C00E1">
        <w:t>.</w:t>
      </w:r>
    </w:p>
    <w:p w:rsidR="00762D69" w:rsidRDefault="00762D69" w:rsidP="003F5128">
      <w:pPr>
        <w:spacing w:line="288" w:lineRule="auto"/>
        <w:ind w:firstLine="397"/>
        <w:jc w:val="both"/>
      </w:pPr>
    </w:p>
    <w:p w:rsidR="0024330D" w:rsidRDefault="009C00E1" w:rsidP="003F5128">
      <w:pPr>
        <w:spacing w:line="288" w:lineRule="auto"/>
        <w:ind w:firstLine="357"/>
        <w:jc w:val="both"/>
        <w:rPr>
          <w:bCs/>
        </w:rPr>
      </w:pPr>
      <w:r>
        <w:rPr>
          <w:bCs/>
        </w:rPr>
        <w:t>The final hypothesized pat</w:t>
      </w:r>
      <w:r w:rsidR="00971B12">
        <w:rPr>
          <w:bCs/>
        </w:rPr>
        <w:t>tern is that bench sciences should</w:t>
      </w:r>
      <w:r>
        <w:rPr>
          <w:bCs/>
        </w:rPr>
        <w:t xml:space="preserve"> have </w:t>
      </w:r>
      <w:r w:rsidR="00971B12">
        <w:rPr>
          <w:bCs/>
        </w:rPr>
        <w:t xml:space="preserve">more </w:t>
      </w:r>
      <w:r>
        <w:rPr>
          <w:bCs/>
        </w:rPr>
        <w:t xml:space="preserve">spatially concentrated production of research because </w:t>
      </w:r>
      <w:r w:rsidR="00B4632B">
        <w:rPr>
          <w:bCs/>
        </w:rPr>
        <w:t xml:space="preserve">of </w:t>
      </w:r>
      <w:r w:rsidR="00E266EB">
        <w:rPr>
          <w:bCs/>
        </w:rPr>
        <w:t xml:space="preserve">the need </w:t>
      </w:r>
      <w:r w:rsidR="009443F4">
        <w:rPr>
          <w:bCs/>
        </w:rPr>
        <w:t xml:space="preserve">for researchers </w:t>
      </w:r>
      <w:r w:rsidR="00E266EB">
        <w:rPr>
          <w:bCs/>
        </w:rPr>
        <w:t xml:space="preserve">to have access to </w:t>
      </w:r>
      <w:r>
        <w:rPr>
          <w:bCs/>
        </w:rPr>
        <w:t>key infr</w:t>
      </w:r>
      <w:r w:rsidR="00971B12">
        <w:rPr>
          <w:bCs/>
        </w:rPr>
        <w:t>astructure</w:t>
      </w:r>
      <w:r w:rsidR="00E266EB">
        <w:rPr>
          <w:bCs/>
        </w:rPr>
        <w:t>,</w:t>
      </w:r>
      <w:r w:rsidR="00971B12">
        <w:rPr>
          <w:bCs/>
        </w:rPr>
        <w:t xml:space="preserve"> </w:t>
      </w:r>
      <w:r w:rsidR="009443F4">
        <w:rPr>
          <w:bCs/>
        </w:rPr>
        <w:t xml:space="preserve">such as </w:t>
      </w:r>
      <w:r w:rsidR="00971B12">
        <w:rPr>
          <w:bCs/>
        </w:rPr>
        <w:t>specialized laboratories</w:t>
      </w:r>
      <w:r w:rsidR="00E266EB">
        <w:rPr>
          <w:bCs/>
        </w:rPr>
        <w:t>,</w:t>
      </w:r>
      <w:r>
        <w:rPr>
          <w:bCs/>
        </w:rPr>
        <w:t xml:space="preserve"> </w:t>
      </w:r>
      <w:r w:rsidR="00B4632B">
        <w:rPr>
          <w:bCs/>
        </w:rPr>
        <w:t xml:space="preserve">and this </w:t>
      </w:r>
      <w:r>
        <w:rPr>
          <w:bCs/>
        </w:rPr>
        <w:t xml:space="preserve">will lead talented scientists to congregate in particular locations. While laboratories are also used in experimental economics, the cost of setting </w:t>
      </w:r>
      <w:r w:rsidR="009443F4">
        <w:rPr>
          <w:bCs/>
        </w:rPr>
        <w:t xml:space="preserve">up </w:t>
      </w:r>
      <w:r>
        <w:rPr>
          <w:bCs/>
        </w:rPr>
        <w:t xml:space="preserve">one of these is typically less than $30,000 and so that </w:t>
      </w:r>
      <w:r w:rsidR="00E266EB">
        <w:rPr>
          <w:bCs/>
        </w:rPr>
        <w:t xml:space="preserve">is a much lower </w:t>
      </w:r>
      <w:r w:rsidR="00E266EB">
        <w:rPr>
          <w:bCs/>
        </w:rPr>
        <w:lastRenderedPageBreak/>
        <w:t xml:space="preserve">barrier to entry that should </w:t>
      </w:r>
      <w:r>
        <w:rPr>
          <w:bCs/>
        </w:rPr>
        <w:t xml:space="preserve">not create pressure for the </w:t>
      </w:r>
      <w:r w:rsidR="00E266EB">
        <w:rPr>
          <w:bCs/>
        </w:rPr>
        <w:t xml:space="preserve">concentration </w:t>
      </w:r>
      <w:r>
        <w:rPr>
          <w:bCs/>
        </w:rPr>
        <w:t xml:space="preserve">of research at particular locations. </w:t>
      </w:r>
      <w:r w:rsidR="00971B12">
        <w:rPr>
          <w:bCs/>
        </w:rPr>
        <w:t>I use chemistry as the exemplar of a bench science</w:t>
      </w:r>
      <w:r w:rsidR="00E266EB">
        <w:rPr>
          <w:bCs/>
        </w:rPr>
        <w:t xml:space="preserve"> in the analysis below</w:t>
      </w:r>
      <w:r w:rsidR="00971B12">
        <w:rPr>
          <w:bCs/>
        </w:rPr>
        <w:t>.</w:t>
      </w:r>
    </w:p>
    <w:p w:rsidR="00762D69" w:rsidRDefault="00762D69" w:rsidP="003F5128">
      <w:pPr>
        <w:spacing w:line="288" w:lineRule="auto"/>
        <w:ind w:firstLine="357"/>
        <w:jc w:val="both"/>
        <w:rPr>
          <w:bCs/>
        </w:rPr>
      </w:pPr>
    </w:p>
    <w:p w:rsidR="009C00E1" w:rsidRDefault="009C00E1" w:rsidP="003F5128">
      <w:pPr>
        <w:spacing w:line="288" w:lineRule="auto"/>
        <w:ind w:firstLine="357"/>
        <w:jc w:val="both"/>
        <w:rPr>
          <w:bCs/>
        </w:rPr>
      </w:pPr>
      <w:r>
        <w:rPr>
          <w:bCs/>
        </w:rPr>
        <w:t>To summarize the hypothesized patterns, it is expected that research will be more spatially concentrated in economics than it is in philosophy or sociology because of the effects of market forces</w:t>
      </w:r>
      <w:r w:rsidR="00E266EB">
        <w:rPr>
          <w:bCs/>
        </w:rPr>
        <w:t xml:space="preserve"> on academic</w:t>
      </w:r>
      <w:r w:rsidR="007577D6">
        <w:rPr>
          <w:bCs/>
        </w:rPr>
        <w:t xml:space="preserve"> salaries, which in turn affect</w:t>
      </w:r>
      <w:r w:rsidR="00E266EB">
        <w:rPr>
          <w:bCs/>
        </w:rPr>
        <w:t xml:space="preserve"> the location decisions of talented academics</w:t>
      </w:r>
      <w:r>
        <w:rPr>
          <w:bCs/>
        </w:rPr>
        <w:t xml:space="preserve">. However, economics research should be less spatially concentrated than in chemistry </w:t>
      </w:r>
      <w:r w:rsidR="00315CC2">
        <w:rPr>
          <w:bCs/>
        </w:rPr>
        <w:t xml:space="preserve">because </w:t>
      </w:r>
      <w:r>
        <w:rPr>
          <w:bCs/>
        </w:rPr>
        <w:t xml:space="preserve">there is no reason for talented economists to cluster around some particular </w:t>
      </w:r>
      <w:r w:rsidR="007577D6">
        <w:rPr>
          <w:bCs/>
        </w:rPr>
        <w:t xml:space="preserve">laboratory that has some specialized </w:t>
      </w:r>
      <w:r>
        <w:rPr>
          <w:bCs/>
        </w:rPr>
        <w:t xml:space="preserve">equipment, unlike for chemists. </w:t>
      </w:r>
      <w:r w:rsidR="00581D2B">
        <w:rPr>
          <w:bCs/>
        </w:rPr>
        <w:t xml:space="preserve">The similar mix of data used in psychology and economics, and the similar usefulness to the private sector </w:t>
      </w:r>
      <w:r w:rsidR="007577D6">
        <w:rPr>
          <w:bCs/>
        </w:rPr>
        <w:t>that raises non-academic options</w:t>
      </w:r>
      <w:r w:rsidR="00B4632B">
        <w:rPr>
          <w:bCs/>
        </w:rPr>
        <w:t>,</w:t>
      </w:r>
      <w:r w:rsidR="007577D6">
        <w:rPr>
          <w:bCs/>
        </w:rPr>
        <w:t xml:space="preserve"> </w:t>
      </w:r>
      <w:r w:rsidR="00581D2B">
        <w:rPr>
          <w:bCs/>
        </w:rPr>
        <w:t xml:space="preserve">as for marketing, suggests that </w:t>
      </w:r>
      <w:r w:rsidR="00971B12">
        <w:rPr>
          <w:bCs/>
        </w:rPr>
        <w:t xml:space="preserve">the micro-geographic </w:t>
      </w:r>
      <w:r w:rsidR="00581D2B">
        <w:rPr>
          <w:bCs/>
        </w:rPr>
        <w:t xml:space="preserve">research concentration for </w:t>
      </w:r>
      <w:r w:rsidR="008C575E">
        <w:rPr>
          <w:bCs/>
        </w:rPr>
        <w:t xml:space="preserve">marketing and psychology </w:t>
      </w:r>
      <w:r w:rsidR="00971B12">
        <w:rPr>
          <w:bCs/>
        </w:rPr>
        <w:t>may be most like that seen in</w:t>
      </w:r>
      <w:r w:rsidR="00581D2B">
        <w:rPr>
          <w:bCs/>
        </w:rPr>
        <w:t xml:space="preserve"> economics.</w:t>
      </w:r>
    </w:p>
    <w:p w:rsidR="00762D69" w:rsidRPr="009C00E1" w:rsidRDefault="00762D69" w:rsidP="003F5128">
      <w:pPr>
        <w:spacing w:line="288" w:lineRule="auto"/>
        <w:ind w:firstLine="357"/>
        <w:jc w:val="both"/>
        <w:rPr>
          <w:bCs/>
        </w:rPr>
      </w:pPr>
    </w:p>
    <w:p w:rsidR="009F5C90" w:rsidRDefault="00315CC2" w:rsidP="003F5128">
      <w:pPr>
        <w:spacing w:line="288" w:lineRule="auto"/>
        <w:ind w:firstLine="357"/>
        <w:jc w:val="both"/>
        <w:rPr>
          <w:bCs/>
        </w:rPr>
      </w:pPr>
      <w:r>
        <w:rPr>
          <w:bCs/>
        </w:rPr>
        <w:t>The top five journals in economics have already been discussed above. F</w:t>
      </w:r>
      <w:r w:rsidR="00780111" w:rsidRPr="00780111">
        <w:rPr>
          <w:bCs/>
        </w:rPr>
        <w:t xml:space="preserve">or the two other social sciences I use the top five journals identified in each discipline by </w:t>
      </w:r>
      <w:proofErr w:type="spellStart"/>
      <w:r w:rsidR="00780111" w:rsidRPr="00780111">
        <w:rPr>
          <w:bCs/>
        </w:rPr>
        <w:t>Aistleitner</w:t>
      </w:r>
      <w:proofErr w:type="spellEnd"/>
      <w:r w:rsidR="00780111" w:rsidRPr="00780111">
        <w:rPr>
          <w:bCs/>
        </w:rPr>
        <w:t xml:space="preserve"> </w:t>
      </w:r>
      <w:r w:rsidR="00D050FD" w:rsidRPr="00D050FD">
        <w:rPr>
          <w:bCs/>
          <w:i/>
        </w:rPr>
        <w:t>et al.</w:t>
      </w:r>
      <w:r w:rsidR="00780111" w:rsidRPr="00780111">
        <w:rPr>
          <w:bCs/>
        </w:rPr>
        <w:t xml:space="preserve"> (2017)</w:t>
      </w:r>
      <w:r w:rsidR="00780111">
        <w:rPr>
          <w:bCs/>
        </w:rPr>
        <w:t>.</w:t>
      </w:r>
      <w:r w:rsidR="00780111" w:rsidRPr="00780111">
        <w:rPr>
          <w:bCs/>
        </w:rPr>
        <w:t xml:space="preserve"> </w:t>
      </w:r>
      <w:r w:rsidR="00780111">
        <w:rPr>
          <w:bCs/>
        </w:rPr>
        <w:t xml:space="preserve">These </w:t>
      </w:r>
      <w:r w:rsidR="00780111" w:rsidRPr="00780111">
        <w:rPr>
          <w:bCs/>
        </w:rPr>
        <w:t>were</w:t>
      </w:r>
      <w:r w:rsidR="00780111">
        <w:rPr>
          <w:bCs/>
        </w:rPr>
        <w:t xml:space="preserve"> the</w:t>
      </w:r>
      <w:r w:rsidR="00780111" w:rsidRPr="00780111">
        <w:rPr>
          <w:bCs/>
          <w:i/>
          <w:iCs/>
        </w:rPr>
        <w:t xml:space="preserve"> American Psychologist, Annual Review of Psychology, Journal of Ab</w:t>
      </w:r>
      <w:r w:rsidR="00780111">
        <w:rPr>
          <w:bCs/>
          <w:i/>
          <w:iCs/>
        </w:rPr>
        <w:t xml:space="preserve">normal Psychology, Psychological Bulletin, and Psychological Review, </w:t>
      </w:r>
      <w:r w:rsidR="00780111">
        <w:rPr>
          <w:bCs/>
        </w:rPr>
        <w:t xml:space="preserve">while for Sociology they were the </w:t>
      </w:r>
      <w:r w:rsidR="00780111">
        <w:rPr>
          <w:bCs/>
          <w:i/>
          <w:iCs/>
        </w:rPr>
        <w:t>American Journal of Sociology</w:t>
      </w:r>
      <w:r w:rsidR="00780111">
        <w:rPr>
          <w:bCs/>
        </w:rPr>
        <w:t xml:space="preserve">, </w:t>
      </w:r>
      <w:r w:rsidR="00780111">
        <w:rPr>
          <w:bCs/>
          <w:i/>
          <w:iCs/>
        </w:rPr>
        <w:t>American Sociological Review</w:t>
      </w:r>
      <w:r w:rsidR="00780111">
        <w:rPr>
          <w:bCs/>
        </w:rPr>
        <w:t xml:space="preserve">, </w:t>
      </w:r>
      <w:r w:rsidR="00780111">
        <w:rPr>
          <w:bCs/>
          <w:i/>
          <w:iCs/>
        </w:rPr>
        <w:t>Annual Review of Sociology, Social Networks</w:t>
      </w:r>
      <w:r w:rsidR="00780111">
        <w:rPr>
          <w:bCs/>
        </w:rPr>
        <w:t xml:space="preserve">, and </w:t>
      </w:r>
      <w:r w:rsidR="00780111">
        <w:rPr>
          <w:bCs/>
          <w:i/>
          <w:iCs/>
        </w:rPr>
        <w:t>Sociology of Health and Illness.</w:t>
      </w:r>
      <w:r w:rsidR="00780111">
        <w:rPr>
          <w:bCs/>
        </w:rPr>
        <w:t xml:space="preserve"> </w:t>
      </w:r>
      <w:r w:rsidR="007D3625">
        <w:rPr>
          <w:bCs/>
        </w:rPr>
        <w:t xml:space="preserve">For marketing I use five journals from the </w:t>
      </w:r>
      <w:r w:rsidR="007D3625">
        <w:rPr>
          <w:bCs/>
          <w:i/>
          <w:iCs/>
        </w:rPr>
        <w:t>Financial Times</w:t>
      </w:r>
      <w:r w:rsidR="007D3625">
        <w:rPr>
          <w:bCs/>
        </w:rPr>
        <w:t xml:space="preserve"> top 50 journals used in business school research rankings: </w:t>
      </w:r>
      <w:r w:rsidR="00F20610">
        <w:rPr>
          <w:bCs/>
          <w:i/>
          <w:iCs/>
        </w:rPr>
        <w:t>Journal of Marketing</w:t>
      </w:r>
      <w:r w:rsidR="00F20610">
        <w:rPr>
          <w:bCs/>
        </w:rPr>
        <w:t xml:space="preserve">, </w:t>
      </w:r>
      <w:r w:rsidR="00F20610">
        <w:rPr>
          <w:bCs/>
          <w:i/>
          <w:iCs/>
        </w:rPr>
        <w:t>Journal of Marketing Research</w:t>
      </w:r>
      <w:r w:rsidR="00F20610">
        <w:rPr>
          <w:bCs/>
        </w:rPr>
        <w:t xml:space="preserve">, </w:t>
      </w:r>
      <w:r w:rsidR="00F20610">
        <w:rPr>
          <w:bCs/>
          <w:i/>
          <w:iCs/>
        </w:rPr>
        <w:t>Journal of Consumer Research</w:t>
      </w:r>
      <w:r w:rsidR="00F20610">
        <w:rPr>
          <w:bCs/>
        </w:rPr>
        <w:t xml:space="preserve">, </w:t>
      </w:r>
      <w:r w:rsidR="00F20610">
        <w:rPr>
          <w:bCs/>
          <w:i/>
          <w:iCs/>
        </w:rPr>
        <w:t>Journal of Consumer Psychology</w:t>
      </w:r>
      <w:r w:rsidR="00F20610">
        <w:rPr>
          <w:bCs/>
        </w:rPr>
        <w:t xml:space="preserve">, and </w:t>
      </w:r>
      <w:r w:rsidR="00F20610">
        <w:rPr>
          <w:bCs/>
          <w:i/>
          <w:iCs/>
        </w:rPr>
        <w:t>Marketing Science.</w:t>
      </w:r>
      <w:r w:rsidR="007D3625">
        <w:rPr>
          <w:bCs/>
        </w:rPr>
        <w:t xml:space="preserve"> The top five general philosophy journals are </w:t>
      </w:r>
      <w:r w:rsidR="007D3625">
        <w:rPr>
          <w:bCs/>
          <w:i/>
          <w:iCs/>
        </w:rPr>
        <w:t>Philosophical Review</w:t>
      </w:r>
      <w:r w:rsidR="007D3625">
        <w:rPr>
          <w:bCs/>
        </w:rPr>
        <w:t xml:space="preserve">, </w:t>
      </w:r>
      <w:r w:rsidR="007D3625">
        <w:rPr>
          <w:bCs/>
          <w:i/>
          <w:iCs/>
        </w:rPr>
        <w:t>Journal of Philosophy</w:t>
      </w:r>
      <w:r w:rsidR="007D3625">
        <w:rPr>
          <w:bCs/>
        </w:rPr>
        <w:t xml:space="preserve">, </w:t>
      </w:r>
      <w:r w:rsidR="007D3625">
        <w:rPr>
          <w:bCs/>
          <w:i/>
          <w:iCs/>
        </w:rPr>
        <w:t>Mind</w:t>
      </w:r>
      <w:r w:rsidR="007D3625">
        <w:rPr>
          <w:bCs/>
        </w:rPr>
        <w:t xml:space="preserve">, </w:t>
      </w:r>
      <w:r w:rsidR="007D3625">
        <w:rPr>
          <w:bCs/>
          <w:i/>
          <w:iCs/>
        </w:rPr>
        <w:t>Nous</w:t>
      </w:r>
      <w:r w:rsidR="007D3625">
        <w:rPr>
          <w:bCs/>
        </w:rPr>
        <w:t xml:space="preserve">, and </w:t>
      </w:r>
      <w:r w:rsidR="007D3625" w:rsidRPr="007013BE">
        <w:rPr>
          <w:bCs/>
          <w:i/>
          <w:iCs/>
        </w:rPr>
        <w:t>Philosophy &amp; Phenomenological Research</w:t>
      </w:r>
      <w:r w:rsidR="007013BE">
        <w:rPr>
          <w:bCs/>
        </w:rPr>
        <w:t xml:space="preserve"> according to a poll of philosophers.</w:t>
      </w:r>
      <w:r w:rsidR="007013BE">
        <w:rPr>
          <w:rStyle w:val="FootnoteReference"/>
          <w:bCs/>
        </w:rPr>
        <w:footnoteReference w:id="1"/>
      </w:r>
      <w:r w:rsidR="007013BE">
        <w:rPr>
          <w:bCs/>
        </w:rPr>
        <w:t xml:space="preserve"> </w:t>
      </w:r>
      <w:r w:rsidR="002E3E5D">
        <w:rPr>
          <w:bCs/>
        </w:rPr>
        <w:t xml:space="preserve">For Chemistry I use three (of the 44) journals published by the American Chemical Society: </w:t>
      </w:r>
      <w:r w:rsidR="002E3E5D">
        <w:rPr>
          <w:bCs/>
          <w:i/>
          <w:iCs/>
        </w:rPr>
        <w:t>Journal of the American Chemical Society, Chemical Reviews</w:t>
      </w:r>
      <w:r w:rsidR="002E3E5D">
        <w:rPr>
          <w:bCs/>
        </w:rPr>
        <w:t xml:space="preserve"> and </w:t>
      </w:r>
      <w:r w:rsidR="002E3E5D">
        <w:rPr>
          <w:bCs/>
          <w:i/>
          <w:iCs/>
        </w:rPr>
        <w:t>Accounts of Chemical Research</w:t>
      </w:r>
      <w:r w:rsidR="002E3E5D">
        <w:rPr>
          <w:bCs/>
        </w:rPr>
        <w:t>. The other two journals are</w:t>
      </w:r>
      <w:r w:rsidR="002E3E5D" w:rsidRPr="002E3E5D">
        <w:rPr>
          <w:bCs/>
        </w:rPr>
        <w:t> </w:t>
      </w:r>
      <w:proofErr w:type="spellStart"/>
      <w:r w:rsidR="002E3E5D" w:rsidRPr="002E3E5D">
        <w:rPr>
          <w:bCs/>
          <w:i/>
          <w:iCs/>
        </w:rPr>
        <w:t>Angewandte</w:t>
      </w:r>
      <w:proofErr w:type="spellEnd"/>
      <w:r w:rsidR="002E3E5D" w:rsidRPr="002E3E5D">
        <w:rPr>
          <w:bCs/>
          <w:i/>
          <w:iCs/>
        </w:rPr>
        <w:t xml:space="preserve"> </w:t>
      </w:r>
      <w:proofErr w:type="spellStart"/>
      <w:r w:rsidR="002E3E5D" w:rsidRPr="002E3E5D">
        <w:rPr>
          <w:bCs/>
          <w:i/>
          <w:iCs/>
        </w:rPr>
        <w:t>Chemie</w:t>
      </w:r>
      <w:proofErr w:type="spellEnd"/>
      <w:r w:rsidR="002E3E5D">
        <w:rPr>
          <w:bCs/>
        </w:rPr>
        <w:t xml:space="preserve"> (published by Wiley) and </w:t>
      </w:r>
      <w:r w:rsidR="002E3E5D">
        <w:rPr>
          <w:bCs/>
          <w:i/>
          <w:iCs/>
        </w:rPr>
        <w:t>Chemical Science</w:t>
      </w:r>
      <w:r w:rsidR="002E3E5D">
        <w:rPr>
          <w:bCs/>
        </w:rPr>
        <w:t xml:space="preserve"> (published by the Royal Society of Chemistry). All of these journals fall within the multidisciplinary chemistry category of the Journal Citation Reports</w:t>
      </w:r>
      <w:r w:rsidR="006772E6">
        <w:rPr>
          <w:bCs/>
        </w:rPr>
        <w:t xml:space="preserve"> and have some of the highest impact factors</w:t>
      </w:r>
      <w:r w:rsidR="002E3E5D">
        <w:rPr>
          <w:bCs/>
        </w:rPr>
        <w:t>.</w:t>
      </w:r>
    </w:p>
    <w:p w:rsidR="00762D69" w:rsidRDefault="00762D69" w:rsidP="003F5128">
      <w:pPr>
        <w:spacing w:line="288" w:lineRule="auto"/>
        <w:ind w:firstLine="357"/>
        <w:jc w:val="both"/>
        <w:rPr>
          <w:bCs/>
        </w:rPr>
      </w:pPr>
    </w:p>
    <w:p w:rsidR="006A7FEF" w:rsidRDefault="007B7D23" w:rsidP="00762D69">
      <w:pPr>
        <w:spacing w:line="288" w:lineRule="auto"/>
        <w:ind w:firstLine="567"/>
        <w:jc w:val="both"/>
        <w:rPr>
          <w:bCs/>
        </w:rPr>
      </w:pPr>
      <w:r>
        <w:rPr>
          <w:bCs/>
        </w:rPr>
        <w:t xml:space="preserve">The data on articles published in these journals, and the citations to these articles, are from </w:t>
      </w:r>
      <w:r>
        <w:rPr>
          <w:bCs/>
          <w:i/>
          <w:iCs/>
        </w:rPr>
        <w:t>Web of Science</w:t>
      </w:r>
      <w:r>
        <w:rPr>
          <w:bCs/>
        </w:rPr>
        <w:t>, and th</w:t>
      </w:r>
      <w:r w:rsidR="001F29BC">
        <w:rPr>
          <w:bCs/>
        </w:rPr>
        <w:t>ese data were extracted in Novem</w:t>
      </w:r>
      <w:r>
        <w:rPr>
          <w:bCs/>
        </w:rPr>
        <w:t xml:space="preserve">ber, 2017. Some of the records available are not original research contributions, so to remove such items anything whose title had any of the terms in the following list were excluded: ‘annual report’ ‘comment’, ‘correction’, ‘errata’, erratum’, ‘letter’, ‘reprinted’, ‘response’ and ‘reply’. </w:t>
      </w:r>
      <w:r w:rsidR="007577D6">
        <w:rPr>
          <w:bCs/>
        </w:rPr>
        <w:t>The</w:t>
      </w:r>
      <w:r w:rsidR="006A7FEF">
        <w:rPr>
          <w:bCs/>
        </w:rPr>
        <w:t xml:space="preserve"> </w:t>
      </w:r>
      <w:r w:rsidR="007577D6">
        <w:rPr>
          <w:bCs/>
        </w:rPr>
        <w:t>exclusi</w:t>
      </w:r>
      <w:r w:rsidR="006A7FEF">
        <w:rPr>
          <w:bCs/>
        </w:rPr>
        <w:t xml:space="preserve">ons removed </w:t>
      </w:r>
      <w:r w:rsidR="007577D6">
        <w:rPr>
          <w:bCs/>
        </w:rPr>
        <w:t xml:space="preserve">about </w:t>
      </w:r>
      <w:r w:rsidR="006A7FEF">
        <w:rPr>
          <w:bCs/>
        </w:rPr>
        <w:t>one percent of the items.</w:t>
      </w:r>
      <w:r w:rsidR="008C575E">
        <w:rPr>
          <w:bCs/>
        </w:rPr>
        <w:t xml:space="preserve"> In order </w:t>
      </w:r>
      <w:r w:rsidR="007577D6">
        <w:rPr>
          <w:bCs/>
        </w:rPr>
        <w:t xml:space="preserve">to study changes over time, the </w:t>
      </w:r>
      <w:r w:rsidR="007577D6">
        <w:rPr>
          <w:bCs/>
          <w:i/>
          <w:iCs/>
        </w:rPr>
        <w:t>Web of Science</w:t>
      </w:r>
      <w:r w:rsidR="007577D6">
        <w:rPr>
          <w:bCs/>
        </w:rPr>
        <w:t xml:space="preserve"> data were obtained for articles published in the top five journals in each discipline in 2000, 2005, 2010, and 2015. This enables trends over almost two decades to be studied.</w:t>
      </w:r>
    </w:p>
    <w:p w:rsidR="00762D69" w:rsidRPr="007577D6" w:rsidRDefault="00762D69" w:rsidP="003F5128">
      <w:pPr>
        <w:spacing w:line="288" w:lineRule="auto"/>
        <w:ind w:firstLine="357"/>
        <w:jc w:val="both"/>
        <w:rPr>
          <w:bCs/>
        </w:rPr>
      </w:pPr>
    </w:p>
    <w:p w:rsidR="0059536A" w:rsidRDefault="007B7D23" w:rsidP="00762D69">
      <w:pPr>
        <w:spacing w:line="288" w:lineRule="auto"/>
        <w:ind w:firstLine="567"/>
        <w:jc w:val="both"/>
        <w:rPr>
          <w:bCs/>
        </w:rPr>
      </w:pPr>
      <w:r>
        <w:rPr>
          <w:bCs/>
        </w:rPr>
        <w:lastRenderedPageBreak/>
        <w:t>For each</w:t>
      </w:r>
      <w:r w:rsidR="009443F4">
        <w:rPr>
          <w:bCs/>
        </w:rPr>
        <w:t xml:space="preserve"> published article</w:t>
      </w:r>
      <w:r>
        <w:rPr>
          <w:bCs/>
        </w:rPr>
        <w:t>, the number of authors and the number of author-af</w:t>
      </w:r>
      <w:r w:rsidR="006A7FEF">
        <w:rPr>
          <w:bCs/>
        </w:rPr>
        <w:t xml:space="preserve">filiations were calculated; </w:t>
      </w:r>
      <w:r>
        <w:rPr>
          <w:bCs/>
        </w:rPr>
        <w:t>author-affiliations exceed the number of authors in situations where an author may be affiliated at two (or more) research institutions. It is possible that the first listed affiliation is the main one for an author but there is no guarantee that this is true; sometimes a research foundati</w:t>
      </w:r>
      <w:r w:rsidR="009443F4">
        <w:rPr>
          <w:bCs/>
        </w:rPr>
        <w:t>on that an author affiliates with</w:t>
      </w:r>
      <w:r>
        <w:rPr>
          <w:bCs/>
        </w:rPr>
        <w:t xml:space="preserve"> may stipulate that it be listed first </w:t>
      </w:r>
      <w:r w:rsidR="006A7FEF">
        <w:rPr>
          <w:bCs/>
        </w:rPr>
        <w:t xml:space="preserve">if </w:t>
      </w:r>
      <w:r>
        <w:rPr>
          <w:bCs/>
        </w:rPr>
        <w:t>the foundation funds the page charges or any other costs associated with the research.</w:t>
      </w:r>
      <w:r w:rsidR="006A7FEF">
        <w:rPr>
          <w:bCs/>
        </w:rPr>
        <w:t xml:space="preserve"> The approach taken here is that each of the affiliations has some meaning, and there is a cost (at least implicitly) in hav</w:t>
      </w:r>
      <w:r w:rsidR="007577D6">
        <w:rPr>
          <w:bCs/>
        </w:rPr>
        <w:t>ing too many affiliations. This</w:t>
      </w:r>
      <w:r w:rsidR="006A7FEF">
        <w:rPr>
          <w:bCs/>
        </w:rPr>
        <w:t xml:space="preserve"> is why most authors have just one, or maybe two affiliations, whereas if it was costless to add mor</w:t>
      </w:r>
      <w:r w:rsidR="00B4632B">
        <w:rPr>
          <w:bCs/>
        </w:rPr>
        <w:t>e it would be normal to see many</w:t>
      </w:r>
      <w:r w:rsidR="006A7FEF">
        <w:rPr>
          <w:bCs/>
        </w:rPr>
        <w:t xml:space="preserve"> more affiliations</w:t>
      </w:r>
      <w:r w:rsidR="00B4632B">
        <w:rPr>
          <w:bCs/>
        </w:rPr>
        <w:t xml:space="preserve"> listed</w:t>
      </w:r>
      <w:r w:rsidR="006A7FEF">
        <w:rPr>
          <w:bCs/>
        </w:rPr>
        <w:t>.</w:t>
      </w:r>
      <w:r w:rsidR="006A7FEF">
        <w:rPr>
          <w:rStyle w:val="FootnoteReference"/>
          <w:bCs/>
        </w:rPr>
        <w:footnoteReference w:id="2"/>
      </w:r>
      <w:r w:rsidR="00315CC2">
        <w:rPr>
          <w:bCs/>
        </w:rPr>
        <w:t xml:space="preserve"> Therefore, each affiliation is treated equally in the analysis.</w:t>
      </w:r>
    </w:p>
    <w:p w:rsidR="00762D69" w:rsidRPr="002E3E5D" w:rsidRDefault="00762D69" w:rsidP="00762D69">
      <w:pPr>
        <w:spacing w:line="288" w:lineRule="auto"/>
        <w:ind w:firstLine="567"/>
        <w:jc w:val="both"/>
        <w:rPr>
          <w:bCs/>
        </w:rPr>
      </w:pPr>
    </w:p>
    <w:p w:rsidR="00790AFE" w:rsidRDefault="00790AFE" w:rsidP="00762D69">
      <w:pPr>
        <w:numPr>
          <w:ilvl w:val="0"/>
          <w:numId w:val="32"/>
        </w:numPr>
        <w:spacing w:line="288" w:lineRule="auto"/>
        <w:ind w:left="284" w:hanging="284"/>
        <w:rPr>
          <w:b/>
          <w:bCs/>
        </w:rPr>
      </w:pPr>
      <w:r>
        <w:rPr>
          <w:b/>
          <w:bCs/>
        </w:rPr>
        <w:t>R</w:t>
      </w:r>
      <w:r w:rsidR="00762D69">
        <w:rPr>
          <w:b/>
          <w:bCs/>
        </w:rPr>
        <w:t>esults</w:t>
      </w:r>
    </w:p>
    <w:p w:rsidR="00762D69" w:rsidRPr="00762D69" w:rsidRDefault="00762D69" w:rsidP="003F5128">
      <w:pPr>
        <w:spacing w:line="288" w:lineRule="auto"/>
        <w:jc w:val="both"/>
        <w:rPr>
          <w:bCs/>
          <w:sz w:val="12"/>
          <w:szCs w:val="12"/>
        </w:rPr>
      </w:pPr>
    </w:p>
    <w:p w:rsidR="00444FB3" w:rsidRDefault="00444FB3" w:rsidP="003F5128">
      <w:pPr>
        <w:spacing w:line="288" w:lineRule="auto"/>
        <w:jc w:val="both"/>
        <w:rPr>
          <w:bCs/>
        </w:rPr>
      </w:pPr>
      <w:r>
        <w:rPr>
          <w:bCs/>
        </w:rPr>
        <w:t>The dataset based on the top fi</w:t>
      </w:r>
      <w:r w:rsidR="00EE7EA2">
        <w:rPr>
          <w:bCs/>
        </w:rPr>
        <w:t>ve journals for each discipline</w:t>
      </w:r>
      <w:r>
        <w:rPr>
          <w:bCs/>
        </w:rPr>
        <w:t xml:space="preserve"> comprises almost 25,000 articles published in either 2000, 2005, 2010 or 2015, and these articles have almost 100,000 author-affiliations, and 1.9 million citations (as </w:t>
      </w:r>
      <w:r w:rsidR="001F29BC">
        <w:rPr>
          <w:bCs/>
        </w:rPr>
        <w:t>of Nove</w:t>
      </w:r>
      <w:r>
        <w:rPr>
          <w:bCs/>
        </w:rPr>
        <w:t xml:space="preserve">mber, 2017). The details for each discipline are provided in Table 1. </w:t>
      </w:r>
      <w:r w:rsidR="004571D8">
        <w:rPr>
          <w:bCs/>
        </w:rPr>
        <w:t>The disciplines from social science</w:t>
      </w:r>
      <w:r w:rsidR="009443F4">
        <w:rPr>
          <w:bCs/>
        </w:rPr>
        <w:t>s</w:t>
      </w:r>
      <w:r w:rsidR="004571D8">
        <w:rPr>
          <w:bCs/>
        </w:rPr>
        <w:t xml:space="preserve"> or business – economics, sociology, psychology, and marketing – have several similarities, with between 700 to 1500 articles in their top five journals over the four years studied, with averages of just over two authors per article, and mean (median) citations per article of 50 to 100 (19 to 25). The total author-affiliations range from 1500 (sociology) to 3800 (economics), and between one-half to two-thirds of these are from the United States. The affiliations in the US</w:t>
      </w:r>
      <w:r w:rsidR="00EE7EA2">
        <w:rPr>
          <w:bCs/>
        </w:rPr>
        <w:t xml:space="preserve"> map to anywhere from 180 to</w:t>
      </w:r>
      <w:r w:rsidR="004571D8">
        <w:rPr>
          <w:bCs/>
        </w:rPr>
        <w:t xml:space="preserve"> 380 ZIP codes.</w:t>
      </w:r>
      <w:r w:rsidR="007577D6">
        <w:rPr>
          <w:bCs/>
        </w:rPr>
        <w:t xml:space="preserve"> T</w:t>
      </w:r>
      <w:r w:rsidR="004571D8">
        <w:rPr>
          <w:bCs/>
        </w:rPr>
        <w:t>hese broad descriptive statistics</w:t>
      </w:r>
      <w:r w:rsidR="007577D6">
        <w:rPr>
          <w:bCs/>
        </w:rPr>
        <w:t xml:space="preserve"> do not indicate anything distinctive about economics, compared to </w:t>
      </w:r>
      <w:r w:rsidR="00A64284">
        <w:rPr>
          <w:bCs/>
        </w:rPr>
        <w:t xml:space="preserve">the </w:t>
      </w:r>
      <w:r w:rsidR="007577D6">
        <w:rPr>
          <w:bCs/>
        </w:rPr>
        <w:t>other social science or business disciplines</w:t>
      </w:r>
      <w:r w:rsidR="004571D8">
        <w:rPr>
          <w:bCs/>
        </w:rPr>
        <w:t>.</w:t>
      </w:r>
    </w:p>
    <w:p w:rsidR="00762D69" w:rsidRDefault="00762D69" w:rsidP="005A14CB">
      <w:pPr>
        <w:spacing w:line="288" w:lineRule="auto"/>
        <w:ind w:left="-567" w:right="-612"/>
        <w:jc w:val="center"/>
        <w:rPr>
          <w:bCs/>
        </w:rPr>
      </w:pPr>
    </w:p>
    <w:p w:rsidR="00762D69" w:rsidRDefault="001475CC" w:rsidP="005A14CB">
      <w:pPr>
        <w:spacing w:line="288" w:lineRule="auto"/>
        <w:ind w:left="-567" w:right="-612"/>
        <w:jc w:val="center"/>
        <w:rPr>
          <w:bCs/>
        </w:rPr>
      </w:pPr>
      <w:r>
        <w:rPr>
          <w:bCs/>
          <w:noProof/>
          <w:lang w:val="en-NZ" w:eastAsia="zh-CN"/>
        </w:rPr>
        <w:drawing>
          <wp:inline distT="0" distB="0" distL="0" distR="0">
            <wp:extent cx="6563252" cy="173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3623" cy="1742649"/>
                    </a:xfrm>
                    <a:prstGeom prst="rect">
                      <a:avLst/>
                    </a:prstGeom>
                    <a:noFill/>
                    <a:ln>
                      <a:noFill/>
                    </a:ln>
                  </pic:spPr>
                </pic:pic>
              </a:graphicData>
            </a:graphic>
          </wp:inline>
        </w:drawing>
      </w:r>
    </w:p>
    <w:p w:rsidR="002F632E" w:rsidRDefault="002F632E" w:rsidP="005A14CB">
      <w:pPr>
        <w:spacing w:line="288" w:lineRule="auto"/>
        <w:ind w:left="-567" w:right="-612" w:firstLine="567"/>
        <w:jc w:val="center"/>
        <w:rPr>
          <w:bCs/>
        </w:rPr>
      </w:pPr>
    </w:p>
    <w:p w:rsidR="004571D8" w:rsidRDefault="004571D8" w:rsidP="00762D69">
      <w:pPr>
        <w:spacing w:line="288" w:lineRule="auto"/>
        <w:ind w:firstLine="567"/>
        <w:jc w:val="both"/>
        <w:rPr>
          <w:bCs/>
        </w:rPr>
      </w:pPr>
      <w:r>
        <w:rPr>
          <w:bCs/>
        </w:rPr>
        <w:t xml:space="preserve">The other two comparator disciplines – philosophy and chemistry – are quite distinctive, in their own ways. The articles in philosophy journals are almost all sole-authored, </w:t>
      </w:r>
      <w:r w:rsidR="0089732E">
        <w:rPr>
          <w:bCs/>
        </w:rPr>
        <w:t xml:space="preserve">with affiliations predominantly from the US (and located in just 140 ZIP codes) and garner very few citations. </w:t>
      </w:r>
      <w:r>
        <w:rPr>
          <w:bCs/>
        </w:rPr>
        <w:t xml:space="preserve"> </w:t>
      </w:r>
      <w:r w:rsidR="0089732E">
        <w:rPr>
          <w:bCs/>
        </w:rPr>
        <w:t xml:space="preserve">In contrast, </w:t>
      </w:r>
      <w:r w:rsidR="002410BF">
        <w:rPr>
          <w:bCs/>
        </w:rPr>
        <w:t xml:space="preserve">the top five chemistry journals have far more articles </w:t>
      </w:r>
      <w:r w:rsidR="0089732E">
        <w:rPr>
          <w:bCs/>
        </w:rPr>
        <w:t xml:space="preserve">– almost 20,000 – and they come from larger teams that average five authors per article. While the mean citations </w:t>
      </w:r>
      <w:r w:rsidR="0089732E">
        <w:rPr>
          <w:bCs/>
        </w:rPr>
        <w:lastRenderedPageBreak/>
        <w:t>per article are less than for psychology and no</w:t>
      </w:r>
      <w:r w:rsidR="00EE7EA2">
        <w:rPr>
          <w:bCs/>
        </w:rPr>
        <w:t>t</w:t>
      </w:r>
      <w:r w:rsidR="0089732E">
        <w:rPr>
          <w:bCs/>
        </w:rPr>
        <w:t xml:space="preserve"> so different to economics, the median citations are much higher. The biggest difference in chemistry, however, is that the authorship is much less US-centric, with just 17% of author-affiliations from the US, despite the fact that three of the top five journals are published by the Ame</w:t>
      </w:r>
      <w:r w:rsidR="00EE7EA2">
        <w:rPr>
          <w:bCs/>
        </w:rPr>
        <w:t>rican Chemical Society (</w:t>
      </w:r>
      <w:r w:rsidR="0089732E">
        <w:rPr>
          <w:bCs/>
        </w:rPr>
        <w:t xml:space="preserve">the same share </w:t>
      </w:r>
      <w:r w:rsidR="00EE7EA2">
        <w:rPr>
          <w:bCs/>
        </w:rPr>
        <w:t xml:space="preserve">of </w:t>
      </w:r>
      <w:r w:rsidR="002410BF">
        <w:rPr>
          <w:bCs/>
        </w:rPr>
        <w:t xml:space="preserve">top </w:t>
      </w:r>
      <w:r w:rsidR="007B48EE">
        <w:rPr>
          <w:bCs/>
        </w:rPr>
        <w:t xml:space="preserve">five </w:t>
      </w:r>
      <w:r w:rsidR="00EE7EA2">
        <w:rPr>
          <w:bCs/>
        </w:rPr>
        <w:t xml:space="preserve">economics journals </w:t>
      </w:r>
      <w:r w:rsidR="002410BF">
        <w:rPr>
          <w:bCs/>
        </w:rPr>
        <w:t xml:space="preserve">that </w:t>
      </w:r>
      <w:r w:rsidR="00EE7EA2">
        <w:rPr>
          <w:bCs/>
        </w:rPr>
        <w:t>are</w:t>
      </w:r>
      <w:r w:rsidR="0059536A">
        <w:rPr>
          <w:bCs/>
        </w:rPr>
        <w:t xml:space="preserve"> edit</w:t>
      </w:r>
      <w:r w:rsidR="0089732E">
        <w:rPr>
          <w:bCs/>
        </w:rPr>
        <w:t>ed in the US). Moreover, even with the far smaller fraction of author-affili</w:t>
      </w:r>
      <w:r w:rsidR="0059536A">
        <w:rPr>
          <w:bCs/>
        </w:rPr>
        <w:t>ations from the US, the chemistry authors</w:t>
      </w:r>
      <w:r w:rsidR="0089732E">
        <w:rPr>
          <w:bCs/>
        </w:rPr>
        <w:t xml:space="preserve"> are based in a far wider range of </w:t>
      </w:r>
      <w:r w:rsidR="00EE7EA2">
        <w:rPr>
          <w:bCs/>
        </w:rPr>
        <w:t xml:space="preserve">US </w:t>
      </w:r>
      <w:r w:rsidR="0089732E">
        <w:rPr>
          <w:bCs/>
        </w:rPr>
        <w:t>locations</w:t>
      </w:r>
      <w:r w:rsidR="00EE7EA2">
        <w:rPr>
          <w:bCs/>
        </w:rPr>
        <w:t>,</w:t>
      </w:r>
      <w:r w:rsidR="0089732E">
        <w:rPr>
          <w:bCs/>
        </w:rPr>
        <w:t xml:space="preserve"> with 874 ZIP codes represented, which is over three times as many as for economics.</w:t>
      </w:r>
    </w:p>
    <w:p w:rsidR="00762D69" w:rsidRDefault="00762D69" w:rsidP="00762D69">
      <w:pPr>
        <w:spacing w:line="288" w:lineRule="auto"/>
        <w:ind w:firstLine="567"/>
        <w:jc w:val="both"/>
        <w:rPr>
          <w:bCs/>
        </w:rPr>
      </w:pPr>
    </w:p>
    <w:p w:rsidR="00AB4B95" w:rsidRDefault="00444FB3" w:rsidP="003F5128">
      <w:pPr>
        <w:spacing w:line="288" w:lineRule="auto"/>
        <w:ind w:firstLine="357"/>
        <w:jc w:val="both"/>
        <w:rPr>
          <w:bCs/>
        </w:rPr>
      </w:pPr>
      <w:r>
        <w:rPr>
          <w:bCs/>
        </w:rPr>
        <w:t xml:space="preserve">Within economics there is debate about whether the May issue of the </w:t>
      </w:r>
      <w:r>
        <w:rPr>
          <w:bCs/>
          <w:i/>
          <w:iCs/>
        </w:rPr>
        <w:t>AER</w:t>
      </w:r>
      <w:r>
        <w:rPr>
          <w:bCs/>
        </w:rPr>
        <w:t xml:space="preserve">, which is a </w:t>
      </w:r>
      <w:r w:rsidRPr="00262958">
        <w:rPr>
          <w:bCs/>
          <w:i/>
          <w:iCs/>
        </w:rPr>
        <w:t>Papers and Proceedings</w:t>
      </w:r>
      <w:r>
        <w:rPr>
          <w:bCs/>
        </w:rPr>
        <w:t xml:space="preserve"> issue, should be counted</w:t>
      </w:r>
      <w:r w:rsidR="00AA66EE">
        <w:rPr>
          <w:bCs/>
        </w:rPr>
        <w:t xml:space="preserve"> since </w:t>
      </w:r>
      <w:r w:rsidR="001D67BD">
        <w:rPr>
          <w:bCs/>
        </w:rPr>
        <w:t xml:space="preserve">these invited papers </w:t>
      </w:r>
      <w:r w:rsidR="00AA66EE">
        <w:rPr>
          <w:bCs/>
        </w:rPr>
        <w:t>do not go through the usual review process</w:t>
      </w:r>
      <w:r w:rsidR="001D67BD">
        <w:rPr>
          <w:bCs/>
        </w:rPr>
        <w:t xml:space="preserve"> (</w:t>
      </w:r>
      <w:proofErr w:type="spellStart"/>
      <w:r w:rsidR="001D67BD">
        <w:rPr>
          <w:bCs/>
        </w:rPr>
        <w:t>Synder</w:t>
      </w:r>
      <w:proofErr w:type="spellEnd"/>
      <w:r w:rsidR="001D67BD">
        <w:rPr>
          <w:bCs/>
        </w:rPr>
        <w:t xml:space="preserve"> and </w:t>
      </w:r>
      <w:proofErr w:type="spellStart"/>
      <w:r w:rsidR="001D67BD">
        <w:rPr>
          <w:bCs/>
        </w:rPr>
        <w:t>Zidar</w:t>
      </w:r>
      <w:proofErr w:type="spellEnd"/>
      <w:r w:rsidR="001D67BD">
        <w:rPr>
          <w:bCs/>
        </w:rPr>
        <w:t xml:space="preserve"> 2011)</w:t>
      </w:r>
      <w:r>
        <w:rPr>
          <w:bCs/>
        </w:rPr>
        <w:t xml:space="preserve">. The citation details are as </w:t>
      </w:r>
      <w:r w:rsidR="00AA66EE">
        <w:rPr>
          <w:bCs/>
        </w:rPr>
        <w:t xml:space="preserve">for </w:t>
      </w:r>
      <w:r>
        <w:rPr>
          <w:bCs/>
        </w:rPr>
        <w:t xml:space="preserve">a regular issue of the </w:t>
      </w:r>
      <w:r>
        <w:rPr>
          <w:bCs/>
          <w:i/>
          <w:iCs/>
        </w:rPr>
        <w:t>AER</w:t>
      </w:r>
      <w:r>
        <w:rPr>
          <w:bCs/>
        </w:rPr>
        <w:t xml:space="preserve"> and </w:t>
      </w:r>
      <w:r>
        <w:rPr>
          <w:bCs/>
          <w:i/>
          <w:iCs/>
        </w:rPr>
        <w:t xml:space="preserve">Web of Science </w:t>
      </w:r>
      <w:r w:rsidR="00AA66EE">
        <w:rPr>
          <w:bCs/>
        </w:rPr>
        <w:t xml:space="preserve">treats it as such. However, in </w:t>
      </w:r>
      <w:r w:rsidR="00EE7EA2">
        <w:rPr>
          <w:bCs/>
        </w:rPr>
        <w:t xml:space="preserve">some </w:t>
      </w:r>
      <w:r w:rsidR="00AA66EE">
        <w:rPr>
          <w:bCs/>
        </w:rPr>
        <w:t xml:space="preserve">economics journal </w:t>
      </w:r>
      <w:r w:rsidR="001D67BD">
        <w:rPr>
          <w:bCs/>
        </w:rPr>
        <w:t>rankings the May issue</w:t>
      </w:r>
      <w:r>
        <w:rPr>
          <w:bCs/>
        </w:rPr>
        <w:t xml:space="preserve"> </w:t>
      </w:r>
      <w:r w:rsidR="00AA66EE">
        <w:rPr>
          <w:bCs/>
        </w:rPr>
        <w:t xml:space="preserve">gets a reduced </w:t>
      </w:r>
      <w:r>
        <w:rPr>
          <w:bCs/>
        </w:rPr>
        <w:t>weight</w:t>
      </w:r>
      <w:r w:rsidR="00AA66EE">
        <w:rPr>
          <w:bCs/>
        </w:rPr>
        <w:t xml:space="preserve">, although most rankings still </w:t>
      </w:r>
      <w:r>
        <w:rPr>
          <w:bCs/>
        </w:rPr>
        <w:t xml:space="preserve">weight </w:t>
      </w:r>
      <w:r w:rsidR="00EE7EA2">
        <w:rPr>
          <w:bCs/>
        </w:rPr>
        <w:t xml:space="preserve">it the same </w:t>
      </w:r>
      <w:r>
        <w:rPr>
          <w:bCs/>
        </w:rPr>
        <w:t xml:space="preserve">as other </w:t>
      </w:r>
      <w:r>
        <w:rPr>
          <w:bCs/>
          <w:i/>
          <w:iCs/>
        </w:rPr>
        <w:t xml:space="preserve">AER </w:t>
      </w:r>
      <w:r>
        <w:rPr>
          <w:bCs/>
        </w:rPr>
        <w:t>issues</w:t>
      </w:r>
      <w:r w:rsidR="00AA66EE">
        <w:rPr>
          <w:bCs/>
        </w:rPr>
        <w:t xml:space="preserve">. </w:t>
      </w:r>
      <w:r w:rsidR="001D67BD">
        <w:rPr>
          <w:bCs/>
        </w:rPr>
        <w:t>The salary</w:t>
      </w:r>
      <w:r w:rsidR="00EE7EA2">
        <w:rPr>
          <w:bCs/>
        </w:rPr>
        <w:t xml:space="preserve"> payoff </w:t>
      </w:r>
      <w:r w:rsidR="00AA66EE">
        <w:rPr>
          <w:bCs/>
        </w:rPr>
        <w:t xml:space="preserve">from publishing in the </w:t>
      </w:r>
      <w:r w:rsidR="00AA66EE">
        <w:rPr>
          <w:bCs/>
          <w:i/>
          <w:iCs/>
        </w:rPr>
        <w:t>Papers and Proceedings</w:t>
      </w:r>
      <w:r w:rsidR="001D67BD">
        <w:rPr>
          <w:bCs/>
        </w:rPr>
        <w:t xml:space="preserve"> issue is equivalent to about 60% of that for</w:t>
      </w:r>
      <w:r w:rsidR="00AA66EE">
        <w:rPr>
          <w:bCs/>
        </w:rPr>
        <w:t xml:space="preserve"> a regular </w:t>
      </w:r>
      <w:r w:rsidR="00AA66EE">
        <w:rPr>
          <w:bCs/>
          <w:i/>
          <w:iCs/>
        </w:rPr>
        <w:t>AER</w:t>
      </w:r>
      <w:r w:rsidR="00EE7EA2">
        <w:rPr>
          <w:bCs/>
        </w:rPr>
        <w:t xml:space="preserve"> (Gibson </w:t>
      </w:r>
      <w:r w:rsidR="00D050FD" w:rsidRPr="00D050FD">
        <w:rPr>
          <w:bCs/>
          <w:i/>
        </w:rPr>
        <w:t>et al.</w:t>
      </w:r>
      <w:r w:rsidR="006470B0">
        <w:rPr>
          <w:bCs/>
          <w:i/>
        </w:rPr>
        <w:t xml:space="preserve"> </w:t>
      </w:r>
      <w:r w:rsidR="00EE7EA2">
        <w:rPr>
          <w:bCs/>
        </w:rPr>
        <w:t xml:space="preserve">2014), </w:t>
      </w:r>
      <w:r w:rsidR="00AA66EE">
        <w:rPr>
          <w:bCs/>
        </w:rPr>
        <w:t xml:space="preserve">so ignoring these articles </w:t>
      </w:r>
      <w:r w:rsidR="001D67BD">
        <w:rPr>
          <w:bCs/>
        </w:rPr>
        <w:t xml:space="preserve">in the May issue </w:t>
      </w:r>
      <w:r w:rsidR="00AA66EE">
        <w:rPr>
          <w:bCs/>
        </w:rPr>
        <w:t xml:space="preserve">seems unwarranted. </w:t>
      </w:r>
      <w:r w:rsidR="001D67BD">
        <w:rPr>
          <w:bCs/>
        </w:rPr>
        <w:t>However, t</w:t>
      </w:r>
      <w:r w:rsidR="00262958">
        <w:rPr>
          <w:bCs/>
        </w:rPr>
        <w:t>o ensure that the results are robust</w:t>
      </w:r>
      <w:r w:rsidR="00BF3A73">
        <w:rPr>
          <w:bCs/>
        </w:rPr>
        <w:t xml:space="preserve">, I </w:t>
      </w:r>
      <w:r w:rsidR="001D67BD">
        <w:rPr>
          <w:bCs/>
        </w:rPr>
        <w:t xml:space="preserve">also </w:t>
      </w:r>
      <w:r w:rsidR="00BF3A73">
        <w:rPr>
          <w:bCs/>
        </w:rPr>
        <w:t>create a</w:t>
      </w:r>
      <w:r w:rsidR="008C575E">
        <w:rPr>
          <w:bCs/>
        </w:rPr>
        <w:t>n analysis</w:t>
      </w:r>
      <w:r w:rsidR="00BF3A73">
        <w:rPr>
          <w:bCs/>
        </w:rPr>
        <w:t xml:space="preserve"> sample without</w:t>
      </w:r>
      <w:r w:rsidR="00262958">
        <w:rPr>
          <w:bCs/>
        </w:rPr>
        <w:t xml:space="preserve"> the </w:t>
      </w:r>
      <w:r w:rsidR="00262958">
        <w:rPr>
          <w:bCs/>
          <w:i/>
          <w:iCs/>
        </w:rPr>
        <w:t>Papers and Proceedings</w:t>
      </w:r>
      <w:r w:rsidR="00262958">
        <w:rPr>
          <w:bCs/>
        </w:rPr>
        <w:t xml:space="preserve"> issue</w:t>
      </w:r>
      <w:r w:rsidR="00BF3A73">
        <w:rPr>
          <w:bCs/>
        </w:rPr>
        <w:t xml:space="preserve">, which reduces the number of articles by about 400, the number of author-affiliations by about 1000, and also results in </w:t>
      </w:r>
      <w:r w:rsidR="001D67BD">
        <w:rPr>
          <w:bCs/>
        </w:rPr>
        <w:t xml:space="preserve">about </w:t>
      </w:r>
      <w:r w:rsidR="00BF3A73">
        <w:rPr>
          <w:bCs/>
        </w:rPr>
        <w:t xml:space="preserve">70 fewer ZIP codes being represented (Table 1). The </w:t>
      </w:r>
      <w:r w:rsidR="00BF3A73">
        <w:rPr>
          <w:bCs/>
          <w:i/>
          <w:iCs/>
        </w:rPr>
        <w:t xml:space="preserve">Papers and Proceedings </w:t>
      </w:r>
      <w:r w:rsidR="00BF3A73">
        <w:rPr>
          <w:bCs/>
        </w:rPr>
        <w:t xml:space="preserve">issue is slightly more US-centric than the other </w:t>
      </w:r>
      <w:r w:rsidR="00EE7EA2" w:rsidRPr="00EE7EA2">
        <w:rPr>
          <w:bCs/>
          <w:i/>
          <w:iCs/>
        </w:rPr>
        <w:t>AER</w:t>
      </w:r>
      <w:r w:rsidR="00EE7EA2">
        <w:rPr>
          <w:bCs/>
        </w:rPr>
        <w:t xml:space="preserve"> issues, </w:t>
      </w:r>
      <w:r w:rsidR="00BF3A73">
        <w:rPr>
          <w:bCs/>
        </w:rPr>
        <w:t xml:space="preserve">so cutting these articles also </w:t>
      </w:r>
      <w:r w:rsidR="008C575E">
        <w:rPr>
          <w:bCs/>
        </w:rPr>
        <w:t xml:space="preserve">results in </w:t>
      </w:r>
      <w:r w:rsidR="00BF3A73">
        <w:rPr>
          <w:bCs/>
        </w:rPr>
        <w:t xml:space="preserve">economics </w:t>
      </w:r>
      <w:r w:rsidR="008C575E">
        <w:rPr>
          <w:bCs/>
        </w:rPr>
        <w:t xml:space="preserve">switching </w:t>
      </w:r>
      <w:r w:rsidR="00BF3A73">
        <w:rPr>
          <w:bCs/>
        </w:rPr>
        <w:t>from being the most US-centri</w:t>
      </w:r>
      <w:r w:rsidR="00B4632B">
        <w:rPr>
          <w:bCs/>
        </w:rPr>
        <w:t>c discipline to the third most.</w:t>
      </w:r>
    </w:p>
    <w:p w:rsidR="00762D69" w:rsidRDefault="00762D69" w:rsidP="003F5128">
      <w:pPr>
        <w:spacing w:line="288" w:lineRule="auto"/>
        <w:ind w:firstLine="357"/>
        <w:jc w:val="both"/>
        <w:rPr>
          <w:bCs/>
        </w:rPr>
      </w:pPr>
    </w:p>
    <w:p w:rsidR="00EE7EA2" w:rsidRDefault="00EE7EA2" w:rsidP="00762D69">
      <w:pPr>
        <w:spacing w:line="288" w:lineRule="auto"/>
        <w:ind w:firstLine="567"/>
        <w:jc w:val="both"/>
        <w:rPr>
          <w:bCs/>
        </w:rPr>
      </w:pPr>
      <w:r>
        <w:rPr>
          <w:bCs/>
        </w:rPr>
        <w:t xml:space="preserve">The US share, and the number of ZIP codes where authors in the top five economics journals have affiliations, </w:t>
      </w:r>
      <w:r w:rsidR="00F02F20">
        <w:rPr>
          <w:bCs/>
        </w:rPr>
        <w:t xml:space="preserve">do not </w:t>
      </w:r>
      <w:r>
        <w:rPr>
          <w:bCs/>
        </w:rPr>
        <w:t xml:space="preserve">differ </w:t>
      </w:r>
      <w:r w:rsidR="00F02F20">
        <w:rPr>
          <w:bCs/>
        </w:rPr>
        <w:t xml:space="preserve">much </w:t>
      </w:r>
      <w:r>
        <w:rPr>
          <w:bCs/>
        </w:rPr>
        <w:t xml:space="preserve">from </w:t>
      </w:r>
      <w:r w:rsidR="00F02F20">
        <w:rPr>
          <w:bCs/>
        </w:rPr>
        <w:t xml:space="preserve">that </w:t>
      </w:r>
      <w:r>
        <w:rPr>
          <w:bCs/>
        </w:rPr>
        <w:t xml:space="preserve">seen in a business discipline like marketing. While somewhat more US-centric than the two social sciences in Table 1, the number of ZIP codes </w:t>
      </w:r>
      <w:r w:rsidR="00E13571">
        <w:rPr>
          <w:bCs/>
        </w:rPr>
        <w:t xml:space="preserve">for </w:t>
      </w:r>
      <w:r w:rsidR="00F02F20">
        <w:rPr>
          <w:bCs/>
        </w:rPr>
        <w:t xml:space="preserve">the economics </w:t>
      </w:r>
      <w:r w:rsidR="00E13571">
        <w:rPr>
          <w:bCs/>
        </w:rPr>
        <w:t xml:space="preserve">authors </w:t>
      </w:r>
      <w:r>
        <w:rPr>
          <w:bCs/>
        </w:rPr>
        <w:t xml:space="preserve">is within the range for sociology and psychology. </w:t>
      </w:r>
      <w:r w:rsidR="002F6778">
        <w:rPr>
          <w:bCs/>
        </w:rPr>
        <w:t>But</w:t>
      </w:r>
      <w:r w:rsidR="00E13571">
        <w:rPr>
          <w:bCs/>
        </w:rPr>
        <w:t xml:space="preserve"> if</w:t>
      </w:r>
      <w:r>
        <w:rPr>
          <w:bCs/>
        </w:rPr>
        <w:t xml:space="preserve"> attention </w:t>
      </w:r>
      <w:r w:rsidR="00E13571">
        <w:rPr>
          <w:bCs/>
        </w:rPr>
        <w:t>switches</w:t>
      </w:r>
      <w:r>
        <w:rPr>
          <w:bCs/>
        </w:rPr>
        <w:t xml:space="preserve"> </w:t>
      </w:r>
      <w:r w:rsidR="00A55621">
        <w:rPr>
          <w:bCs/>
        </w:rPr>
        <w:t xml:space="preserve">from </w:t>
      </w:r>
      <w:r w:rsidR="00A64284">
        <w:rPr>
          <w:bCs/>
        </w:rPr>
        <w:t xml:space="preserve">totals </w:t>
      </w:r>
      <w:r w:rsidR="00E13571">
        <w:rPr>
          <w:bCs/>
        </w:rPr>
        <w:t>to a</w:t>
      </w:r>
      <w:r>
        <w:rPr>
          <w:bCs/>
        </w:rPr>
        <w:t xml:space="preserve"> measure of concentration </w:t>
      </w:r>
      <w:r w:rsidR="002F6778">
        <w:rPr>
          <w:bCs/>
        </w:rPr>
        <w:t>–</w:t>
      </w:r>
      <w:r>
        <w:rPr>
          <w:bCs/>
        </w:rPr>
        <w:t xml:space="preserve"> </w:t>
      </w:r>
      <w:r w:rsidR="002F6778">
        <w:rPr>
          <w:bCs/>
        </w:rPr>
        <w:t xml:space="preserve">the contribution </w:t>
      </w:r>
      <w:r w:rsidR="00A55621">
        <w:rPr>
          <w:bCs/>
        </w:rPr>
        <w:t xml:space="preserve">of </w:t>
      </w:r>
      <w:r w:rsidR="002F6778">
        <w:rPr>
          <w:bCs/>
        </w:rPr>
        <w:t xml:space="preserve">the top </w:t>
      </w:r>
      <w:r w:rsidR="00E13571">
        <w:rPr>
          <w:bCs/>
        </w:rPr>
        <w:t xml:space="preserve">ZIP codes – economics is </w:t>
      </w:r>
      <w:r w:rsidR="002F6778">
        <w:rPr>
          <w:bCs/>
        </w:rPr>
        <w:t xml:space="preserve">very distinctive. </w:t>
      </w:r>
      <w:r w:rsidR="00A55621">
        <w:rPr>
          <w:bCs/>
        </w:rPr>
        <w:t xml:space="preserve">One-fifth of all US-based author-affiliations for articles in the top five economics journals are to a single ZIP code: </w:t>
      </w:r>
      <w:r w:rsidR="002B393A">
        <w:rPr>
          <w:bCs/>
        </w:rPr>
        <w:t>02138</w:t>
      </w:r>
      <w:r w:rsidR="00A55621">
        <w:rPr>
          <w:bCs/>
        </w:rPr>
        <w:t xml:space="preserve">, while the </w:t>
      </w:r>
      <w:r w:rsidR="00F02F20">
        <w:rPr>
          <w:bCs/>
        </w:rPr>
        <w:t>top three ZIP codes (02138,</w:t>
      </w:r>
      <w:r w:rsidR="00A55621">
        <w:rPr>
          <w:bCs/>
        </w:rPr>
        <w:t xml:space="preserve"> 60637 and 94305) account for 30% of all affiliations. No other</w:t>
      </w:r>
      <w:r w:rsidR="00E13571">
        <w:rPr>
          <w:bCs/>
        </w:rPr>
        <w:t xml:space="preserve"> discipline </w:t>
      </w:r>
      <w:r w:rsidR="00A55621">
        <w:rPr>
          <w:bCs/>
        </w:rPr>
        <w:t xml:space="preserve">has a ZIP code </w:t>
      </w:r>
      <w:r w:rsidR="00E13571">
        <w:rPr>
          <w:bCs/>
        </w:rPr>
        <w:t xml:space="preserve">contribute </w:t>
      </w:r>
      <w:r w:rsidR="00A55621">
        <w:rPr>
          <w:bCs/>
        </w:rPr>
        <w:t xml:space="preserve">even </w:t>
      </w:r>
      <w:r w:rsidR="00E13571">
        <w:rPr>
          <w:bCs/>
        </w:rPr>
        <w:t xml:space="preserve">five percent of </w:t>
      </w:r>
      <w:r w:rsidR="00A55621">
        <w:rPr>
          <w:bCs/>
        </w:rPr>
        <w:t xml:space="preserve">author-affiliations, and the share for the top three ZIP codes ranges from 7.3% to 11.8% and averages just ten percent – one third </w:t>
      </w:r>
      <w:r w:rsidR="00E13571">
        <w:rPr>
          <w:bCs/>
        </w:rPr>
        <w:t xml:space="preserve">the </w:t>
      </w:r>
      <w:r w:rsidR="00A55621">
        <w:rPr>
          <w:bCs/>
        </w:rPr>
        <w:t>level of concentration in economics (Table 2).</w:t>
      </w:r>
    </w:p>
    <w:p w:rsidR="00762D69" w:rsidRDefault="00762D69" w:rsidP="00762D69">
      <w:pPr>
        <w:spacing w:line="288" w:lineRule="auto"/>
        <w:ind w:firstLine="567"/>
        <w:jc w:val="both"/>
        <w:rPr>
          <w:bCs/>
        </w:rPr>
      </w:pPr>
    </w:p>
    <w:p w:rsidR="00762D69" w:rsidRDefault="00D03E8C" w:rsidP="006D766E">
      <w:pPr>
        <w:spacing w:line="288" w:lineRule="auto"/>
        <w:ind w:left="-567"/>
        <w:jc w:val="right"/>
        <w:rPr>
          <w:bCs/>
        </w:rPr>
      </w:pPr>
      <w:r>
        <w:rPr>
          <w:noProof/>
          <w:lang w:val="en-NZ" w:eastAsia="zh-CN"/>
        </w:rPr>
        <w:lastRenderedPageBreak/>
        <w:drawing>
          <wp:inline distT="0" distB="0" distL="0" distR="0">
            <wp:extent cx="5729494" cy="7128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54" b="3849"/>
                    <a:stretch/>
                  </pic:blipFill>
                  <pic:spPr bwMode="auto">
                    <a:xfrm>
                      <a:off x="0" y="0"/>
                      <a:ext cx="5732145" cy="7131299"/>
                    </a:xfrm>
                    <a:prstGeom prst="rect">
                      <a:avLst/>
                    </a:prstGeom>
                    <a:noFill/>
                    <a:ln>
                      <a:noFill/>
                    </a:ln>
                    <a:extLst>
                      <a:ext uri="{53640926-AAD7-44D8-BBD7-CCE9431645EC}">
                        <a14:shadowObscured xmlns:a14="http://schemas.microsoft.com/office/drawing/2010/main"/>
                      </a:ext>
                    </a:extLst>
                  </pic:spPr>
                </pic:pic>
              </a:graphicData>
            </a:graphic>
          </wp:inline>
        </w:drawing>
      </w:r>
    </w:p>
    <w:p w:rsidR="006E25F7" w:rsidRDefault="00F02F20" w:rsidP="00EF02EF">
      <w:pPr>
        <w:spacing w:line="288" w:lineRule="auto"/>
        <w:ind w:firstLine="426"/>
        <w:jc w:val="both"/>
        <w:rPr>
          <w:bCs/>
        </w:rPr>
      </w:pPr>
      <w:r>
        <w:rPr>
          <w:bCs/>
        </w:rPr>
        <w:t>This</w:t>
      </w:r>
      <w:r w:rsidR="00AB4B95" w:rsidRPr="00700D28">
        <w:rPr>
          <w:bCs/>
        </w:rPr>
        <w:t xml:space="preserve"> </w:t>
      </w:r>
      <w:r>
        <w:rPr>
          <w:bCs/>
        </w:rPr>
        <w:t xml:space="preserve">micro-geographic concentration appears to be a stable feature of economics. When the top three ZIP codes are calculated for each year of 2000, 2005, 2010 and 2015, 02138 is always </w:t>
      </w:r>
      <w:r w:rsidR="00E13571">
        <w:rPr>
          <w:bCs/>
        </w:rPr>
        <w:t xml:space="preserve">ranked </w:t>
      </w:r>
      <w:r>
        <w:rPr>
          <w:bCs/>
        </w:rPr>
        <w:t xml:space="preserve">first </w:t>
      </w:r>
      <w:r w:rsidR="009443F4">
        <w:rPr>
          <w:bCs/>
        </w:rPr>
        <w:t>and 60637 and 94305 always rank</w:t>
      </w:r>
      <w:r>
        <w:rPr>
          <w:bCs/>
        </w:rPr>
        <w:t xml:space="preserve"> between 2</w:t>
      </w:r>
      <w:r w:rsidRPr="00F02F20">
        <w:rPr>
          <w:bCs/>
          <w:vertAlign w:val="superscript"/>
        </w:rPr>
        <w:t>nd</w:t>
      </w:r>
      <w:r>
        <w:rPr>
          <w:bCs/>
        </w:rPr>
        <w:t xml:space="preserve"> and 4</w:t>
      </w:r>
      <w:r w:rsidRPr="00F02F20">
        <w:rPr>
          <w:bCs/>
          <w:vertAlign w:val="superscript"/>
        </w:rPr>
        <w:t>th</w:t>
      </w:r>
      <w:r>
        <w:rPr>
          <w:bCs/>
        </w:rPr>
        <w:t xml:space="preserve">. In contrast, every other discipline has </w:t>
      </w:r>
      <w:r w:rsidR="00821DA5">
        <w:rPr>
          <w:bCs/>
        </w:rPr>
        <w:t xml:space="preserve">bigger </w:t>
      </w:r>
      <w:r>
        <w:rPr>
          <w:bCs/>
        </w:rPr>
        <w:t>changes in the ranks each year, with no single ZIP code always ranked first and in some years a ZIP code that is in the top three over the sum of the four years falls as far as being ranked 28</w:t>
      </w:r>
      <w:r w:rsidRPr="00F02F20">
        <w:rPr>
          <w:bCs/>
          <w:vertAlign w:val="superscript"/>
        </w:rPr>
        <w:t>th</w:t>
      </w:r>
      <w:r>
        <w:rPr>
          <w:bCs/>
        </w:rPr>
        <w:t xml:space="preserve"> or lower (for marketing, psychology and philosophy). In other words, th</w:t>
      </w:r>
      <w:r w:rsidR="00821DA5">
        <w:rPr>
          <w:bCs/>
        </w:rPr>
        <w:t>e other disciplines appear to be</w:t>
      </w:r>
      <w:r w:rsidR="00E13571">
        <w:rPr>
          <w:bCs/>
        </w:rPr>
        <w:t xml:space="preserve"> </w:t>
      </w:r>
      <w:r w:rsidR="007B48EE">
        <w:rPr>
          <w:bCs/>
        </w:rPr>
        <w:t>more open</w:t>
      </w:r>
      <w:r>
        <w:rPr>
          <w:bCs/>
        </w:rPr>
        <w:t xml:space="preserve"> for authors not </w:t>
      </w:r>
      <w:r w:rsidR="00832B32">
        <w:rPr>
          <w:bCs/>
        </w:rPr>
        <w:t xml:space="preserve">based in </w:t>
      </w:r>
      <w:r>
        <w:rPr>
          <w:bCs/>
        </w:rPr>
        <w:t>the</w:t>
      </w:r>
      <w:r w:rsidR="00B4632B">
        <w:rPr>
          <w:bCs/>
        </w:rPr>
        <w:t>ir</w:t>
      </w:r>
      <w:r>
        <w:rPr>
          <w:bCs/>
        </w:rPr>
        <w:t xml:space="preserve"> leading ZIP codes to publish</w:t>
      </w:r>
      <w:r w:rsidR="00832B32">
        <w:rPr>
          <w:bCs/>
        </w:rPr>
        <w:t xml:space="preserve"> </w:t>
      </w:r>
      <w:r>
        <w:rPr>
          <w:bCs/>
        </w:rPr>
        <w:t>in their top journals than is the case for economics.</w:t>
      </w:r>
      <w:r w:rsidR="007B48EE">
        <w:rPr>
          <w:bCs/>
        </w:rPr>
        <w:t xml:space="preserve"> Moreover, </w:t>
      </w:r>
      <w:r w:rsidR="00821DA5">
        <w:rPr>
          <w:bCs/>
        </w:rPr>
        <w:t xml:space="preserve">outside of </w:t>
      </w:r>
      <w:r w:rsidR="007B48EE">
        <w:rPr>
          <w:bCs/>
        </w:rPr>
        <w:lastRenderedPageBreak/>
        <w:t xml:space="preserve">economics, these other ZIP codes </w:t>
      </w:r>
      <w:r w:rsidR="00821DA5">
        <w:rPr>
          <w:bCs/>
        </w:rPr>
        <w:t xml:space="preserve">that are not at the top overall </w:t>
      </w:r>
      <w:r w:rsidR="007B48EE">
        <w:rPr>
          <w:bCs/>
        </w:rPr>
        <w:t xml:space="preserve">can be near the top of the ranks in certain years even if they </w:t>
      </w:r>
      <w:r w:rsidR="00821DA5">
        <w:rPr>
          <w:bCs/>
        </w:rPr>
        <w:t xml:space="preserve">cannot </w:t>
      </w:r>
      <w:r w:rsidR="007B48EE">
        <w:rPr>
          <w:bCs/>
        </w:rPr>
        <w:t>maintain that position over time.</w:t>
      </w:r>
    </w:p>
    <w:p w:rsidR="00AA2591" w:rsidRPr="00D03E8C" w:rsidRDefault="00AA2591" w:rsidP="00EF02EF">
      <w:pPr>
        <w:spacing w:line="288" w:lineRule="auto"/>
        <w:ind w:firstLine="426"/>
        <w:jc w:val="both"/>
        <w:rPr>
          <w:bCs/>
          <w:sz w:val="20"/>
          <w:szCs w:val="20"/>
        </w:rPr>
      </w:pPr>
    </w:p>
    <w:p w:rsidR="00A638B3" w:rsidRDefault="00821DA5" w:rsidP="00762D69">
      <w:pPr>
        <w:widowControl w:val="0"/>
        <w:spacing w:line="288" w:lineRule="auto"/>
        <w:ind w:firstLine="567"/>
        <w:jc w:val="both"/>
        <w:rPr>
          <w:bCs/>
        </w:rPr>
      </w:pPr>
      <w:r>
        <w:rPr>
          <w:bCs/>
        </w:rPr>
        <w:t xml:space="preserve">Outside of </w:t>
      </w:r>
      <w:r w:rsidR="008C575E">
        <w:rPr>
          <w:bCs/>
        </w:rPr>
        <w:t xml:space="preserve">economics, </w:t>
      </w:r>
      <w:r w:rsidR="00A638B3">
        <w:rPr>
          <w:bCs/>
        </w:rPr>
        <w:t xml:space="preserve">patterns of author-affiliation concentration and </w:t>
      </w:r>
      <w:r w:rsidR="0059536A">
        <w:rPr>
          <w:bCs/>
        </w:rPr>
        <w:t xml:space="preserve">stability or volatility of the </w:t>
      </w:r>
      <w:r w:rsidR="00A638B3">
        <w:rPr>
          <w:bCs/>
        </w:rPr>
        <w:t xml:space="preserve">ranks are generally consistent with the hypotheses discussed in Section 3. A bench science like chemistry, where access to key labs might create spatial clustering, has a higher share of the author-affiliations to articles in top journals associated with a few ZIP codes, and more stability in the ranks of the top ZIP codes. Conversely, a discipline like philosophy </w:t>
      </w:r>
      <w:r>
        <w:rPr>
          <w:bCs/>
        </w:rPr>
        <w:t xml:space="preserve">should </w:t>
      </w:r>
      <w:r w:rsidR="00A638B3">
        <w:rPr>
          <w:bCs/>
        </w:rPr>
        <w:t xml:space="preserve">have top researchers more dispersed over space, </w:t>
      </w:r>
      <w:r>
        <w:rPr>
          <w:bCs/>
        </w:rPr>
        <w:t xml:space="preserve">given the </w:t>
      </w:r>
      <w:r w:rsidR="0059536A">
        <w:rPr>
          <w:bCs/>
        </w:rPr>
        <w:t xml:space="preserve">limited </w:t>
      </w:r>
      <w:r>
        <w:rPr>
          <w:bCs/>
        </w:rPr>
        <w:t xml:space="preserve">non-academic </w:t>
      </w:r>
      <w:r w:rsidR="00A638B3">
        <w:rPr>
          <w:bCs/>
        </w:rPr>
        <w:t xml:space="preserve">demand. Consistent with this, the philosophy journals show one of the lowest rates of micro-geographic concentration and the </w:t>
      </w:r>
      <w:r w:rsidR="00F94D07">
        <w:rPr>
          <w:bCs/>
        </w:rPr>
        <w:t>ZIP code ranks are the least stable over time.</w:t>
      </w:r>
    </w:p>
    <w:p w:rsidR="00762D69" w:rsidRPr="00D03E8C" w:rsidRDefault="00762D69" w:rsidP="00762D69">
      <w:pPr>
        <w:widowControl w:val="0"/>
        <w:spacing w:line="288" w:lineRule="auto"/>
        <w:ind w:firstLine="567"/>
        <w:jc w:val="both"/>
        <w:rPr>
          <w:bCs/>
          <w:sz w:val="20"/>
          <w:szCs w:val="20"/>
        </w:rPr>
      </w:pPr>
    </w:p>
    <w:p w:rsidR="00832B32" w:rsidRDefault="00832B32" w:rsidP="00762D69">
      <w:pPr>
        <w:widowControl w:val="0"/>
        <w:spacing w:line="288" w:lineRule="auto"/>
        <w:ind w:firstLine="567"/>
        <w:jc w:val="both"/>
      </w:pPr>
      <w:r>
        <w:rPr>
          <w:bCs/>
        </w:rPr>
        <w:t xml:space="preserve">The last two columns in Table 2 switch from an author-affiliation analysis that is restricted to the US affiliations, to an article-level analysis that considers authors no matter which country they are based in. Over one-quarter of all articles in the top five economics journals have at least one author with a link to the </w:t>
      </w:r>
      <w:r w:rsidR="002B393A">
        <w:rPr>
          <w:bCs/>
        </w:rPr>
        <w:t>02138</w:t>
      </w:r>
      <w:r>
        <w:rPr>
          <w:bCs/>
        </w:rPr>
        <w:t xml:space="preserve"> ZIP code. The highest share in any other discipline is 5.1%, and in fact even the third most highly ranked ZIP code for economics </w:t>
      </w:r>
      <w:r w:rsidR="00D03E8C">
        <w:rPr>
          <w:bCs/>
        </w:rPr>
        <w:t>-</w:t>
      </w:r>
      <w:r>
        <w:rPr>
          <w:bCs/>
        </w:rPr>
        <w:t xml:space="preserve"> 94305 </w:t>
      </w:r>
      <w:r w:rsidR="00D03E8C">
        <w:rPr>
          <w:bCs/>
        </w:rPr>
        <w:t>-</w:t>
      </w:r>
      <w:r>
        <w:rPr>
          <w:bCs/>
        </w:rPr>
        <w:t xml:space="preserve"> has a larger share of articles than the top ZIP code in every other discipline. When attention turns to citations to the articles in these top five journals, the level of micro-geographic concentration in economics is even more remarkable. The top three ZIP codes</w:t>
      </w:r>
      <w:r w:rsidR="0059536A">
        <w:rPr>
          <w:bCs/>
        </w:rPr>
        <w:t>, in terms of</w:t>
      </w:r>
      <w:r>
        <w:rPr>
          <w:bCs/>
        </w:rPr>
        <w:t xml:space="preserve"> </w:t>
      </w:r>
      <w:r>
        <w:t>contributors to article</w:t>
      </w:r>
      <w:r w:rsidR="00A638B3">
        <w:t>s in the top five journals</w:t>
      </w:r>
      <w:r w:rsidR="0059536A">
        <w:t>,</w:t>
      </w:r>
      <w:r w:rsidR="00A638B3">
        <w:t xml:space="preserve"> </w:t>
      </w:r>
      <w:r>
        <w:t>garnered one-half of all the citations to the articles published in these journals. In contrast, for the comparator disciplines, their top three ZIP codes garnered just over 12% of citations.</w:t>
      </w:r>
      <w:r w:rsidR="00392399">
        <w:t xml:space="preserve"> Indeed, </w:t>
      </w:r>
      <w:r w:rsidR="00A638B3">
        <w:t xml:space="preserve">but </w:t>
      </w:r>
      <w:r>
        <w:t>f</w:t>
      </w:r>
      <w:r w:rsidR="00392399">
        <w:t>or</w:t>
      </w:r>
      <w:r>
        <w:t xml:space="preserve"> citations to articles that have Stanford sociologists as (co-)authors, even the third ranked ZIP code in economics has a </w:t>
      </w:r>
      <w:r w:rsidR="00392399">
        <w:t xml:space="preserve">bigger </w:t>
      </w:r>
      <w:r>
        <w:t xml:space="preserve">share of citations than the leading ZIP code for </w:t>
      </w:r>
      <w:r w:rsidR="008C575E">
        <w:t>every other discipline</w:t>
      </w:r>
      <w:r>
        <w:t xml:space="preserve"> in Table 2. </w:t>
      </w:r>
      <w:r w:rsidR="00A638B3">
        <w:t>The recognition of the economics research that is published in the top journals is much more concentrated</w:t>
      </w:r>
      <w:r w:rsidR="0059536A">
        <w:t>, with</w:t>
      </w:r>
      <w:r w:rsidR="00A638B3">
        <w:t xml:space="preserve"> authors </w:t>
      </w:r>
      <w:r w:rsidR="0059536A">
        <w:t xml:space="preserve">in </w:t>
      </w:r>
      <w:r w:rsidR="00A638B3">
        <w:t xml:space="preserve">a few locations </w:t>
      </w:r>
      <w:r w:rsidR="00B4632B">
        <w:t xml:space="preserve">being </w:t>
      </w:r>
      <w:r w:rsidR="0059536A">
        <w:t xml:space="preserve">disproportionately cited, </w:t>
      </w:r>
      <w:r w:rsidR="00A638B3">
        <w:t>than is the case for any other discipline.</w:t>
      </w:r>
    </w:p>
    <w:p w:rsidR="00762D69" w:rsidRPr="00E47A91" w:rsidRDefault="00762D69" w:rsidP="00762D69">
      <w:pPr>
        <w:widowControl w:val="0"/>
        <w:spacing w:line="288" w:lineRule="auto"/>
        <w:ind w:firstLine="567"/>
        <w:jc w:val="both"/>
        <w:rPr>
          <w:sz w:val="20"/>
          <w:szCs w:val="20"/>
        </w:rPr>
      </w:pPr>
    </w:p>
    <w:p w:rsidR="003A42AC" w:rsidRDefault="00832B32" w:rsidP="00AA2591">
      <w:pPr>
        <w:spacing w:line="288" w:lineRule="auto"/>
        <w:ind w:firstLine="567"/>
        <w:jc w:val="both"/>
      </w:pPr>
      <w:r>
        <w:t xml:space="preserve"> </w:t>
      </w:r>
      <w:r w:rsidR="00F94D07">
        <w:t xml:space="preserve">The concentration of citations to economics articles whose authors are associated with a few key ZIP codes appears to have strengthened over time. Figure 1 shows the share of citations that are garnered by the top three ZIP codes in 2000, 2005, 2010 and 2015. It is clear that the share of citations in economics for the 02138 ZIP code is rising, from 24% in 2000 to 37% in 2015. There is also a slight rise, from 9% to 11%, for the second ranked ZIP code: 60637. In contrast, for sociology the </w:t>
      </w:r>
      <w:r w:rsidR="00DB35E1">
        <w:t xml:space="preserve">citations </w:t>
      </w:r>
      <w:r w:rsidR="00F94D07">
        <w:t xml:space="preserve">share of the top ZIP codes has fallen over time; the top three went from having one-quarter of the citations to articles published in 2000 to just 7.8% of the citations to the articles published in 2015. </w:t>
      </w:r>
      <w:r w:rsidR="00B904E2">
        <w:t xml:space="preserve"> </w:t>
      </w:r>
      <w:r w:rsidR="00F94D07">
        <w:t xml:space="preserve">For a discipline like chemistry, </w:t>
      </w:r>
      <w:r w:rsidR="00821DA5">
        <w:t xml:space="preserve">where citations accumulate </w:t>
      </w:r>
      <w:r w:rsidR="00F94D07">
        <w:t>more rapidly, there is also a slight decline in the share of the top three ZIP codes, falling from 7% for articles published in 2000 to 5.7% for articles published in 2015.</w:t>
      </w:r>
      <w:r w:rsidR="00DB35E1">
        <w:t xml:space="preserve"> </w:t>
      </w:r>
      <w:r w:rsidR="00B904E2">
        <w:t xml:space="preserve"> </w:t>
      </w:r>
      <w:r w:rsidR="00DB35E1">
        <w:t xml:space="preserve">Thus, the distinctive nature of economics, in terms of the micro-geographic concentration of research recognition, appears to be doubly </w:t>
      </w:r>
      <w:r w:rsidR="00821DA5">
        <w:t>distinctive in the sense that this concentration</w:t>
      </w:r>
      <w:r w:rsidR="00DB35E1">
        <w:t xml:space="preserve"> is strengthening over time.</w:t>
      </w:r>
      <w:r w:rsidR="003A42AC">
        <w:br w:type="page"/>
      </w:r>
    </w:p>
    <w:p w:rsidR="001C0D94" w:rsidRDefault="001C0D94">
      <w:pPr>
        <w:sectPr w:rsidR="001C0D94" w:rsidSect="00693600">
          <w:footerReference w:type="default" r:id="rId10"/>
          <w:endnotePr>
            <w:numFmt w:val="decimal"/>
          </w:endnotePr>
          <w:pgSz w:w="11907" w:h="16840" w:code="9"/>
          <w:pgMar w:top="1440" w:right="1440" w:bottom="1440" w:left="1440" w:header="720" w:footer="720" w:gutter="0"/>
          <w:cols w:space="720"/>
          <w:titlePg/>
          <w:docGrid w:linePitch="360"/>
        </w:sectPr>
      </w:pPr>
    </w:p>
    <w:p w:rsidR="001C0D94" w:rsidRDefault="005B3C6F">
      <w:pPr>
        <w:sectPr w:rsidR="001C0D94" w:rsidSect="005B5B61">
          <w:endnotePr>
            <w:numFmt w:val="decimal"/>
          </w:endnotePr>
          <w:pgSz w:w="16840" w:h="11907" w:orient="landscape" w:code="9"/>
          <w:pgMar w:top="1440" w:right="1440" w:bottom="1440" w:left="1440" w:header="720" w:footer="720" w:gutter="0"/>
          <w:pgNumType w:start="0"/>
          <w:cols w:space="720"/>
          <w:titlePg/>
          <w:docGrid w:linePitch="360"/>
        </w:sectPr>
      </w:pPr>
      <w:r>
        <w:rPr>
          <w:noProof/>
          <w:lang w:val="en-NZ" w:eastAsia="zh-CN"/>
        </w:rPr>
        <w:lastRenderedPageBreak/>
        <w:drawing>
          <wp:inline distT="0" distB="0" distL="0" distR="0" wp14:anchorId="734FFECA" wp14:editId="5EEE6DFD">
            <wp:extent cx="9429200" cy="556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200" cy="5562600"/>
                    </a:xfrm>
                    <a:prstGeom prst="rect">
                      <a:avLst/>
                    </a:prstGeom>
                    <a:noFill/>
                    <a:ln>
                      <a:noFill/>
                    </a:ln>
                  </pic:spPr>
                </pic:pic>
              </a:graphicData>
            </a:graphic>
          </wp:inline>
        </w:drawing>
      </w:r>
    </w:p>
    <w:p w:rsidR="00F94D07" w:rsidRDefault="00DB35E1" w:rsidP="006C6D09">
      <w:pPr>
        <w:spacing w:line="288" w:lineRule="auto"/>
        <w:ind w:firstLine="720"/>
        <w:jc w:val="both"/>
      </w:pPr>
      <w:r>
        <w:lastRenderedPageBreak/>
        <w:t xml:space="preserve">The results in Table 2 and Figure 1 use all articles in the top five economics journals, which includes the </w:t>
      </w:r>
      <w:r>
        <w:rPr>
          <w:i/>
          <w:iCs/>
        </w:rPr>
        <w:t>Papers and Proceedings</w:t>
      </w:r>
      <w:r>
        <w:t xml:space="preserve"> issue of the </w:t>
      </w:r>
      <w:r>
        <w:rPr>
          <w:i/>
          <w:iCs/>
        </w:rPr>
        <w:t>AER</w:t>
      </w:r>
      <w:r>
        <w:t xml:space="preserve">. In panel A of Table 3 the results without the </w:t>
      </w:r>
      <w:r>
        <w:rPr>
          <w:i/>
          <w:iCs/>
        </w:rPr>
        <w:t>Papers and Proceedings</w:t>
      </w:r>
      <w:r>
        <w:t xml:space="preserve"> issue are shown. The degree of micro-geographic concentration is almost the same, with or without the </w:t>
      </w:r>
      <w:r>
        <w:rPr>
          <w:i/>
          <w:iCs/>
        </w:rPr>
        <w:t xml:space="preserve">Papers and Proceedings </w:t>
      </w:r>
      <w:r>
        <w:t xml:space="preserve">issue; a slightly higher share of the author-affiliations </w:t>
      </w:r>
      <w:proofErr w:type="gramStart"/>
      <w:r>
        <w:t>go</w:t>
      </w:r>
      <w:proofErr w:type="gramEnd"/>
      <w:r>
        <w:t xml:space="preserve"> to the top three ZIP codes and they garner a fractionally lower share of the citations, when the </w:t>
      </w:r>
      <w:r>
        <w:rPr>
          <w:i/>
          <w:iCs/>
        </w:rPr>
        <w:t>Papers and Proceedings</w:t>
      </w:r>
      <w:r>
        <w:t xml:space="preserve"> issue is ignored. However, the key findings, that about one-third of all US-based author-affiliations and one-half of citations to all articles</w:t>
      </w:r>
      <w:r w:rsidR="00727E82">
        <w:t xml:space="preserve"> in the top five journals</w:t>
      </w:r>
      <w:r>
        <w:t xml:space="preserve"> (irrespective of </w:t>
      </w:r>
      <w:r w:rsidR="00727E82">
        <w:t xml:space="preserve">country of </w:t>
      </w:r>
      <w:r>
        <w:t xml:space="preserve">author </w:t>
      </w:r>
      <w:r w:rsidR="00727E82">
        <w:t>affiliation</w:t>
      </w:r>
      <w:r>
        <w:t>) go to authors associated with just three ZIP codes</w:t>
      </w:r>
      <w:r w:rsidR="00727E82">
        <w:t>, still hold.</w:t>
      </w:r>
    </w:p>
    <w:p w:rsidR="006C6D09" w:rsidRDefault="006C6D09" w:rsidP="006C6D09">
      <w:pPr>
        <w:ind w:firstLine="720"/>
      </w:pPr>
    </w:p>
    <w:p w:rsidR="00762D69" w:rsidRDefault="00D818B9" w:rsidP="00451BCA">
      <w:pPr>
        <w:spacing w:line="288" w:lineRule="auto"/>
        <w:ind w:left="-567" w:firstLine="567"/>
        <w:jc w:val="center"/>
      </w:pPr>
      <w:r>
        <w:rPr>
          <w:noProof/>
          <w:lang w:val="en-NZ" w:eastAsia="zh-CN"/>
        </w:rPr>
        <w:drawing>
          <wp:inline distT="0" distB="0" distL="0" distR="0" wp14:anchorId="2A17F110" wp14:editId="7387BC8A">
            <wp:extent cx="5967268" cy="435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6432"/>
                    <a:stretch/>
                  </pic:blipFill>
                  <pic:spPr bwMode="auto">
                    <a:xfrm>
                      <a:off x="0" y="0"/>
                      <a:ext cx="5971540" cy="4359118"/>
                    </a:xfrm>
                    <a:prstGeom prst="rect">
                      <a:avLst/>
                    </a:prstGeom>
                    <a:noFill/>
                    <a:ln>
                      <a:noFill/>
                    </a:ln>
                    <a:extLst>
                      <a:ext uri="{53640926-AAD7-44D8-BBD7-CCE9431645EC}">
                        <a14:shadowObscured xmlns:a14="http://schemas.microsoft.com/office/drawing/2010/main"/>
                      </a:ext>
                    </a:extLst>
                  </pic:spPr>
                </pic:pic>
              </a:graphicData>
            </a:graphic>
          </wp:inline>
        </w:drawing>
      </w:r>
    </w:p>
    <w:p w:rsidR="004661AC" w:rsidRDefault="004661AC" w:rsidP="00762D69">
      <w:pPr>
        <w:spacing w:line="288" w:lineRule="auto"/>
        <w:ind w:firstLine="567"/>
        <w:jc w:val="both"/>
      </w:pPr>
    </w:p>
    <w:p w:rsidR="00097BE3" w:rsidRDefault="00727E82" w:rsidP="00762D69">
      <w:pPr>
        <w:spacing w:line="288" w:lineRule="auto"/>
        <w:ind w:firstLine="567"/>
        <w:jc w:val="both"/>
      </w:pPr>
      <w:r>
        <w:t>The second sensitivity analysis reported in Table 3 considers the impac</w:t>
      </w:r>
      <w:r w:rsidR="00EC3F60">
        <w:t xml:space="preserve">t of the NBER. Since some NBER affiliates </w:t>
      </w:r>
      <w:r>
        <w:t>are not physically located in the 02138 ZIP code,</w:t>
      </w:r>
      <w:r w:rsidR="00EC3F60">
        <w:t xml:space="preserve"> </w:t>
      </w:r>
      <w:r>
        <w:t xml:space="preserve">counting affiliations </w:t>
      </w:r>
      <w:r w:rsidR="00B4632B">
        <w:t xml:space="preserve">to this address </w:t>
      </w:r>
      <w:r w:rsidR="00EC3F60">
        <w:t xml:space="preserve">may seem to overstate </w:t>
      </w:r>
      <w:r>
        <w:t xml:space="preserve">the micro-geographic concentration in economics. Of course, other </w:t>
      </w:r>
      <w:r w:rsidR="00EC3F60">
        <w:t xml:space="preserve">research centers have </w:t>
      </w:r>
      <w:r>
        <w:t xml:space="preserve">authors affiliate with </w:t>
      </w:r>
      <w:r w:rsidR="00EC3F60">
        <w:t xml:space="preserve">them </w:t>
      </w:r>
      <w:r>
        <w:t xml:space="preserve">even when they are </w:t>
      </w:r>
      <w:r w:rsidR="00EC3F60">
        <w:t xml:space="preserve">not </w:t>
      </w:r>
      <w:r>
        <w:t xml:space="preserve">physically </w:t>
      </w:r>
      <w:r w:rsidR="00EC3F60">
        <w:t xml:space="preserve">in </w:t>
      </w:r>
      <w:r>
        <w:t xml:space="preserve">that location – in economics </w:t>
      </w:r>
      <w:r w:rsidR="00EC3F60">
        <w:t xml:space="preserve">as </w:t>
      </w:r>
      <w:r>
        <w:t xml:space="preserve">in other disciplines – and </w:t>
      </w:r>
      <w:r w:rsidR="00EC3F60">
        <w:t xml:space="preserve">having </w:t>
      </w:r>
      <w:r>
        <w:t>the NBER in 02138 rather than somewhere central and cheap, like Kansas, is in and of itself of interest.</w:t>
      </w:r>
      <w:r w:rsidR="00EC3F60">
        <w:t xml:space="preserve"> </w:t>
      </w:r>
    </w:p>
    <w:p w:rsidR="00762D69" w:rsidRDefault="00762D69" w:rsidP="00762D69">
      <w:pPr>
        <w:spacing w:line="288" w:lineRule="auto"/>
        <w:ind w:firstLine="567"/>
        <w:jc w:val="both"/>
      </w:pPr>
    </w:p>
    <w:p w:rsidR="00225808" w:rsidRDefault="00EC3F60" w:rsidP="00762D69">
      <w:pPr>
        <w:spacing w:line="288" w:lineRule="auto"/>
        <w:ind w:firstLine="567"/>
        <w:jc w:val="both"/>
      </w:pPr>
      <w:r>
        <w:t xml:space="preserve">It turns out that ignoring all NBER affiliations and recalculating the top ZIP codes does not remove the </w:t>
      </w:r>
      <w:r w:rsidR="00225808">
        <w:t xml:space="preserve">high </w:t>
      </w:r>
      <w:r>
        <w:t xml:space="preserve">degree of micro-geographic concentration in economics. With no NBER, </w:t>
      </w:r>
      <w:r w:rsidR="002B393A">
        <w:t>02138</w:t>
      </w:r>
      <w:r>
        <w:t xml:space="preserve"> is still the top ranked ZIP code, and accounts for </w:t>
      </w:r>
      <w:r w:rsidR="00225808">
        <w:t xml:space="preserve">nine percent </w:t>
      </w:r>
      <w:r>
        <w:t>of US-based affiliations</w:t>
      </w:r>
      <w:r w:rsidR="00225808">
        <w:t xml:space="preserve">, </w:t>
      </w:r>
      <w:r w:rsidR="00225808">
        <w:lastRenderedPageBreak/>
        <w:t>and is represented on 11</w:t>
      </w:r>
      <w:r>
        <w:t xml:space="preserve">% </w:t>
      </w:r>
      <w:r w:rsidR="00225808">
        <w:t>of all articles (including those authored from outside the US). Moreover, these articles garner 14</w:t>
      </w:r>
      <w:r>
        <w:t xml:space="preserve">% of </w:t>
      </w:r>
      <w:r w:rsidR="00225808">
        <w:t>the citations</w:t>
      </w:r>
      <w:r>
        <w:t>. The shares for 60637 and 94305 also rise a little, since there are fewer author-affiliations being counted</w:t>
      </w:r>
      <w:r w:rsidR="00225808">
        <w:t>, so the top three ZIP codes in economics still garner one-third of the citations in the top journals, even with the NBER affiliations ignored</w:t>
      </w:r>
      <w:r>
        <w:t>.</w:t>
      </w:r>
      <w:r w:rsidR="007B48EE">
        <w:t xml:space="preserve"> This is about three times as large as the average citations share for the top three ZIP codes for the other disciplines in Table 2.</w:t>
      </w:r>
      <w:r w:rsidR="00A64284">
        <w:rPr>
          <w:rStyle w:val="FootnoteReference"/>
        </w:rPr>
        <w:footnoteReference w:id="3"/>
      </w:r>
      <w:r w:rsidR="00821DA5">
        <w:t xml:space="preserve"> Thus, the micro-geographic concentration of research in economics is still distinctive even if the NBER is ignored.</w:t>
      </w:r>
    </w:p>
    <w:p w:rsidR="00762D69" w:rsidRDefault="00762D69" w:rsidP="00762D69">
      <w:pPr>
        <w:spacing w:line="288" w:lineRule="auto"/>
        <w:ind w:firstLine="567"/>
        <w:jc w:val="both"/>
      </w:pPr>
    </w:p>
    <w:p w:rsidR="007D57F7" w:rsidRDefault="001739C9" w:rsidP="00762D69">
      <w:pPr>
        <w:spacing w:line="288" w:lineRule="auto"/>
        <w:ind w:firstLine="567"/>
        <w:jc w:val="both"/>
      </w:pPr>
      <w:r>
        <w:t>The third sensitivity analysis considers micro-geographic clustering, by looking for any ZIP code that is adjacent to a top three ZIP c</w:t>
      </w:r>
      <w:r w:rsidRPr="001739C9">
        <w:t xml:space="preserve">ode and </w:t>
      </w:r>
      <w:r>
        <w:t>that itself ranks in the next ten ZIP c</w:t>
      </w:r>
      <w:r w:rsidRPr="001739C9">
        <w:t xml:space="preserve">odes in terms of </w:t>
      </w:r>
      <w:r>
        <w:t xml:space="preserve">the </w:t>
      </w:r>
      <w:r w:rsidR="007B48EE">
        <w:t xml:space="preserve">number of </w:t>
      </w:r>
      <w:r>
        <w:t>author-a</w:t>
      </w:r>
      <w:r w:rsidRPr="001739C9">
        <w:t>ffiliations</w:t>
      </w:r>
      <w:r>
        <w:t xml:space="preserve">. While this exercise is carried out for each of the six disciplines, it only affects the results for economics, where </w:t>
      </w:r>
      <w:r w:rsidR="007B48EE">
        <w:t>the ZIP code</w:t>
      </w:r>
      <w:r>
        <w:t xml:space="preserve"> for MIT (02139</w:t>
      </w:r>
      <w:r w:rsidR="007B48EE">
        <w:t>) borders that for</w:t>
      </w:r>
      <w:r>
        <w:t xml:space="preserve"> 02138. This combined area in Cambridge, Massachusetts accounts for one-quarter of all of the US-based author-affili</w:t>
      </w:r>
      <w:r w:rsidR="009443F4">
        <w:t>ations, and is represented on 31</w:t>
      </w:r>
      <w:r>
        <w:t>% of all articles in the top five journals</w:t>
      </w:r>
      <w:r w:rsidR="009443F4">
        <w:t xml:space="preserve"> and these articles get 36% of the citations. Treating 02138 and 02139 as a single cluster, the top three micro-geographic clusters (which includes 60637 and 94305) are represented on articles that gain</w:t>
      </w:r>
      <w:r>
        <w:t xml:space="preserve"> 55% of </w:t>
      </w:r>
      <w:r w:rsidR="009443F4">
        <w:t xml:space="preserve">all </w:t>
      </w:r>
      <w:r>
        <w:t>citations</w:t>
      </w:r>
      <w:r w:rsidR="009443F4">
        <w:t xml:space="preserve"> to articles in the top five economics journals</w:t>
      </w:r>
      <w:r>
        <w:t xml:space="preserve">, which is an extremely concentrated degree of research recognition. </w:t>
      </w:r>
    </w:p>
    <w:p w:rsidR="00762D69" w:rsidRDefault="00762D69" w:rsidP="00762D69">
      <w:pPr>
        <w:spacing w:line="288" w:lineRule="auto"/>
        <w:ind w:firstLine="567"/>
        <w:jc w:val="both"/>
      </w:pPr>
    </w:p>
    <w:p w:rsidR="00762D69" w:rsidRDefault="004828EA" w:rsidP="003F5128">
      <w:pPr>
        <w:spacing w:line="288" w:lineRule="auto"/>
        <w:ind w:firstLine="357"/>
        <w:jc w:val="both"/>
      </w:pPr>
      <w:r>
        <w:t xml:space="preserve">The </w:t>
      </w:r>
      <w:r w:rsidR="00F13F9C">
        <w:t xml:space="preserve">micro-geographic research concentration </w:t>
      </w:r>
      <w:r>
        <w:t xml:space="preserve">can also be studied </w:t>
      </w:r>
      <w:r w:rsidR="00F13F9C">
        <w:t>with t</w:t>
      </w:r>
      <w:r>
        <w:t>he Gini coefficient:</w:t>
      </w:r>
      <w:r w:rsidR="00A14B90">
        <w:t xml:space="preserve"> </w:t>
      </w:r>
    </w:p>
    <w:p w:rsidR="004828EA" w:rsidRDefault="00A14B90" w:rsidP="006B0B82">
      <w:pPr>
        <w:spacing w:line="288" w:lineRule="auto"/>
        <w:jc w:val="both"/>
      </w:pPr>
      <w:r>
        <w:rPr>
          <w:position w:val="-30"/>
        </w:rPr>
        <w:object w:dxaOrig="18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40.55pt" o:ole="" fillcolor="window">
            <v:imagedata r:id="rId13" o:title=""/>
          </v:shape>
          <o:OLEObject Type="Embed" ProgID="Equation.3" ShapeID="_x0000_i1025" DrawAspect="Content" ObjectID="_1581399557" r:id="rId14"/>
        </w:object>
      </w:r>
      <w:r>
        <w:t xml:space="preserve">, where </w:t>
      </w:r>
      <w:proofErr w:type="gramStart"/>
      <w:r>
        <w:rPr>
          <w:i/>
        </w:rPr>
        <w:t>x</w:t>
      </w:r>
      <w:r>
        <w:rPr>
          <w:i/>
        </w:rPr>
        <w:softHyphen/>
      </w:r>
      <w:r>
        <w:rPr>
          <w:i/>
          <w:vertAlign w:val="subscript"/>
        </w:rPr>
        <w:t>i</w:t>
      </w:r>
      <w:r>
        <w:t xml:space="preserve">  is</w:t>
      </w:r>
      <w:proofErr w:type="gramEnd"/>
      <w:r>
        <w:t xml:space="preserve"> the number of articles (or citations) for the </w:t>
      </w:r>
      <w:proofErr w:type="spellStart"/>
      <w:r>
        <w:rPr>
          <w:i/>
        </w:rPr>
        <w:t>i</w:t>
      </w:r>
      <w:r>
        <w:t>th</w:t>
      </w:r>
      <w:proofErr w:type="spellEnd"/>
      <w:r>
        <w:t xml:space="preserve"> ZIP code, </w:t>
      </w:r>
      <w:r>
        <w:rPr>
          <w:i/>
        </w:rPr>
        <w:sym w:font="Symbol" w:char="F06D"/>
      </w:r>
      <w:r>
        <w:t xml:space="preserve"> </w:t>
      </w:r>
      <w:r w:rsidR="006B0B82">
        <w:t>is th</w:t>
      </w:r>
      <w:r>
        <w:t xml:space="preserve">e mean number of articles (or citations) per ZIP code and </w:t>
      </w:r>
      <w:r>
        <w:rPr>
          <w:i/>
        </w:rPr>
        <w:t>N</w:t>
      </w:r>
      <w:r>
        <w:t xml:space="preserve"> is the total number of ZIP codes</w:t>
      </w:r>
      <w:r w:rsidR="004828EA">
        <w:t xml:space="preserve">. In order to </w:t>
      </w:r>
      <w:r w:rsidR="007B48EE">
        <w:t xml:space="preserve">create ZIP code-level totals that </w:t>
      </w:r>
      <w:r w:rsidR="004828EA">
        <w:t xml:space="preserve">account for multiple authors and multiple affiliations, the articles (and the citations to them) are pro-rated. For example, if </w:t>
      </w:r>
      <w:r w:rsidR="00A64284">
        <w:t xml:space="preserve">an article has </w:t>
      </w:r>
      <w:r w:rsidR="004828EA">
        <w:t>two authors, each with</w:t>
      </w:r>
      <w:r w:rsidR="007B48EE">
        <w:t xml:space="preserve"> a single affiliation, then their respective ZIP codes</w:t>
      </w:r>
      <w:r w:rsidR="004828EA">
        <w:t xml:space="preserve"> each get half of an article and half of the citations to the article. While there are other ways to treat co</w:t>
      </w:r>
      <w:r w:rsidR="004828EA">
        <w:noBreakHyphen/>
        <w:t>authorship (and multiple affiliations), the pro-rating approach is the only efficient way to count research output that does not lead to incentives for ‘phantom’ authors whose name is added to the author list at no cost to the other authors (</w:t>
      </w:r>
      <w:r w:rsidR="004828EA">
        <w:rPr>
          <w:lang w:eastAsia="en-NZ"/>
        </w:rPr>
        <w:t xml:space="preserve">Liebowitz, </w:t>
      </w:r>
      <w:r w:rsidR="004828EA" w:rsidRPr="00437F5C">
        <w:rPr>
          <w:lang w:eastAsia="en-NZ"/>
        </w:rPr>
        <w:t>2014</w:t>
      </w:r>
      <w:r w:rsidR="004828EA">
        <w:rPr>
          <w:lang w:eastAsia="en-NZ"/>
        </w:rPr>
        <w:t>). The shares of articles and of the citations to those articles are then added up for each ZIP code; this exercise only considers the inequality amongst areas in the United States, with the shares of articles and citations going to authors based at non-US locations ignored in the calculations.</w:t>
      </w:r>
    </w:p>
    <w:p w:rsidR="00EA2F9A" w:rsidRDefault="00EA2F9A" w:rsidP="00EA2F9A">
      <w:pPr>
        <w:spacing w:line="288" w:lineRule="auto"/>
        <w:jc w:val="both"/>
      </w:pPr>
    </w:p>
    <w:p w:rsidR="007F28BF" w:rsidRDefault="004828EA" w:rsidP="00EA2F9A">
      <w:pPr>
        <w:spacing w:line="288" w:lineRule="auto"/>
        <w:ind w:firstLine="567"/>
        <w:jc w:val="both"/>
        <w:rPr>
          <w:spacing w:val="-3"/>
        </w:rPr>
      </w:pPr>
      <w:r>
        <w:rPr>
          <w:bCs/>
        </w:rPr>
        <w:t xml:space="preserve">The Gini coefficient ranges from zero for the absence of inequality (each ZIP code has an equal share of research) to one for complete inequality (all of the research is produced by authors in a single ZIP code). </w:t>
      </w:r>
      <w:r w:rsidR="007F28BF">
        <w:rPr>
          <w:bCs/>
        </w:rPr>
        <w:t xml:space="preserve">The Gini coefficient also has </w:t>
      </w:r>
      <w:r>
        <w:rPr>
          <w:bCs/>
        </w:rPr>
        <w:t>an intuitive graphical interpretation, based on the Lorenz curve which</w:t>
      </w:r>
      <w:r w:rsidR="007F28BF">
        <w:rPr>
          <w:bCs/>
        </w:rPr>
        <w:t xml:space="preserve"> plots the cumulative percentage</w:t>
      </w:r>
      <w:r w:rsidR="007F28BF" w:rsidRPr="007F28BF">
        <w:rPr>
          <w:bCs/>
        </w:rPr>
        <w:t xml:space="preserve"> of ordered </w:t>
      </w:r>
      <w:r w:rsidR="007F28BF">
        <w:rPr>
          <w:bCs/>
        </w:rPr>
        <w:t xml:space="preserve">ZIP codes (from </w:t>
      </w:r>
      <w:r w:rsidR="007F28BF">
        <w:rPr>
          <w:bCs/>
        </w:rPr>
        <w:lastRenderedPageBreak/>
        <w:t xml:space="preserve">those that are associated with the fewest articles or citations to those associated with the most) onto the </w:t>
      </w:r>
      <w:r w:rsidR="007F28BF" w:rsidRPr="007F28BF">
        <w:rPr>
          <w:bCs/>
        </w:rPr>
        <w:t xml:space="preserve">cumulative </w:t>
      </w:r>
      <w:r w:rsidR="007F28BF">
        <w:rPr>
          <w:bCs/>
        </w:rPr>
        <w:t xml:space="preserve">percentage of articles or citations. </w:t>
      </w:r>
      <w:r w:rsidR="007F28BF" w:rsidRPr="00783FC5">
        <w:rPr>
          <w:spacing w:val="-3"/>
        </w:rPr>
        <w:t xml:space="preserve">The difference between the area under the line of perfect equality </w:t>
      </w:r>
      <w:r w:rsidR="007B48EE">
        <w:rPr>
          <w:spacing w:val="-3"/>
        </w:rPr>
        <w:t xml:space="preserve">(where each ZIP code has an equal number of articles or of citations) </w:t>
      </w:r>
      <w:r w:rsidR="007F28BF" w:rsidRPr="00783FC5">
        <w:rPr>
          <w:spacing w:val="-3"/>
        </w:rPr>
        <w:t>and the area under the Lorenz curve, when expressed as a ratio to the area under the line of perfect equality</w:t>
      </w:r>
      <w:r w:rsidR="007F28BF">
        <w:rPr>
          <w:spacing w:val="-3"/>
        </w:rPr>
        <w:t>,</w:t>
      </w:r>
      <w:r w:rsidR="007F28BF" w:rsidRPr="00783FC5">
        <w:rPr>
          <w:spacing w:val="-3"/>
        </w:rPr>
        <w:t xml:space="preserve"> gives the Gini coefficient.</w:t>
      </w:r>
      <w:r w:rsidR="007F28BF">
        <w:rPr>
          <w:spacing w:val="-3"/>
        </w:rPr>
        <w:t xml:space="preserve"> </w:t>
      </w:r>
    </w:p>
    <w:p w:rsidR="00EA2F9A" w:rsidRDefault="00EA2F9A" w:rsidP="00EA2F9A">
      <w:pPr>
        <w:spacing w:line="288" w:lineRule="auto"/>
        <w:ind w:firstLine="567"/>
        <w:jc w:val="both"/>
        <w:rPr>
          <w:spacing w:val="-3"/>
        </w:rPr>
      </w:pPr>
    </w:p>
    <w:p w:rsidR="007F28BF" w:rsidRDefault="007F28BF" w:rsidP="003F5128">
      <w:pPr>
        <w:spacing w:line="288" w:lineRule="auto"/>
        <w:ind w:firstLine="357"/>
        <w:jc w:val="both"/>
        <w:rPr>
          <w:spacing w:val="-3"/>
        </w:rPr>
      </w:pPr>
      <w:r>
        <w:rPr>
          <w:spacing w:val="-3"/>
        </w:rPr>
        <w:t>Figure 2 gives an example, comparing the Lorenz curves for articles and citations (across all four years) for economics and marketing. From the figure, one can see that the bottom 50% of ZIP codes (amongst those that have any author-affiliations) account for 9.6% of articles by US-based authors in the top five marketing journals and 5.6% for economics.</w:t>
      </w:r>
      <w:r w:rsidR="00223CDE">
        <w:rPr>
          <w:spacing w:val="-3"/>
        </w:rPr>
        <w:t xml:space="preserve"> In terms of citations, one-half of citations to articles by US-based authors in the top five marketing journals are attributed to the top 10% of ZIP codes, while for economics that same share of citations is attributed to the top 3% of ZIP codes. Since the Lorenz curves for economics are more convex than those for marketing, that is, they are further away from the line of equality, the Gini coefficient for economics is higher; it is 0.85 for citations and 0.77 for articles, while for marketing the values are 0.70 and 0.63. Using the tests for differences in Lorenz curves provided by Jann (2016), economics has significantly higher inequality</w:t>
      </w:r>
      <w:r w:rsidR="007B48EE">
        <w:rPr>
          <w:spacing w:val="-3"/>
        </w:rPr>
        <w:t xml:space="preserve"> than marketing</w:t>
      </w:r>
      <w:r w:rsidR="00223CDE">
        <w:rPr>
          <w:spacing w:val="-3"/>
        </w:rPr>
        <w:t xml:space="preserve">, in terms of articles, at every percentile, while for citations it is significantly more unequal </w:t>
      </w:r>
      <w:r w:rsidR="008C575E">
        <w:rPr>
          <w:spacing w:val="-3"/>
        </w:rPr>
        <w:t xml:space="preserve">everywhere </w:t>
      </w:r>
      <w:r w:rsidR="00223CDE">
        <w:rPr>
          <w:spacing w:val="-3"/>
        </w:rPr>
        <w:t>except between the 2</w:t>
      </w:r>
      <w:r w:rsidR="00223CDE" w:rsidRPr="00223CDE">
        <w:rPr>
          <w:spacing w:val="-3"/>
          <w:vertAlign w:val="superscript"/>
        </w:rPr>
        <w:t>nd</w:t>
      </w:r>
      <w:r w:rsidR="00223CDE">
        <w:rPr>
          <w:spacing w:val="-3"/>
        </w:rPr>
        <w:t xml:space="preserve"> and 9</w:t>
      </w:r>
      <w:r w:rsidR="00223CDE" w:rsidRPr="00223CDE">
        <w:rPr>
          <w:spacing w:val="-3"/>
          <w:vertAlign w:val="superscript"/>
        </w:rPr>
        <w:t>th</w:t>
      </w:r>
      <w:r w:rsidR="00223CDE">
        <w:rPr>
          <w:spacing w:val="-3"/>
        </w:rPr>
        <w:t xml:space="preserve"> percentile of ZIP codes.</w:t>
      </w:r>
    </w:p>
    <w:p w:rsidR="00E47A91" w:rsidRPr="00E47A91" w:rsidRDefault="00E47A91" w:rsidP="003F5128">
      <w:pPr>
        <w:spacing w:line="288" w:lineRule="auto"/>
        <w:ind w:firstLine="357"/>
        <w:jc w:val="both"/>
        <w:rPr>
          <w:spacing w:val="-3"/>
          <w:sz w:val="16"/>
          <w:szCs w:val="16"/>
        </w:rPr>
      </w:pPr>
    </w:p>
    <w:p w:rsidR="00EA2F9A" w:rsidRDefault="005071A9" w:rsidP="006C6D09">
      <w:pPr>
        <w:spacing w:line="288" w:lineRule="auto"/>
        <w:ind w:firstLine="357"/>
        <w:jc w:val="center"/>
        <w:rPr>
          <w:spacing w:val="-3"/>
        </w:rPr>
      </w:pPr>
      <w:r>
        <w:rPr>
          <w:noProof/>
          <w:lang w:val="en-NZ" w:eastAsia="zh-CN"/>
        </w:rPr>
        <w:drawing>
          <wp:inline distT="0" distB="0" distL="0" distR="0" wp14:anchorId="21A38E14" wp14:editId="1A8E631E">
            <wp:extent cx="4272643" cy="46446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5562" cy="4691272"/>
                    </a:xfrm>
                    <a:prstGeom prst="rect">
                      <a:avLst/>
                    </a:prstGeom>
                    <a:noFill/>
                    <a:ln>
                      <a:noFill/>
                    </a:ln>
                  </pic:spPr>
                </pic:pic>
              </a:graphicData>
            </a:graphic>
          </wp:inline>
        </w:drawing>
      </w:r>
    </w:p>
    <w:p w:rsidR="000514B9" w:rsidRDefault="000514B9">
      <w:pPr>
        <w:rPr>
          <w:spacing w:val="-3"/>
        </w:rPr>
        <w:sectPr w:rsidR="000514B9" w:rsidSect="00693600">
          <w:endnotePr>
            <w:numFmt w:val="decimal"/>
          </w:endnotePr>
          <w:pgSz w:w="11907" w:h="16840" w:code="9"/>
          <w:pgMar w:top="1440" w:right="1440" w:bottom="1440" w:left="1440" w:header="720" w:footer="720" w:gutter="0"/>
          <w:pgNumType w:start="15"/>
          <w:cols w:space="720"/>
          <w:titlePg/>
          <w:docGrid w:linePitch="360"/>
        </w:sectPr>
      </w:pPr>
    </w:p>
    <w:p w:rsidR="000514B9" w:rsidRDefault="000514B9">
      <w:pPr>
        <w:rPr>
          <w:spacing w:val="-3"/>
        </w:rPr>
        <w:sectPr w:rsidR="000514B9" w:rsidSect="00CE7640">
          <w:endnotePr>
            <w:numFmt w:val="decimal"/>
          </w:endnotePr>
          <w:pgSz w:w="16840" w:h="11907" w:orient="landscape" w:code="9"/>
          <w:pgMar w:top="1440" w:right="1440" w:bottom="1440" w:left="1440" w:header="720" w:footer="720" w:gutter="0"/>
          <w:pgNumType w:start="0"/>
          <w:cols w:space="720"/>
          <w:titlePg/>
          <w:docGrid w:linePitch="360"/>
        </w:sectPr>
      </w:pPr>
      <w:bookmarkStart w:id="0" w:name="_GoBack"/>
      <w:r>
        <w:rPr>
          <w:noProof/>
          <w:lang w:val="en-NZ" w:eastAsia="zh-CN"/>
        </w:rPr>
        <w:lastRenderedPageBreak/>
        <w:drawing>
          <wp:inline distT="0" distB="0" distL="0" distR="0" wp14:anchorId="36357B0F" wp14:editId="3CBEC631">
            <wp:extent cx="9097470" cy="53467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22044" cy="5361143"/>
                    </a:xfrm>
                    <a:prstGeom prst="rect">
                      <a:avLst/>
                    </a:prstGeom>
                    <a:noFill/>
                    <a:ln>
                      <a:noFill/>
                    </a:ln>
                  </pic:spPr>
                </pic:pic>
              </a:graphicData>
            </a:graphic>
          </wp:inline>
        </w:drawing>
      </w:r>
      <w:bookmarkEnd w:id="0"/>
    </w:p>
    <w:p w:rsidR="002E7F4C" w:rsidRDefault="002E7F4C" w:rsidP="00EA2F9A">
      <w:pPr>
        <w:spacing w:line="288" w:lineRule="auto"/>
        <w:ind w:firstLine="567"/>
        <w:jc w:val="both"/>
        <w:rPr>
          <w:spacing w:val="-3"/>
        </w:rPr>
      </w:pPr>
      <w:r>
        <w:rPr>
          <w:spacing w:val="-3"/>
        </w:rPr>
        <w:lastRenderedPageBreak/>
        <w:t xml:space="preserve">The trends in the Gini coefficients for articles and citations are shown in Figure 3. All disciplines have more inequality in citations than in articles, with the gap between these measures of research production and research recognition smallest in economics and chemistry. These two disciplines are also notable for having the highest level of overall inequality, and for showing a rise in inequality over time. In contrast, the inequality between ZIP codes in the citations attributed to the (fractional) articles published by authors </w:t>
      </w:r>
      <w:r w:rsidR="008C575E">
        <w:rPr>
          <w:spacing w:val="-3"/>
        </w:rPr>
        <w:t xml:space="preserve">affiliated with </w:t>
      </w:r>
      <w:r>
        <w:rPr>
          <w:spacing w:val="-3"/>
        </w:rPr>
        <w:t xml:space="preserve">these areas is generally falling for sociology, philosophy and </w:t>
      </w:r>
      <w:r w:rsidR="00BE2FFF">
        <w:rPr>
          <w:spacing w:val="-3"/>
        </w:rPr>
        <w:t xml:space="preserve">is </w:t>
      </w:r>
      <w:r>
        <w:rPr>
          <w:spacing w:val="-3"/>
        </w:rPr>
        <w:t xml:space="preserve">especially </w:t>
      </w:r>
      <w:r w:rsidR="00BE2FFF">
        <w:rPr>
          <w:spacing w:val="-3"/>
        </w:rPr>
        <w:t xml:space="preserve">falling </w:t>
      </w:r>
      <w:r>
        <w:rPr>
          <w:spacing w:val="-3"/>
        </w:rPr>
        <w:t>for psychology.</w:t>
      </w:r>
    </w:p>
    <w:p w:rsidR="00EA2F9A" w:rsidRPr="00556779" w:rsidRDefault="00EA2F9A" w:rsidP="003F5128">
      <w:pPr>
        <w:spacing w:line="288" w:lineRule="auto"/>
        <w:ind w:firstLine="357"/>
        <w:jc w:val="both"/>
        <w:rPr>
          <w:spacing w:val="-3"/>
          <w:sz w:val="20"/>
          <w:szCs w:val="20"/>
        </w:rPr>
      </w:pPr>
    </w:p>
    <w:p w:rsidR="00A14B90" w:rsidRDefault="002E7F4C" w:rsidP="00EA2F9A">
      <w:pPr>
        <w:spacing w:line="288" w:lineRule="auto"/>
        <w:ind w:firstLine="567"/>
        <w:jc w:val="both"/>
        <w:rPr>
          <w:spacing w:val="-3"/>
        </w:rPr>
      </w:pPr>
      <w:r>
        <w:rPr>
          <w:spacing w:val="-3"/>
        </w:rPr>
        <w:t>In terms of the overall patterns in Figure 3, economics is distinctive from the other social sciences and from marketing and philosophy.</w:t>
      </w:r>
      <w:r w:rsidR="00BE2FFF">
        <w:rPr>
          <w:spacing w:val="-3"/>
        </w:rPr>
        <w:t xml:space="preserve"> The closest discipline, in terms of overall inequality in the micro-geography of research production and recognition is chemistry. This similarity may seem surprising, since the concentration at the top ranks was quite different for these two disciplines in the Table 2 results, with economics being at least three times as concentrated</w:t>
      </w:r>
      <w:r w:rsidR="008C575E">
        <w:rPr>
          <w:spacing w:val="-3"/>
        </w:rPr>
        <w:t xml:space="preserve"> for the top ZIP codes</w:t>
      </w:r>
      <w:r w:rsidR="00BE2FFF">
        <w:rPr>
          <w:spacing w:val="-3"/>
        </w:rPr>
        <w:t>. Comparing the Lorenz curves for citations</w:t>
      </w:r>
      <w:r w:rsidR="00E365E0">
        <w:rPr>
          <w:spacing w:val="-3"/>
        </w:rPr>
        <w:t>,</w:t>
      </w:r>
      <w:r w:rsidR="00BE2FFF">
        <w:rPr>
          <w:spacing w:val="-3"/>
        </w:rPr>
        <w:t xml:space="preserve"> from the 6</w:t>
      </w:r>
      <w:r w:rsidR="00BE2FFF" w:rsidRPr="00BE2FFF">
        <w:rPr>
          <w:spacing w:val="-3"/>
          <w:vertAlign w:val="superscript"/>
        </w:rPr>
        <w:t>th</w:t>
      </w:r>
      <w:r w:rsidR="00BE2FFF">
        <w:rPr>
          <w:spacing w:val="-3"/>
        </w:rPr>
        <w:t xml:space="preserve"> percentile to the 97</w:t>
      </w:r>
      <w:r w:rsidR="00BE2FFF" w:rsidRPr="00BE2FFF">
        <w:rPr>
          <w:spacing w:val="-3"/>
          <w:vertAlign w:val="superscript"/>
        </w:rPr>
        <w:t>th</w:t>
      </w:r>
      <w:r w:rsidR="00BE2FFF">
        <w:rPr>
          <w:spacing w:val="-3"/>
        </w:rPr>
        <w:t xml:space="preserve"> percentile, the Lorenz curve for economics is slightly closer to the line of equality but from the 98</w:t>
      </w:r>
      <w:r w:rsidR="00BE2FFF" w:rsidRPr="00BE2FFF">
        <w:rPr>
          <w:spacing w:val="-3"/>
          <w:vertAlign w:val="superscript"/>
        </w:rPr>
        <w:t>th</w:t>
      </w:r>
      <w:r w:rsidR="00BE2FFF">
        <w:rPr>
          <w:spacing w:val="-3"/>
        </w:rPr>
        <w:t xml:space="preserve"> percentile and above there is more inequality in economics</w:t>
      </w:r>
      <w:r w:rsidR="00821DA5">
        <w:rPr>
          <w:spacing w:val="-3"/>
        </w:rPr>
        <w:t xml:space="preserve"> than in chemistry</w:t>
      </w:r>
      <w:r w:rsidR="00BE2FFF">
        <w:rPr>
          <w:spacing w:val="-3"/>
        </w:rPr>
        <w:t>, which is consis</w:t>
      </w:r>
      <w:r w:rsidR="00821DA5">
        <w:rPr>
          <w:spacing w:val="-3"/>
        </w:rPr>
        <w:t>tent with the Table 2 results. However, t</w:t>
      </w:r>
      <w:r w:rsidR="00BE2FFF">
        <w:rPr>
          <w:spacing w:val="-3"/>
        </w:rPr>
        <w:t xml:space="preserve">here is no </w:t>
      </w:r>
      <w:r w:rsidR="00BA7964">
        <w:rPr>
          <w:spacing w:val="-3"/>
        </w:rPr>
        <w:t xml:space="preserve">statistically </w:t>
      </w:r>
      <w:r w:rsidR="00BE2FFF">
        <w:rPr>
          <w:spacing w:val="-3"/>
        </w:rPr>
        <w:t xml:space="preserve">significant difference in the two Lorenz curves, at any percentile, and so even though the Gini coefficient for chemistry is slightly above that for economics (0.88 versus 0.85) the </w:t>
      </w:r>
      <w:r w:rsidR="00BA7964">
        <w:rPr>
          <w:spacing w:val="-3"/>
        </w:rPr>
        <w:t xml:space="preserve">confidence interval around the </w:t>
      </w:r>
      <w:r w:rsidR="00BE2FFF">
        <w:rPr>
          <w:spacing w:val="-3"/>
        </w:rPr>
        <w:t xml:space="preserve">difference </w:t>
      </w:r>
      <w:r w:rsidR="008C575E">
        <w:rPr>
          <w:spacing w:val="-3"/>
        </w:rPr>
        <w:t xml:space="preserve">in the Gini coefficients </w:t>
      </w:r>
      <w:r w:rsidR="00BA7964">
        <w:rPr>
          <w:spacing w:val="-3"/>
        </w:rPr>
        <w:t>includes zero</w:t>
      </w:r>
      <w:r w:rsidR="00BE2FFF">
        <w:rPr>
          <w:spacing w:val="-3"/>
        </w:rPr>
        <w:t>.</w:t>
      </w:r>
      <w:r w:rsidR="00BA7964">
        <w:rPr>
          <w:spacing w:val="-3"/>
        </w:rPr>
        <w:t xml:space="preserve"> Thus</w:t>
      </w:r>
      <w:r w:rsidR="004B403C">
        <w:rPr>
          <w:spacing w:val="-3"/>
        </w:rPr>
        <w:t>, contrary to the</w:t>
      </w:r>
      <w:r w:rsidR="008C575E">
        <w:rPr>
          <w:spacing w:val="-3"/>
        </w:rPr>
        <w:t xml:space="preserve"> hypothesis that chemistry will</w:t>
      </w:r>
      <w:r w:rsidR="004B403C">
        <w:rPr>
          <w:spacing w:val="-3"/>
        </w:rPr>
        <w:t xml:space="preserve"> be more spatially concentrated than economics, these two disciplines have a similar degree of overall spatial inequality wi</w:t>
      </w:r>
      <w:r w:rsidR="00BA7964">
        <w:rPr>
          <w:spacing w:val="-3"/>
        </w:rPr>
        <w:t>thin the United States (but</w:t>
      </w:r>
      <w:r w:rsidR="004B403C">
        <w:rPr>
          <w:spacing w:val="-3"/>
        </w:rPr>
        <w:t xml:space="preserve"> top </w:t>
      </w:r>
      <w:r w:rsidR="00BA7964">
        <w:rPr>
          <w:spacing w:val="-3"/>
        </w:rPr>
        <w:t xml:space="preserve">chemistry </w:t>
      </w:r>
      <w:r w:rsidR="004B403C">
        <w:rPr>
          <w:spacing w:val="-3"/>
        </w:rPr>
        <w:t>journals are less US-centric) but for the very top ZIP codes economics is more unequal than is chemistry.</w:t>
      </w:r>
    </w:p>
    <w:p w:rsidR="00EA2F9A" w:rsidRPr="00556779" w:rsidRDefault="00EA2F9A" w:rsidP="00EA2F9A">
      <w:pPr>
        <w:spacing w:line="288" w:lineRule="auto"/>
        <w:ind w:firstLine="567"/>
        <w:jc w:val="both"/>
        <w:rPr>
          <w:spacing w:val="-3"/>
          <w:sz w:val="20"/>
          <w:szCs w:val="20"/>
        </w:rPr>
      </w:pPr>
    </w:p>
    <w:p w:rsidR="001E3CA6" w:rsidRPr="00E3588B" w:rsidRDefault="00DA3622" w:rsidP="00EA2F9A">
      <w:pPr>
        <w:keepNext/>
        <w:spacing w:line="288" w:lineRule="auto"/>
        <w:ind w:left="284" w:hanging="284"/>
        <w:rPr>
          <w:b/>
        </w:rPr>
      </w:pPr>
      <w:r>
        <w:rPr>
          <w:b/>
          <w:bCs/>
        </w:rPr>
        <w:t>5</w:t>
      </w:r>
      <w:r w:rsidR="00790AFE">
        <w:rPr>
          <w:b/>
          <w:bCs/>
        </w:rPr>
        <w:t>.</w:t>
      </w:r>
      <w:r w:rsidR="00790AFE">
        <w:rPr>
          <w:b/>
          <w:bCs/>
        </w:rPr>
        <w:tab/>
      </w:r>
      <w:r w:rsidR="002E7F4C">
        <w:rPr>
          <w:b/>
          <w:bCs/>
        </w:rPr>
        <w:t>D</w:t>
      </w:r>
      <w:r w:rsidR="00EA2F9A">
        <w:rPr>
          <w:b/>
          <w:bCs/>
        </w:rPr>
        <w:t>iscussion and Conclusions</w:t>
      </w:r>
    </w:p>
    <w:p w:rsidR="00EA2F9A" w:rsidRPr="00EA2F9A" w:rsidRDefault="00EA2F9A" w:rsidP="003F5128">
      <w:pPr>
        <w:spacing w:line="288" w:lineRule="auto"/>
        <w:jc w:val="both"/>
        <w:rPr>
          <w:sz w:val="12"/>
          <w:szCs w:val="12"/>
        </w:rPr>
      </w:pPr>
    </w:p>
    <w:p w:rsidR="00A2226D" w:rsidRDefault="00821DA5" w:rsidP="003F5128">
      <w:pPr>
        <w:spacing w:line="288" w:lineRule="auto"/>
        <w:jc w:val="both"/>
      </w:pPr>
      <w:r>
        <w:t xml:space="preserve">In terms of the question posed in the title of this paper, economics </w:t>
      </w:r>
      <w:r w:rsidR="00A2226D">
        <w:t xml:space="preserve">has a </w:t>
      </w:r>
      <w:r>
        <w:t>distinctive</w:t>
      </w:r>
      <w:r w:rsidR="00A2226D">
        <w:t xml:space="preserve">ly high level of </w:t>
      </w:r>
      <w:r>
        <w:t>micro-geographic concentration of research production and research recognition.</w:t>
      </w:r>
      <w:r w:rsidR="005F3150">
        <w:t xml:space="preserve"> If</w:t>
      </w:r>
      <w:r w:rsidR="005F474A">
        <w:t xml:space="preserve"> the focus is on </w:t>
      </w:r>
      <w:r w:rsidR="00A2226D">
        <w:t>the very top areas, with the most affiliations for articles in the top journals, economics is about three times as concentrated as chemistry, and more so for citations.</w:t>
      </w:r>
      <w:r w:rsidR="005F3150">
        <w:t xml:space="preserve"> T</w:t>
      </w:r>
      <w:r w:rsidR="00A2226D">
        <w:t>his concentration at the top has risen over time</w:t>
      </w:r>
      <w:r w:rsidR="005F3150">
        <w:t>, unlike for chemistry</w:t>
      </w:r>
      <w:r w:rsidR="00A2226D">
        <w:t xml:space="preserve">. For overall spatial inequality within the United States, based on a ZIP code-level analysis with Lorenz curves and Gini coefficients, </w:t>
      </w:r>
      <w:r w:rsidR="00680053">
        <w:t>economics is more</w:t>
      </w:r>
      <w:r w:rsidR="00A2226D">
        <w:t xml:space="preserve"> like </w:t>
      </w:r>
      <w:r w:rsidR="005F3150">
        <w:t>chemistry and shows much more</w:t>
      </w:r>
      <w:r w:rsidR="00A2226D">
        <w:t xml:space="preserve"> inequality than other social science or business disciplines. This distinctively highly level of spatial inequality persists even if NBER affiliations are ignored; these increase </w:t>
      </w:r>
      <w:r w:rsidR="00680053">
        <w:t>representation of</w:t>
      </w:r>
      <w:r w:rsidR="00A2226D">
        <w:t xml:space="preserve"> the 02138 ZIP code, but even without them that ZIP code has a far higher share of affiliations, and is represented on a higher share of</w:t>
      </w:r>
      <w:r w:rsidR="009443F4">
        <w:t xml:space="preserve"> articles and citations than is</w:t>
      </w:r>
      <w:r w:rsidR="00A2226D">
        <w:t xml:space="preserve"> the leading ZIP code in any other discipline. Indeed, even the third-ranked ZIP code in economics is represented on a higher share of articles than the leading ZIP code in every other discipline.</w:t>
      </w:r>
      <w:r w:rsidR="005F3150">
        <w:t xml:space="preserve"> If clusters of adjacent ZIP codes are studied, the combination of 02138 and 02139 in Cambridge, Ma</w:t>
      </w:r>
      <w:r w:rsidR="009443F4">
        <w:t>ssachusetts is represented on 31</w:t>
      </w:r>
      <w:r w:rsidR="005F3150">
        <w:t>% of all articles in the top five economics journals and these articles garn</w:t>
      </w:r>
      <w:r w:rsidR="009443F4">
        <w:t>er 36</w:t>
      </w:r>
      <w:r w:rsidR="005F3150">
        <w:t xml:space="preserve">% of the citations to articles in the top journals. </w:t>
      </w:r>
      <w:r w:rsidR="00BA7964">
        <w:t>In contrast, the top cluster in other disciplines is represented on just five percent of citations, on average.</w:t>
      </w:r>
    </w:p>
    <w:p w:rsidR="00EA2F9A" w:rsidRDefault="005F3150" w:rsidP="00EA2F9A">
      <w:pPr>
        <w:spacing w:line="288" w:lineRule="auto"/>
        <w:ind w:firstLine="567"/>
        <w:jc w:val="both"/>
      </w:pPr>
      <w:r>
        <w:lastRenderedPageBreak/>
        <w:t xml:space="preserve">While previous studies </w:t>
      </w:r>
      <w:r w:rsidR="00680053">
        <w:t>have considered aspects of concentration in economics, especially in terms o</w:t>
      </w:r>
      <w:r w:rsidR="009443F4">
        <w:t>f journals and institutions, prior</w:t>
      </w:r>
      <w:r w:rsidR="00680053">
        <w:t xml:space="preserve"> geographical analysis is </w:t>
      </w:r>
      <w:r w:rsidR="009443F4">
        <w:t>just</w:t>
      </w:r>
      <w:r w:rsidR="00680053">
        <w:t xml:space="preserve"> </w:t>
      </w:r>
      <w:r w:rsidR="00680053">
        <w:rPr>
          <w:lang w:eastAsia="en-NZ"/>
        </w:rPr>
        <w:t xml:space="preserve">at the national level. As such, these studies miss an important point, which is that the production and recognition of research is even more concentrated at the micro-geographic level within countries. </w:t>
      </w:r>
      <w:r w:rsidR="009443F4">
        <w:rPr>
          <w:lang w:eastAsia="en-NZ"/>
        </w:rPr>
        <w:t xml:space="preserve">A consequence of this spatial heterogeneity is that even researchers in the leading country can be on the outer, if they have no links into these top areas. </w:t>
      </w:r>
      <w:r w:rsidR="00680053">
        <w:rPr>
          <w:lang w:eastAsia="en-NZ"/>
        </w:rPr>
        <w:t>The novelty of the current analysis has been to describe this spatial inequality, at the ZIP code level, and compare economics with several other disciplines. I</w:t>
      </w:r>
      <w:r w:rsidR="005F474A">
        <w:t xml:space="preserve">t is understandable that </w:t>
      </w:r>
      <w:r w:rsidR="00680053">
        <w:t xml:space="preserve">bench sciences like </w:t>
      </w:r>
      <w:r w:rsidR="005F474A">
        <w:t xml:space="preserve">chemistry </w:t>
      </w:r>
      <w:r w:rsidR="00BA7964">
        <w:t>may be</w:t>
      </w:r>
      <w:r w:rsidR="00680053">
        <w:t xml:space="preserve"> </w:t>
      </w:r>
      <w:r w:rsidR="005F474A">
        <w:t>highly concentrated</w:t>
      </w:r>
      <w:r w:rsidR="00680053">
        <w:t xml:space="preserve"> over space</w:t>
      </w:r>
      <w:r w:rsidR="005F474A">
        <w:t xml:space="preserve">, since key laboratories </w:t>
      </w:r>
      <w:r w:rsidR="00680053">
        <w:t>and ot</w:t>
      </w:r>
      <w:r w:rsidR="008C575E">
        <w:t>her research infrastructure has</w:t>
      </w:r>
      <w:r w:rsidR="00680053">
        <w:t xml:space="preserve"> to be placed </w:t>
      </w:r>
      <w:r w:rsidR="005F474A">
        <w:t xml:space="preserve">in particular locations, </w:t>
      </w:r>
      <w:r w:rsidR="00680053">
        <w:t xml:space="preserve">but </w:t>
      </w:r>
      <w:r w:rsidR="005F474A">
        <w:t xml:space="preserve">there is less reason for </w:t>
      </w:r>
      <w:r w:rsidR="00680053">
        <w:t>similar clustering in economics</w:t>
      </w:r>
      <w:r w:rsidR="005F474A">
        <w:t>.</w:t>
      </w:r>
      <w:r w:rsidR="00680053">
        <w:t xml:space="preserve"> Moreover, factors such as market forces that may lead to micro-geographic concentration </w:t>
      </w:r>
      <w:r w:rsidR="009443F4">
        <w:t xml:space="preserve">in economics </w:t>
      </w:r>
      <w:r w:rsidR="00680053">
        <w:t>should also apply to a bus</w:t>
      </w:r>
      <w:r w:rsidR="009443F4">
        <w:t>iness discipline like marketing. Yet</w:t>
      </w:r>
      <w:r w:rsidR="00680053">
        <w:t xml:space="preserve"> economics shows far greater spatial inequality in research production and recognition than is apparent in marketing</w:t>
      </w:r>
      <w:r w:rsidR="009443F4">
        <w:t xml:space="preserve"> or in any of the social sciences</w:t>
      </w:r>
      <w:r w:rsidR="00680053">
        <w:t>.</w:t>
      </w:r>
    </w:p>
    <w:p w:rsidR="00A2226D" w:rsidRDefault="00680053" w:rsidP="003F5128">
      <w:pPr>
        <w:spacing w:line="288" w:lineRule="auto"/>
        <w:ind w:firstLine="357"/>
        <w:jc w:val="both"/>
      </w:pPr>
      <w:r>
        <w:t xml:space="preserve"> </w:t>
      </w:r>
    </w:p>
    <w:p w:rsidR="00182833" w:rsidRDefault="001D6259" w:rsidP="00EA2F9A">
      <w:pPr>
        <w:spacing w:line="288" w:lineRule="auto"/>
        <w:ind w:firstLine="567"/>
        <w:jc w:val="both"/>
        <w:rPr>
          <w:lang w:eastAsia="en-NZ"/>
        </w:rPr>
      </w:pPr>
      <w:r>
        <w:rPr>
          <w:lang w:eastAsia="en-NZ"/>
        </w:rPr>
        <w:t>There may be a benign explanation for academic economics having a distinctively high level of micro</w:t>
      </w:r>
      <w:r>
        <w:rPr>
          <w:lang w:eastAsia="en-NZ"/>
        </w:rPr>
        <w:noBreakHyphen/>
        <w:t xml:space="preserve">geographic concentration. </w:t>
      </w:r>
      <w:r w:rsidR="00BC601B">
        <w:rPr>
          <w:lang w:eastAsia="en-NZ"/>
        </w:rPr>
        <w:t xml:space="preserve">Since </w:t>
      </w:r>
      <w:proofErr w:type="gramStart"/>
      <w:r w:rsidR="00BC601B">
        <w:rPr>
          <w:lang w:eastAsia="en-NZ"/>
        </w:rPr>
        <w:t>economists</w:t>
      </w:r>
      <w:proofErr w:type="gramEnd"/>
      <w:r w:rsidR="00BC601B">
        <w:rPr>
          <w:lang w:eastAsia="en-NZ"/>
        </w:rPr>
        <w:t xml:space="preserve"> </w:t>
      </w:r>
      <w:r>
        <w:rPr>
          <w:lang w:eastAsia="en-NZ"/>
        </w:rPr>
        <w:t>study</w:t>
      </w:r>
      <w:r w:rsidR="00BC601B">
        <w:rPr>
          <w:lang w:eastAsia="en-NZ"/>
        </w:rPr>
        <w:t xml:space="preserve"> resource allocation, they may have a professional advantage in organizing their discipline </w:t>
      </w:r>
      <w:r>
        <w:rPr>
          <w:lang w:eastAsia="en-NZ"/>
        </w:rPr>
        <w:t xml:space="preserve">so as to concentrate talent in a few </w:t>
      </w:r>
      <w:r w:rsidR="00BC601B">
        <w:rPr>
          <w:lang w:eastAsia="en-NZ"/>
        </w:rPr>
        <w:t>locations</w:t>
      </w:r>
      <w:r>
        <w:rPr>
          <w:lang w:eastAsia="en-NZ"/>
        </w:rPr>
        <w:t>,</w:t>
      </w:r>
      <w:r w:rsidR="00BC601B">
        <w:rPr>
          <w:lang w:eastAsia="en-NZ"/>
        </w:rPr>
        <w:t xml:space="preserve"> such as the 02138, 60637 and 94305 ZIP c</w:t>
      </w:r>
      <w:r w:rsidR="00AA5968">
        <w:rPr>
          <w:lang w:eastAsia="en-NZ"/>
        </w:rPr>
        <w:t xml:space="preserve">odes. It is less clear how </w:t>
      </w:r>
      <w:r w:rsidR="00BC601B">
        <w:rPr>
          <w:lang w:eastAsia="en-NZ"/>
        </w:rPr>
        <w:t xml:space="preserve">professional study of resource allocation enables </w:t>
      </w:r>
      <w:r w:rsidR="00AA5968">
        <w:rPr>
          <w:lang w:eastAsia="en-NZ"/>
        </w:rPr>
        <w:t xml:space="preserve">the </w:t>
      </w:r>
      <w:r w:rsidR="00BC601B">
        <w:rPr>
          <w:lang w:eastAsia="en-NZ"/>
        </w:rPr>
        <w:t xml:space="preserve">editors of the top journals in economics to </w:t>
      </w:r>
      <w:r w:rsidR="004B403C">
        <w:rPr>
          <w:lang w:eastAsia="en-NZ"/>
        </w:rPr>
        <w:t xml:space="preserve">consistently </w:t>
      </w:r>
      <w:r w:rsidR="00BC601B">
        <w:rPr>
          <w:lang w:eastAsia="en-NZ"/>
        </w:rPr>
        <w:t>recognize quality research at a higher rate than the editors in other disciplines</w:t>
      </w:r>
      <w:r w:rsidR="004B403C">
        <w:rPr>
          <w:lang w:eastAsia="en-NZ"/>
        </w:rPr>
        <w:t>, which is what is required of</w:t>
      </w:r>
      <w:r w:rsidR="00BC601B">
        <w:rPr>
          <w:lang w:eastAsia="en-NZ"/>
        </w:rPr>
        <w:t xml:space="preserve"> any efficiency explanation for why citations in economics are so </w:t>
      </w:r>
      <w:r w:rsidR="004B403C">
        <w:rPr>
          <w:lang w:eastAsia="en-NZ"/>
        </w:rPr>
        <w:t xml:space="preserve">much more </w:t>
      </w:r>
      <w:r w:rsidR="00BC601B">
        <w:rPr>
          <w:lang w:eastAsia="en-NZ"/>
        </w:rPr>
        <w:t>heavily concentrated on the top journals, compared to the situation in other disciplines (</w:t>
      </w:r>
      <w:proofErr w:type="spellStart"/>
      <w:r w:rsidR="00BC601B">
        <w:rPr>
          <w:lang w:eastAsia="en-NZ"/>
        </w:rPr>
        <w:t>Aistleitner</w:t>
      </w:r>
      <w:proofErr w:type="spellEnd"/>
      <w:r w:rsidR="00BC601B">
        <w:rPr>
          <w:lang w:eastAsia="en-NZ"/>
        </w:rPr>
        <w:t xml:space="preserve"> </w:t>
      </w:r>
      <w:r w:rsidR="00D050FD" w:rsidRPr="00D050FD">
        <w:rPr>
          <w:i/>
          <w:lang w:eastAsia="en-NZ"/>
        </w:rPr>
        <w:t>et al.</w:t>
      </w:r>
      <w:r w:rsidR="00BC601B">
        <w:rPr>
          <w:lang w:eastAsia="en-NZ"/>
        </w:rPr>
        <w:t xml:space="preserve"> 2017).</w:t>
      </w:r>
      <w:r>
        <w:rPr>
          <w:lang w:eastAsia="en-NZ"/>
        </w:rPr>
        <w:t xml:space="preserve"> A less benign interpretation is that this </w:t>
      </w:r>
      <w:r w:rsidR="008C575E">
        <w:rPr>
          <w:lang w:eastAsia="en-NZ"/>
        </w:rPr>
        <w:t xml:space="preserve">micro-geographic </w:t>
      </w:r>
      <w:r>
        <w:rPr>
          <w:lang w:eastAsia="en-NZ"/>
        </w:rPr>
        <w:t xml:space="preserve">concentration reflects the hierarchy within academic economics; what Hodgson and Rothman (1999) labeled </w:t>
      </w:r>
      <w:r w:rsidR="00BA7964">
        <w:rPr>
          <w:lang w:eastAsia="en-NZ"/>
        </w:rPr>
        <w:t xml:space="preserve">as </w:t>
      </w:r>
      <w:r>
        <w:rPr>
          <w:lang w:eastAsia="en-NZ"/>
        </w:rPr>
        <w:t>an oligopoly of elite U.S. institutions.</w:t>
      </w:r>
      <w:r w:rsidR="00047E1D">
        <w:rPr>
          <w:lang w:eastAsia="en-NZ"/>
        </w:rPr>
        <w:t xml:space="preserve"> With this view,</w:t>
      </w:r>
      <w:r w:rsidR="00AA5968">
        <w:rPr>
          <w:lang w:eastAsia="en-NZ"/>
        </w:rPr>
        <w:t xml:space="preserve"> having such a large proportion of widely recognized economic research coming from a narrow range of small areas may constitute a risk, in reducing the diversity of research that is </w:t>
      </w:r>
      <w:r w:rsidR="002B606F">
        <w:rPr>
          <w:lang w:eastAsia="en-NZ"/>
        </w:rPr>
        <w:t>published and subsequently cited.</w:t>
      </w:r>
    </w:p>
    <w:p w:rsidR="00EA2F9A" w:rsidRDefault="00EA2F9A" w:rsidP="00EA2F9A">
      <w:pPr>
        <w:spacing w:line="288" w:lineRule="auto"/>
        <w:ind w:firstLine="567"/>
        <w:jc w:val="both"/>
        <w:rPr>
          <w:lang w:eastAsia="en-NZ"/>
        </w:rPr>
      </w:pPr>
    </w:p>
    <w:p w:rsidR="002B606F" w:rsidRDefault="002B606F" w:rsidP="00EA2F9A">
      <w:pPr>
        <w:spacing w:line="288" w:lineRule="auto"/>
        <w:ind w:firstLine="567"/>
        <w:jc w:val="both"/>
        <w:rPr>
          <w:lang w:eastAsia="en-NZ"/>
        </w:rPr>
      </w:pPr>
      <w:r>
        <w:rPr>
          <w:lang w:eastAsia="en-NZ"/>
        </w:rPr>
        <w:t>This micro-geographic concentration has been a long-term feature of economics, and appears to have strengthened over time. It</w:t>
      </w:r>
      <w:r w:rsidR="00BA7964">
        <w:rPr>
          <w:lang w:eastAsia="en-NZ"/>
        </w:rPr>
        <w:t xml:space="preserve"> is therefore unclear what may</w:t>
      </w:r>
      <w:r>
        <w:rPr>
          <w:lang w:eastAsia="en-NZ"/>
        </w:rPr>
        <w:t xml:space="preserve"> be done to change this, for any parties interested in research policy and concerned by the level of </w:t>
      </w:r>
      <w:r w:rsidR="00BA7964">
        <w:rPr>
          <w:lang w:eastAsia="en-NZ"/>
        </w:rPr>
        <w:t xml:space="preserve">spatial </w:t>
      </w:r>
      <w:r>
        <w:rPr>
          <w:lang w:eastAsia="en-NZ"/>
        </w:rPr>
        <w:t xml:space="preserve">concentration in economics. At the very least, by documenting how distinctive is economics, </w:t>
      </w:r>
      <w:r w:rsidR="00BA7964">
        <w:rPr>
          <w:lang w:eastAsia="en-NZ"/>
        </w:rPr>
        <w:t xml:space="preserve">and how unexpected </w:t>
      </w:r>
      <w:r w:rsidR="008C575E">
        <w:rPr>
          <w:lang w:eastAsia="en-NZ"/>
        </w:rPr>
        <w:t xml:space="preserve">is this spatial concentration </w:t>
      </w:r>
      <w:r w:rsidR="00BA7964">
        <w:rPr>
          <w:lang w:eastAsia="en-NZ"/>
        </w:rPr>
        <w:t xml:space="preserve">when considering factors such as market forces and whether a discipline needs physical infrastructure like key laboratories, </w:t>
      </w:r>
      <w:r>
        <w:rPr>
          <w:lang w:eastAsia="en-NZ"/>
        </w:rPr>
        <w:t xml:space="preserve">this paper may contribute to </w:t>
      </w:r>
      <w:r w:rsidR="00BA7964">
        <w:rPr>
          <w:lang w:eastAsia="en-NZ"/>
        </w:rPr>
        <w:t>a debate about whether economics is internally organized in the</w:t>
      </w:r>
      <w:r w:rsidR="00E30E01">
        <w:rPr>
          <w:lang w:eastAsia="en-NZ"/>
        </w:rPr>
        <w:t xml:space="preserve"> most socially optimal manner</w:t>
      </w:r>
      <w:r w:rsidR="00BA7964">
        <w:rPr>
          <w:lang w:eastAsia="en-NZ"/>
        </w:rPr>
        <w:t>.</w:t>
      </w:r>
    </w:p>
    <w:p w:rsidR="00413C06" w:rsidRDefault="00413C06" w:rsidP="004661AC">
      <w:pPr>
        <w:spacing w:line="288" w:lineRule="auto"/>
        <w:jc w:val="both"/>
      </w:pPr>
    </w:p>
    <w:p w:rsidR="00556779" w:rsidRDefault="00556779">
      <w:pPr>
        <w:rPr>
          <w:b/>
        </w:rPr>
      </w:pPr>
    </w:p>
    <w:p w:rsidR="004661AC" w:rsidRDefault="004661AC" w:rsidP="00556779">
      <w:pPr>
        <w:spacing w:after="120" w:line="288" w:lineRule="auto"/>
        <w:rPr>
          <w:b/>
        </w:rPr>
      </w:pPr>
    </w:p>
    <w:p w:rsidR="004661AC" w:rsidRDefault="004661AC" w:rsidP="00556779">
      <w:pPr>
        <w:spacing w:after="120" w:line="288" w:lineRule="auto"/>
        <w:rPr>
          <w:b/>
        </w:rPr>
      </w:pPr>
    </w:p>
    <w:p w:rsidR="00B50147" w:rsidRPr="003F5128" w:rsidRDefault="003F5128" w:rsidP="00556779">
      <w:pPr>
        <w:spacing w:after="120" w:line="288" w:lineRule="auto"/>
        <w:rPr>
          <w:b/>
        </w:rPr>
      </w:pPr>
      <w:r w:rsidRPr="003F5128">
        <w:rPr>
          <w:b/>
        </w:rPr>
        <w:lastRenderedPageBreak/>
        <w:t>References</w:t>
      </w:r>
    </w:p>
    <w:p w:rsidR="0097572F" w:rsidRPr="003F5128" w:rsidRDefault="0097572F" w:rsidP="004F50FB">
      <w:pPr>
        <w:autoSpaceDE w:val="0"/>
        <w:autoSpaceDN w:val="0"/>
        <w:adjustRightInd w:val="0"/>
        <w:spacing w:after="200"/>
        <w:ind w:left="720" w:hanging="720"/>
        <w:jc w:val="both"/>
        <w:rPr>
          <w:sz w:val="22"/>
          <w:szCs w:val="22"/>
          <w:lang w:val="en-NZ" w:eastAsia="en-NZ"/>
        </w:rPr>
      </w:pPr>
      <w:proofErr w:type="spellStart"/>
      <w:r w:rsidRPr="003F5128">
        <w:rPr>
          <w:color w:val="222222"/>
          <w:sz w:val="22"/>
          <w:szCs w:val="22"/>
          <w:shd w:val="clear" w:color="auto" w:fill="FFFFFF"/>
        </w:rPr>
        <w:t>Aistleitner</w:t>
      </w:r>
      <w:proofErr w:type="spellEnd"/>
      <w:r w:rsidRPr="003F5128">
        <w:rPr>
          <w:color w:val="222222"/>
          <w:sz w:val="22"/>
          <w:szCs w:val="22"/>
          <w:shd w:val="clear" w:color="auto" w:fill="FFFFFF"/>
        </w:rPr>
        <w:t xml:space="preserve">, M., </w:t>
      </w:r>
      <w:proofErr w:type="spellStart"/>
      <w:r w:rsidRPr="003F5128">
        <w:rPr>
          <w:color w:val="222222"/>
          <w:sz w:val="22"/>
          <w:szCs w:val="22"/>
          <w:shd w:val="clear" w:color="auto" w:fill="FFFFFF"/>
        </w:rPr>
        <w:t>Kapeller</w:t>
      </w:r>
      <w:proofErr w:type="spellEnd"/>
      <w:r w:rsidRPr="003F5128">
        <w:rPr>
          <w:color w:val="222222"/>
          <w:sz w:val="22"/>
          <w:szCs w:val="22"/>
          <w:shd w:val="clear" w:color="auto" w:fill="FFFFFF"/>
        </w:rPr>
        <w:t xml:space="preserve">, J., &amp; Steinberger, S. (2017). Citation Patterns in Economics and Beyond: Assessing the Peculiarities of Economics from Two </w:t>
      </w:r>
      <w:proofErr w:type="spellStart"/>
      <w:r w:rsidRPr="003F5128">
        <w:rPr>
          <w:color w:val="222222"/>
          <w:sz w:val="22"/>
          <w:szCs w:val="22"/>
          <w:shd w:val="clear" w:color="auto" w:fill="FFFFFF"/>
        </w:rPr>
        <w:t>Scientometric</w:t>
      </w:r>
      <w:proofErr w:type="spellEnd"/>
      <w:r w:rsidRPr="003F5128">
        <w:rPr>
          <w:color w:val="222222"/>
          <w:sz w:val="22"/>
          <w:szCs w:val="22"/>
          <w:shd w:val="clear" w:color="auto" w:fill="FFFFFF"/>
        </w:rPr>
        <w:t xml:space="preserve"> Perspectives. </w:t>
      </w:r>
      <w:r w:rsidRPr="003F5128">
        <w:rPr>
          <w:i/>
          <w:iCs/>
          <w:color w:val="222222"/>
          <w:sz w:val="22"/>
          <w:szCs w:val="22"/>
          <w:shd w:val="clear" w:color="auto" w:fill="FFFFFF"/>
        </w:rPr>
        <w:t>Working Paper</w:t>
      </w:r>
      <w:r w:rsidRPr="003F5128">
        <w:rPr>
          <w:color w:val="222222"/>
          <w:sz w:val="22"/>
          <w:szCs w:val="22"/>
          <w:shd w:val="clear" w:color="auto" w:fill="FFFFFF"/>
        </w:rPr>
        <w:t xml:space="preserve"> No. 60. Institute for Comprehensive Analysis of the Economy, Johannes Kepler University.</w:t>
      </w:r>
    </w:p>
    <w:p w:rsidR="00F2011F" w:rsidRPr="003F5128" w:rsidRDefault="00F2011F"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Angrist, J., </w:t>
      </w:r>
      <w:proofErr w:type="spellStart"/>
      <w:r w:rsidRPr="003F5128">
        <w:rPr>
          <w:sz w:val="22"/>
          <w:szCs w:val="22"/>
          <w:lang w:eastAsia="en-NZ"/>
        </w:rPr>
        <w:t>Azoulay</w:t>
      </w:r>
      <w:proofErr w:type="spellEnd"/>
      <w:r w:rsidRPr="003F5128">
        <w:rPr>
          <w:sz w:val="22"/>
          <w:szCs w:val="22"/>
          <w:lang w:eastAsia="en-NZ"/>
        </w:rPr>
        <w:t>, P., Ellison, G., Hill, R., &amp; Lu, S. F. (2017). Inside Job or Deep Impact? Using Extramural Citations to Assess Economic Scholarship</w:t>
      </w:r>
      <w:r w:rsidR="0097572F" w:rsidRPr="003F5128">
        <w:rPr>
          <w:sz w:val="22"/>
          <w:szCs w:val="22"/>
          <w:lang w:eastAsia="en-NZ"/>
        </w:rPr>
        <w:t>.</w:t>
      </w:r>
      <w:r w:rsidRPr="003F5128">
        <w:rPr>
          <w:sz w:val="22"/>
          <w:szCs w:val="22"/>
          <w:lang w:eastAsia="en-NZ"/>
        </w:rPr>
        <w:t> </w:t>
      </w:r>
      <w:r w:rsidRPr="003F5128">
        <w:rPr>
          <w:i/>
          <w:iCs/>
          <w:sz w:val="22"/>
          <w:szCs w:val="22"/>
          <w:lang w:eastAsia="en-NZ"/>
        </w:rPr>
        <w:t xml:space="preserve">Working Paper </w:t>
      </w:r>
      <w:r w:rsidRPr="003F5128">
        <w:rPr>
          <w:sz w:val="22"/>
          <w:szCs w:val="22"/>
          <w:lang w:eastAsia="en-NZ"/>
        </w:rPr>
        <w:t>No. 23698. National Bureau of Economic Research.</w:t>
      </w:r>
    </w:p>
    <w:p w:rsidR="008904C2" w:rsidRPr="003F5128" w:rsidRDefault="008904C2"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Angrist, J., &amp; </w:t>
      </w:r>
      <w:proofErr w:type="spellStart"/>
      <w:r w:rsidRPr="003F5128">
        <w:rPr>
          <w:sz w:val="22"/>
          <w:szCs w:val="22"/>
          <w:lang w:eastAsia="en-NZ"/>
        </w:rPr>
        <w:t>Pischke</w:t>
      </w:r>
      <w:proofErr w:type="spellEnd"/>
      <w:r w:rsidRPr="003F5128">
        <w:rPr>
          <w:sz w:val="22"/>
          <w:szCs w:val="22"/>
          <w:lang w:eastAsia="en-NZ"/>
        </w:rPr>
        <w:t>, J. S. (2010). The credibility revolution in empirical economics: How better research design is taking the con out of econometrics. </w:t>
      </w:r>
      <w:r w:rsidRPr="003F5128">
        <w:rPr>
          <w:i/>
          <w:iCs/>
          <w:sz w:val="22"/>
          <w:szCs w:val="22"/>
          <w:lang w:eastAsia="en-NZ"/>
        </w:rPr>
        <w:t>The Journal of Economic Perspectives</w:t>
      </w:r>
      <w:r w:rsidRPr="003F5128">
        <w:rPr>
          <w:sz w:val="22"/>
          <w:szCs w:val="22"/>
          <w:lang w:eastAsia="en-NZ"/>
        </w:rPr>
        <w:t>, </w:t>
      </w:r>
      <w:r w:rsidRPr="003F5128">
        <w:rPr>
          <w:i/>
          <w:iCs/>
          <w:sz w:val="22"/>
          <w:szCs w:val="22"/>
          <w:lang w:eastAsia="en-NZ"/>
        </w:rPr>
        <w:t>24</w:t>
      </w:r>
      <w:r w:rsidRPr="003F5128">
        <w:rPr>
          <w:sz w:val="22"/>
          <w:szCs w:val="22"/>
          <w:lang w:eastAsia="en-NZ"/>
        </w:rPr>
        <w:t>(2), 3-30.</w:t>
      </w:r>
    </w:p>
    <w:p w:rsidR="00496181" w:rsidRPr="003F5128" w:rsidRDefault="00496181" w:rsidP="004F50FB">
      <w:pPr>
        <w:autoSpaceDE w:val="0"/>
        <w:autoSpaceDN w:val="0"/>
        <w:adjustRightInd w:val="0"/>
        <w:spacing w:after="200"/>
        <w:ind w:left="720" w:hanging="720"/>
        <w:jc w:val="both"/>
        <w:rPr>
          <w:sz w:val="22"/>
          <w:szCs w:val="22"/>
          <w:lang w:eastAsia="en-NZ"/>
        </w:rPr>
      </w:pPr>
      <w:r w:rsidRPr="003F5128">
        <w:rPr>
          <w:sz w:val="22"/>
          <w:szCs w:val="22"/>
          <w:lang w:eastAsia="en-NZ"/>
        </w:rPr>
        <w:t>Boyle, G. (2008). Pay peanuts and get monkeys? Evidence from academia. </w:t>
      </w:r>
      <w:r w:rsidRPr="003F5128">
        <w:rPr>
          <w:i/>
          <w:iCs/>
          <w:sz w:val="22"/>
          <w:szCs w:val="22"/>
          <w:lang w:eastAsia="en-NZ"/>
        </w:rPr>
        <w:t>The BE Journal of Economic Analysis &amp; Policy</w:t>
      </w:r>
      <w:r w:rsidRPr="003F5128">
        <w:rPr>
          <w:sz w:val="22"/>
          <w:szCs w:val="22"/>
          <w:lang w:eastAsia="en-NZ"/>
        </w:rPr>
        <w:t>, </w:t>
      </w:r>
      <w:r w:rsidRPr="003F5128">
        <w:rPr>
          <w:i/>
          <w:iCs/>
          <w:sz w:val="22"/>
          <w:szCs w:val="22"/>
          <w:lang w:eastAsia="en-NZ"/>
        </w:rPr>
        <w:t>8</w:t>
      </w:r>
      <w:r w:rsidRPr="003F5128">
        <w:rPr>
          <w:sz w:val="22"/>
          <w:szCs w:val="22"/>
          <w:lang w:eastAsia="en-NZ"/>
        </w:rPr>
        <w:t>(1).</w:t>
      </w:r>
    </w:p>
    <w:p w:rsidR="001F6B18" w:rsidRPr="003F5128" w:rsidRDefault="001F6B18"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Brint</w:t>
      </w:r>
      <w:proofErr w:type="spellEnd"/>
      <w:r w:rsidRPr="003F5128">
        <w:rPr>
          <w:sz w:val="22"/>
          <w:szCs w:val="22"/>
          <w:lang w:eastAsia="en-NZ"/>
        </w:rPr>
        <w:t xml:space="preserve">, S., &amp; </w:t>
      </w:r>
      <w:proofErr w:type="spellStart"/>
      <w:r w:rsidRPr="003F5128">
        <w:rPr>
          <w:sz w:val="22"/>
          <w:szCs w:val="22"/>
          <w:lang w:eastAsia="en-NZ"/>
        </w:rPr>
        <w:t>Carr</w:t>
      </w:r>
      <w:proofErr w:type="spellEnd"/>
      <w:r w:rsidRPr="003F5128">
        <w:rPr>
          <w:sz w:val="22"/>
          <w:szCs w:val="22"/>
          <w:lang w:eastAsia="en-NZ"/>
        </w:rPr>
        <w:t xml:space="preserve">, C. E. (2017). The Scientific Research Output of US Research Universities, 1980–2010: Continuing Dispersion, Increasing Concentration, or Stable </w:t>
      </w:r>
      <w:r w:rsidR="00496181" w:rsidRPr="003F5128">
        <w:rPr>
          <w:sz w:val="22"/>
          <w:szCs w:val="22"/>
          <w:lang w:eastAsia="en-NZ"/>
        </w:rPr>
        <w:t xml:space="preserve">Inequality? </w:t>
      </w:r>
      <w:r w:rsidRPr="003F5128">
        <w:rPr>
          <w:i/>
          <w:iCs/>
          <w:sz w:val="22"/>
          <w:szCs w:val="22"/>
          <w:lang w:eastAsia="en-NZ"/>
        </w:rPr>
        <w:t>Minerva</w:t>
      </w:r>
      <w:r w:rsidRPr="003F5128">
        <w:rPr>
          <w:sz w:val="22"/>
          <w:szCs w:val="22"/>
          <w:lang w:eastAsia="en-NZ"/>
        </w:rPr>
        <w:t>, </w:t>
      </w:r>
      <w:r w:rsidRPr="003F5128">
        <w:rPr>
          <w:i/>
          <w:iCs/>
          <w:sz w:val="22"/>
          <w:szCs w:val="22"/>
          <w:lang w:eastAsia="en-NZ"/>
        </w:rPr>
        <w:t>55</w:t>
      </w:r>
      <w:r w:rsidRPr="003F5128">
        <w:rPr>
          <w:sz w:val="22"/>
          <w:szCs w:val="22"/>
          <w:lang w:eastAsia="en-NZ"/>
        </w:rPr>
        <w:t>(4), 435-457.</w:t>
      </w:r>
    </w:p>
    <w:p w:rsidR="00D71E4C" w:rsidRPr="003F5128" w:rsidRDefault="00D71E4C"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Cairncross</w:t>
      </w:r>
      <w:proofErr w:type="spellEnd"/>
      <w:r w:rsidRPr="003F5128">
        <w:rPr>
          <w:sz w:val="22"/>
          <w:szCs w:val="22"/>
          <w:lang w:eastAsia="en-NZ"/>
        </w:rPr>
        <w:t xml:space="preserve">, F. (1997). </w:t>
      </w:r>
      <w:r w:rsidRPr="003F5128">
        <w:rPr>
          <w:i/>
          <w:iCs/>
          <w:sz w:val="22"/>
          <w:szCs w:val="22"/>
          <w:lang w:eastAsia="en-NZ"/>
        </w:rPr>
        <w:t xml:space="preserve">The Death of Distance: How the Communications Revolution </w:t>
      </w:r>
      <w:proofErr w:type="gramStart"/>
      <w:r w:rsidRPr="003F5128">
        <w:rPr>
          <w:i/>
          <w:iCs/>
          <w:sz w:val="22"/>
          <w:szCs w:val="22"/>
          <w:lang w:eastAsia="en-NZ"/>
        </w:rPr>
        <w:t>will</w:t>
      </w:r>
      <w:proofErr w:type="gramEnd"/>
      <w:r w:rsidRPr="003F5128">
        <w:rPr>
          <w:i/>
          <w:iCs/>
          <w:sz w:val="22"/>
          <w:szCs w:val="22"/>
          <w:lang w:eastAsia="en-NZ"/>
        </w:rPr>
        <w:t xml:space="preserve"> Change our Lives.</w:t>
      </w:r>
      <w:r w:rsidRPr="003F5128">
        <w:rPr>
          <w:sz w:val="22"/>
          <w:szCs w:val="22"/>
          <w:lang w:eastAsia="en-NZ"/>
        </w:rPr>
        <w:t xml:space="preserve"> London: Orion Business Books.</w:t>
      </w:r>
    </w:p>
    <w:p w:rsidR="008770F8" w:rsidRPr="003F5128" w:rsidRDefault="008770F8"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Card, D., &amp; </w:t>
      </w:r>
      <w:proofErr w:type="spellStart"/>
      <w:r w:rsidRPr="003F5128">
        <w:rPr>
          <w:sz w:val="22"/>
          <w:szCs w:val="22"/>
          <w:lang w:eastAsia="en-NZ"/>
        </w:rPr>
        <w:t>DellaVigna</w:t>
      </w:r>
      <w:proofErr w:type="spellEnd"/>
      <w:r w:rsidRPr="003F5128">
        <w:rPr>
          <w:sz w:val="22"/>
          <w:szCs w:val="22"/>
          <w:lang w:eastAsia="en-NZ"/>
        </w:rPr>
        <w:t>, S. (2013). Nine facts about top journals in economics. </w:t>
      </w:r>
      <w:r w:rsidRPr="003F5128">
        <w:rPr>
          <w:i/>
          <w:iCs/>
          <w:sz w:val="22"/>
          <w:szCs w:val="22"/>
          <w:lang w:eastAsia="en-NZ"/>
        </w:rPr>
        <w:t>Journal of Economic Literature</w:t>
      </w:r>
      <w:r w:rsidRPr="003F5128">
        <w:rPr>
          <w:sz w:val="22"/>
          <w:szCs w:val="22"/>
          <w:lang w:eastAsia="en-NZ"/>
        </w:rPr>
        <w:t>, </w:t>
      </w:r>
      <w:r w:rsidRPr="003F5128">
        <w:rPr>
          <w:i/>
          <w:iCs/>
          <w:sz w:val="22"/>
          <w:szCs w:val="22"/>
          <w:lang w:eastAsia="en-NZ"/>
        </w:rPr>
        <w:t>51</w:t>
      </w:r>
      <w:r w:rsidRPr="003F5128">
        <w:rPr>
          <w:sz w:val="22"/>
          <w:szCs w:val="22"/>
          <w:lang w:eastAsia="en-NZ"/>
        </w:rPr>
        <w:t>(1), 144-161.</w:t>
      </w:r>
    </w:p>
    <w:p w:rsidR="002E234D" w:rsidRPr="003F5128" w:rsidRDefault="002E234D"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Catini, R., </w:t>
      </w:r>
      <w:proofErr w:type="spellStart"/>
      <w:r w:rsidRPr="003F5128">
        <w:rPr>
          <w:sz w:val="22"/>
          <w:szCs w:val="22"/>
          <w:lang w:eastAsia="en-NZ"/>
        </w:rPr>
        <w:t>Karamshuk</w:t>
      </w:r>
      <w:proofErr w:type="spellEnd"/>
      <w:r w:rsidRPr="003F5128">
        <w:rPr>
          <w:sz w:val="22"/>
          <w:szCs w:val="22"/>
          <w:lang w:eastAsia="en-NZ"/>
        </w:rPr>
        <w:t xml:space="preserve">, D., Penner, O., &amp; </w:t>
      </w:r>
      <w:proofErr w:type="spellStart"/>
      <w:r w:rsidRPr="003F5128">
        <w:rPr>
          <w:sz w:val="22"/>
          <w:szCs w:val="22"/>
          <w:lang w:eastAsia="en-NZ"/>
        </w:rPr>
        <w:t>Riccaboni</w:t>
      </w:r>
      <w:proofErr w:type="spellEnd"/>
      <w:r w:rsidRPr="003F5128">
        <w:rPr>
          <w:sz w:val="22"/>
          <w:szCs w:val="22"/>
          <w:lang w:eastAsia="en-NZ"/>
        </w:rPr>
        <w:t>, M. (2015). Identifying geographic clusters: A network analytic approach. </w:t>
      </w:r>
      <w:r w:rsidRPr="003F5128">
        <w:rPr>
          <w:i/>
          <w:iCs/>
          <w:sz w:val="22"/>
          <w:szCs w:val="22"/>
          <w:lang w:eastAsia="en-NZ"/>
        </w:rPr>
        <w:t>Research Policy</w:t>
      </w:r>
      <w:r w:rsidRPr="003F5128">
        <w:rPr>
          <w:sz w:val="22"/>
          <w:szCs w:val="22"/>
          <w:lang w:eastAsia="en-NZ"/>
        </w:rPr>
        <w:t>, </w:t>
      </w:r>
      <w:r w:rsidRPr="003F5128">
        <w:rPr>
          <w:i/>
          <w:iCs/>
          <w:sz w:val="22"/>
          <w:szCs w:val="22"/>
          <w:lang w:eastAsia="en-NZ"/>
        </w:rPr>
        <w:t>44</w:t>
      </w:r>
      <w:r w:rsidRPr="003F5128">
        <w:rPr>
          <w:sz w:val="22"/>
          <w:szCs w:val="22"/>
          <w:lang w:eastAsia="en-NZ"/>
        </w:rPr>
        <w:t>(9), 1749-1762.</w:t>
      </w:r>
    </w:p>
    <w:p w:rsidR="0079545A" w:rsidRPr="003F5128" w:rsidRDefault="0079545A" w:rsidP="004F50FB">
      <w:pPr>
        <w:autoSpaceDE w:val="0"/>
        <w:autoSpaceDN w:val="0"/>
        <w:adjustRightInd w:val="0"/>
        <w:spacing w:after="200"/>
        <w:ind w:left="720" w:hanging="720"/>
        <w:jc w:val="both"/>
        <w:rPr>
          <w:sz w:val="22"/>
          <w:szCs w:val="22"/>
          <w:lang w:eastAsia="en-NZ"/>
        </w:rPr>
      </w:pPr>
      <w:r w:rsidRPr="003F5128">
        <w:rPr>
          <w:sz w:val="22"/>
          <w:szCs w:val="22"/>
          <w:lang w:eastAsia="en-NZ"/>
        </w:rPr>
        <w:t>Deaton, A. (2010). Instruments, randomization, and learning about development. </w:t>
      </w:r>
      <w:r w:rsidRPr="003F5128">
        <w:rPr>
          <w:i/>
          <w:iCs/>
          <w:sz w:val="22"/>
          <w:szCs w:val="22"/>
          <w:lang w:eastAsia="en-NZ"/>
        </w:rPr>
        <w:t>Journal of Economic Literature</w:t>
      </w:r>
      <w:r w:rsidRPr="003F5128">
        <w:rPr>
          <w:sz w:val="22"/>
          <w:szCs w:val="22"/>
          <w:lang w:eastAsia="en-NZ"/>
        </w:rPr>
        <w:t>, </w:t>
      </w:r>
      <w:r w:rsidRPr="003F5128">
        <w:rPr>
          <w:i/>
          <w:iCs/>
          <w:sz w:val="22"/>
          <w:szCs w:val="22"/>
          <w:lang w:eastAsia="en-NZ"/>
        </w:rPr>
        <w:t>48</w:t>
      </w:r>
      <w:r w:rsidRPr="003F5128">
        <w:rPr>
          <w:sz w:val="22"/>
          <w:szCs w:val="22"/>
          <w:lang w:eastAsia="en-NZ"/>
        </w:rPr>
        <w:t>(2), 424-455.</w:t>
      </w:r>
    </w:p>
    <w:p w:rsidR="0058662E" w:rsidRPr="003F5128" w:rsidRDefault="0058662E" w:rsidP="004F50FB">
      <w:pPr>
        <w:autoSpaceDE w:val="0"/>
        <w:autoSpaceDN w:val="0"/>
        <w:adjustRightInd w:val="0"/>
        <w:spacing w:after="200"/>
        <w:ind w:left="720" w:hanging="720"/>
        <w:jc w:val="both"/>
        <w:rPr>
          <w:sz w:val="22"/>
          <w:szCs w:val="22"/>
          <w:lang w:eastAsia="en-NZ"/>
        </w:rPr>
      </w:pPr>
      <w:r w:rsidRPr="003F5128">
        <w:rPr>
          <w:sz w:val="22"/>
          <w:szCs w:val="22"/>
        </w:rPr>
        <w:t xml:space="preserve">Deaton, A., &amp; Cartwright, N. (2018). Understanding and misunderstanding randomized controlled trials. </w:t>
      </w:r>
      <w:r w:rsidRPr="003F5128">
        <w:rPr>
          <w:i/>
          <w:iCs/>
          <w:sz w:val="22"/>
          <w:szCs w:val="22"/>
        </w:rPr>
        <w:t xml:space="preserve">Social Science &amp; </w:t>
      </w:r>
      <w:proofErr w:type="gramStart"/>
      <w:r w:rsidRPr="003F5128">
        <w:rPr>
          <w:i/>
          <w:iCs/>
          <w:sz w:val="22"/>
          <w:szCs w:val="22"/>
        </w:rPr>
        <w:t>Medicine</w:t>
      </w:r>
      <w:r w:rsidRPr="003F5128">
        <w:rPr>
          <w:sz w:val="22"/>
          <w:szCs w:val="22"/>
        </w:rPr>
        <w:t xml:space="preserve">  </w:t>
      </w:r>
      <w:proofErr w:type="spellStart"/>
      <w:r w:rsidRPr="003F5128">
        <w:rPr>
          <w:sz w:val="22"/>
          <w:szCs w:val="22"/>
        </w:rPr>
        <w:t>doi</w:t>
      </w:r>
      <w:proofErr w:type="spellEnd"/>
      <w:proofErr w:type="gramEnd"/>
      <w:r w:rsidRPr="003F5128">
        <w:rPr>
          <w:sz w:val="22"/>
          <w:szCs w:val="22"/>
        </w:rPr>
        <w:t>: 10.1016/j.socscimed.2017.12.005.</w:t>
      </w:r>
    </w:p>
    <w:p w:rsidR="008770F8" w:rsidRPr="003F5128" w:rsidRDefault="008770F8"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Fourcade</w:t>
      </w:r>
      <w:proofErr w:type="spellEnd"/>
      <w:r w:rsidRPr="003F5128">
        <w:rPr>
          <w:sz w:val="22"/>
          <w:szCs w:val="22"/>
          <w:lang w:eastAsia="en-NZ"/>
        </w:rPr>
        <w:t xml:space="preserve">, M., </w:t>
      </w:r>
      <w:proofErr w:type="spellStart"/>
      <w:r w:rsidRPr="003F5128">
        <w:rPr>
          <w:sz w:val="22"/>
          <w:szCs w:val="22"/>
          <w:lang w:eastAsia="en-NZ"/>
        </w:rPr>
        <w:t>Ollion</w:t>
      </w:r>
      <w:proofErr w:type="spellEnd"/>
      <w:r w:rsidRPr="003F5128">
        <w:rPr>
          <w:sz w:val="22"/>
          <w:szCs w:val="22"/>
          <w:lang w:eastAsia="en-NZ"/>
        </w:rPr>
        <w:t xml:space="preserve">, E., &amp; </w:t>
      </w:r>
      <w:proofErr w:type="spellStart"/>
      <w:r w:rsidRPr="003F5128">
        <w:rPr>
          <w:sz w:val="22"/>
          <w:szCs w:val="22"/>
          <w:lang w:eastAsia="en-NZ"/>
        </w:rPr>
        <w:t>Algan</w:t>
      </w:r>
      <w:proofErr w:type="spellEnd"/>
      <w:r w:rsidRPr="003F5128">
        <w:rPr>
          <w:sz w:val="22"/>
          <w:szCs w:val="22"/>
          <w:lang w:eastAsia="en-NZ"/>
        </w:rPr>
        <w:t>, Y. (2015). The Superiority of Economists. </w:t>
      </w:r>
      <w:r w:rsidRPr="003F5128">
        <w:rPr>
          <w:i/>
          <w:iCs/>
          <w:sz w:val="22"/>
          <w:szCs w:val="22"/>
          <w:lang w:eastAsia="en-NZ"/>
        </w:rPr>
        <w:t>The Journal of Economic Perspectives</w:t>
      </w:r>
      <w:r w:rsidRPr="003F5128">
        <w:rPr>
          <w:sz w:val="22"/>
          <w:szCs w:val="22"/>
          <w:lang w:eastAsia="en-NZ"/>
        </w:rPr>
        <w:t>, </w:t>
      </w:r>
      <w:r w:rsidRPr="003F5128">
        <w:rPr>
          <w:i/>
          <w:iCs/>
          <w:sz w:val="22"/>
          <w:szCs w:val="22"/>
          <w:lang w:eastAsia="en-NZ"/>
        </w:rPr>
        <w:t>29</w:t>
      </w:r>
      <w:r w:rsidRPr="003F5128">
        <w:rPr>
          <w:sz w:val="22"/>
          <w:szCs w:val="22"/>
          <w:lang w:eastAsia="en-NZ"/>
        </w:rPr>
        <w:t>(1), 89-113.</w:t>
      </w:r>
    </w:p>
    <w:p w:rsidR="00567735" w:rsidRPr="003F5128" w:rsidRDefault="00567735"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Frey, B., &amp; </w:t>
      </w:r>
      <w:proofErr w:type="spellStart"/>
      <w:r w:rsidRPr="003F5128">
        <w:rPr>
          <w:sz w:val="22"/>
          <w:szCs w:val="22"/>
          <w:lang w:eastAsia="en-NZ"/>
        </w:rPr>
        <w:t>Pommerehne</w:t>
      </w:r>
      <w:proofErr w:type="spellEnd"/>
      <w:r w:rsidRPr="003F5128">
        <w:rPr>
          <w:sz w:val="22"/>
          <w:szCs w:val="22"/>
          <w:lang w:eastAsia="en-NZ"/>
        </w:rPr>
        <w:t xml:space="preserve">, W. (1988). The American domination among eminent economists. </w:t>
      </w:r>
      <w:proofErr w:type="spellStart"/>
      <w:r w:rsidRPr="003F5128">
        <w:rPr>
          <w:i/>
          <w:iCs/>
          <w:sz w:val="22"/>
          <w:szCs w:val="22"/>
          <w:lang w:eastAsia="en-NZ"/>
        </w:rPr>
        <w:t>Scientometrics</w:t>
      </w:r>
      <w:proofErr w:type="spellEnd"/>
      <w:r w:rsidRPr="003F5128">
        <w:rPr>
          <w:sz w:val="22"/>
          <w:szCs w:val="22"/>
          <w:lang w:eastAsia="en-NZ"/>
        </w:rPr>
        <w:t>, </w:t>
      </w:r>
      <w:r w:rsidRPr="003F5128">
        <w:rPr>
          <w:i/>
          <w:iCs/>
          <w:sz w:val="22"/>
          <w:szCs w:val="22"/>
          <w:lang w:eastAsia="en-NZ"/>
        </w:rPr>
        <w:t>14</w:t>
      </w:r>
      <w:r w:rsidRPr="003F5128">
        <w:rPr>
          <w:sz w:val="22"/>
          <w:szCs w:val="22"/>
          <w:lang w:eastAsia="en-NZ"/>
        </w:rPr>
        <w:t>(1-2), 97-110.</w:t>
      </w:r>
    </w:p>
    <w:p w:rsidR="001F1765" w:rsidRPr="003F5128" w:rsidRDefault="001F1765"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Gibson, J., Anderson, D. L., &amp; </w:t>
      </w:r>
      <w:proofErr w:type="spellStart"/>
      <w:r w:rsidRPr="003F5128">
        <w:rPr>
          <w:sz w:val="22"/>
          <w:szCs w:val="22"/>
          <w:lang w:eastAsia="en-NZ"/>
        </w:rPr>
        <w:t>Tressler</w:t>
      </w:r>
      <w:proofErr w:type="spellEnd"/>
      <w:r w:rsidRPr="003F5128">
        <w:rPr>
          <w:sz w:val="22"/>
          <w:szCs w:val="22"/>
          <w:lang w:eastAsia="en-NZ"/>
        </w:rPr>
        <w:t>, J. (2014). Which journal rankings best explain academic salaries? Evidence from the University of California. </w:t>
      </w:r>
      <w:r w:rsidRPr="003F5128">
        <w:rPr>
          <w:i/>
          <w:iCs/>
          <w:sz w:val="22"/>
          <w:szCs w:val="22"/>
          <w:lang w:eastAsia="en-NZ"/>
        </w:rPr>
        <w:t>Economic Inquiry, 52</w:t>
      </w:r>
      <w:r w:rsidR="00496181" w:rsidRPr="003F5128">
        <w:rPr>
          <w:sz w:val="22"/>
          <w:szCs w:val="22"/>
          <w:lang w:eastAsia="en-NZ"/>
        </w:rPr>
        <w:t>(4), 1322-</w:t>
      </w:r>
      <w:r w:rsidRPr="003F5128">
        <w:rPr>
          <w:sz w:val="22"/>
          <w:szCs w:val="22"/>
          <w:lang w:eastAsia="en-NZ"/>
        </w:rPr>
        <w:t>40.</w:t>
      </w:r>
    </w:p>
    <w:p w:rsidR="008770F8" w:rsidRPr="003F5128" w:rsidRDefault="008770F8"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Glötzl</w:t>
      </w:r>
      <w:proofErr w:type="spellEnd"/>
      <w:r w:rsidRPr="003F5128">
        <w:rPr>
          <w:sz w:val="22"/>
          <w:szCs w:val="22"/>
          <w:lang w:eastAsia="en-NZ"/>
        </w:rPr>
        <w:t xml:space="preserve">, F., &amp; Aigner, E. (2017). Six Dimensions of Concentration in Economics: </w:t>
      </w:r>
      <w:proofErr w:type="spellStart"/>
      <w:r w:rsidRPr="003F5128">
        <w:rPr>
          <w:sz w:val="22"/>
          <w:szCs w:val="22"/>
          <w:lang w:eastAsia="en-NZ"/>
        </w:rPr>
        <w:t>Scientometric</w:t>
      </w:r>
      <w:proofErr w:type="spellEnd"/>
      <w:r w:rsidRPr="003F5128">
        <w:rPr>
          <w:sz w:val="22"/>
          <w:szCs w:val="22"/>
          <w:lang w:eastAsia="en-NZ"/>
        </w:rPr>
        <w:t xml:space="preserve"> Evidence from a Large-Scale Data Set. </w:t>
      </w:r>
      <w:r w:rsidR="00C37BE1" w:rsidRPr="003F5128">
        <w:rPr>
          <w:i/>
          <w:iCs/>
          <w:sz w:val="22"/>
          <w:szCs w:val="22"/>
          <w:lang w:eastAsia="en-NZ"/>
        </w:rPr>
        <w:t xml:space="preserve">Working </w:t>
      </w:r>
      <w:r w:rsidRPr="003F5128">
        <w:rPr>
          <w:i/>
          <w:iCs/>
          <w:sz w:val="22"/>
          <w:szCs w:val="22"/>
          <w:lang w:eastAsia="en-NZ"/>
        </w:rPr>
        <w:t>Paper</w:t>
      </w:r>
      <w:r w:rsidRPr="003F5128">
        <w:rPr>
          <w:sz w:val="22"/>
          <w:szCs w:val="22"/>
          <w:lang w:eastAsia="en-NZ"/>
        </w:rPr>
        <w:t xml:space="preserve"> No. 15, </w:t>
      </w:r>
      <w:r w:rsidR="00C37BE1" w:rsidRPr="003F5128">
        <w:rPr>
          <w:sz w:val="22"/>
          <w:szCs w:val="22"/>
          <w:lang w:eastAsia="en-NZ"/>
        </w:rPr>
        <w:t xml:space="preserve">Institute for Ecological Economics, </w:t>
      </w:r>
      <w:r w:rsidRPr="003F5128">
        <w:rPr>
          <w:sz w:val="22"/>
          <w:szCs w:val="22"/>
          <w:lang w:eastAsia="en-NZ"/>
        </w:rPr>
        <w:t>Vienna University of Economics and Business.</w:t>
      </w:r>
    </w:p>
    <w:p w:rsidR="008770F8" w:rsidRPr="003F5128" w:rsidRDefault="008770F8"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Hamermesh</w:t>
      </w:r>
      <w:proofErr w:type="spellEnd"/>
      <w:r w:rsidRPr="003F5128">
        <w:rPr>
          <w:sz w:val="22"/>
          <w:szCs w:val="22"/>
          <w:lang w:eastAsia="en-NZ"/>
        </w:rPr>
        <w:t>, D. S. (2013). Six decades of top economics publishing: Who and how? </w:t>
      </w:r>
      <w:r w:rsidRPr="003F5128">
        <w:rPr>
          <w:i/>
          <w:iCs/>
          <w:sz w:val="22"/>
          <w:szCs w:val="22"/>
          <w:lang w:eastAsia="en-NZ"/>
        </w:rPr>
        <w:t>Journal of Economic Literature</w:t>
      </w:r>
      <w:r w:rsidRPr="003F5128">
        <w:rPr>
          <w:sz w:val="22"/>
          <w:szCs w:val="22"/>
          <w:lang w:eastAsia="en-NZ"/>
        </w:rPr>
        <w:t>, </w:t>
      </w:r>
      <w:r w:rsidRPr="003F5128">
        <w:rPr>
          <w:i/>
          <w:iCs/>
          <w:sz w:val="22"/>
          <w:szCs w:val="22"/>
          <w:lang w:eastAsia="en-NZ"/>
        </w:rPr>
        <w:t>51</w:t>
      </w:r>
      <w:r w:rsidRPr="003F5128">
        <w:rPr>
          <w:sz w:val="22"/>
          <w:szCs w:val="22"/>
          <w:lang w:eastAsia="en-NZ"/>
        </w:rPr>
        <w:t>(1), 162-172.</w:t>
      </w:r>
    </w:p>
    <w:p w:rsidR="00055F93" w:rsidRPr="003F5128" w:rsidRDefault="00055F93" w:rsidP="004F50FB">
      <w:pPr>
        <w:autoSpaceDE w:val="0"/>
        <w:autoSpaceDN w:val="0"/>
        <w:adjustRightInd w:val="0"/>
        <w:spacing w:after="200"/>
        <w:ind w:left="720" w:hanging="720"/>
        <w:jc w:val="both"/>
        <w:rPr>
          <w:sz w:val="22"/>
          <w:szCs w:val="22"/>
          <w:lang w:eastAsia="en-NZ"/>
        </w:rPr>
      </w:pPr>
      <w:r w:rsidRPr="003F5128">
        <w:rPr>
          <w:sz w:val="22"/>
          <w:szCs w:val="22"/>
          <w:lang w:eastAsia="en-NZ"/>
        </w:rPr>
        <w:t>Han, S. K. (2003). Tribal regimes in academia: A comparative analysis of market structure across disciplines. </w:t>
      </w:r>
      <w:r w:rsidRPr="003F5128">
        <w:rPr>
          <w:i/>
          <w:iCs/>
          <w:sz w:val="22"/>
          <w:szCs w:val="22"/>
          <w:lang w:eastAsia="en-NZ"/>
        </w:rPr>
        <w:t>Social Networks</w:t>
      </w:r>
      <w:r w:rsidRPr="003F5128">
        <w:rPr>
          <w:sz w:val="22"/>
          <w:szCs w:val="22"/>
          <w:lang w:eastAsia="en-NZ"/>
        </w:rPr>
        <w:t>, </w:t>
      </w:r>
      <w:r w:rsidRPr="003F5128">
        <w:rPr>
          <w:i/>
          <w:iCs/>
          <w:sz w:val="22"/>
          <w:szCs w:val="22"/>
          <w:lang w:eastAsia="en-NZ"/>
        </w:rPr>
        <w:t>25</w:t>
      </w:r>
      <w:r w:rsidRPr="003F5128">
        <w:rPr>
          <w:sz w:val="22"/>
          <w:szCs w:val="22"/>
          <w:lang w:eastAsia="en-NZ"/>
        </w:rPr>
        <w:t>(3), 251-280.</w:t>
      </w:r>
    </w:p>
    <w:p w:rsidR="00F209F5" w:rsidRPr="003F5128" w:rsidRDefault="00F209F5" w:rsidP="004F50FB">
      <w:pPr>
        <w:autoSpaceDE w:val="0"/>
        <w:autoSpaceDN w:val="0"/>
        <w:adjustRightInd w:val="0"/>
        <w:spacing w:after="200"/>
        <w:ind w:left="720" w:hanging="720"/>
        <w:jc w:val="both"/>
        <w:rPr>
          <w:sz w:val="22"/>
          <w:szCs w:val="22"/>
          <w:lang w:eastAsia="en-NZ"/>
        </w:rPr>
      </w:pPr>
      <w:r w:rsidRPr="003F5128">
        <w:rPr>
          <w:sz w:val="22"/>
          <w:szCs w:val="22"/>
          <w:lang w:eastAsia="en-NZ"/>
        </w:rPr>
        <w:t>Hicks, D. (2012). Performance-based university research funding systems. </w:t>
      </w:r>
      <w:r w:rsidRPr="003F5128">
        <w:rPr>
          <w:i/>
          <w:iCs/>
          <w:sz w:val="22"/>
          <w:szCs w:val="22"/>
          <w:lang w:eastAsia="en-NZ"/>
        </w:rPr>
        <w:t>Research Policy</w:t>
      </w:r>
      <w:r w:rsidR="00B90D6E" w:rsidRPr="003F5128">
        <w:rPr>
          <w:sz w:val="22"/>
          <w:szCs w:val="22"/>
          <w:lang w:eastAsia="en-NZ"/>
        </w:rPr>
        <w:t>,</w:t>
      </w:r>
      <w:r w:rsidRPr="003F5128">
        <w:rPr>
          <w:sz w:val="22"/>
          <w:szCs w:val="22"/>
          <w:lang w:eastAsia="en-NZ"/>
        </w:rPr>
        <w:t xml:space="preserve"> </w:t>
      </w:r>
      <w:r w:rsidRPr="003F5128">
        <w:rPr>
          <w:i/>
          <w:iCs/>
          <w:sz w:val="22"/>
          <w:szCs w:val="22"/>
          <w:lang w:eastAsia="en-NZ"/>
        </w:rPr>
        <w:t>41</w:t>
      </w:r>
      <w:r w:rsidRPr="003F5128">
        <w:rPr>
          <w:sz w:val="22"/>
          <w:szCs w:val="22"/>
          <w:lang w:eastAsia="en-NZ"/>
        </w:rPr>
        <w:t>(2), 251-261.</w:t>
      </w:r>
    </w:p>
    <w:p w:rsidR="00672881" w:rsidRPr="003F5128" w:rsidRDefault="00672881" w:rsidP="004F50FB">
      <w:pPr>
        <w:autoSpaceDE w:val="0"/>
        <w:autoSpaceDN w:val="0"/>
        <w:adjustRightInd w:val="0"/>
        <w:spacing w:after="200"/>
        <w:ind w:left="720" w:hanging="720"/>
        <w:jc w:val="both"/>
        <w:rPr>
          <w:sz w:val="22"/>
          <w:szCs w:val="22"/>
          <w:lang w:eastAsia="en-NZ"/>
        </w:rPr>
      </w:pPr>
      <w:r w:rsidRPr="003F5128">
        <w:rPr>
          <w:sz w:val="22"/>
          <w:szCs w:val="22"/>
          <w:lang w:eastAsia="en-NZ"/>
        </w:rPr>
        <w:lastRenderedPageBreak/>
        <w:t>Hodgson, G. M., &amp; Rothman, H. (1999). The editors and authors of economics journals: A case of institutional oligopoly? </w:t>
      </w:r>
      <w:r w:rsidRPr="003F5128">
        <w:rPr>
          <w:i/>
          <w:iCs/>
          <w:sz w:val="22"/>
          <w:szCs w:val="22"/>
          <w:lang w:eastAsia="en-NZ"/>
        </w:rPr>
        <w:t>Economic Journal</w:t>
      </w:r>
      <w:r w:rsidRPr="003F5128">
        <w:rPr>
          <w:sz w:val="22"/>
          <w:szCs w:val="22"/>
          <w:lang w:eastAsia="en-NZ"/>
        </w:rPr>
        <w:t>, </w:t>
      </w:r>
      <w:r w:rsidRPr="003F5128">
        <w:rPr>
          <w:i/>
          <w:iCs/>
          <w:sz w:val="22"/>
          <w:szCs w:val="22"/>
          <w:lang w:eastAsia="en-NZ"/>
        </w:rPr>
        <w:t>109</w:t>
      </w:r>
      <w:r w:rsidRPr="003F5128">
        <w:rPr>
          <w:sz w:val="22"/>
          <w:szCs w:val="22"/>
          <w:lang w:eastAsia="en-NZ"/>
        </w:rPr>
        <w:t>(453), 165-186.</w:t>
      </w:r>
    </w:p>
    <w:p w:rsidR="001A2006" w:rsidRPr="003F5128" w:rsidRDefault="001A2006" w:rsidP="004F50FB">
      <w:pPr>
        <w:autoSpaceDE w:val="0"/>
        <w:autoSpaceDN w:val="0"/>
        <w:adjustRightInd w:val="0"/>
        <w:spacing w:after="200"/>
        <w:ind w:left="720" w:hanging="720"/>
        <w:jc w:val="both"/>
        <w:rPr>
          <w:sz w:val="22"/>
          <w:szCs w:val="22"/>
          <w:lang w:eastAsia="en-NZ"/>
        </w:rPr>
      </w:pPr>
      <w:r w:rsidRPr="003F5128">
        <w:rPr>
          <w:sz w:val="22"/>
          <w:szCs w:val="22"/>
          <w:lang w:eastAsia="en-NZ"/>
        </w:rPr>
        <w:t>Hudson, J. (2017). Identifying economics’ place amongst academic disciplines: a science or a social science? </w:t>
      </w:r>
      <w:proofErr w:type="spellStart"/>
      <w:r w:rsidRPr="003F5128">
        <w:rPr>
          <w:i/>
          <w:iCs/>
          <w:sz w:val="22"/>
          <w:szCs w:val="22"/>
          <w:lang w:eastAsia="en-NZ"/>
        </w:rPr>
        <w:t>Scientometrics</w:t>
      </w:r>
      <w:proofErr w:type="spellEnd"/>
      <w:r w:rsidRPr="003F5128">
        <w:rPr>
          <w:sz w:val="22"/>
          <w:szCs w:val="22"/>
          <w:lang w:eastAsia="en-NZ"/>
        </w:rPr>
        <w:t>, </w:t>
      </w:r>
      <w:r w:rsidRPr="003F5128">
        <w:rPr>
          <w:i/>
          <w:iCs/>
          <w:sz w:val="22"/>
          <w:szCs w:val="22"/>
          <w:lang w:eastAsia="en-NZ"/>
        </w:rPr>
        <w:t>113</w:t>
      </w:r>
      <w:r w:rsidRPr="003F5128">
        <w:rPr>
          <w:sz w:val="22"/>
          <w:szCs w:val="22"/>
          <w:lang w:eastAsia="en-NZ"/>
        </w:rPr>
        <w:t>(2), 735-750.</w:t>
      </w:r>
    </w:p>
    <w:p w:rsidR="00F13F9C" w:rsidRPr="003F5128" w:rsidRDefault="00F13F9C" w:rsidP="004F50FB">
      <w:pPr>
        <w:autoSpaceDE w:val="0"/>
        <w:autoSpaceDN w:val="0"/>
        <w:adjustRightInd w:val="0"/>
        <w:spacing w:after="200"/>
        <w:ind w:left="720" w:hanging="720"/>
        <w:jc w:val="both"/>
        <w:rPr>
          <w:sz w:val="22"/>
          <w:szCs w:val="22"/>
          <w:lang w:eastAsia="en-NZ"/>
        </w:rPr>
      </w:pPr>
      <w:r w:rsidRPr="003F5128">
        <w:rPr>
          <w:sz w:val="22"/>
          <w:szCs w:val="22"/>
          <w:lang w:eastAsia="en-NZ"/>
        </w:rPr>
        <w:t>Jann, B. (2016). Estimating Lorenz and concentration curves. </w:t>
      </w:r>
      <w:r w:rsidRPr="003F5128">
        <w:rPr>
          <w:i/>
          <w:iCs/>
          <w:sz w:val="22"/>
          <w:szCs w:val="22"/>
          <w:lang w:eastAsia="en-NZ"/>
        </w:rPr>
        <w:t>Stata Journal</w:t>
      </w:r>
      <w:r w:rsidRPr="003F5128">
        <w:rPr>
          <w:sz w:val="22"/>
          <w:szCs w:val="22"/>
          <w:lang w:eastAsia="en-NZ"/>
        </w:rPr>
        <w:t>, </w:t>
      </w:r>
      <w:r w:rsidRPr="003F5128">
        <w:rPr>
          <w:i/>
          <w:iCs/>
          <w:sz w:val="22"/>
          <w:szCs w:val="22"/>
          <w:lang w:eastAsia="en-NZ"/>
        </w:rPr>
        <w:t>16</w:t>
      </w:r>
      <w:r w:rsidRPr="003F5128">
        <w:rPr>
          <w:sz w:val="22"/>
          <w:szCs w:val="22"/>
          <w:lang w:eastAsia="en-NZ"/>
        </w:rPr>
        <w:t>(4), 837-866.</w:t>
      </w:r>
    </w:p>
    <w:p w:rsidR="008904C2" w:rsidRPr="003F5128" w:rsidRDefault="008904C2" w:rsidP="004F50FB">
      <w:pPr>
        <w:autoSpaceDE w:val="0"/>
        <w:autoSpaceDN w:val="0"/>
        <w:adjustRightInd w:val="0"/>
        <w:spacing w:after="200"/>
        <w:ind w:left="720" w:hanging="720"/>
        <w:jc w:val="both"/>
        <w:rPr>
          <w:sz w:val="22"/>
          <w:szCs w:val="22"/>
          <w:lang w:eastAsia="en-NZ"/>
        </w:rPr>
      </w:pPr>
      <w:r w:rsidRPr="003F5128">
        <w:rPr>
          <w:sz w:val="22"/>
          <w:szCs w:val="22"/>
          <w:lang w:eastAsia="en-NZ"/>
        </w:rPr>
        <w:t>Keane, M. P. (2010). A structural perspective on the experimentalist school. </w:t>
      </w:r>
      <w:r w:rsidRPr="003F5128">
        <w:rPr>
          <w:i/>
          <w:iCs/>
          <w:sz w:val="22"/>
          <w:szCs w:val="22"/>
          <w:lang w:eastAsia="en-NZ"/>
        </w:rPr>
        <w:t>The Journal of Economic Perspectives</w:t>
      </w:r>
      <w:r w:rsidRPr="003F5128">
        <w:rPr>
          <w:sz w:val="22"/>
          <w:szCs w:val="22"/>
          <w:lang w:eastAsia="en-NZ"/>
        </w:rPr>
        <w:t>, </w:t>
      </w:r>
      <w:r w:rsidRPr="003F5128">
        <w:rPr>
          <w:i/>
          <w:iCs/>
          <w:sz w:val="22"/>
          <w:szCs w:val="22"/>
          <w:lang w:eastAsia="en-NZ"/>
        </w:rPr>
        <w:t>24</w:t>
      </w:r>
      <w:r w:rsidRPr="003F5128">
        <w:rPr>
          <w:sz w:val="22"/>
          <w:szCs w:val="22"/>
          <w:lang w:eastAsia="en-NZ"/>
        </w:rPr>
        <w:t>(2), 47-58.</w:t>
      </w:r>
    </w:p>
    <w:p w:rsidR="008770F8" w:rsidRPr="003F5128" w:rsidRDefault="008770F8" w:rsidP="004F50FB">
      <w:pPr>
        <w:autoSpaceDE w:val="0"/>
        <w:autoSpaceDN w:val="0"/>
        <w:adjustRightInd w:val="0"/>
        <w:spacing w:after="200"/>
        <w:ind w:left="720" w:hanging="720"/>
        <w:jc w:val="both"/>
        <w:rPr>
          <w:sz w:val="22"/>
          <w:szCs w:val="22"/>
          <w:lang w:eastAsia="en-NZ"/>
        </w:rPr>
      </w:pPr>
      <w:r w:rsidRPr="003F5128">
        <w:rPr>
          <w:sz w:val="22"/>
          <w:szCs w:val="22"/>
          <w:lang w:eastAsia="en-NZ"/>
        </w:rPr>
        <w:t>Kocher, M. G., &amp; Sutter, M. (2001). The institutional concentration of authors in top journals of economics during the last two decades. </w:t>
      </w:r>
      <w:r w:rsidRPr="003F5128">
        <w:rPr>
          <w:i/>
          <w:iCs/>
          <w:sz w:val="22"/>
          <w:szCs w:val="22"/>
          <w:lang w:eastAsia="en-NZ"/>
        </w:rPr>
        <w:t>The Economic Journal</w:t>
      </w:r>
      <w:r w:rsidRPr="003F5128">
        <w:rPr>
          <w:sz w:val="22"/>
          <w:szCs w:val="22"/>
          <w:lang w:eastAsia="en-NZ"/>
        </w:rPr>
        <w:t>, </w:t>
      </w:r>
      <w:r w:rsidRPr="003F5128">
        <w:rPr>
          <w:i/>
          <w:iCs/>
          <w:sz w:val="22"/>
          <w:szCs w:val="22"/>
          <w:lang w:eastAsia="en-NZ"/>
        </w:rPr>
        <w:t>111</w:t>
      </w:r>
      <w:r w:rsidRPr="003F5128">
        <w:rPr>
          <w:sz w:val="22"/>
          <w:szCs w:val="22"/>
          <w:lang w:eastAsia="en-NZ"/>
        </w:rPr>
        <w:t>(472), 405-421.</w:t>
      </w:r>
    </w:p>
    <w:p w:rsidR="00E860C4" w:rsidRPr="003F5128" w:rsidRDefault="00E860C4"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Krugman, P. (2013). Understanding the NBER. </w:t>
      </w:r>
      <w:r w:rsidRPr="003F5128">
        <w:rPr>
          <w:i/>
          <w:iCs/>
          <w:sz w:val="22"/>
          <w:szCs w:val="22"/>
          <w:lang w:eastAsia="en-NZ"/>
        </w:rPr>
        <w:t>The New York Times</w:t>
      </w:r>
      <w:r w:rsidRPr="003F5128">
        <w:rPr>
          <w:sz w:val="22"/>
          <w:szCs w:val="22"/>
          <w:lang w:eastAsia="en-NZ"/>
        </w:rPr>
        <w:t>, April 22, 2013.</w:t>
      </w:r>
    </w:p>
    <w:p w:rsidR="008B1FAC" w:rsidRPr="003F5128" w:rsidRDefault="008B1FAC" w:rsidP="004F50FB">
      <w:pPr>
        <w:autoSpaceDE w:val="0"/>
        <w:autoSpaceDN w:val="0"/>
        <w:adjustRightInd w:val="0"/>
        <w:spacing w:after="200"/>
        <w:ind w:left="720" w:hanging="720"/>
        <w:jc w:val="both"/>
        <w:rPr>
          <w:sz w:val="22"/>
          <w:szCs w:val="22"/>
          <w:lang w:eastAsia="en-NZ"/>
        </w:rPr>
      </w:pPr>
      <w:r w:rsidRPr="003F5128">
        <w:rPr>
          <w:sz w:val="22"/>
          <w:szCs w:val="22"/>
          <w:lang w:eastAsia="en-NZ"/>
        </w:rPr>
        <w:t>Lazear, E. (2000). Economic imperialism. </w:t>
      </w:r>
      <w:r w:rsidRPr="003F5128">
        <w:rPr>
          <w:i/>
          <w:iCs/>
          <w:sz w:val="22"/>
          <w:szCs w:val="22"/>
          <w:lang w:eastAsia="en-NZ"/>
        </w:rPr>
        <w:t>The Quarterly Journal of Economics</w:t>
      </w:r>
      <w:r w:rsidRPr="003F5128">
        <w:rPr>
          <w:sz w:val="22"/>
          <w:szCs w:val="22"/>
          <w:lang w:eastAsia="en-NZ"/>
        </w:rPr>
        <w:t>, </w:t>
      </w:r>
      <w:r w:rsidRPr="003F5128">
        <w:rPr>
          <w:i/>
          <w:iCs/>
          <w:sz w:val="22"/>
          <w:szCs w:val="22"/>
          <w:lang w:eastAsia="en-NZ"/>
        </w:rPr>
        <w:t>115</w:t>
      </w:r>
      <w:r w:rsidRPr="003F5128">
        <w:rPr>
          <w:sz w:val="22"/>
          <w:szCs w:val="22"/>
          <w:lang w:eastAsia="en-NZ"/>
        </w:rPr>
        <w:t>(1), 99-146.</w:t>
      </w:r>
    </w:p>
    <w:p w:rsidR="0081591C" w:rsidRPr="003F5128" w:rsidRDefault="0081591C" w:rsidP="004F50FB">
      <w:pPr>
        <w:autoSpaceDE w:val="0"/>
        <w:autoSpaceDN w:val="0"/>
        <w:adjustRightInd w:val="0"/>
        <w:spacing w:after="200"/>
        <w:ind w:left="720" w:hanging="720"/>
        <w:jc w:val="both"/>
        <w:rPr>
          <w:sz w:val="22"/>
          <w:szCs w:val="22"/>
          <w:lang w:eastAsia="en-NZ"/>
        </w:rPr>
      </w:pPr>
      <w:proofErr w:type="spellStart"/>
      <w:r w:rsidRPr="003F5128">
        <w:rPr>
          <w:sz w:val="22"/>
          <w:szCs w:val="22"/>
          <w:lang w:eastAsia="en-NZ"/>
        </w:rPr>
        <w:t>Leijonhufvud</w:t>
      </w:r>
      <w:proofErr w:type="spellEnd"/>
      <w:r w:rsidRPr="003F5128">
        <w:rPr>
          <w:sz w:val="22"/>
          <w:szCs w:val="22"/>
          <w:lang w:eastAsia="en-NZ"/>
        </w:rPr>
        <w:t>, A. (1973). Life among the Econ. </w:t>
      </w:r>
      <w:r w:rsidRPr="003F5128">
        <w:rPr>
          <w:i/>
          <w:iCs/>
          <w:sz w:val="22"/>
          <w:szCs w:val="22"/>
          <w:lang w:eastAsia="en-NZ"/>
        </w:rPr>
        <w:t>Economic Inquiry</w:t>
      </w:r>
      <w:r w:rsidRPr="003F5128">
        <w:rPr>
          <w:sz w:val="22"/>
          <w:szCs w:val="22"/>
          <w:lang w:eastAsia="en-NZ"/>
        </w:rPr>
        <w:t>, </w:t>
      </w:r>
      <w:r w:rsidRPr="003F5128">
        <w:rPr>
          <w:i/>
          <w:iCs/>
          <w:sz w:val="22"/>
          <w:szCs w:val="22"/>
          <w:lang w:eastAsia="en-NZ"/>
        </w:rPr>
        <w:t>11</w:t>
      </w:r>
      <w:r w:rsidRPr="003F5128">
        <w:rPr>
          <w:sz w:val="22"/>
          <w:szCs w:val="22"/>
          <w:lang w:eastAsia="en-NZ"/>
        </w:rPr>
        <w:t>(3), 327-337.</w:t>
      </w:r>
    </w:p>
    <w:p w:rsidR="004A01A3" w:rsidRPr="003F5128" w:rsidRDefault="004A01A3"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Liebowitz, S. J. (2014). Willful blindness: The inefficient reward structure in academic </w:t>
      </w:r>
      <w:r w:rsidR="00055F93" w:rsidRPr="003F5128">
        <w:rPr>
          <w:sz w:val="22"/>
          <w:szCs w:val="22"/>
          <w:lang w:eastAsia="en-NZ"/>
        </w:rPr>
        <w:t xml:space="preserve">research. </w:t>
      </w:r>
      <w:r w:rsidRPr="003F5128">
        <w:rPr>
          <w:i/>
          <w:iCs/>
          <w:sz w:val="22"/>
          <w:szCs w:val="22"/>
          <w:lang w:eastAsia="en-NZ"/>
        </w:rPr>
        <w:t>Economic Inquiry</w:t>
      </w:r>
      <w:r w:rsidRPr="003F5128">
        <w:rPr>
          <w:sz w:val="22"/>
          <w:szCs w:val="22"/>
          <w:lang w:eastAsia="en-NZ"/>
        </w:rPr>
        <w:t>, </w:t>
      </w:r>
      <w:r w:rsidRPr="003F5128">
        <w:rPr>
          <w:i/>
          <w:iCs/>
          <w:sz w:val="22"/>
          <w:szCs w:val="22"/>
          <w:lang w:eastAsia="en-NZ"/>
        </w:rPr>
        <w:t>52</w:t>
      </w:r>
      <w:r w:rsidRPr="003F5128">
        <w:rPr>
          <w:sz w:val="22"/>
          <w:szCs w:val="22"/>
          <w:lang w:eastAsia="en-NZ"/>
        </w:rPr>
        <w:t>(4), 1267-1283.</w:t>
      </w:r>
    </w:p>
    <w:p w:rsidR="00353E92" w:rsidRPr="003F5128" w:rsidRDefault="00353E92"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McCann, P. (2008). Globalization and economic geography: the world is curved, not flat. </w:t>
      </w:r>
      <w:r w:rsidRPr="003F5128">
        <w:rPr>
          <w:i/>
          <w:iCs/>
          <w:sz w:val="22"/>
          <w:szCs w:val="22"/>
          <w:lang w:eastAsia="en-NZ"/>
        </w:rPr>
        <w:t>Cambridge Journal of Regions, Economy and Society</w:t>
      </w:r>
      <w:r w:rsidRPr="003F5128">
        <w:rPr>
          <w:sz w:val="22"/>
          <w:szCs w:val="22"/>
          <w:lang w:eastAsia="en-NZ"/>
        </w:rPr>
        <w:t>, </w:t>
      </w:r>
      <w:r w:rsidRPr="003F5128">
        <w:rPr>
          <w:i/>
          <w:iCs/>
          <w:sz w:val="22"/>
          <w:szCs w:val="22"/>
          <w:lang w:eastAsia="en-NZ"/>
        </w:rPr>
        <w:t>1</w:t>
      </w:r>
      <w:r w:rsidRPr="003F5128">
        <w:rPr>
          <w:sz w:val="22"/>
          <w:szCs w:val="22"/>
          <w:lang w:eastAsia="en-NZ"/>
        </w:rPr>
        <w:t>(3), 351-370.</w:t>
      </w:r>
    </w:p>
    <w:p w:rsidR="001D67BD" w:rsidRPr="003F5128" w:rsidRDefault="001D67BD" w:rsidP="004F50FB">
      <w:pPr>
        <w:autoSpaceDE w:val="0"/>
        <w:autoSpaceDN w:val="0"/>
        <w:adjustRightInd w:val="0"/>
        <w:spacing w:after="200"/>
        <w:ind w:left="720" w:hanging="720"/>
        <w:jc w:val="both"/>
        <w:rPr>
          <w:sz w:val="22"/>
          <w:szCs w:val="22"/>
          <w:lang w:eastAsia="en-NZ"/>
        </w:rPr>
      </w:pPr>
      <w:r w:rsidRPr="003F5128">
        <w:rPr>
          <w:sz w:val="22"/>
          <w:szCs w:val="22"/>
          <w:lang w:eastAsia="en-NZ"/>
        </w:rPr>
        <w:t xml:space="preserve">Snyder, C., &amp; </w:t>
      </w:r>
      <w:proofErr w:type="spellStart"/>
      <w:r w:rsidRPr="003F5128">
        <w:rPr>
          <w:sz w:val="22"/>
          <w:szCs w:val="22"/>
          <w:lang w:eastAsia="en-NZ"/>
        </w:rPr>
        <w:t>Zidar</w:t>
      </w:r>
      <w:proofErr w:type="spellEnd"/>
      <w:r w:rsidRPr="003F5128">
        <w:rPr>
          <w:sz w:val="22"/>
          <w:szCs w:val="22"/>
          <w:lang w:eastAsia="en-NZ"/>
        </w:rPr>
        <w:t xml:space="preserve">, O. (2011). Resume padding among economists. </w:t>
      </w:r>
      <w:r w:rsidRPr="003F5128">
        <w:rPr>
          <w:i/>
          <w:iCs/>
          <w:sz w:val="22"/>
          <w:szCs w:val="22"/>
          <w:lang w:eastAsia="en-NZ"/>
        </w:rPr>
        <w:t>Mimeo</w:t>
      </w:r>
      <w:r w:rsidRPr="003F5128">
        <w:rPr>
          <w:sz w:val="22"/>
          <w:szCs w:val="22"/>
          <w:lang w:eastAsia="en-NZ"/>
        </w:rPr>
        <w:t>, Available at SSRN:</w:t>
      </w:r>
      <w:r w:rsidRPr="003F5128">
        <w:rPr>
          <w:i/>
          <w:iCs/>
          <w:sz w:val="22"/>
          <w:szCs w:val="22"/>
          <w:lang w:eastAsia="en-NZ"/>
        </w:rPr>
        <w:t xml:space="preserve"> </w:t>
      </w:r>
      <w:r w:rsidRPr="003F5128">
        <w:rPr>
          <w:rStyle w:val="Hyperlink"/>
          <w:rFonts w:ascii="NexusSansWebPro" w:hAnsi="NexusSansWebPro"/>
          <w:color w:val="F5662D"/>
          <w:sz w:val="22"/>
          <w:szCs w:val="22"/>
          <w:shd w:val="clear" w:color="auto" w:fill="FFFFFF"/>
        </w:rPr>
        <w:t>htt</w:t>
      </w:r>
      <w:hyperlink r:id="rId17" w:tgtFrame="_blank" w:history="1">
        <w:r w:rsidRPr="003F5128">
          <w:rPr>
            <w:rStyle w:val="Hyperlink"/>
            <w:rFonts w:ascii="NexusSansWebPro" w:hAnsi="NexusSansWebPro"/>
            <w:color w:val="F5662D"/>
            <w:sz w:val="22"/>
            <w:szCs w:val="22"/>
            <w:shd w:val="clear" w:color="auto" w:fill="FFFFFF"/>
          </w:rPr>
          <w:t>p://dx.doi.org/10.2139/ssrn.1986219</w:t>
        </w:r>
      </w:hyperlink>
    </w:p>
    <w:p w:rsidR="0075721A" w:rsidRPr="003F5128" w:rsidRDefault="0075721A" w:rsidP="00D85203">
      <w:pPr>
        <w:autoSpaceDE w:val="0"/>
        <w:autoSpaceDN w:val="0"/>
        <w:adjustRightInd w:val="0"/>
        <w:spacing w:after="200"/>
        <w:ind w:left="709" w:hanging="709"/>
        <w:jc w:val="both"/>
        <w:rPr>
          <w:sz w:val="22"/>
          <w:szCs w:val="22"/>
          <w:lang w:eastAsia="en-NZ"/>
        </w:rPr>
      </w:pPr>
      <w:r w:rsidRPr="003F5128">
        <w:rPr>
          <w:sz w:val="22"/>
          <w:szCs w:val="22"/>
          <w:lang w:eastAsia="en-NZ"/>
        </w:rPr>
        <w:t>Wu, S. (2007). Recent publishing trends at the AER, JPE and QJE. </w:t>
      </w:r>
      <w:r w:rsidRPr="003F5128">
        <w:rPr>
          <w:i/>
          <w:iCs/>
          <w:sz w:val="22"/>
          <w:szCs w:val="22"/>
          <w:lang w:eastAsia="en-NZ"/>
        </w:rPr>
        <w:t>Applied Economics Letters, 14</w:t>
      </w:r>
      <w:r w:rsidRPr="003F5128">
        <w:rPr>
          <w:sz w:val="22"/>
          <w:szCs w:val="22"/>
          <w:lang w:eastAsia="en-NZ"/>
        </w:rPr>
        <w:t>(1), 59-63.</w:t>
      </w:r>
    </w:p>
    <w:sectPr w:rsidR="0075721A" w:rsidRPr="003F5128" w:rsidSect="00693600">
      <w:endnotePr>
        <w:numFmt w:val="decimal"/>
      </w:endnotePr>
      <w:pgSz w:w="11907" w:h="16840" w:code="9"/>
      <w:pgMar w:top="1440" w:right="1440" w:bottom="1440" w:left="1440"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019" w:rsidRDefault="00731019">
      <w:r>
        <w:separator/>
      </w:r>
    </w:p>
  </w:endnote>
  <w:endnote w:type="continuationSeparator" w:id="0">
    <w:p w:rsidR="00731019" w:rsidRDefault="0073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xusSansWebPro">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62602"/>
      <w:docPartObj>
        <w:docPartGallery w:val="Page Numbers (Bottom of Page)"/>
        <w:docPartUnique/>
      </w:docPartObj>
    </w:sdtPr>
    <w:sdtEndPr>
      <w:rPr>
        <w:noProof/>
      </w:rPr>
    </w:sdtEndPr>
    <w:sdtContent>
      <w:p w:rsidR="00231DBD" w:rsidRDefault="00231DBD">
        <w:pPr>
          <w:pStyle w:val="Footer"/>
          <w:jc w:val="center"/>
        </w:pPr>
        <w:r>
          <w:fldChar w:fldCharType="begin"/>
        </w:r>
        <w:r>
          <w:instrText xml:space="preserve"> PAGE   \* MERGEFORMAT </w:instrText>
        </w:r>
        <w:r>
          <w:fldChar w:fldCharType="separate"/>
        </w:r>
        <w:r w:rsidR="00CE7640">
          <w:rPr>
            <w:noProof/>
          </w:rPr>
          <w:t>17</w:t>
        </w:r>
        <w:r>
          <w:rPr>
            <w:noProof/>
          </w:rPr>
          <w:fldChar w:fldCharType="end"/>
        </w:r>
      </w:p>
    </w:sdtContent>
  </w:sdt>
  <w:p w:rsidR="00DA5404" w:rsidRDefault="00DA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019" w:rsidRDefault="00731019">
      <w:r>
        <w:separator/>
      </w:r>
    </w:p>
  </w:footnote>
  <w:footnote w:type="continuationSeparator" w:id="0">
    <w:p w:rsidR="00731019" w:rsidRDefault="00731019">
      <w:r>
        <w:continuationSeparator/>
      </w:r>
    </w:p>
  </w:footnote>
  <w:footnote w:id="1">
    <w:p w:rsidR="007013BE" w:rsidRPr="00762D69" w:rsidRDefault="007013BE" w:rsidP="00762D69">
      <w:pPr>
        <w:pStyle w:val="FootnoteText"/>
        <w:ind w:left="284" w:hanging="284"/>
        <w:rPr>
          <w:sz w:val="22"/>
          <w:szCs w:val="22"/>
          <w:lang w:val="en-NZ"/>
        </w:rPr>
      </w:pPr>
      <w:r w:rsidRPr="00762D69">
        <w:rPr>
          <w:rStyle w:val="FootnoteReference"/>
          <w:sz w:val="22"/>
          <w:szCs w:val="22"/>
        </w:rPr>
        <w:footnoteRef/>
      </w:r>
      <w:r w:rsidRPr="00762D69">
        <w:rPr>
          <w:sz w:val="22"/>
          <w:szCs w:val="22"/>
        </w:rPr>
        <w:t xml:space="preserve"> </w:t>
      </w:r>
      <w:r w:rsidR="00762D69">
        <w:rPr>
          <w:sz w:val="22"/>
          <w:szCs w:val="22"/>
        </w:rPr>
        <w:tab/>
      </w:r>
      <w:r w:rsidRPr="00762D69">
        <w:rPr>
          <w:sz w:val="22"/>
          <w:szCs w:val="22"/>
          <w:lang w:val="en-NZ"/>
        </w:rPr>
        <w:t xml:space="preserve">Details are here: </w:t>
      </w:r>
      <w:hyperlink r:id="rId1" w:history="1">
        <w:r w:rsidRPr="00762D69">
          <w:rPr>
            <w:rStyle w:val="Hyperlink"/>
            <w:sz w:val="22"/>
            <w:szCs w:val="22"/>
            <w:lang w:val="en-NZ"/>
          </w:rPr>
          <w:t>http://leiterreports.typepad.com/blog/2013/07/top-philosophy-journals-without-regard-to-area.html</w:t>
        </w:r>
      </w:hyperlink>
      <w:r w:rsidRPr="00762D69">
        <w:rPr>
          <w:sz w:val="22"/>
          <w:szCs w:val="22"/>
          <w:lang w:val="en-NZ"/>
        </w:rPr>
        <w:t xml:space="preserve"> </w:t>
      </w:r>
    </w:p>
  </w:footnote>
  <w:footnote w:id="2">
    <w:p w:rsidR="006A7FEF" w:rsidRPr="00762D69" w:rsidRDefault="006A7FEF" w:rsidP="00762D69">
      <w:pPr>
        <w:pStyle w:val="FootnoteText"/>
        <w:ind w:left="284" w:hanging="284"/>
        <w:rPr>
          <w:sz w:val="22"/>
          <w:szCs w:val="22"/>
          <w:lang w:val="en-NZ"/>
        </w:rPr>
      </w:pPr>
      <w:r w:rsidRPr="00762D69">
        <w:rPr>
          <w:rStyle w:val="FootnoteReference"/>
          <w:sz w:val="22"/>
          <w:szCs w:val="22"/>
        </w:rPr>
        <w:footnoteRef/>
      </w:r>
      <w:r w:rsidRPr="00762D69">
        <w:rPr>
          <w:sz w:val="22"/>
          <w:szCs w:val="22"/>
        </w:rPr>
        <w:t xml:space="preserve"> </w:t>
      </w:r>
      <w:r w:rsidR="00762D69">
        <w:rPr>
          <w:sz w:val="22"/>
          <w:szCs w:val="22"/>
        </w:rPr>
        <w:tab/>
      </w:r>
      <w:r w:rsidRPr="00762D69">
        <w:rPr>
          <w:sz w:val="22"/>
          <w:szCs w:val="22"/>
          <w:lang w:val="en-NZ"/>
        </w:rPr>
        <w:t>For economics, about half of the articles have more author-affiliations than authors, but even for that sub-sample the average number of author-affiliations is just 0.4 higher than the average number of authors.</w:t>
      </w:r>
    </w:p>
  </w:footnote>
  <w:footnote w:id="3">
    <w:p w:rsidR="00A64284" w:rsidRPr="00762D69" w:rsidRDefault="00A64284" w:rsidP="00762D69">
      <w:pPr>
        <w:pStyle w:val="FootnoteText"/>
        <w:ind w:left="284" w:hanging="284"/>
        <w:jc w:val="both"/>
        <w:rPr>
          <w:sz w:val="22"/>
          <w:szCs w:val="22"/>
          <w:lang w:val="en-NZ"/>
        </w:rPr>
      </w:pPr>
      <w:r w:rsidRPr="00762D69">
        <w:rPr>
          <w:rStyle w:val="FootnoteReference"/>
          <w:sz w:val="22"/>
          <w:szCs w:val="22"/>
        </w:rPr>
        <w:footnoteRef/>
      </w:r>
      <w:r w:rsidRPr="00762D69">
        <w:rPr>
          <w:sz w:val="22"/>
          <w:szCs w:val="22"/>
        </w:rPr>
        <w:t xml:space="preserve"> </w:t>
      </w:r>
      <w:r w:rsidR="00762D69">
        <w:rPr>
          <w:sz w:val="22"/>
          <w:szCs w:val="22"/>
        </w:rPr>
        <w:tab/>
      </w:r>
      <w:r w:rsidRPr="00762D69">
        <w:rPr>
          <w:sz w:val="22"/>
          <w:szCs w:val="22"/>
          <w:lang w:val="en-NZ"/>
        </w:rPr>
        <w:t>To the extent that other disciplines have institutions like the NBER, the gap between them and economics, in terms of the average citation shares for the top ZIP codes, is understated since no adjustment is made for other disciplines in the way that the NBER adjustment is made for economics.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5544"/>
    <w:multiLevelType w:val="hybridMultilevel"/>
    <w:tmpl w:val="A41064C8"/>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2513"/>
    <w:multiLevelType w:val="hybridMultilevel"/>
    <w:tmpl w:val="7756B386"/>
    <w:lvl w:ilvl="0" w:tplc="B8ECB5DE">
      <w:start w:val="9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E20F3"/>
    <w:multiLevelType w:val="hybridMultilevel"/>
    <w:tmpl w:val="8982B5AE"/>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86F97"/>
    <w:multiLevelType w:val="hybridMultilevel"/>
    <w:tmpl w:val="7756B386"/>
    <w:lvl w:ilvl="0" w:tplc="B8ECB5DE">
      <w:start w:val="9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56702"/>
    <w:multiLevelType w:val="hybridMultilevel"/>
    <w:tmpl w:val="5A142150"/>
    <w:lvl w:ilvl="0" w:tplc="E9224F48">
      <w:start w:val="1"/>
      <w:numFmt w:val="decimal"/>
      <w:lvlText w:val="(%1)"/>
      <w:lvlJc w:val="left"/>
      <w:pPr>
        <w:ind w:left="720"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0128CD"/>
    <w:multiLevelType w:val="singleLevel"/>
    <w:tmpl w:val="D7F2FCAE"/>
    <w:lvl w:ilvl="0">
      <w:start w:val="1"/>
      <w:numFmt w:val="decimal"/>
      <w:lvlText w:val="%1."/>
      <w:lvlJc w:val="left"/>
      <w:pPr>
        <w:tabs>
          <w:tab w:val="num" w:pos="720"/>
        </w:tabs>
        <w:ind w:left="720" w:hanging="360"/>
      </w:pPr>
      <w:rPr>
        <w:rFonts w:hint="default"/>
      </w:rPr>
    </w:lvl>
  </w:abstractNum>
  <w:abstractNum w:abstractNumId="10" w15:restartNumberingAfterBreak="0">
    <w:nsid w:val="24103F23"/>
    <w:multiLevelType w:val="hybridMultilevel"/>
    <w:tmpl w:val="E5BCF99C"/>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74A5"/>
    <w:multiLevelType w:val="hybridMultilevel"/>
    <w:tmpl w:val="1F020BDA"/>
    <w:lvl w:ilvl="0" w:tplc="A65CBD1A">
      <w:numFmt w:val="bullet"/>
      <w:lvlText w:val="-"/>
      <w:lvlJc w:val="left"/>
      <w:pPr>
        <w:ind w:left="757" w:hanging="360"/>
      </w:pPr>
      <w:rPr>
        <w:rFonts w:ascii="Times New Roman" w:eastAsia="Times New Roman" w:hAnsi="Times New Roman" w:cs="Times New Roman"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2" w15:restartNumberingAfterBreak="0">
    <w:nsid w:val="297349B1"/>
    <w:multiLevelType w:val="hybridMultilevel"/>
    <w:tmpl w:val="318E5ED4"/>
    <w:lvl w:ilvl="0" w:tplc="8806F23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0387B"/>
    <w:multiLevelType w:val="hybridMultilevel"/>
    <w:tmpl w:val="B02C105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C36BF"/>
    <w:multiLevelType w:val="hybridMultilevel"/>
    <w:tmpl w:val="5A142150"/>
    <w:lvl w:ilvl="0" w:tplc="E9224F48">
      <w:start w:val="1"/>
      <w:numFmt w:val="decimal"/>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D944F2"/>
    <w:multiLevelType w:val="hybridMultilevel"/>
    <w:tmpl w:val="8982B5AE"/>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D323A"/>
    <w:multiLevelType w:val="hybridMultilevel"/>
    <w:tmpl w:val="8982B5AE"/>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1E5FDA"/>
    <w:multiLevelType w:val="hybridMultilevel"/>
    <w:tmpl w:val="E5BCF99C"/>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7717F"/>
    <w:multiLevelType w:val="hybridMultilevel"/>
    <w:tmpl w:val="40B84E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04ADE"/>
    <w:multiLevelType w:val="hybridMultilevel"/>
    <w:tmpl w:val="E5BCF99C"/>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E3124"/>
    <w:multiLevelType w:val="hybridMultilevel"/>
    <w:tmpl w:val="8982B5AE"/>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D2F01"/>
    <w:multiLevelType w:val="hybridMultilevel"/>
    <w:tmpl w:val="EBEED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01E41"/>
    <w:multiLevelType w:val="hybridMultilevel"/>
    <w:tmpl w:val="9A0A1E5C"/>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F202C"/>
    <w:multiLevelType w:val="hybridMultilevel"/>
    <w:tmpl w:val="E5BCF99C"/>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A340B"/>
    <w:multiLevelType w:val="hybridMultilevel"/>
    <w:tmpl w:val="89423C84"/>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278BD"/>
    <w:multiLevelType w:val="hybridMultilevel"/>
    <w:tmpl w:val="90463B20"/>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87378"/>
    <w:multiLevelType w:val="hybridMultilevel"/>
    <w:tmpl w:val="7756B386"/>
    <w:lvl w:ilvl="0" w:tplc="B8ECB5DE">
      <w:start w:val="9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24"/>
  </w:num>
  <w:num w:numId="5">
    <w:abstractNumId w:val="7"/>
  </w:num>
  <w:num w:numId="6">
    <w:abstractNumId w:val="0"/>
  </w:num>
  <w:num w:numId="7">
    <w:abstractNumId w:val="20"/>
  </w:num>
  <w:num w:numId="8">
    <w:abstractNumId w:val="4"/>
  </w:num>
  <w:num w:numId="9">
    <w:abstractNumId w:val="31"/>
  </w:num>
  <w:num w:numId="10">
    <w:abstractNumId w:val="23"/>
  </w:num>
  <w:num w:numId="11">
    <w:abstractNumId w:val="28"/>
  </w:num>
  <w:num w:numId="12">
    <w:abstractNumId w:val="17"/>
  </w:num>
  <w:num w:numId="13">
    <w:abstractNumId w:val="27"/>
  </w:num>
  <w:num w:numId="14">
    <w:abstractNumId w:val="19"/>
  </w:num>
  <w:num w:numId="15">
    <w:abstractNumId w:val="26"/>
  </w:num>
  <w:num w:numId="16">
    <w:abstractNumId w:val="29"/>
  </w:num>
  <w:num w:numId="17">
    <w:abstractNumId w:val="10"/>
  </w:num>
  <w:num w:numId="18">
    <w:abstractNumId w:val="1"/>
  </w:num>
  <w:num w:numId="19">
    <w:abstractNumId w:val="33"/>
  </w:num>
  <w:num w:numId="20">
    <w:abstractNumId w:val="32"/>
  </w:num>
  <w:num w:numId="21">
    <w:abstractNumId w:val="25"/>
  </w:num>
  <w:num w:numId="22">
    <w:abstractNumId w:val="21"/>
  </w:num>
  <w:num w:numId="23">
    <w:abstractNumId w:val="18"/>
  </w:num>
  <w:num w:numId="24">
    <w:abstractNumId w:val="30"/>
  </w:num>
  <w:num w:numId="25">
    <w:abstractNumId w:val="3"/>
  </w:num>
  <w:num w:numId="26">
    <w:abstractNumId w:val="6"/>
  </w:num>
  <w:num w:numId="27">
    <w:abstractNumId w:val="16"/>
  </w:num>
  <w:num w:numId="28">
    <w:abstractNumId w:val="2"/>
  </w:num>
  <w:num w:numId="29">
    <w:abstractNumId w:val="34"/>
  </w:num>
  <w:num w:numId="30">
    <w:abstractNumId w:val="5"/>
  </w:num>
  <w:num w:numId="31">
    <w:abstractNumId w:val="12"/>
  </w:num>
  <w:num w:numId="32">
    <w:abstractNumId w:val="14"/>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4B"/>
    <w:rsid w:val="000013FE"/>
    <w:rsid w:val="00001E67"/>
    <w:rsid w:val="00003180"/>
    <w:rsid w:val="00004080"/>
    <w:rsid w:val="00004650"/>
    <w:rsid w:val="00005916"/>
    <w:rsid w:val="00006B53"/>
    <w:rsid w:val="00007912"/>
    <w:rsid w:val="000108E2"/>
    <w:rsid w:val="00012D74"/>
    <w:rsid w:val="00012EA1"/>
    <w:rsid w:val="00012EFD"/>
    <w:rsid w:val="00013363"/>
    <w:rsid w:val="00015365"/>
    <w:rsid w:val="000170AF"/>
    <w:rsid w:val="000173DC"/>
    <w:rsid w:val="00017408"/>
    <w:rsid w:val="00017C4D"/>
    <w:rsid w:val="00020EA5"/>
    <w:rsid w:val="0002152B"/>
    <w:rsid w:val="00021551"/>
    <w:rsid w:val="00022DAF"/>
    <w:rsid w:val="00022DF2"/>
    <w:rsid w:val="00023E11"/>
    <w:rsid w:val="000243C6"/>
    <w:rsid w:val="000258D8"/>
    <w:rsid w:val="00031231"/>
    <w:rsid w:val="00032D19"/>
    <w:rsid w:val="00032D62"/>
    <w:rsid w:val="000360F3"/>
    <w:rsid w:val="00036567"/>
    <w:rsid w:val="0003776E"/>
    <w:rsid w:val="00040E86"/>
    <w:rsid w:val="000411D4"/>
    <w:rsid w:val="00043D61"/>
    <w:rsid w:val="00043DE9"/>
    <w:rsid w:val="00044406"/>
    <w:rsid w:val="00045968"/>
    <w:rsid w:val="000459BE"/>
    <w:rsid w:val="0004652C"/>
    <w:rsid w:val="00046FF1"/>
    <w:rsid w:val="00047E1D"/>
    <w:rsid w:val="00050F05"/>
    <w:rsid w:val="000514B9"/>
    <w:rsid w:val="000534EC"/>
    <w:rsid w:val="00055F93"/>
    <w:rsid w:val="00056F08"/>
    <w:rsid w:val="00057C18"/>
    <w:rsid w:val="00060384"/>
    <w:rsid w:val="00061489"/>
    <w:rsid w:val="00062A98"/>
    <w:rsid w:val="000631EF"/>
    <w:rsid w:val="00063689"/>
    <w:rsid w:val="000636DE"/>
    <w:rsid w:val="00063891"/>
    <w:rsid w:val="00063C47"/>
    <w:rsid w:val="000678B5"/>
    <w:rsid w:val="000719E6"/>
    <w:rsid w:val="00077D19"/>
    <w:rsid w:val="00077D2E"/>
    <w:rsid w:val="00081D22"/>
    <w:rsid w:val="00082D9A"/>
    <w:rsid w:val="000831C0"/>
    <w:rsid w:val="000928EF"/>
    <w:rsid w:val="00092D65"/>
    <w:rsid w:val="00097BE3"/>
    <w:rsid w:val="000A1257"/>
    <w:rsid w:val="000A3ADE"/>
    <w:rsid w:val="000A3BF2"/>
    <w:rsid w:val="000A587F"/>
    <w:rsid w:val="000B22CC"/>
    <w:rsid w:val="000B3BE7"/>
    <w:rsid w:val="000C0D4D"/>
    <w:rsid w:val="000C0F06"/>
    <w:rsid w:val="000C34E0"/>
    <w:rsid w:val="000C4022"/>
    <w:rsid w:val="000C4859"/>
    <w:rsid w:val="000C4E57"/>
    <w:rsid w:val="000C5E54"/>
    <w:rsid w:val="000C6531"/>
    <w:rsid w:val="000C6616"/>
    <w:rsid w:val="000D1EC6"/>
    <w:rsid w:val="000D41D1"/>
    <w:rsid w:val="000D4397"/>
    <w:rsid w:val="000D44A5"/>
    <w:rsid w:val="000D49E7"/>
    <w:rsid w:val="000D7A5B"/>
    <w:rsid w:val="000E4992"/>
    <w:rsid w:val="000E64DF"/>
    <w:rsid w:val="000F0CCB"/>
    <w:rsid w:val="000F4D57"/>
    <w:rsid w:val="000F4D5B"/>
    <w:rsid w:val="000F5BB0"/>
    <w:rsid w:val="001005CD"/>
    <w:rsid w:val="00105063"/>
    <w:rsid w:val="001060A4"/>
    <w:rsid w:val="001060C0"/>
    <w:rsid w:val="00106C63"/>
    <w:rsid w:val="00110BC9"/>
    <w:rsid w:val="00110DA1"/>
    <w:rsid w:val="00110DE3"/>
    <w:rsid w:val="001119D2"/>
    <w:rsid w:val="00115DC5"/>
    <w:rsid w:val="0011706A"/>
    <w:rsid w:val="00121F51"/>
    <w:rsid w:val="00121FB6"/>
    <w:rsid w:val="00125C53"/>
    <w:rsid w:val="00130C30"/>
    <w:rsid w:val="001315C2"/>
    <w:rsid w:val="00134752"/>
    <w:rsid w:val="00140640"/>
    <w:rsid w:val="00142513"/>
    <w:rsid w:val="00142DE2"/>
    <w:rsid w:val="00142F8B"/>
    <w:rsid w:val="00143423"/>
    <w:rsid w:val="0014463E"/>
    <w:rsid w:val="0014465B"/>
    <w:rsid w:val="001460D6"/>
    <w:rsid w:val="001475CC"/>
    <w:rsid w:val="00151353"/>
    <w:rsid w:val="00151911"/>
    <w:rsid w:val="00151DF6"/>
    <w:rsid w:val="0015252D"/>
    <w:rsid w:val="001528EE"/>
    <w:rsid w:val="001531D1"/>
    <w:rsid w:val="001548BE"/>
    <w:rsid w:val="001549C0"/>
    <w:rsid w:val="00154C98"/>
    <w:rsid w:val="00155DB3"/>
    <w:rsid w:val="00161BB5"/>
    <w:rsid w:val="0016214E"/>
    <w:rsid w:val="00164B1D"/>
    <w:rsid w:val="00166819"/>
    <w:rsid w:val="00170BC3"/>
    <w:rsid w:val="00170EB9"/>
    <w:rsid w:val="0017148B"/>
    <w:rsid w:val="001729B5"/>
    <w:rsid w:val="001739C9"/>
    <w:rsid w:val="00173D01"/>
    <w:rsid w:val="00174236"/>
    <w:rsid w:val="00174E91"/>
    <w:rsid w:val="0017738C"/>
    <w:rsid w:val="00180F13"/>
    <w:rsid w:val="001818C8"/>
    <w:rsid w:val="00181958"/>
    <w:rsid w:val="00182833"/>
    <w:rsid w:val="00182ADD"/>
    <w:rsid w:val="00184A08"/>
    <w:rsid w:val="0018667E"/>
    <w:rsid w:val="00190D38"/>
    <w:rsid w:val="00192536"/>
    <w:rsid w:val="001925E9"/>
    <w:rsid w:val="00192F2A"/>
    <w:rsid w:val="00193FB8"/>
    <w:rsid w:val="001A1577"/>
    <w:rsid w:val="001A1A56"/>
    <w:rsid w:val="001A2006"/>
    <w:rsid w:val="001A4B7F"/>
    <w:rsid w:val="001B15C3"/>
    <w:rsid w:val="001B1B6D"/>
    <w:rsid w:val="001B2927"/>
    <w:rsid w:val="001B353F"/>
    <w:rsid w:val="001B4077"/>
    <w:rsid w:val="001B738E"/>
    <w:rsid w:val="001B7542"/>
    <w:rsid w:val="001B7C16"/>
    <w:rsid w:val="001C070C"/>
    <w:rsid w:val="001C0D94"/>
    <w:rsid w:val="001C2A13"/>
    <w:rsid w:val="001C2F3E"/>
    <w:rsid w:val="001C3395"/>
    <w:rsid w:val="001C3FD3"/>
    <w:rsid w:val="001C51EE"/>
    <w:rsid w:val="001C68CF"/>
    <w:rsid w:val="001D02E1"/>
    <w:rsid w:val="001D1867"/>
    <w:rsid w:val="001D1F21"/>
    <w:rsid w:val="001D5528"/>
    <w:rsid w:val="001D6259"/>
    <w:rsid w:val="001D67BD"/>
    <w:rsid w:val="001E30D6"/>
    <w:rsid w:val="001E3CA6"/>
    <w:rsid w:val="001E68D9"/>
    <w:rsid w:val="001E6BF1"/>
    <w:rsid w:val="001F015A"/>
    <w:rsid w:val="001F0368"/>
    <w:rsid w:val="001F1765"/>
    <w:rsid w:val="001F227D"/>
    <w:rsid w:val="001F29BC"/>
    <w:rsid w:val="001F3E1F"/>
    <w:rsid w:val="001F56E9"/>
    <w:rsid w:val="001F5CBB"/>
    <w:rsid w:val="001F69C3"/>
    <w:rsid w:val="001F6B18"/>
    <w:rsid w:val="001F7776"/>
    <w:rsid w:val="00206523"/>
    <w:rsid w:val="00210825"/>
    <w:rsid w:val="00210C8E"/>
    <w:rsid w:val="00213B34"/>
    <w:rsid w:val="00216218"/>
    <w:rsid w:val="002165D9"/>
    <w:rsid w:val="0021710B"/>
    <w:rsid w:val="0021740E"/>
    <w:rsid w:val="002231A3"/>
    <w:rsid w:val="00223CDE"/>
    <w:rsid w:val="00224CA3"/>
    <w:rsid w:val="00225808"/>
    <w:rsid w:val="00226D8D"/>
    <w:rsid w:val="00227791"/>
    <w:rsid w:val="00227B36"/>
    <w:rsid w:val="00230D20"/>
    <w:rsid w:val="00231DBD"/>
    <w:rsid w:val="00231EDF"/>
    <w:rsid w:val="002369D8"/>
    <w:rsid w:val="002374B0"/>
    <w:rsid w:val="002410BF"/>
    <w:rsid w:val="00242C76"/>
    <w:rsid w:val="0024330D"/>
    <w:rsid w:val="00245A73"/>
    <w:rsid w:val="00247C81"/>
    <w:rsid w:val="00247FC0"/>
    <w:rsid w:val="002501C1"/>
    <w:rsid w:val="002506D7"/>
    <w:rsid w:val="00252C10"/>
    <w:rsid w:val="00253CE8"/>
    <w:rsid w:val="00254CEE"/>
    <w:rsid w:val="0025578D"/>
    <w:rsid w:val="00255BCF"/>
    <w:rsid w:val="00256A10"/>
    <w:rsid w:val="00256A92"/>
    <w:rsid w:val="002603C8"/>
    <w:rsid w:val="00262958"/>
    <w:rsid w:val="00263408"/>
    <w:rsid w:val="00264FD7"/>
    <w:rsid w:val="002670B7"/>
    <w:rsid w:val="002672CF"/>
    <w:rsid w:val="00267ECE"/>
    <w:rsid w:val="00271525"/>
    <w:rsid w:val="002735B1"/>
    <w:rsid w:val="00275158"/>
    <w:rsid w:val="00276146"/>
    <w:rsid w:val="002813E6"/>
    <w:rsid w:val="002814F8"/>
    <w:rsid w:val="0028166C"/>
    <w:rsid w:val="0028173B"/>
    <w:rsid w:val="002834F5"/>
    <w:rsid w:val="002856AC"/>
    <w:rsid w:val="00286A06"/>
    <w:rsid w:val="00286EFD"/>
    <w:rsid w:val="00287BBF"/>
    <w:rsid w:val="0029033E"/>
    <w:rsid w:val="002950D5"/>
    <w:rsid w:val="002969AE"/>
    <w:rsid w:val="002977DC"/>
    <w:rsid w:val="002A1666"/>
    <w:rsid w:val="002A1751"/>
    <w:rsid w:val="002A49C4"/>
    <w:rsid w:val="002A6163"/>
    <w:rsid w:val="002A65EB"/>
    <w:rsid w:val="002A6BC1"/>
    <w:rsid w:val="002A70D9"/>
    <w:rsid w:val="002A7494"/>
    <w:rsid w:val="002A7C68"/>
    <w:rsid w:val="002B25E3"/>
    <w:rsid w:val="002B27EA"/>
    <w:rsid w:val="002B393A"/>
    <w:rsid w:val="002B4D53"/>
    <w:rsid w:val="002B575D"/>
    <w:rsid w:val="002B606F"/>
    <w:rsid w:val="002B7592"/>
    <w:rsid w:val="002B79DA"/>
    <w:rsid w:val="002C593B"/>
    <w:rsid w:val="002D0156"/>
    <w:rsid w:val="002D55DB"/>
    <w:rsid w:val="002E234D"/>
    <w:rsid w:val="002E3E5D"/>
    <w:rsid w:val="002E7F4C"/>
    <w:rsid w:val="002E7FE9"/>
    <w:rsid w:val="002F00EA"/>
    <w:rsid w:val="002F02C0"/>
    <w:rsid w:val="002F0664"/>
    <w:rsid w:val="002F31FB"/>
    <w:rsid w:val="002F632E"/>
    <w:rsid w:val="002F6629"/>
    <w:rsid w:val="002F6778"/>
    <w:rsid w:val="002F6B34"/>
    <w:rsid w:val="002F73F8"/>
    <w:rsid w:val="002F7633"/>
    <w:rsid w:val="003055CA"/>
    <w:rsid w:val="00307C32"/>
    <w:rsid w:val="00311545"/>
    <w:rsid w:val="00314532"/>
    <w:rsid w:val="00314927"/>
    <w:rsid w:val="00315CC2"/>
    <w:rsid w:val="00316D61"/>
    <w:rsid w:val="00321B5F"/>
    <w:rsid w:val="00322CFD"/>
    <w:rsid w:val="003244D0"/>
    <w:rsid w:val="00325021"/>
    <w:rsid w:val="00334D4F"/>
    <w:rsid w:val="003354FC"/>
    <w:rsid w:val="00337FB0"/>
    <w:rsid w:val="003403AC"/>
    <w:rsid w:val="00343F14"/>
    <w:rsid w:val="0034627F"/>
    <w:rsid w:val="003467B2"/>
    <w:rsid w:val="00346C5A"/>
    <w:rsid w:val="003521AA"/>
    <w:rsid w:val="0035341B"/>
    <w:rsid w:val="00353E92"/>
    <w:rsid w:val="00362437"/>
    <w:rsid w:val="00363686"/>
    <w:rsid w:val="00367E61"/>
    <w:rsid w:val="00373E2B"/>
    <w:rsid w:val="003740CC"/>
    <w:rsid w:val="00374946"/>
    <w:rsid w:val="00374A47"/>
    <w:rsid w:val="00380679"/>
    <w:rsid w:val="00382FA6"/>
    <w:rsid w:val="00385F38"/>
    <w:rsid w:val="0038799A"/>
    <w:rsid w:val="00390493"/>
    <w:rsid w:val="00391243"/>
    <w:rsid w:val="00391E0C"/>
    <w:rsid w:val="00392399"/>
    <w:rsid w:val="003929FD"/>
    <w:rsid w:val="003946F7"/>
    <w:rsid w:val="00396242"/>
    <w:rsid w:val="00397143"/>
    <w:rsid w:val="00397606"/>
    <w:rsid w:val="003A354B"/>
    <w:rsid w:val="003A3774"/>
    <w:rsid w:val="003A39A2"/>
    <w:rsid w:val="003A3BAF"/>
    <w:rsid w:val="003A41E5"/>
    <w:rsid w:val="003A42AC"/>
    <w:rsid w:val="003A4873"/>
    <w:rsid w:val="003A5B3A"/>
    <w:rsid w:val="003A6734"/>
    <w:rsid w:val="003A6AFF"/>
    <w:rsid w:val="003B2075"/>
    <w:rsid w:val="003B4A24"/>
    <w:rsid w:val="003B5E4D"/>
    <w:rsid w:val="003C01FB"/>
    <w:rsid w:val="003C02B0"/>
    <w:rsid w:val="003C0405"/>
    <w:rsid w:val="003C0CE6"/>
    <w:rsid w:val="003C3CF4"/>
    <w:rsid w:val="003C5D76"/>
    <w:rsid w:val="003C7963"/>
    <w:rsid w:val="003D0BEC"/>
    <w:rsid w:val="003D145E"/>
    <w:rsid w:val="003D22D8"/>
    <w:rsid w:val="003D4560"/>
    <w:rsid w:val="003D59B6"/>
    <w:rsid w:val="003D6194"/>
    <w:rsid w:val="003D672C"/>
    <w:rsid w:val="003D7015"/>
    <w:rsid w:val="003E140C"/>
    <w:rsid w:val="003E16E9"/>
    <w:rsid w:val="003F0BFB"/>
    <w:rsid w:val="003F0D37"/>
    <w:rsid w:val="003F30F6"/>
    <w:rsid w:val="003F4BD1"/>
    <w:rsid w:val="003F5128"/>
    <w:rsid w:val="003F572F"/>
    <w:rsid w:val="003F7622"/>
    <w:rsid w:val="004009DE"/>
    <w:rsid w:val="004019C1"/>
    <w:rsid w:val="004035D3"/>
    <w:rsid w:val="00403C44"/>
    <w:rsid w:val="0040509A"/>
    <w:rsid w:val="00405BAB"/>
    <w:rsid w:val="00411A15"/>
    <w:rsid w:val="0041233B"/>
    <w:rsid w:val="00413C06"/>
    <w:rsid w:val="0041514B"/>
    <w:rsid w:val="00420041"/>
    <w:rsid w:val="00423B4B"/>
    <w:rsid w:val="00425D4A"/>
    <w:rsid w:val="0042731A"/>
    <w:rsid w:val="00427498"/>
    <w:rsid w:val="0043077E"/>
    <w:rsid w:val="0043259C"/>
    <w:rsid w:val="00435155"/>
    <w:rsid w:val="00437411"/>
    <w:rsid w:val="00437F5C"/>
    <w:rsid w:val="00440D82"/>
    <w:rsid w:val="00442B72"/>
    <w:rsid w:val="004434F3"/>
    <w:rsid w:val="00444AB0"/>
    <w:rsid w:val="00444FB3"/>
    <w:rsid w:val="00446D6E"/>
    <w:rsid w:val="00451BCA"/>
    <w:rsid w:val="00451E4C"/>
    <w:rsid w:val="004571D8"/>
    <w:rsid w:val="0046031B"/>
    <w:rsid w:val="00461571"/>
    <w:rsid w:val="00465408"/>
    <w:rsid w:val="004661AC"/>
    <w:rsid w:val="004730F3"/>
    <w:rsid w:val="004731A4"/>
    <w:rsid w:val="004779DE"/>
    <w:rsid w:val="00477A33"/>
    <w:rsid w:val="00480CB1"/>
    <w:rsid w:val="004828EA"/>
    <w:rsid w:val="004830C2"/>
    <w:rsid w:val="0048398D"/>
    <w:rsid w:val="00483EB7"/>
    <w:rsid w:val="0048403A"/>
    <w:rsid w:val="00486E40"/>
    <w:rsid w:val="004875A5"/>
    <w:rsid w:val="00487B6D"/>
    <w:rsid w:val="004903D9"/>
    <w:rsid w:val="00492211"/>
    <w:rsid w:val="004939DF"/>
    <w:rsid w:val="00494064"/>
    <w:rsid w:val="00496181"/>
    <w:rsid w:val="004A01A3"/>
    <w:rsid w:val="004A0793"/>
    <w:rsid w:val="004A2271"/>
    <w:rsid w:val="004A47B7"/>
    <w:rsid w:val="004B075E"/>
    <w:rsid w:val="004B1050"/>
    <w:rsid w:val="004B1652"/>
    <w:rsid w:val="004B403C"/>
    <w:rsid w:val="004B529D"/>
    <w:rsid w:val="004B5AE3"/>
    <w:rsid w:val="004B6E58"/>
    <w:rsid w:val="004C188E"/>
    <w:rsid w:val="004C1B79"/>
    <w:rsid w:val="004C4279"/>
    <w:rsid w:val="004C5677"/>
    <w:rsid w:val="004C685E"/>
    <w:rsid w:val="004C6C65"/>
    <w:rsid w:val="004D02EB"/>
    <w:rsid w:val="004D0920"/>
    <w:rsid w:val="004D45D3"/>
    <w:rsid w:val="004D5F1E"/>
    <w:rsid w:val="004E08E7"/>
    <w:rsid w:val="004E34FC"/>
    <w:rsid w:val="004E5BD8"/>
    <w:rsid w:val="004F0F07"/>
    <w:rsid w:val="004F1AB6"/>
    <w:rsid w:val="004F50FB"/>
    <w:rsid w:val="004F5988"/>
    <w:rsid w:val="004F759B"/>
    <w:rsid w:val="00501832"/>
    <w:rsid w:val="005037FB"/>
    <w:rsid w:val="00503972"/>
    <w:rsid w:val="005071A9"/>
    <w:rsid w:val="00507451"/>
    <w:rsid w:val="005155CE"/>
    <w:rsid w:val="00515FF9"/>
    <w:rsid w:val="00520122"/>
    <w:rsid w:val="00520B55"/>
    <w:rsid w:val="00521300"/>
    <w:rsid w:val="00524934"/>
    <w:rsid w:val="00524C63"/>
    <w:rsid w:val="00525D5B"/>
    <w:rsid w:val="00526C64"/>
    <w:rsid w:val="005275D8"/>
    <w:rsid w:val="0053097A"/>
    <w:rsid w:val="005325AA"/>
    <w:rsid w:val="005332F7"/>
    <w:rsid w:val="00534CA8"/>
    <w:rsid w:val="00535973"/>
    <w:rsid w:val="0053677E"/>
    <w:rsid w:val="00537785"/>
    <w:rsid w:val="00537B37"/>
    <w:rsid w:val="0054018A"/>
    <w:rsid w:val="00541486"/>
    <w:rsid w:val="005422FB"/>
    <w:rsid w:val="00543595"/>
    <w:rsid w:val="005445B5"/>
    <w:rsid w:val="00544B8E"/>
    <w:rsid w:val="00544E08"/>
    <w:rsid w:val="00545060"/>
    <w:rsid w:val="005466E7"/>
    <w:rsid w:val="0054685A"/>
    <w:rsid w:val="00547852"/>
    <w:rsid w:val="005510B7"/>
    <w:rsid w:val="0055310E"/>
    <w:rsid w:val="00554C74"/>
    <w:rsid w:val="00556779"/>
    <w:rsid w:val="0056448A"/>
    <w:rsid w:val="005646F5"/>
    <w:rsid w:val="00564D48"/>
    <w:rsid w:val="005675F2"/>
    <w:rsid w:val="00567735"/>
    <w:rsid w:val="00567D6C"/>
    <w:rsid w:val="00570A3C"/>
    <w:rsid w:val="00571119"/>
    <w:rsid w:val="00571835"/>
    <w:rsid w:val="00572141"/>
    <w:rsid w:val="0057275E"/>
    <w:rsid w:val="00572904"/>
    <w:rsid w:val="0057708B"/>
    <w:rsid w:val="005771AC"/>
    <w:rsid w:val="00580D30"/>
    <w:rsid w:val="00581D2B"/>
    <w:rsid w:val="00584428"/>
    <w:rsid w:val="005851E3"/>
    <w:rsid w:val="00585457"/>
    <w:rsid w:val="0058662E"/>
    <w:rsid w:val="005876C8"/>
    <w:rsid w:val="00590777"/>
    <w:rsid w:val="00590812"/>
    <w:rsid w:val="00590A76"/>
    <w:rsid w:val="00590AE3"/>
    <w:rsid w:val="005930A1"/>
    <w:rsid w:val="00594488"/>
    <w:rsid w:val="0059536A"/>
    <w:rsid w:val="005963A3"/>
    <w:rsid w:val="005A14CB"/>
    <w:rsid w:val="005A16DD"/>
    <w:rsid w:val="005A1F4A"/>
    <w:rsid w:val="005A262F"/>
    <w:rsid w:val="005A4EEE"/>
    <w:rsid w:val="005A77C9"/>
    <w:rsid w:val="005B0FA0"/>
    <w:rsid w:val="005B1491"/>
    <w:rsid w:val="005B35C4"/>
    <w:rsid w:val="005B3C6F"/>
    <w:rsid w:val="005B43C8"/>
    <w:rsid w:val="005B51C2"/>
    <w:rsid w:val="005B5B61"/>
    <w:rsid w:val="005B6965"/>
    <w:rsid w:val="005B72B3"/>
    <w:rsid w:val="005C0F94"/>
    <w:rsid w:val="005C1FF6"/>
    <w:rsid w:val="005C4BCD"/>
    <w:rsid w:val="005C7329"/>
    <w:rsid w:val="005D2EF7"/>
    <w:rsid w:val="005D3053"/>
    <w:rsid w:val="005D5A6A"/>
    <w:rsid w:val="005D7609"/>
    <w:rsid w:val="005D79AE"/>
    <w:rsid w:val="005E0DDE"/>
    <w:rsid w:val="005E3255"/>
    <w:rsid w:val="005E57D9"/>
    <w:rsid w:val="005E587F"/>
    <w:rsid w:val="005E64B5"/>
    <w:rsid w:val="005F11D5"/>
    <w:rsid w:val="005F1241"/>
    <w:rsid w:val="005F3150"/>
    <w:rsid w:val="005F474A"/>
    <w:rsid w:val="005F75BA"/>
    <w:rsid w:val="00601B6A"/>
    <w:rsid w:val="006026A0"/>
    <w:rsid w:val="00604965"/>
    <w:rsid w:val="00604E72"/>
    <w:rsid w:val="00606AE0"/>
    <w:rsid w:val="00611D37"/>
    <w:rsid w:val="00611FCF"/>
    <w:rsid w:val="006124B3"/>
    <w:rsid w:val="00613888"/>
    <w:rsid w:val="00613CD2"/>
    <w:rsid w:val="00616582"/>
    <w:rsid w:val="00620EF1"/>
    <w:rsid w:val="0062276A"/>
    <w:rsid w:val="00623A61"/>
    <w:rsid w:val="00624D27"/>
    <w:rsid w:val="00624DCC"/>
    <w:rsid w:val="00627E43"/>
    <w:rsid w:val="006300B3"/>
    <w:rsid w:val="006330DA"/>
    <w:rsid w:val="00633721"/>
    <w:rsid w:val="0063374C"/>
    <w:rsid w:val="00636925"/>
    <w:rsid w:val="00640016"/>
    <w:rsid w:val="006412E2"/>
    <w:rsid w:val="00642158"/>
    <w:rsid w:val="00644195"/>
    <w:rsid w:val="00644B2A"/>
    <w:rsid w:val="00644B8E"/>
    <w:rsid w:val="006459DD"/>
    <w:rsid w:val="00645F16"/>
    <w:rsid w:val="006470B0"/>
    <w:rsid w:val="006501CC"/>
    <w:rsid w:val="00650A66"/>
    <w:rsid w:val="00650C51"/>
    <w:rsid w:val="00650FF6"/>
    <w:rsid w:val="00652D69"/>
    <w:rsid w:val="00653013"/>
    <w:rsid w:val="0065480B"/>
    <w:rsid w:val="00654B1A"/>
    <w:rsid w:val="00655376"/>
    <w:rsid w:val="00656EF2"/>
    <w:rsid w:val="0066267A"/>
    <w:rsid w:val="00662B39"/>
    <w:rsid w:val="00662EAE"/>
    <w:rsid w:val="006630A3"/>
    <w:rsid w:val="00664C9D"/>
    <w:rsid w:val="0066797E"/>
    <w:rsid w:val="00670714"/>
    <w:rsid w:val="006723E0"/>
    <w:rsid w:val="00672881"/>
    <w:rsid w:val="006761F2"/>
    <w:rsid w:val="00676A44"/>
    <w:rsid w:val="006772E6"/>
    <w:rsid w:val="00680053"/>
    <w:rsid w:val="00682841"/>
    <w:rsid w:val="00684D0C"/>
    <w:rsid w:val="00685CB0"/>
    <w:rsid w:val="00686C85"/>
    <w:rsid w:val="0069283F"/>
    <w:rsid w:val="00693600"/>
    <w:rsid w:val="00693978"/>
    <w:rsid w:val="00693F79"/>
    <w:rsid w:val="00694509"/>
    <w:rsid w:val="006A027A"/>
    <w:rsid w:val="006A0415"/>
    <w:rsid w:val="006A0D8F"/>
    <w:rsid w:val="006A191B"/>
    <w:rsid w:val="006A2727"/>
    <w:rsid w:val="006A37FE"/>
    <w:rsid w:val="006A3F01"/>
    <w:rsid w:val="006A4744"/>
    <w:rsid w:val="006A4E0D"/>
    <w:rsid w:val="006A5B97"/>
    <w:rsid w:val="006A6A83"/>
    <w:rsid w:val="006A7FEF"/>
    <w:rsid w:val="006B0B82"/>
    <w:rsid w:val="006B1106"/>
    <w:rsid w:val="006B6132"/>
    <w:rsid w:val="006B69A6"/>
    <w:rsid w:val="006B6CE0"/>
    <w:rsid w:val="006B7EC7"/>
    <w:rsid w:val="006C1100"/>
    <w:rsid w:val="006C1DDD"/>
    <w:rsid w:val="006C23E9"/>
    <w:rsid w:val="006C4FCD"/>
    <w:rsid w:val="006C6D09"/>
    <w:rsid w:val="006D766E"/>
    <w:rsid w:val="006E14CC"/>
    <w:rsid w:val="006E1B46"/>
    <w:rsid w:val="006E1EBA"/>
    <w:rsid w:val="006E25F7"/>
    <w:rsid w:val="006E2F7B"/>
    <w:rsid w:val="006E3688"/>
    <w:rsid w:val="006E3710"/>
    <w:rsid w:val="006E6D86"/>
    <w:rsid w:val="006F1C01"/>
    <w:rsid w:val="006F2231"/>
    <w:rsid w:val="006F3453"/>
    <w:rsid w:val="006F445B"/>
    <w:rsid w:val="006F5A65"/>
    <w:rsid w:val="007000B8"/>
    <w:rsid w:val="00700EE9"/>
    <w:rsid w:val="0070106D"/>
    <w:rsid w:val="007013BE"/>
    <w:rsid w:val="007014E6"/>
    <w:rsid w:val="00703CD5"/>
    <w:rsid w:val="0070459B"/>
    <w:rsid w:val="00705D10"/>
    <w:rsid w:val="00707208"/>
    <w:rsid w:val="00710FAF"/>
    <w:rsid w:val="0071267A"/>
    <w:rsid w:val="00713E44"/>
    <w:rsid w:val="0071526C"/>
    <w:rsid w:val="00715630"/>
    <w:rsid w:val="00715650"/>
    <w:rsid w:val="00715A0A"/>
    <w:rsid w:val="0072062D"/>
    <w:rsid w:val="007211DB"/>
    <w:rsid w:val="0072199E"/>
    <w:rsid w:val="0072338A"/>
    <w:rsid w:val="007242F9"/>
    <w:rsid w:val="00725D1A"/>
    <w:rsid w:val="00725DC6"/>
    <w:rsid w:val="007266A9"/>
    <w:rsid w:val="007277F3"/>
    <w:rsid w:val="00727DD4"/>
    <w:rsid w:val="00727E82"/>
    <w:rsid w:val="00731019"/>
    <w:rsid w:val="0073189E"/>
    <w:rsid w:val="00735F86"/>
    <w:rsid w:val="007404E8"/>
    <w:rsid w:val="00740C8E"/>
    <w:rsid w:val="00741EBB"/>
    <w:rsid w:val="007425A7"/>
    <w:rsid w:val="00742812"/>
    <w:rsid w:val="00744B4A"/>
    <w:rsid w:val="007526E4"/>
    <w:rsid w:val="00753C09"/>
    <w:rsid w:val="00754D17"/>
    <w:rsid w:val="00756486"/>
    <w:rsid w:val="0075721A"/>
    <w:rsid w:val="007577D6"/>
    <w:rsid w:val="00760940"/>
    <w:rsid w:val="00760DF2"/>
    <w:rsid w:val="00762889"/>
    <w:rsid w:val="00762D69"/>
    <w:rsid w:val="00763886"/>
    <w:rsid w:val="0076753F"/>
    <w:rsid w:val="00767E93"/>
    <w:rsid w:val="00770E1F"/>
    <w:rsid w:val="0077101B"/>
    <w:rsid w:val="00774437"/>
    <w:rsid w:val="00775855"/>
    <w:rsid w:val="00777380"/>
    <w:rsid w:val="00780111"/>
    <w:rsid w:val="0078110A"/>
    <w:rsid w:val="007817DC"/>
    <w:rsid w:val="00782B50"/>
    <w:rsid w:val="00783311"/>
    <w:rsid w:val="00783515"/>
    <w:rsid w:val="007848D4"/>
    <w:rsid w:val="00785DB4"/>
    <w:rsid w:val="007872A5"/>
    <w:rsid w:val="00790AF5"/>
    <w:rsid w:val="00790AFE"/>
    <w:rsid w:val="007910D2"/>
    <w:rsid w:val="00792C47"/>
    <w:rsid w:val="00792CDF"/>
    <w:rsid w:val="00793439"/>
    <w:rsid w:val="00793DDB"/>
    <w:rsid w:val="00793F0D"/>
    <w:rsid w:val="007952C0"/>
    <w:rsid w:val="0079545A"/>
    <w:rsid w:val="007960ED"/>
    <w:rsid w:val="00796A3C"/>
    <w:rsid w:val="00797C2F"/>
    <w:rsid w:val="007A09CA"/>
    <w:rsid w:val="007A149D"/>
    <w:rsid w:val="007A4AA6"/>
    <w:rsid w:val="007A52A8"/>
    <w:rsid w:val="007A66CF"/>
    <w:rsid w:val="007B2C93"/>
    <w:rsid w:val="007B2CF7"/>
    <w:rsid w:val="007B347D"/>
    <w:rsid w:val="007B3A6D"/>
    <w:rsid w:val="007B48EE"/>
    <w:rsid w:val="007B6954"/>
    <w:rsid w:val="007B7D23"/>
    <w:rsid w:val="007B7FD1"/>
    <w:rsid w:val="007C175A"/>
    <w:rsid w:val="007C45D3"/>
    <w:rsid w:val="007C5727"/>
    <w:rsid w:val="007C5D97"/>
    <w:rsid w:val="007C6C33"/>
    <w:rsid w:val="007D3625"/>
    <w:rsid w:val="007D382D"/>
    <w:rsid w:val="007D3CA1"/>
    <w:rsid w:val="007D45BE"/>
    <w:rsid w:val="007D57F7"/>
    <w:rsid w:val="007D7C91"/>
    <w:rsid w:val="007E0FB7"/>
    <w:rsid w:val="007E20C7"/>
    <w:rsid w:val="007E3A1F"/>
    <w:rsid w:val="007E43D3"/>
    <w:rsid w:val="007E560F"/>
    <w:rsid w:val="007E5B70"/>
    <w:rsid w:val="007F0336"/>
    <w:rsid w:val="007F0632"/>
    <w:rsid w:val="007F11C7"/>
    <w:rsid w:val="007F28BF"/>
    <w:rsid w:val="007F35A1"/>
    <w:rsid w:val="007F3636"/>
    <w:rsid w:val="007F3A41"/>
    <w:rsid w:val="007F764F"/>
    <w:rsid w:val="0080085E"/>
    <w:rsid w:val="00803B0B"/>
    <w:rsid w:val="008054F8"/>
    <w:rsid w:val="0080619C"/>
    <w:rsid w:val="008100FB"/>
    <w:rsid w:val="00810278"/>
    <w:rsid w:val="00811810"/>
    <w:rsid w:val="00811814"/>
    <w:rsid w:val="00812303"/>
    <w:rsid w:val="0081591C"/>
    <w:rsid w:val="008174A7"/>
    <w:rsid w:val="008212ED"/>
    <w:rsid w:val="00821CBD"/>
    <w:rsid w:val="00821DA5"/>
    <w:rsid w:val="008221EB"/>
    <w:rsid w:val="008259E3"/>
    <w:rsid w:val="00827993"/>
    <w:rsid w:val="008300EC"/>
    <w:rsid w:val="008308B3"/>
    <w:rsid w:val="00831DA0"/>
    <w:rsid w:val="00832B32"/>
    <w:rsid w:val="00832E7C"/>
    <w:rsid w:val="008338DE"/>
    <w:rsid w:val="0083437A"/>
    <w:rsid w:val="008350CF"/>
    <w:rsid w:val="00836A68"/>
    <w:rsid w:val="00836BD7"/>
    <w:rsid w:val="00840C80"/>
    <w:rsid w:val="00842701"/>
    <w:rsid w:val="0084282E"/>
    <w:rsid w:val="008465E2"/>
    <w:rsid w:val="00846948"/>
    <w:rsid w:val="00847ADB"/>
    <w:rsid w:val="00852234"/>
    <w:rsid w:val="00854667"/>
    <w:rsid w:val="00854D76"/>
    <w:rsid w:val="008556A3"/>
    <w:rsid w:val="008577EA"/>
    <w:rsid w:val="00857DB7"/>
    <w:rsid w:val="00864DA3"/>
    <w:rsid w:val="00865E1E"/>
    <w:rsid w:val="008672B9"/>
    <w:rsid w:val="00871A2A"/>
    <w:rsid w:val="008723B3"/>
    <w:rsid w:val="00876A43"/>
    <w:rsid w:val="008770F8"/>
    <w:rsid w:val="008808A0"/>
    <w:rsid w:val="00880FC3"/>
    <w:rsid w:val="00881A80"/>
    <w:rsid w:val="00881BB1"/>
    <w:rsid w:val="00881FAD"/>
    <w:rsid w:val="00882392"/>
    <w:rsid w:val="00882B52"/>
    <w:rsid w:val="00884FC8"/>
    <w:rsid w:val="00887C79"/>
    <w:rsid w:val="008904C2"/>
    <w:rsid w:val="008909EA"/>
    <w:rsid w:val="00890BCA"/>
    <w:rsid w:val="00890E2D"/>
    <w:rsid w:val="00892BD5"/>
    <w:rsid w:val="0089732E"/>
    <w:rsid w:val="008A0509"/>
    <w:rsid w:val="008A0AA7"/>
    <w:rsid w:val="008A0C37"/>
    <w:rsid w:val="008A396E"/>
    <w:rsid w:val="008A4406"/>
    <w:rsid w:val="008A55DD"/>
    <w:rsid w:val="008A7A5E"/>
    <w:rsid w:val="008A7D28"/>
    <w:rsid w:val="008B1FAC"/>
    <w:rsid w:val="008B26BF"/>
    <w:rsid w:val="008B44C7"/>
    <w:rsid w:val="008B5598"/>
    <w:rsid w:val="008B56E9"/>
    <w:rsid w:val="008B70EE"/>
    <w:rsid w:val="008B79DB"/>
    <w:rsid w:val="008C1FA7"/>
    <w:rsid w:val="008C2BC5"/>
    <w:rsid w:val="008C342F"/>
    <w:rsid w:val="008C5146"/>
    <w:rsid w:val="008C575E"/>
    <w:rsid w:val="008C58C7"/>
    <w:rsid w:val="008C7478"/>
    <w:rsid w:val="008C7CB3"/>
    <w:rsid w:val="008C7DAA"/>
    <w:rsid w:val="008D0AD0"/>
    <w:rsid w:val="008D1498"/>
    <w:rsid w:val="008D1FE7"/>
    <w:rsid w:val="008D24B7"/>
    <w:rsid w:val="008D3363"/>
    <w:rsid w:val="008D3893"/>
    <w:rsid w:val="008D4915"/>
    <w:rsid w:val="008D6CFA"/>
    <w:rsid w:val="008E039C"/>
    <w:rsid w:val="008E0879"/>
    <w:rsid w:val="008E121A"/>
    <w:rsid w:val="008E1EEC"/>
    <w:rsid w:val="008E26E1"/>
    <w:rsid w:val="008E3288"/>
    <w:rsid w:val="008E4782"/>
    <w:rsid w:val="008E6332"/>
    <w:rsid w:val="008F0713"/>
    <w:rsid w:val="008F22C5"/>
    <w:rsid w:val="008F3ECB"/>
    <w:rsid w:val="008F6721"/>
    <w:rsid w:val="008F6D60"/>
    <w:rsid w:val="009025A7"/>
    <w:rsid w:val="009027D9"/>
    <w:rsid w:val="00903E75"/>
    <w:rsid w:val="009124EF"/>
    <w:rsid w:val="009128AC"/>
    <w:rsid w:val="00914CBC"/>
    <w:rsid w:val="00916D58"/>
    <w:rsid w:val="00917098"/>
    <w:rsid w:val="009171FB"/>
    <w:rsid w:val="00921360"/>
    <w:rsid w:val="009227F2"/>
    <w:rsid w:val="0092308A"/>
    <w:rsid w:val="009232CE"/>
    <w:rsid w:val="00923C95"/>
    <w:rsid w:val="0092662F"/>
    <w:rsid w:val="00927067"/>
    <w:rsid w:val="0093119A"/>
    <w:rsid w:val="009365CC"/>
    <w:rsid w:val="00942C4E"/>
    <w:rsid w:val="009443F4"/>
    <w:rsid w:val="009446C6"/>
    <w:rsid w:val="009446D2"/>
    <w:rsid w:val="00944DA8"/>
    <w:rsid w:val="00945B72"/>
    <w:rsid w:val="009463C9"/>
    <w:rsid w:val="00952819"/>
    <w:rsid w:val="00952D7B"/>
    <w:rsid w:val="0095343A"/>
    <w:rsid w:val="00953690"/>
    <w:rsid w:val="0095516D"/>
    <w:rsid w:val="00955391"/>
    <w:rsid w:val="00955F64"/>
    <w:rsid w:val="00961973"/>
    <w:rsid w:val="00961F49"/>
    <w:rsid w:val="00962730"/>
    <w:rsid w:val="00965D1C"/>
    <w:rsid w:val="0096609A"/>
    <w:rsid w:val="0096778F"/>
    <w:rsid w:val="00967AA7"/>
    <w:rsid w:val="00970E02"/>
    <w:rsid w:val="00971B12"/>
    <w:rsid w:val="0097572F"/>
    <w:rsid w:val="00976943"/>
    <w:rsid w:val="00977FCA"/>
    <w:rsid w:val="009802FA"/>
    <w:rsid w:val="00981473"/>
    <w:rsid w:val="009837AB"/>
    <w:rsid w:val="009850CF"/>
    <w:rsid w:val="0098582B"/>
    <w:rsid w:val="00986A5F"/>
    <w:rsid w:val="0098731C"/>
    <w:rsid w:val="009878FB"/>
    <w:rsid w:val="00990EF1"/>
    <w:rsid w:val="00991594"/>
    <w:rsid w:val="0099549F"/>
    <w:rsid w:val="00995FD2"/>
    <w:rsid w:val="0099687A"/>
    <w:rsid w:val="00997FCF"/>
    <w:rsid w:val="009A060E"/>
    <w:rsid w:val="009A207E"/>
    <w:rsid w:val="009A3619"/>
    <w:rsid w:val="009A3A43"/>
    <w:rsid w:val="009A53FE"/>
    <w:rsid w:val="009A6338"/>
    <w:rsid w:val="009B01D4"/>
    <w:rsid w:val="009B03E7"/>
    <w:rsid w:val="009B0ED3"/>
    <w:rsid w:val="009B26C8"/>
    <w:rsid w:val="009B3EE4"/>
    <w:rsid w:val="009B71FF"/>
    <w:rsid w:val="009C00E1"/>
    <w:rsid w:val="009C0EA7"/>
    <w:rsid w:val="009C2268"/>
    <w:rsid w:val="009C39D5"/>
    <w:rsid w:val="009C546E"/>
    <w:rsid w:val="009C5C35"/>
    <w:rsid w:val="009D1889"/>
    <w:rsid w:val="009D26E8"/>
    <w:rsid w:val="009D5DFD"/>
    <w:rsid w:val="009D6208"/>
    <w:rsid w:val="009D722D"/>
    <w:rsid w:val="009D7CF7"/>
    <w:rsid w:val="009E13F3"/>
    <w:rsid w:val="009E14CD"/>
    <w:rsid w:val="009E4455"/>
    <w:rsid w:val="009F054D"/>
    <w:rsid w:val="009F0700"/>
    <w:rsid w:val="009F09E8"/>
    <w:rsid w:val="009F17BB"/>
    <w:rsid w:val="009F5C90"/>
    <w:rsid w:val="009F5D71"/>
    <w:rsid w:val="00A018EA"/>
    <w:rsid w:val="00A0269D"/>
    <w:rsid w:val="00A123AA"/>
    <w:rsid w:val="00A13416"/>
    <w:rsid w:val="00A135AE"/>
    <w:rsid w:val="00A14B90"/>
    <w:rsid w:val="00A15784"/>
    <w:rsid w:val="00A16E27"/>
    <w:rsid w:val="00A2015B"/>
    <w:rsid w:val="00A2226D"/>
    <w:rsid w:val="00A2243D"/>
    <w:rsid w:val="00A22B52"/>
    <w:rsid w:val="00A24EE3"/>
    <w:rsid w:val="00A26F36"/>
    <w:rsid w:val="00A30310"/>
    <w:rsid w:val="00A30492"/>
    <w:rsid w:val="00A32496"/>
    <w:rsid w:val="00A331FF"/>
    <w:rsid w:val="00A3324B"/>
    <w:rsid w:val="00A341FA"/>
    <w:rsid w:val="00A34FB0"/>
    <w:rsid w:val="00A36054"/>
    <w:rsid w:val="00A425DB"/>
    <w:rsid w:val="00A432C5"/>
    <w:rsid w:val="00A43D5F"/>
    <w:rsid w:val="00A467D6"/>
    <w:rsid w:val="00A47DFD"/>
    <w:rsid w:val="00A5019C"/>
    <w:rsid w:val="00A517C1"/>
    <w:rsid w:val="00A5282C"/>
    <w:rsid w:val="00A549AE"/>
    <w:rsid w:val="00A549B6"/>
    <w:rsid w:val="00A55621"/>
    <w:rsid w:val="00A55C36"/>
    <w:rsid w:val="00A5641F"/>
    <w:rsid w:val="00A56942"/>
    <w:rsid w:val="00A56A37"/>
    <w:rsid w:val="00A60A3F"/>
    <w:rsid w:val="00A60C06"/>
    <w:rsid w:val="00A638B3"/>
    <w:rsid w:val="00A63AE1"/>
    <w:rsid w:val="00A64284"/>
    <w:rsid w:val="00A64621"/>
    <w:rsid w:val="00A669FE"/>
    <w:rsid w:val="00A72333"/>
    <w:rsid w:val="00A72573"/>
    <w:rsid w:val="00A730D8"/>
    <w:rsid w:val="00A7314C"/>
    <w:rsid w:val="00A75534"/>
    <w:rsid w:val="00A77464"/>
    <w:rsid w:val="00A80464"/>
    <w:rsid w:val="00A8158B"/>
    <w:rsid w:val="00A81F18"/>
    <w:rsid w:val="00A81F80"/>
    <w:rsid w:val="00A83A59"/>
    <w:rsid w:val="00A83C4F"/>
    <w:rsid w:val="00A850CC"/>
    <w:rsid w:val="00A853D9"/>
    <w:rsid w:val="00A8750C"/>
    <w:rsid w:val="00A90BC8"/>
    <w:rsid w:val="00A92037"/>
    <w:rsid w:val="00A922F8"/>
    <w:rsid w:val="00A95A48"/>
    <w:rsid w:val="00A95F59"/>
    <w:rsid w:val="00A9651C"/>
    <w:rsid w:val="00AA2591"/>
    <w:rsid w:val="00AA3DFC"/>
    <w:rsid w:val="00AA4263"/>
    <w:rsid w:val="00AA5968"/>
    <w:rsid w:val="00AA643D"/>
    <w:rsid w:val="00AA66EE"/>
    <w:rsid w:val="00AA7978"/>
    <w:rsid w:val="00AB3318"/>
    <w:rsid w:val="00AB3D13"/>
    <w:rsid w:val="00AB4B95"/>
    <w:rsid w:val="00AB64DD"/>
    <w:rsid w:val="00AC015A"/>
    <w:rsid w:val="00AC0293"/>
    <w:rsid w:val="00AC0EE1"/>
    <w:rsid w:val="00AC29B0"/>
    <w:rsid w:val="00AD1837"/>
    <w:rsid w:val="00AD2AF8"/>
    <w:rsid w:val="00AD3CB9"/>
    <w:rsid w:val="00AD512F"/>
    <w:rsid w:val="00AE021A"/>
    <w:rsid w:val="00AE1D40"/>
    <w:rsid w:val="00AE3B57"/>
    <w:rsid w:val="00AF4B74"/>
    <w:rsid w:val="00AF5CAC"/>
    <w:rsid w:val="00AF6456"/>
    <w:rsid w:val="00AF691D"/>
    <w:rsid w:val="00B024D7"/>
    <w:rsid w:val="00B03B56"/>
    <w:rsid w:val="00B132E3"/>
    <w:rsid w:val="00B137FE"/>
    <w:rsid w:val="00B1450C"/>
    <w:rsid w:val="00B1677B"/>
    <w:rsid w:val="00B20996"/>
    <w:rsid w:val="00B20CE3"/>
    <w:rsid w:val="00B210EE"/>
    <w:rsid w:val="00B21517"/>
    <w:rsid w:val="00B24134"/>
    <w:rsid w:val="00B31CCF"/>
    <w:rsid w:val="00B31FB6"/>
    <w:rsid w:val="00B327B3"/>
    <w:rsid w:val="00B35059"/>
    <w:rsid w:val="00B35B1E"/>
    <w:rsid w:val="00B4192D"/>
    <w:rsid w:val="00B42914"/>
    <w:rsid w:val="00B43470"/>
    <w:rsid w:val="00B437F4"/>
    <w:rsid w:val="00B45C06"/>
    <w:rsid w:val="00B4632B"/>
    <w:rsid w:val="00B46D53"/>
    <w:rsid w:val="00B50147"/>
    <w:rsid w:val="00B5092E"/>
    <w:rsid w:val="00B53C6A"/>
    <w:rsid w:val="00B56366"/>
    <w:rsid w:val="00B5737E"/>
    <w:rsid w:val="00B600F2"/>
    <w:rsid w:val="00B6018D"/>
    <w:rsid w:val="00B60AA7"/>
    <w:rsid w:val="00B64C1F"/>
    <w:rsid w:val="00B6568C"/>
    <w:rsid w:val="00B66F5C"/>
    <w:rsid w:val="00B66F88"/>
    <w:rsid w:val="00B725BE"/>
    <w:rsid w:val="00B72C76"/>
    <w:rsid w:val="00B77114"/>
    <w:rsid w:val="00B80D0F"/>
    <w:rsid w:val="00B82AEF"/>
    <w:rsid w:val="00B83344"/>
    <w:rsid w:val="00B835A5"/>
    <w:rsid w:val="00B84376"/>
    <w:rsid w:val="00B87A05"/>
    <w:rsid w:val="00B904E2"/>
    <w:rsid w:val="00B90D6E"/>
    <w:rsid w:val="00B90E8F"/>
    <w:rsid w:val="00B918CB"/>
    <w:rsid w:val="00B92D7C"/>
    <w:rsid w:val="00B92E68"/>
    <w:rsid w:val="00B93846"/>
    <w:rsid w:val="00B939DD"/>
    <w:rsid w:val="00B96361"/>
    <w:rsid w:val="00BA149B"/>
    <w:rsid w:val="00BA194E"/>
    <w:rsid w:val="00BA2583"/>
    <w:rsid w:val="00BA3C80"/>
    <w:rsid w:val="00BA45EA"/>
    <w:rsid w:val="00BA5B1A"/>
    <w:rsid w:val="00BA5E48"/>
    <w:rsid w:val="00BA77BE"/>
    <w:rsid w:val="00BA7964"/>
    <w:rsid w:val="00BB2827"/>
    <w:rsid w:val="00BB3D5D"/>
    <w:rsid w:val="00BB5F31"/>
    <w:rsid w:val="00BB6B5C"/>
    <w:rsid w:val="00BC0408"/>
    <w:rsid w:val="00BC2195"/>
    <w:rsid w:val="00BC2D8A"/>
    <w:rsid w:val="00BC4E0F"/>
    <w:rsid w:val="00BC4E46"/>
    <w:rsid w:val="00BC601B"/>
    <w:rsid w:val="00BD08CB"/>
    <w:rsid w:val="00BD2084"/>
    <w:rsid w:val="00BD35AF"/>
    <w:rsid w:val="00BD36F2"/>
    <w:rsid w:val="00BD74AF"/>
    <w:rsid w:val="00BE00D0"/>
    <w:rsid w:val="00BE12A9"/>
    <w:rsid w:val="00BE2FFF"/>
    <w:rsid w:val="00BE5313"/>
    <w:rsid w:val="00BE7712"/>
    <w:rsid w:val="00BF180C"/>
    <w:rsid w:val="00BF1818"/>
    <w:rsid w:val="00BF3991"/>
    <w:rsid w:val="00BF3A73"/>
    <w:rsid w:val="00BF3BE9"/>
    <w:rsid w:val="00C013F1"/>
    <w:rsid w:val="00C02AEF"/>
    <w:rsid w:val="00C030FE"/>
    <w:rsid w:val="00C047CE"/>
    <w:rsid w:val="00C04979"/>
    <w:rsid w:val="00C050B5"/>
    <w:rsid w:val="00C05BAB"/>
    <w:rsid w:val="00C0676A"/>
    <w:rsid w:val="00C0687E"/>
    <w:rsid w:val="00C06901"/>
    <w:rsid w:val="00C10762"/>
    <w:rsid w:val="00C1215B"/>
    <w:rsid w:val="00C14286"/>
    <w:rsid w:val="00C15AEA"/>
    <w:rsid w:val="00C16AB0"/>
    <w:rsid w:val="00C1716C"/>
    <w:rsid w:val="00C20C63"/>
    <w:rsid w:val="00C20FB3"/>
    <w:rsid w:val="00C2106A"/>
    <w:rsid w:val="00C21757"/>
    <w:rsid w:val="00C23206"/>
    <w:rsid w:val="00C238E2"/>
    <w:rsid w:val="00C239AE"/>
    <w:rsid w:val="00C24542"/>
    <w:rsid w:val="00C273E3"/>
    <w:rsid w:val="00C27AD1"/>
    <w:rsid w:val="00C27F3C"/>
    <w:rsid w:val="00C316EA"/>
    <w:rsid w:val="00C318B0"/>
    <w:rsid w:val="00C3286C"/>
    <w:rsid w:val="00C34A1E"/>
    <w:rsid w:val="00C360BF"/>
    <w:rsid w:val="00C3687C"/>
    <w:rsid w:val="00C36A71"/>
    <w:rsid w:val="00C37BE1"/>
    <w:rsid w:val="00C42918"/>
    <w:rsid w:val="00C4402F"/>
    <w:rsid w:val="00C45137"/>
    <w:rsid w:val="00C456EE"/>
    <w:rsid w:val="00C478DE"/>
    <w:rsid w:val="00C51414"/>
    <w:rsid w:val="00C56817"/>
    <w:rsid w:val="00C60468"/>
    <w:rsid w:val="00C60BAD"/>
    <w:rsid w:val="00C61607"/>
    <w:rsid w:val="00C62419"/>
    <w:rsid w:val="00C67B31"/>
    <w:rsid w:val="00C705A9"/>
    <w:rsid w:val="00C7304A"/>
    <w:rsid w:val="00C73599"/>
    <w:rsid w:val="00C76260"/>
    <w:rsid w:val="00C7752B"/>
    <w:rsid w:val="00C801C2"/>
    <w:rsid w:val="00C8173F"/>
    <w:rsid w:val="00C819B2"/>
    <w:rsid w:val="00C8461D"/>
    <w:rsid w:val="00C921D3"/>
    <w:rsid w:val="00C92CD7"/>
    <w:rsid w:val="00C92EFE"/>
    <w:rsid w:val="00C968D1"/>
    <w:rsid w:val="00CA1E74"/>
    <w:rsid w:val="00CA38C6"/>
    <w:rsid w:val="00CA7107"/>
    <w:rsid w:val="00CB1675"/>
    <w:rsid w:val="00CB213C"/>
    <w:rsid w:val="00CB55B7"/>
    <w:rsid w:val="00CB5FC8"/>
    <w:rsid w:val="00CB7887"/>
    <w:rsid w:val="00CC10CD"/>
    <w:rsid w:val="00CC15E5"/>
    <w:rsid w:val="00CC3A8F"/>
    <w:rsid w:val="00CC3CC0"/>
    <w:rsid w:val="00CC423A"/>
    <w:rsid w:val="00CC4E83"/>
    <w:rsid w:val="00CC5857"/>
    <w:rsid w:val="00CC6280"/>
    <w:rsid w:val="00CC6687"/>
    <w:rsid w:val="00CD0140"/>
    <w:rsid w:val="00CD02A3"/>
    <w:rsid w:val="00CD10B0"/>
    <w:rsid w:val="00CD31C6"/>
    <w:rsid w:val="00CD3625"/>
    <w:rsid w:val="00CD4F1C"/>
    <w:rsid w:val="00CD5AEF"/>
    <w:rsid w:val="00CD6681"/>
    <w:rsid w:val="00CE326B"/>
    <w:rsid w:val="00CE4745"/>
    <w:rsid w:val="00CE5763"/>
    <w:rsid w:val="00CE6A65"/>
    <w:rsid w:val="00CE7640"/>
    <w:rsid w:val="00CF0EAB"/>
    <w:rsid w:val="00CF1458"/>
    <w:rsid w:val="00CF156B"/>
    <w:rsid w:val="00CF1880"/>
    <w:rsid w:val="00CF2858"/>
    <w:rsid w:val="00CF3DDA"/>
    <w:rsid w:val="00CF6271"/>
    <w:rsid w:val="00D021D5"/>
    <w:rsid w:val="00D038B1"/>
    <w:rsid w:val="00D03E8C"/>
    <w:rsid w:val="00D0442B"/>
    <w:rsid w:val="00D050FD"/>
    <w:rsid w:val="00D05DC2"/>
    <w:rsid w:val="00D068D7"/>
    <w:rsid w:val="00D109AE"/>
    <w:rsid w:val="00D11579"/>
    <w:rsid w:val="00D11B76"/>
    <w:rsid w:val="00D1299A"/>
    <w:rsid w:val="00D14E11"/>
    <w:rsid w:val="00D21D52"/>
    <w:rsid w:val="00D2708B"/>
    <w:rsid w:val="00D27572"/>
    <w:rsid w:val="00D31E28"/>
    <w:rsid w:val="00D353A2"/>
    <w:rsid w:val="00D372F4"/>
    <w:rsid w:val="00D466DA"/>
    <w:rsid w:val="00D5075F"/>
    <w:rsid w:val="00D51A91"/>
    <w:rsid w:val="00D55CE1"/>
    <w:rsid w:val="00D561E0"/>
    <w:rsid w:val="00D62B10"/>
    <w:rsid w:val="00D62BEB"/>
    <w:rsid w:val="00D62E53"/>
    <w:rsid w:val="00D646F6"/>
    <w:rsid w:val="00D65185"/>
    <w:rsid w:val="00D70216"/>
    <w:rsid w:val="00D71E4C"/>
    <w:rsid w:val="00D73F4D"/>
    <w:rsid w:val="00D743B5"/>
    <w:rsid w:val="00D77CB2"/>
    <w:rsid w:val="00D80CAC"/>
    <w:rsid w:val="00D81447"/>
    <w:rsid w:val="00D818B9"/>
    <w:rsid w:val="00D8388C"/>
    <w:rsid w:val="00D83C7D"/>
    <w:rsid w:val="00D85203"/>
    <w:rsid w:val="00D903D6"/>
    <w:rsid w:val="00D904D7"/>
    <w:rsid w:val="00D92E38"/>
    <w:rsid w:val="00D93512"/>
    <w:rsid w:val="00D9486F"/>
    <w:rsid w:val="00D95167"/>
    <w:rsid w:val="00D95BE3"/>
    <w:rsid w:val="00D976BF"/>
    <w:rsid w:val="00D97E62"/>
    <w:rsid w:val="00DA1936"/>
    <w:rsid w:val="00DA1BD6"/>
    <w:rsid w:val="00DA3622"/>
    <w:rsid w:val="00DA41E8"/>
    <w:rsid w:val="00DA5404"/>
    <w:rsid w:val="00DA5C3E"/>
    <w:rsid w:val="00DA5C79"/>
    <w:rsid w:val="00DB35E1"/>
    <w:rsid w:val="00DB36FB"/>
    <w:rsid w:val="00DB5F5D"/>
    <w:rsid w:val="00DB7E5C"/>
    <w:rsid w:val="00DC0F86"/>
    <w:rsid w:val="00DC1797"/>
    <w:rsid w:val="00DC19D2"/>
    <w:rsid w:val="00DC388B"/>
    <w:rsid w:val="00DC449A"/>
    <w:rsid w:val="00DC654F"/>
    <w:rsid w:val="00DD475A"/>
    <w:rsid w:val="00DD60E1"/>
    <w:rsid w:val="00DE197A"/>
    <w:rsid w:val="00DE1C46"/>
    <w:rsid w:val="00DE2930"/>
    <w:rsid w:val="00DE5CA2"/>
    <w:rsid w:val="00DE5D9E"/>
    <w:rsid w:val="00DE756E"/>
    <w:rsid w:val="00DE7798"/>
    <w:rsid w:val="00DF02B3"/>
    <w:rsid w:val="00DF1C3D"/>
    <w:rsid w:val="00DF32E0"/>
    <w:rsid w:val="00DF4CC2"/>
    <w:rsid w:val="00DF5557"/>
    <w:rsid w:val="00DF55C4"/>
    <w:rsid w:val="00E02369"/>
    <w:rsid w:val="00E03082"/>
    <w:rsid w:val="00E03EF9"/>
    <w:rsid w:val="00E04A78"/>
    <w:rsid w:val="00E13571"/>
    <w:rsid w:val="00E21076"/>
    <w:rsid w:val="00E22696"/>
    <w:rsid w:val="00E23A77"/>
    <w:rsid w:val="00E266EB"/>
    <w:rsid w:val="00E26F91"/>
    <w:rsid w:val="00E30E01"/>
    <w:rsid w:val="00E30FC1"/>
    <w:rsid w:val="00E351EF"/>
    <w:rsid w:val="00E3588B"/>
    <w:rsid w:val="00E35C46"/>
    <w:rsid w:val="00E365E0"/>
    <w:rsid w:val="00E37C44"/>
    <w:rsid w:val="00E40623"/>
    <w:rsid w:val="00E4213D"/>
    <w:rsid w:val="00E4503A"/>
    <w:rsid w:val="00E47A91"/>
    <w:rsid w:val="00E53BB7"/>
    <w:rsid w:val="00E53DFF"/>
    <w:rsid w:val="00E605A9"/>
    <w:rsid w:val="00E60DDB"/>
    <w:rsid w:val="00E61606"/>
    <w:rsid w:val="00E64731"/>
    <w:rsid w:val="00E652D9"/>
    <w:rsid w:val="00E661B3"/>
    <w:rsid w:val="00E6706E"/>
    <w:rsid w:val="00E677E1"/>
    <w:rsid w:val="00E70655"/>
    <w:rsid w:val="00E70EB7"/>
    <w:rsid w:val="00E7302E"/>
    <w:rsid w:val="00E75999"/>
    <w:rsid w:val="00E77BA9"/>
    <w:rsid w:val="00E8177E"/>
    <w:rsid w:val="00E844DE"/>
    <w:rsid w:val="00E8486D"/>
    <w:rsid w:val="00E849BB"/>
    <w:rsid w:val="00E85649"/>
    <w:rsid w:val="00E858A8"/>
    <w:rsid w:val="00E85E70"/>
    <w:rsid w:val="00E860C4"/>
    <w:rsid w:val="00E862E6"/>
    <w:rsid w:val="00E9037A"/>
    <w:rsid w:val="00E90D03"/>
    <w:rsid w:val="00E9114E"/>
    <w:rsid w:val="00E91669"/>
    <w:rsid w:val="00E91E14"/>
    <w:rsid w:val="00E93B23"/>
    <w:rsid w:val="00E94D04"/>
    <w:rsid w:val="00E96580"/>
    <w:rsid w:val="00E96BD9"/>
    <w:rsid w:val="00E972FF"/>
    <w:rsid w:val="00EA2982"/>
    <w:rsid w:val="00EA2F9A"/>
    <w:rsid w:val="00EA31D3"/>
    <w:rsid w:val="00EA37C4"/>
    <w:rsid w:val="00EB22C4"/>
    <w:rsid w:val="00EB3B07"/>
    <w:rsid w:val="00EB6952"/>
    <w:rsid w:val="00EB7A1E"/>
    <w:rsid w:val="00EC1F3A"/>
    <w:rsid w:val="00EC3F57"/>
    <w:rsid w:val="00EC3F60"/>
    <w:rsid w:val="00EC4381"/>
    <w:rsid w:val="00EC4AF7"/>
    <w:rsid w:val="00EC780D"/>
    <w:rsid w:val="00ED183B"/>
    <w:rsid w:val="00ED479D"/>
    <w:rsid w:val="00ED47F7"/>
    <w:rsid w:val="00ED5B31"/>
    <w:rsid w:val="00ED65F3"/>
    <w:rsid w:val="00ED7483"/>
    <w:rsid w:val="00EE0348"/>
    <w:rsid w:val="00EE0C95"/>
    <w:rsid w:val="00EE1603"/>
    <w:rsid w:val="00EE197C"/>
    <w:rsid w:val="00EE7E44"/>
    <w:rsid w:val="00EE7EA2"/>
    <w:rsid w:val="00EF02EF"/>
    <w:rsid w:val="00EF46EB"/>
    <w:rsid w:val="00EF7893"/>
    <w:rsid w:val="00F00ACB"/>
    <w:rsid w:val="00F02F20"/>
    <w:rsid w:val="00F064C7"/>
    <w:rsid w:val="00F10652"/>
    <w:rsid w:val="00F11157"/>
    <w:rsid w:val="00F1117A"/>
    <w:rsid w:val="00F11A1F"/>
    <w:rsid w:val="00F11C6D"/>
    <w:rsid w:val="00F126D1"/>
    <w:rsid w:val="00F13F9C"/>
    <w:rsid w:val="00F141FA"/>
    <w:rsid w:val="00F162F4"/>
    <w:rsid w:val="00F16586"/>
    <w:rsid w:val="00F2011F"/>
    <w:rsid w:val="00F20610"/>
    <w:rsid w:val="00F209F5"/>
    <w:rsid w:val="00F21A4D"/>
    <w:rsid w:val="00F2513E"/>
    <w:rsid w:val="00F253C5"/>
    <w:rsid w:val="00F25DBB"/>
    <w:rsid w:val="00F27226"/>
    <w:rsid w:val="00F27E42"/>
    <w:rsid w:val="00F31401"/>
    <w:rsid w:val="00F32406"/>
    <w:rsid w:val="00F3254B"/>
    <w:rsid w:val="00F32981"/>
    <w:rsid w:val="00F33C3E"/>
    <w:rsid w:val="00F36F33"/>
    <w:rsid w:val="00F40C27"/>
    <w:rsid w:val="00F438FB"/>
    <w:rsid w:val="00F43A3C"/>
    <w:rsid w:val="00F44978"/>
    <w:rsid w:val="00F45DDA"/>
    <w:rsid w:val="00F45F3B"/>
    <w:rsid w:val="00F46D41"/>
    <w:rsid w:val="00F52074"/>
    <w:rsid w:val="00F521B7"/>
    <w:rsid w:val="00F6036F"/>
    <w:rsid w:val="00F60775"/>
    <w:rsid w:val="00F621CE"/>
    <w:rsid w:val="00F64B4A"/>
    <w:rsid w:val="00F668CD"/>
    <w:rsid w:val="00F66F3A"/>
    <w:rsid w:val="00F725AD"/>
    <w:rsid w:val="00F72BE6"/>
    <w:rsid w:val="00F73B34"/>
    <w:rsid w:val="00F747E7"/>
    <w:rsid w:val="00F75057"/>
    <w:rsid w:val="00F751A5"/>
    <w:rsid w:val="00F76693"/>
    <w:rsid w:val="00F76E34"/>
    <w:rsid w:val="00F8017B"/>
    <w:rsid w:val="00F81424"/>
    <w:rsid w:val="00F83BF6"/>
    <w:rsid w:val="00F849AC"/>
    <w:rsid w:val="00F865EB"/>
    <w:rsid w:val="00F866D4"/>
    <w:rsid w:val="00F8696A"/>
    <w:rsid w:val="00F90618"/>
    <w:rsid w:val="00F90B8B"/>
    <w:rsid w:val="00F92905"/>
    <w:rsid w:val="00F9312E"/>
    <w:rsid w:val="00F942F2"/>
    <w:rsid w:val="00F94D07"/>
    <w:rsid w:val="00F96BD9"/>
    <w:rsid w:val="00F96C5A"/>
    <w:rsid w:val="00F971B2"/>
    <w:rsid w:val="00FA01AF"/>
    <w:rsid w:val="00FA15BD"/>
    <w:rsid w:val="00FA1FBF"/>
    <w:rsid w:val="00FA2B2F"/>
    <w:rsid w:val="00FA45B5"/>
    <w:rsid w:val="00FA7F8B"/>
    <w:rsid w:val="00FB5765"/>
    <w:rsid w:val="00FB6B16"/>
    <w:rsid w:val="00FB70F6"/>
    <w:rsid w:val="00FC0BF0"/>
    <w:rsid w:val="00FC1C12"/>
    <w:rsid w:val="00FC342F"/>
    <w:rsid w:val="00FC421D"/>
    <w:rsid w:val="00FC5962"/>
    <w:rsid w:val="00FD2CCD"/>
    <w:rsid w:val="00FD3B97"/>
    <w:rsid w:val="00FE2838"/>
    <w:rsid w:val="00FE35D9"/>
    <w:rsid w:val="00FE381D"/>
    <w:rsid w:val="00FE4ACA"/>
    <w:rsid w:val="00FE6DE3"/>
    <w:rsid w:val="00FF0C58"/>
    <w:rsid w:val="00FF0ED7"/>
    <w:rsid w:val="00FF2720"/>
    <w:rsid w:val="00FF3A0B"/>
    <w:rsid w:val="00FF7581"/>
    <w:rsid w:val="00FF7A5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B2910-9C79-4F7F-BE58-F91694D0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semiHidden/>
    <w:unhideWhenUsed/>
    <w:qFormat/>
    <w:rsid w:val="00B72C7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25DBB"/>
    <w:rPr>
      <w:sz w:val="20"/>
      <w:szCs w:val="20"/>
    </w:rPr>
  </w:style>
  <w:style w:type="character" w:styleId="FootnoteReference">
    <w:name w:val="footnote reference"/>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rsid w:val="00F44978"/>
    <w:rPr>
      <w:color w:val="0000FF"/>
      <w:u w:val="single"/>
    </w:rPr>
  </w:style>
  <w:style w:type="character" w:customStyle="1" w:styleId="FootnoteTextChar">
    <w:name w:val="Footnote Text Char"/>
    <w:link w:val="FootnoteText"/>
    <w:rsid w:val="00986A5F"/>
    <w:rPr>
      <w:lang w:val="en-US" w:eastAsia="en-US"/>
    </w:rPr>
  </w:style>
  <w:style w:type="character" w:styleId="Emphasis">
    <w:name w:val="Emphasis"/>
    <w:uiPriority w:val="20"/>
    <w:qFormat/>
    <w:rsid w:val="00A549AE"/>
    <w:rPr>
      <w:i/>
      <w:iCs/>
    </w:rPr>
  </w:style>
  <w:style w:type="table" w:styleId="TableGrid">
    <w:name w:val="Table Grid"/>
    <w:basedOn w:val="TableNormal"/>
    <w:uiPriority w:val="59"/>
    <w:rsid w:val="00CD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link w:val="Footer"/>
    <w:uiPriority w:val="99"/>
    <w:rsid w:val="00380679"/>
    <w:rPr>
      <w:sz w:val="24"/>
      <w:szCs w:val="24"/>
      <w:lang w:val="en-US" w:eastAsia="en-US"/>
    </w:rPr>
  </w:style>
  <w:style w:type="paragraph" w:styleId="EndnoteText">
    <w:name w:val="endnote text"/>
    <w:basedOn w:val="Normal"/>
    <w:link w:val="EndnoteTextChar"/>
    <w:rsid w:val="002B7592"/>
    <w:rPr>
      <w:sz w:val="20"/>
      <w:szCs w:val="20"/>
    </w:rPr>
  </w:style>
  <w:style w:type="character" w:customStyle="1" w:styleId="EndnoteTextChar">
    <w:name w:val="Endnote Text Char"/>
    <w:link w:val="EndnoteText"/>
    <w:rsid w:val="002B7592"/>
    <w:rPr>
      <w:lang w:val="en-US" w:eastAsia="en-US"/>
    </w:rPr>
  </w:style>
  <w:style w:type="character" w:styleId="EndnoteReference">
    <w:name w:val="endnote reference"/>
    <w:rsid w:val="002B7592"/>
    <w:rPr>
      <w:vertAlign w:val="superscript"/>
    </w:rPr>
  </w:style>
  <w:style w:type="character" w:styleId="HTMLCite">
    <w:name w:val="HTML Cite"/>
    <w:uiPriority w:val="99"/>
    <w:unhideWhenUsed/>
    <w:rsid w:val="00B72C76"/>
    <w:rPr>
      <w:i/>
      <w:iCs/>
    </w:rPr>
  </w:style>
  <w:style w:type="character" w:customStyle="1" w:styleId="slug-pub-date">
    <w:name w:val="slug-pub-date"/>
    <w:basedOn w:val="DefaultParagraphFont"/>
    <w:rsid w:val="00B72C76"/>
  </w:style>
  <w:style w:type="character" w:customStyle="1" w:styleId="slug-vol">
    <w:name w:val="slug-vol"/>
    <w:basedOn w:val="DefaultParagraphFont"/>
    <w:rsid w:val="00B72C76"/>
  </w:style>
  <w:style w:type="character" w:customStyle="1" w:styleId="slug-issue">
    <w:name w:val="slug-issue"/>
    <w:basedOn w:val="DefaultParagraphFont"/>
    <w:rsid w:val="00B72C76"/>
  </w:style>
  <w:style w:type="character" w:customStyle="1" w:styleId="slug-pages">
    <w:name w:val="slug-pages"/>
    <w:basedOn w:val="DefaultParagraphFont"/>
    <w:rsid w:val="00B72C76"/>
  </w:style>
  <w:style w:type="character" w:customStyle="1" w:styleId="Heading2Char">
    <w:name w:val="Heading 2 Char"/>
    <w:link w:val="Heading2"/>
    <w:semiHidden/>
    <w:rsid w:val="00B72C76"/>
    <w:rPr>
      <w:rFonts w:ascii="Cambria" w:eastAsia="Times New Roman" w:hAnsi="Cambria" w:cs="Times New Roman"/>
      <w:b/>
      <w:bCs/>
      <w:color w:val="4F81BD"/>
      <w:sz w:val="26"/>
      <w:szCs w:val="26"/>
      <w:lang w:val="en-US" w:eastAsia="en-US"/>
    </w:rPr>
  </w:style>
  <w:style w:type="paragraph" w:customStyle="1" w:styleId="Abstracttext">
    <w:name w:val="Abstract text"/>
    <w:basedOn w:val="Normal"/>
    <w:rsid w:val="00C1716C"/>
    <w:pPr>
      <w:spacing w:after="240"/>
    </w:pPr>
    <w:rPr>
      <w:rFonts w:ascii="Arial" w:hAnsi="Arial"/>
      <w:sz w:val="22"/>
      <w:szCs w:val="20"/>
      <w:lang w:val="en-AU" w:eastAsia="en-AU"/>
    </w:rPr>
  </w:style>
  <w:style w:type="paragraph" w:styleId="BodyText">
    <w:name w:val="Body Text"/>
    <w:basedOn w:val="Normal"/>
    <w:link w:val="BodyTextChar"/>
    <w:rsid w:val="00A92037"/>
    <w:pPr>
      <w:spacing w:after="240"/>
    </w:pPr>
    <w:rPr>
      <w:rFonts w:ascii="Arial" w:hAnsi="Arial"/>
      <w:sz w:val="22"/>
      <w:szCs w:val="20"/>
      <w:lang w:val="en-AU" w:eastAsia="en-AU"/>
    </w:rPr>
  </w:style>
  <w:style w:type="character" w:customStyle="1" w:styleId="BodyTextChar">
    <w:name w:val="Body Text Char"/>
    <w:link w:val="BodyText"/>
    <w:rsid w:val="00A92037"/>
    <w:rPr>
      <w:rFonts w:ascii="Arial" w:hAnsi="Arial"/>
      <w:sz w:val="22"/>
      <w:lang w:val="en-AU" w:eastAsia="en-AU"/>
    </w:rPr>
  </w:style>
  <w:style w:type="character" w:styleId="Strong">
    <w:name w:val="Strong"/>
    <w:uiPriority w:val="22"/>
    <w:qFormat/>
    <w:rsid w:val="007D3625"/>
    <w:rPr>
      <w:b/>
      <w:bCs/>
    </w:rPr>
  </w:style>
  <w:style w:type="paragraph" w:styleId="Title">
    <w:name w:val="Title"/>
    <w:basedOn w:val="Normal"/>
    <w:link w:val="TitleChar"/>
    <w:qFormat/>
    <w:rsid w:val="00A55C36"/>
    <w:pPr>
      <w:widowControl w:val="0"/>
      <w:tabs>
        <w:tab w:val="center" w:pos="5040"/>
      </w:tabs>
      <w:snapToGrid w:val="0"/>
      <w:jc w:val="center"/>
    </w:pPr>
    <w:rPr>
      <w:rFonts w:ascii="CG Times" w:hAnsi="CG Times"/>
      <w:b/>
      <w:sz w:val="56"/>
      <w:szCs w:val="20"/>
    </w:rPr>
  </w:style>
  <w:style w:type="character" w:customStyle="1" w:styleId="TitleChar">
    <w:name w:val="Title Char"/>
    <w:basedOn w:val="DefaultParagraphFont"/>
    <w:link w:val="Title"/>
    <w:rsid w:val="00A55C36"/>
    <w:rPr>
      <w:rFonts w:ascii="CG Times" w:hAnsi="CG Times"/>
      <w:b/>
      <w:sz w:val="56"/>
      <w:lang w:val="en-US" w:eastAsia="en-US"/>
    </w:rPr>
  </w:style>
  <w:style w:type="paragraph" w:customStyle="1" w:styleId="CM1">
    <w:name w:val="CM1"/>
    <w:basedOn w:val="Default"/>
    <w:next w:val="Default"/>
    <w:rsid w:val="00A55C36"/>
    <w:pPr>
      <w:widowControl w:val="0"/>
      <w:spacing w:line="323" w:lineRule="atLeast"/>
    </w:pPr>
    <w:rPr>
      <w:color w:val="auto"/>
      <w:lang w:val="en-US" w:eastAsia="en-US"/>
    </w:rPr>
  </w:style>
  <w:style w:type="paragraph" w:customStyle="1" w:styleId="CM20">
    <w:name w:val="CM20"/>
    <w:basedOn w:val="Default"/>
    <w:next w:val="Default"/>
    <w:rsid w:val="00A55C36"/>
    <w:pPr>
      <w:widowControl w:val="0"/>
      <w:spacing w:after="1503"/>
    </w:pPr>
    <w:rPr>
      <w:color w:val="auto"/>
      <w:lang w:val="en-US" w:eastAsia="en-US"/>
    </w:rPr>
  </w:style>
  <w:style w:type="paragraph" w:customStyle="1" w:styleId="CM3">
    <w:name w:val="CM3"/>
    <w:basedOn w:val="Default"/>
    <w:next w:val="Default"/>
    <w:rsid w:val="00A55C36"/>
    <w:pPr>
      <w:widowControl w:val="0"/>
    </w:pPr>
    <w:rPr>
      <w:color w:val="auto"/>
      <w:lang w:val="en-US" w:eastAsia="en-US"/>
    </w:rPr>
  </w:style>
  <w:style w:type="paragraph" w:customStyle="1" w:styleId="CM21">
    <w:name w:val="CM21"/>
    <w:basedOn w:val="Default"/>
    <w:next w:val="Default"/>
    <w:rsid w:val="00A55C36"/>
    <w:pPr>
      <w:widowControl w:val="0"/>
      <w:spacing w:after="513"/>
    </w:pPr>
    <w:rPr>
      <w:color w:val="auto"/>
      <w:lang w:val="en-US" w:eastAsia="en-US"/>
    </w:rPr>
  </w:style>
  <w:style w:type="paragraph" w:customStyle="1" w:styleId="CM22">
    <w:name w:val="CM22"/>
    <w:basedOn w:val="Default"/>
    <w:next w:val="Default"/>
    <w:rsid w:val="00A55C36"/>
    <w:pPr>
      <w:widowControl w:val="0"/>
      <w:spacing w:after="65"/>
    </w:pPr>
    <w:rPr>
      <w:color w:val="auto"/>
      <w:lang w:val="en-US" w:eastAsia="en-US"/>
    </w:rPr>
  </w:style>
  <w:style w:type="paragraph" w:customStyle="1" w:styleId="CM4">
    <w:name w:val="CM4"/>
    <w:basedOn w:val="Default"/>
    <w:next w:val="Default"/>
    <w:rsid w:val="00A55C36"/>
    <w:pPr>
      <w:widowControl w:val="0"/>
      <w:spacing w:line="253" w:lineRule="atLeast"/>
    </w:pPr>
    <w:rPr>
      <w:color w:val="auto"/>
      <w:lang w:val="en-US" w:eastAsia="en-US"/>
    </w:rPr>
  </w:style>
  <w:style w:type="paragraph" w:customStyle="1" w:styleId="CM23">
    <w:name w:val="CM23"/>
    <w:basedOn w:val="Default"/>
    <w:next w:val="Default"/>
    <w:rsid w:val="00A55C36"/>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015">
      <w:bodyDiv w:val="1"/>
      <w:marLeft w:val="0"/>
      <w:marRight w:val="0"/>
      <w:marTop w:val="0"/>
      <w:marBottom w:val="0"/>
      <w:divBdr>
        <w:top w:val="none" w:sz="0" w:space="0" w:color="auto"/>
        <w:left w:val="none" w:sz="0" w:space="0" w:color="auto"/>
        <w:bottom w:val="none" w:sz="0" w:space="0" w:color="auto"/>
        <w:right w:val="none" w:sz="0" w:space="0" w:color="auto"/>
      </w:divBdr>
    </w:div>
    <w:div w:id="194315754">
      <w:bodyDiv w:val="1"/>
      <w:marLeft w:val="0"/>
      <w:marRight w:val="0"/>
      <w:marTop w:val="0"/>
      <w:marBottom w:val="0"/>
      <w:divBdr>
        <w:top w:val="none" w:sz="0" w:space="0" w:color="auto"/>
        <w:left w:val="none" w:sz="0" w:space="0" w:color="auto"/>
        <w:bottom w:val="none" w:sz="0" w:space="0" w:color="auto"/>
        <w:right w:val="none" w:sz="0" w:space="0" w:color="auto"/>
      </w:divBdr>
    </w:div>
    <w:div w:id="494607549">
      <w:bodyDiv w:val="1"/>
      <w:marLeft w:val="0"/>
      <w:marRight w:val="0"/>
      <w:marTop w:val="0"/>
      <w:marBottom w:val="0"/>
      <w:divBdr>
        <w:top w:val="none" w:sz="0" w:space="0" w:color="auto"/>
        <w:left w:val="none" w:sz="0" w:space="0" w:color="auto"/>
        <w:bottom w:val="none" w:sz="0" w:space="0" w:color="auto"/>
        <w:right w:val="none" w:sz="0" w:space="0" w:color="auto"/>
      </w:divBdr>
      <w:divsChild>
        <w:div w:id="1203788767">
          <w:marLeft w:val="0"/>
          <w:marRight w:val="0"/>
          <w:marTop w:val="0"/>
          <w:marBottom w:val="0"/>
          <w:divBdr>
            <w:top w:val="none" w:sz="0" w:space="0" w:color="auto"/>
            <w:left w:val="none" w:sz="0" w:space="0" w:color="auto"/>
            <w:bottom w:val="none" w:sz="0" w:space="0" w:color="auto"/>
            <w:right w:val="none" w:sz="0" w:space="0" w:color="auto"/>
          </w:divBdr>
          <w:divsChild>
            <w:div w:id="105318159">
              <w:marLeft w:val="0"/>
              <w:marRight w:val="0"/>
              <w:marTop w:val="0"/>
              <w:marBottom w:val="0"/>
              <w:divBdr>
                <w:top w:val="none" w:sz="0" w:space="0" w:color="auto"/>
                <w:left w:val="none" w:sz="0" w:space="0" w:color="auto"/>
                <w:bottom w:val="none" w:sz="0" w:space="0" w:color="auto"/>
                <w:right w:val="none" w:sz="0" w:space="0" w:color="auto"/>
              </w:divBdr>
            </w:div>
            <w:div w:id="151914993">
              <w:marLeft w:val="0"/>
              <w:marRight w:val="0"/>
              <w:marTop w:val="0"/>
              <w:marBottom w:val="0"/>
              <w:divBdr>
                <w:top w:val="none" w:sz="0" w:space="0" w:color="auto"/>
                <w:left w:val="none" w:sz="0" w:space="0" w:color="auto"/>
                <w:bottom w:val="none" w:sz="0" w:space="0" w:color="auto"/>
                <w:right w:val="none" w:sz="0" w:space="0" w:color="auto"/>
              </w:divBdr>
            </w:div>
            <w:div w:id="1127309797">
              <w:marLeft w:val="0"/>
              <w:marRight w:val="0"/>
              <w:marTop w:val="0"/>
              <w:marBottom w:val="0"/>
              <w:divBdr>
                <w:top w:val="none" w:sz="0" w:space="0" w:color="auto"/>
                <w:left w:val="none" w:sz="0" w:space="0" w:color="auto"/>
                <w:bottom w:val="none" w:sz="0" w:space="0" w:color="auto"/>
                <w:right w:val="none" w:sz="0" w:space="0" w:color="auto"/>
              </w:divBdr>
            </w:div>
            <w:div w:id="1141076819">
              <w:marLeft w:val="0"/>
              <w:marRight w:val="0"/>
              <w:marTop w:val="0"/>
              <w:marBottom w:val="0"/>
              <w:divBdr>
                <w:top w:val="none" w:sz="0" w:space="0" w:color="auto"/>
                <w:left w:val="none" w:sz="0" w:space="0" w:color="auto"/>
                <w:bottom w:val="none" w:sz="0" w:space="0" w:color="auto"/>
                <w:right w:val="none" w:sz="0" w:space="0" w:color="auto"/>
              </w:divBdr>
            </w:div>
            <w:div w:id="1546334874">
              <w:marLeft w:val="0"/>
              <w:marRight w:val="0"/>
              <w:marTop w:val="0"/>
              <w:marBottom w:val="0"/>
              <w:divBdr>
                <w:top w:val="none" w:sz="0" w:space="0" w:color="auto"/>
                <w:left w:val="none" w:sz="0" w:space="0" w:color="auto"/>
                <w:bottom w:val="none" w:sz="0" w:space="0" w:color="auto"/>
                <w:right w:val="none" w:sz="0" w:space="0" w:color="auto"/>
              </w:divBdr>
            </w:div>
            <w:div w:id="1678120558">
              <w:marLeft w:val="0"/>
              <w:marRight w:val="0"/>
              <w:marTop w:val="0"/>
              <w:marBottom w:val="0"/>
              <w:divBdr>
                <w:top w:val="none" w:sz="0" w:space="0" w:color="auto"/>
                <w:left w:val="none" w:sz="0" w:space="0" w:color="auto"/>
                <w:bottom w:val="none" w:sz="0" w:space="0" w:color="auto"/>
                <w:right w:val="none" w:sz="0" w:space="0" w:color="auto"/>
              </w:divBdr>
            </w:div>
            <w:div w:id="1800031844">
              <w:marLeft w:val="0"/>
              <w:marRight w:val="0"/>
              <w:marTop w:val="0"/>
              <w:marBottom w:val="0"/>
              <w:divBdr>
                <w:top w:val="none" w:sz="0" w:space="0" w:color="auto"/>
                <w:left w:val="none" w:sz="0" w:space="0" w:color="auto"/>
                <w:bottom w:val="none" w:sz="0" w:space="0" w:color="auto"/>
                <w:right w:val="none" w:sz="0" w:space="0" w:color="auto"/>
              </w:divBdr>
            </w:div>
            <w:div w:id="1825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8423">
      <w:bodyDiv w:val="1"/>
      <w:marLeft w:val="0"/>
      <w:marRight w:val="0"/>
      <w:marTop w:val="0"/>
      <w:marBottom w:val="0"/>
      <w:divBdr>
        <w:top w:val="none" w:sz="0" w:space="0" w:color="auto"/>
        <w:left w:val="none" w:sz="0" w:space="0" w:color="auto"/>
        <w:bottom w:val="none" w:sz="0" w:space="0" w:color="auto"/>
        <w:right w:val="none" w:sz="0" w:space="0" w:color="auto"/>
      </w:divBdr>
    </w:div>
    <w:div w:id="64539861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6">
          <w:marLeft w:val="0"/>
          <w:marRight w:val="0"/>
          <w:marTop w:val="0"/>
          <w:marBottom w:val="0"/>
          <w:divBdr>
            <w:top w:val="none" w:sz="0" w:space="0" w:color="auto"/>
            <w:left w:val="none" w:sz="0" w:space="0" w:color="auto"/>
            <w:bottom w:val="none" w:sz="0" w:space="0" w:color="auto"/>
            <w:right w:val="none" w:sz="0" w:space="0" w:color="auto"/>
          </w:divBdr>
          <w:divsChild>
            <w:div w:id="171578917">
              <w:marLeft w:val="0"/>
              <w:marRight w:val="0"/>
              <w:marTop w:val="0"/>
              <w:marBottom w:val="0"/>
              <w:divBdr>
                <w:top w:val="none" w:sz="0" w:space="0" w:color="auto"/>
                <w:left w:val="none" w:sz="0" w:space="0" w:color="auto"/>
                <w:bottom w:val="none" w:sz="0" w:space="0" w:color="auto"/>
                <w:right w:val="none" w:sz="0" w:space="0" w:color="auto"/>
              </w:divBdr>
            </w:div>
            <w:div w:id="384448587">
              <w:marLeft w:val="0"/>
              <w:marRight w:val="0"/>
              <w:marTop w:val="0"/>
              <w:marBottom w:val="0"/>
              <w:divBdr>
                <w:top w:val="none" w:sz="0" w:space="0" w:color="auto"/>
                <w:left w:val="none" w:sz="0" w:space="0" w:color="auto"/>
                <w:bottom w:val="none" w:sz="0" w:space="0" w:color="auto"/>
                <w:right w:val="none" w:sz="0" w:space="0" w:color="auto"/>
              </w:divBdr>
            </w:div>
            <w:div w:id="408306732">
              <w:marLeft w:val="0"/>
              <w:marRight w:val="0"/>
              <w:marTop w:val="0"/>
              <w:marBottom w:val="0"/>
              <w:divBdr>
                <w:top w:val="none" w:sz="0" w:space="0" w:color="auto"/>
                <w:left w:val="none" w:sz="0" w:space="0" w:color="auto"/>
                <w:bottom w:val="none" w:sz="0" w:space="0" w:color="auto"/>
                <w:right w:val="none" w:sz="0" w:space="0" w:color="auto"/>
              </w:divBdr>
            </w:div>
            <w:div w:id="699282728">
              <w:marLeft w:val="0"/>
              <w:marRight w:val="0"/>
              <w:marTop w:val="0"/>
              <w:marBottom w:val="0"/>
              <w:divBdr>
                <w:top w:val="none" w:sz="0" w:space="0" w:color="auto"/>
                <w:left w:val="none" w:sz="0" w:space="0" w:color="auto"/>
                <w:bottom w:val="none" w:sz="0" w:space="0" w:color="auto"/>
                <w:right w:val="none" w:sz="0" w:space="0" w:color="auto"/>
              </w:divBdr>
            </w:div>
            <w:div w:id="1510367917">
              <w:marLeft w:val="0"/>
              <w:marRight w:val="0"/>
              <w:marTop w:val="0"/>
              <w:marBottom w:val="0"/>
              <w:divBdr>
                <w:top w:val="none" w:sz="0" w:space="0" w:color="auto"/>
                <w:left w:val="none" w:sz="0" w:space="0" w:color="auto"/>
                <w:bottom w:val="none" w:sz="0" w:space="0" w:color="auto"/>
                <w:right w:val="none" w:sz="0" w:space="0" w:color="auto"/>
              </w:divBdr>
            </w:div>
            <w:div w:id="1551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70585">
      <w:bodyDiv w:val="1"/>
      <w:marLeft w:val="0"/>
      <w:marRight w:val="0"/>
      <w:marTop w:val="0"/>
      <w:marBottom w:val="0"/>
      <w:divBdr>
        <w:top w:val="none" w:sz="0" w:space="0" w:color="auto"/>
        <w:left w:val="none" w:sz="0" w:space="0" w:color="auto"/>
        <w:bottom w:val="none" w:sz="0" w:space="0" w:color="auto"/>
        <w:right w:val="none" w:sz="0" w:space="0" w:color="auto"/>
      </w:divBdr>
    </w:div>
    <w:div w:id="988556509">
      <w:bodyDiv w:val="1"/>
      <w:marLeft w:val="0"/>
      <w:marRight w:val="0"/>
      <w:marTop w:val="0"/>
      <w:marBottom w:val="0"/>
      <w:divBdr>
        <w:top w:val="none" w:sz="0" w:space="0" w:color="auto"/>
        <w:left w:val="none" w:sz="0" w:space="0" w:color="auto"/>
        <w:bottom w:val="none" w:sz="0" w:space="0" w:color="auto"/>
        <w:right w:val="none" w:sz="0" w:space="0" w:color="auto"/>
      </w:divBdr>
      <w:divsChild>
        <w:div w:id="904685200">
          <w:marLeft w:val="0"/>
          <w:marRight w:val="0"/>
          <w:marTop w:val="0"/>
          <w:marBottom w:val="0"/>
          <w:divBdr>
            <w:top w:val="none" w:sz="0" w:space="0" w:color="auto"/>
            <w:left w:val="none" w:sz="0" w:space="0" w:color="auto"/>
            <w:bottom w:val="none" w:sz="0" w:space="0" w:color="auto"/>
            <w:right w:val="none" w:sz="0" w:space="0" w:color="auto"/>
          </w:divBdr>
          <w:divsChild>
            <w:div w:id="82118554">
              <w:marLeft w:val="0"/>
              <w:marRight w:val="0"/>
              <w:marTop w:val="0"/>
              <w:marBottom w:val="0"/>
              <w:divBdr>
                <w:top w:val="none" w:sz="0" w:space="0" w:color="auto"/>
                <w:left w:val="none" w:sz="0" w:space="0" w:color="auto"/>
                <w:bottom w:val="none" w:sz="0" w:space="0" w:color="auto"/>
                <w:right w:val="none" w:sz="0" w:space="0" w:color="auto"/>
              </w:divBdr>
            </w:div>
            <w:div w:id="100953800">
              <w:marLeft w:val="0"/>
              <w:marRight w:val="0"/>
              <w:marTop w:val="0"/>
              <w:marBottom w:val="0"/>
              <w:divBdr>
                <w:top w:val="none" w:sz="0" w:space="0" w:color="auto"/>
                <w:left w:val="none" w:sz="0" w:space="0" w:color="auto"/>
                <w:bottom w:val="none" w:sz="0" w:space="0" w:color="auto"/>
                <w:right w:val="none" w:sz="0" w:space="0" w:color="auto"/>
              </w:divBdr>
            </w:div>
            <w:div w:id="340669645">
              <w:marLeft w:val="0"/>
              <w:marRight w:val="0"/>
              <w:marTop w:val="0"/>
              <w:marBottom w:val="0"/>
              <w:divBdr>
                <w:top w:val="none" w:sz="0" w:space="0" w:color="auto"/>
                <w:left w:val="none" w:sz="0" w:space="0" w:color="auto"/>
                <w:bottom w:val="none" w:sz="0" w:space="0" w:color="auto"/>
                <w:right w:val="none" w:sz="0" w:space="0" w:color="auto"/>
              </w:divBdr>
            </w:div>
            <w:div w:id="1172137168">
              <w:marLeft w:val="0"/>
              <w:marRight w:val="0"/>
              <w:marTop w:val="0"/>
              <w:marBottom w:val="0"/>
              <w:divBdr>
                <w:top w:val="none" w:sz="0" w:space="0" w:color="auto"/>
                <w:left w:val="none" w:sz="0" w:space="0" w:color="auto"/>
                <w:bottom w:val="none" w:sz="0" w:space="0" w:color="auto"/>
                <w:right w:val="none" w:sz="0" w:space="0" w:color="auto"/>
              </w:divBdr>
            </w:div>
            <w:div w:id="1196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1735">
      <w:bodyDiv w:val="1"/>
      <w:marLeft w:val="0"/>
      <w:marRight w:val="0"/>
      <w:marTop w:val="0"/>
      <w:marBottom w:val="0"/>
      <w:divBdr>
        <w:top w:val="none" w:sz="0" w:space="0" w:color="auto"/>
        <w:left w:val="none" w:sz="0" w:space="0" w:color="auto"/>
        <w:bottom w:val="none" w:sz="0" w:space="0" w:color="auto"/>
        <w:right w:val="none" w:sz="0" w:space="0" w:color="auto"/>
      </w:divBdr>
    </w:div>
    <w:div w:id="1315986156">
      <w:bodyDiv w:val="1"/>
      <w:marLeft w:val="0"/>
      <w:marRight w:val="0"/>
      <w:marTop w:val="0"/>
      <w:marBottom w:val="0"/>
      <w:divBdr>
        <w:top w:val="none" w:sz="0" w:space="0" w:color="auto"/>
        <w:left w:val="none" w:sz="0" w:space="0" w:color="auto"/>
        <w:bottom w:val="none" w:sz="0" w:space="0" w:color="auto"/>
        <w:right w:val="none" w:sz="0" w:space="0" w:color="auto"/>
      </w:divBdr>
    </w:div>
    <w:div w:id="1728797346">
      <w:bodyDiv w:val="1"/>
      <w:marLeft w:val="0"/>
      <w:marRight w:val="0"/>
      <w:marTop w:val="0"/>
      <w:marBottom w:val="0"/>
      <w:divBdr>
        <w:top w:val="none" w:sz="0" w:space="0" w:color="auto"/>
        <w:left w:val="none" w:sz="0" w:space="0" w:color="auto"/>
        <w:bottom w:val="none" w:sz="0" w:space="0" w:color="auto"/>
        <w:right w:val="none" w:sz="0" w:space="0" w:color="auto"/>
      </w:divBdr>
    </w:div>
    <w:div w:id="1828133640">
      <w:bodyDiv w:val="1"/>
      <w:marLeft w:val="0"/>
      <w:marRight w:val="0"/>
      <w:marTop w:val="0"/>
      <w:marBottom w:val="0"/>
      <w:divBdr>
        <w:top w:val="none" w:sz="0" w:space="0" w:color="auto"/>
        <w:left w:val="none" w:sz="0" w:space="0" w:color="auto"/>
        <w:bottom w:val="none" w:sz="0" w:space="0" w:color="auto"/>
        <w:right w:val="none" w:sz="0" w:space="0" w:color="auto"/>
      </w:divBdr>
      <w:divsChild>
        <w:div w:id="1029719044">
          <w:marLeft w:val="0"/>
          <w:marRight w:val="0"/>
          <w:marTop w:val="0"/>
          <w:marBottom w:val="0"/>
          <w:divBdr>
            <w:top w:val="none" w:sz="0" w:space="0" w:color="auto"/>
            <w:left w:val="none" w:sz="0" w:space="0" w:color="auto"/>
            <w:bottom w:val="none" w:sz="0" w:space="0" w:color="auto"/>
            <w:right w:val="none" w:sz="0" w:space="0" w:color="auto"/>
          </w:divBdr>
          <w:divsChild>
            <w:div w:id="110366783">
              <w:marLeft w:val="0"/>
              <w:marRight w:val="0"/>
              <w:marTop w:val="0"/>
              <w:marBottom w:val="0"/>
              <w:divBdr>
                <w:top w:val="none" w:sz="0" w:space="0" w:color="auto"/>
                <w:left w:val="none" w:sz="0" w:space="0" w:color="auto"/>
                <w:bottom w:val="none" w:sz="0" w:space="0" w:color="auto"/>
                <w:right w:val="none" w:sz="0" w:space="0" w:color="auto"/>
              </w:divBdr>
            </w:div>
            <w:div w:id="547030669">
              <w:marLeft w:val="0"/>
              <w:marRight w:val="0"/>
              <w:marTop w:val="0"/>
              <w:marBottom w:val="0"/>
              <w:divBdr>
                <w:top w:val="none" w:sz="0" w:space="0" w:color="auto"/>
                <w:left w:val="none" w:sz="0" w:space="0" w:color="auto"/>
                <w:bottom w:val="none" w:sz="0" w:space="0" w:color="auto"/>
                <w:right w:val="none" w:sz="0" w:space="0" w:color="auto"/>
              </w:divBdr>
            </w:div>
            <w:div w:id="780761133">
              <w:marLeft w:val="0"/>
              <w:marRight w:val="0"/>
              <w:marTop w:val="0"/>
              <w:marBottom w:val="0"/>
              <w:divBdr>
                <w:top w:val="none" w:sz="0" w:space="0" w:color="auto"/>
                <w:left w:val="none" w:sz="0" w:space="0" w:color="auto"/>
                <w:bottom w:val="none" w:sz="0" w:space="0" w:color="auto"/>
                <w:right w:val="none" w:sz="0" w:space="0" w:color="auto"/>
              </w:divBdr>
            </w:div>
            <w:div w:id="1528712443">
              <w:marLeft w:val="0"/>
              <w:marRight w:val="0"/>
              <w:marTop w:val="0"/>
              <w:marBottom w:val="0"/>
              <w:divBdr>
                <w:top w:val="none" w:sz="0" w:space="0" w:color="auto"/>
                <w:left w:val="none" w:sz="0" w:space="0" w:color="auto"/>
                <w:bottom w:val="none" w:sz="0" w:space="0" w:color="auto"/>
                <w:right w:val="none" w:sz="0" w:space="0" w:color="auto"/>
              </w:divBdr>
            </w:div>
            <w:div w:id="1560285105">
              <w:marLeft w:val="0"/>
              <w:marRight w:val="0"/>
              <w:marTop w:val="0"/>
              <w:marBottom w:val="0"/>
              <w:divBdr>
                <w:top w:val="none" w:sz="0" w:space="0" w:color="auto"/>
                <w:left w:val="none" w:sz="0" w:space="0" w:color="auto"/>
                <w:bottom w:val="none" w:sz="0" w:space="0" w:color="auto"/>
                <w:right w:val="none" w:sz="0" w:space="0" w:color="auto"/>
              </w:divBdr>
            </w:div>
            <w:div w:id="1983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dx.doi.org/10.2139/ssrn.1986219" TargetMode="Externa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leiterreports.typepad.com/blog/2013/07/top-philosophy-journals-without-regard-to-a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506D-2B4A-4F45-AA07-D7A27FA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7704</Words>
  <Characters>43917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The Microeconomic Determinants of Emigration and Return Migration</vt:lpstr>
    </vt:vector>
  </TitlesOfParts>
  <Company>The World Bank Group</Company>
  <LinksUpToDate>false</LinksUpToDate>
  <CharactersWithSpaces>51518</CharactersWithSpaces>
  <SharedDoc>false</SharedDoc>
  <HLinks>
    <vt:vector size="6" baseType="variant">
      <vt:variant>
        <vt:i4>8323082</vt:i4>
      </vt:variant>
      <vt:variant>
        <vt:i4>0</vt:i4>
      </vt:variant>
      <vt:variant>
        <vt:i4>0</vt:i4>
      </vt:variant>
      <vt:variant>
        <vt:i4>5</vt:i4>
      </vt:variant>
      <vt:variant>
        <vt:lpwstr>mailto:jkgibson@waikato.ac.nz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Microeconomic Determinants of Emigration and Return Migration</dc:title>
  <dc:subject/>
  <dc:creator>dmckenzie</dc:creator>
  <cp:keywords/>
  <cp:lastModifiedBy>silverab71@gmail.com</cp:lastModifiedBy>
  <cp:revision>7</cp:revision>
  <cp:lastPrinted>2018-02-20T01:41:00Z</cp:lastPrinted>
  <dcterms:created xsi:type="dcterms:W3CDTF">2018-02-20T03:55:00Z</dcterms:created>
  <dcterms:modified xsi:type="dcterms:W3CDTF">2018-02-28T19:53:00Z</dcterms:modified>
</cp:coreProperties>
</file>