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8A4DD" w14:textId="77777777" w:rsidR="00A25C2D" w:rsidRPr="00C727D2" w:rsidRDefault="00A25C2D" w:rsidP="002E076A">
      <w:pPr>
        <w:tabs>
          <w:tab w:val="left" w:pos="567"/>
        </w:tabs>
        <w:spacing w:line="300" w:lineRule="auto"/>
        <w:jc w:val="center"/>
        <w:rPr>
          <w:b/>
          <w:bCs/>
        </w:rPr>
      </w:pPr>
    </w:p>
    <w:p w14:paraId="72598565" w14:textId="77777777" w:rsidR="00A47F73" w:rsidRDefault="00A47F73" w:rsidP="002E076A">
      <w:pPr>
        <w:pStyle w:val="PlainText"/>
        <w:tabs>
          <w:tab w:val="left" w:pos="284"/>
          <w:tab w:val="left" w:pos="426"/>
          <w:tab w:val="left" w:pos="567"/>
        </w:tabs>
        <w:spacing w:line="300" w:lineRule="auto"/>
        <w:jc w:val="center"/>
        <w:rPr>
          <w:rFonts w:ascii="Times New Roman" w:hAnsi="Times New Roman" w:cs="Times New Roman"/>
          <w:b/>
          <w:sz w:val="28"/>
          <w:szCs w:val="28"/>
        </w:rPr>
      </w:pPr>
    </w:p>
    <w:p w14:paraId="13E18D68" w14:textId="17AD671D" w:rsidR="00A25C2D" w:rsidRPr="00467FE6" w:rsidRDefault="00A25C2D" w:rsidP="002E076A">
      <w:pPr>
        <w:pStyle w:val="PlainText"/>
        <w:tabs>
          <w:tab w:val="left" w:pos="284"/>
          <w:tab w:val="left" w:pos="426"/>
          <w:tab w:val="left" w:pos="567"/>
        </w:tabs>
        <w:spacing w:line="300" w:lineRule="auto"/>
        <w:jc w:val="center"/>
        <w:rPr>
          <w:rFonts w:ascii="Times New Roman" w:hAnsi="Times New Roman" w:cs="Times New Roman"/>
          <w:b/>
          <w:sz w:val="28"/>
          <w:szCs w:val="28"/>
        </w:rPr>
      </w:pPr>
      <w:r w:rsidRPr="00467FE6">
        <w:rPr>
          <w:rFonts w:ascii="Times New Roman" w:hAnsi="Times New Roman" w:cs="Times New Roman"/>
          <w:b/>
          <w:sz w:val="28"/>
          <w:szCs w:val="28"/>
        </w:rPr>
        <w:t>UNIVERSITY OF WAIKATO</w:t>
      </w:r>
    </w:p>
    <w:p w14:paraId="4EFA839B" w14:textId="77777777" w:rsidR="00A25C2D" w:rsidRPr="00467FE6" w:rsidRDefault="00A25C2D" w:rsidP="002E076A">
      <w:pPr>
        <w:pStyle w:val="PlainText"/>
        <w:tabs>
          <w:tab w:val="left" w:pos="284"/>
          <w:tab w:val="left" w:pos="426"/>
          <w:tab w:val="left" w:pos="567"/>
        </w:tabs>
        <w:spacing w:line="300" w:lineRule="auto"/>
        <w:jc w:val="center"/>
        <w:rPr>
          <w:rFonts w:ascii="Times New Roman" w:hAnsi="Times New Roman" w:cs="Times New Roman"/>
          <w:b/>
          <w:sz w:val="28"/>
          <w:szCs w:val="28"/>
        </w:rPr>
      </w:pPr>
    </w:p>
    <w:p w14:paraId="7B97AD51" w14:textId="77777777" w:rsidR="00A25C2D" w:rsidRPr="00467FE6" w:rsidRDefault="00A25C2D" w:rsidP="002E076A">
      <w:pPr>
        <w:pStyle w:val="PlainText"/>
        <w:tabs>
          <w:tab w:val="left" w:pos="284"/>
          <w:tab w:val="left" w:pos="426"/>
          <w:tab w:val="left" w:pos="567"/>
        </w:tabs>
        <w:spacing w:line="300" w:lineRule="auto"/>
        <w:jc w:val="center"/>
        <w:rPr>
          <w:rFonts w:ascii="Times New Roman" w:hAnsi="Times New Roman" w:cs="Times New Roman"/>
          <w:b/>
          <w:sz w:val="28"/>
          <w:szCs w:val="28"/>
        </w:rPr>
      </w:pPr>
      <w:r w:rsidRPr="00467FE6">
        <w:rPr>
          <w:rFonts w:ascii="Times New Roman" w:hAnsi="Times New Roman" w:cs="Times New Roman"/>
          <w:b/>
          <w:sz w:val="28"/>
          <w:szCs w:val="28"/>
        </w:rPr>
        <w:t>Hamilton</w:t>
      </w:r>
    </w:p>
    <w:p w14:paraId="04E0FEBB" w14:textId="77777777" w:rsidR="00A25C2D" w:rsidRPr="00467FE6" w:rsidRDefault="00A25C2D" w:rsidP="002E076A">
      <w:pPr>
        <w:pStyle w:val="PlainText"/>
        <w:tabs>
          <w:tab w:val="left" w:pos="284"/>
          <w:tab w:val="left" w:pos="426"/>
          <w:tab w:val="left" w:pos="567"/>
        </w:tabs>
        <w:spacing w:line="300" w:lineRule="auto"/>
        <w:jc w:val="center"/>
        <w:rPr>
          <w:rFonts w:ascii="Times New Roman" w:hAnsi="Times New Roman" w:cs="Times New Roman"/>
          <w:b/>
          <w:sz w:val="24"/>
          <w:szCs w:val="24"/>
        </w:rPr>
      </w:pPr>
      <w:r w:rsidRPr="00467FE6">
        <w:rPr>
          <w:rFonts w:ascii="Times New Roman" w:hAnsi="Times New Roman" w:cs="Times New Roman"/>
          <w:b/>
          <w:sz w:val="28"/>
          <w:szCs w:val="28"/>
        </w:rPr>
        <w:t>New Zealand</w:t>
      </w:r>
    </w:p>
    <w:p w14:paraId="4698FA9D" w14:textId="77777777" w:rsidR="00A25C2D" w:rsidRPr="00467FE6" w:rsidRDefault="00A25C2D" w:rsidP="002E076A">
      <w:pPr>
        <w:pStyle w:val="PlainText"/>
        <w:tabs>
          <w:tab w:val="left" w:pos="284"/>
          <w:tab w:val="left" w:pos="426"/>
          <w:tab w:val="left" w:pos="567"/>
        </w:tabs>
        <w:spacing w:line="300" w:lineRule="auto"/>
        <w:jc w:val="center"/>
        <w:rPr>
          <w:rFonts w:ascii="Times New Roman" w:hAnsi="Times New Roman" w:cs="Times New Roman"/>
          <w:b/>
          <w:sz w:val="24"/>
          <w:szCs w:val="24"/>
        </w:rPr>
      </w:pPr>
    </w:p>
    <w:p w14:paraId="75D33917" w14:textId="77777777" w:rsidR="00A25C2D" w:rsidRPr="00467FE6" w:rsidRDefault="00A25C2D" w:rsidP="002E076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 w:val="left" w:pos="567"/>
        </w:tabs>
        <w:spacing w:line="300" w:lineRule="auto"/>
        <w:jc w:val="center"/>
        <w:rPr>
          <w:rFonts w:ascii="Times New Roman" w:hAnsi="Times New Roman" w:cs="Times New Roman"/>
          <w:b/>
          <w:sz w:val="24"/>
          <w:szCs w:val="24"/>
        </w:rPr>
      </w:pPr>
    </w:p>
    <w:p w14:paraId="40910D06" w14:textId="77777777" w:rsidR="00A47F73" w:rsidRPr="00A47F73" w:rsidRDefault="00A47F73" w:rsidP="002E076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 w:val="left" w:pos="567"/>
        </w:tabs>
        <w:spacing w:line="300" w:lineRule="auto"/>
        <w:jc w:val="center"/>
        <w:rPr>
          <w:rFonts w:ascii="Times New Roman" w:hAnsi="Times New Roman" w:cs="Times New Roman"/>
          <w:b/>
          <w:sz w:val="14"/>
          <w:szCs w:val="14"/>
        </w:rPr>
      </w:pPr>
    </w:p>
    <w:p w14:paraId="0A94DFCF" w14:textId="65B7359F" w:rsidR="00D56E82" w:rsidRPr="00467FE6" w:rsidRDefault="00A25C2D" w:rsidP="002E076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 w:val="left" w:pos="567"/>
        </w:tabs>
        <w:spacing w:line="300" w:lineRule="auto"/>
        <w:jc w:val="center"/>
        <w:rPr>
          <w:rFonts w:ascii="Times New Roman" w:hAnsi="Times New Roman" w:cs="Times New Roman"/>
          <w:b/>
          <w:sz w:val="28"/>
          <w:szCs w:val="28"/>
        </w:rPr>
      </w:pPr>
      <w:r w:rsidRPr="00467FE6">
        <w:rPr>
          <w:rFonts w:ascii="Times New Roman" w:hAnsi="Times New Roman" w:cs="Times New Roman"/>
          <w:b/>
          <w:sz w:val="28"/>
          <w:szCs w:val="28"/>
        </w:rPr>
        <w:t xml:space="preserve">The </w:t>
      </w:r>
      <w:r w:rsidR="00D56E82" w:rsidRPr="00467FE6">
        <w:rPr>
          <w:rFonts w:ascii="Times New Roman" w:hAnsi="Times New Roman" w:cs="Times New Roman"/>
          <w:b/>
          <w:sz w:val="28"/>
          <w:szCs w:val="28"/>
        </w:rPr>
        <w:t>C</w:t>
      </w:r>
      <w:r w:rsidRPr="00467FE6">
        <w:rPr>
          <w:rFonts w:ascii="Times New Roman" w:hAnsi="Times New Roman" w:cs="Times New Roman"/>
          <w:b/>
          <w:sz w:val="28"/>
          <w:szCs w:val="28"/>
        </w:rPr>
        <w:t xml:space="preserve">ausal </w:t>
      </w:r>
      <w:r w:rsidR="00D56E82" w:rsidRPr="00467FE6">
        <w:rPr>
          <w:rFonts w:ascii="Times New Roman" w:hAnsi="Times New Roman" w:cs="Times New Roman"/>
          <w:b/>
          <w:sz w:val="28"/>
          <w:szCs w:val="28"/>
        </w:rPr>
        <w:t>I</w:t>
      </w:r>
      <w:r w:rsidRPr="00467FE6">
        <w:rPr>
          <w:rFonts w:ascii="Times New Roman" w:hAnsi="Times New Roman" w:cs="Times New Roman"/>
          <w:b/>
          <w:sz w:val="28"/>
          <w:szCs w:val="28"/>
        </w:rPr>
        <w:t xml:space="preserve">mpact of </w:t>
      </w:r>
      <w:r w:rsidR="00D56E82" w:rsidRPr="00467FE6">
        <w:rPr>
          <w:rFonts w:ascii="Times New Roman" w:hAnsi="Times New Roman" w:cs="Times New Roman"/>
          <w:b/>
          <w:sz w:val="28"/>
          <w:szCs w:val="28"/>
        </w:rPr>
        <w:t>S</w:t>
      </w:r>
      <w:r w:rsidRPr="00467FE6">
        <w:rPr>
          <w:rFonts w:ascii="Times New Roman" w:hAnsi="Times New Roman" w:cs="Times New Roman"/>
          <w:b/>
          <w:sz w:val="28"/>
          <w:szCs w:val="28"/>
        </w:rPr>
        <w:t xml:space="preserve">olid </w:t>
      </w:r>
      <w:r w:rsidR="00D56E82" w:rsidRPr="00467FE6">
        <w:rPr>
          <w:rFonts w:ascii="Times New Roman" w:hAnsi="Times New Roman" w:cs="Times New Roman"/>
          <w:b/>
          <w:sz w:val="28"/>
          <w:szCs w:val="28"/>
        </w:rPr>
        <w:t>F</w:t>
      </w:r>
      <w:r w:rsidRPr="00467FE6">
        <w:rPr>
          <w:rFonts w:ascii="Times New Roman" w:hAnsi="Times New Roman" w:cs="Times New Roman"/>
          <w:b/>
          <w:sz w:val="28"/>
          <w:szCs w:val="28"/>
        </w:rPr>
        <w:t xml:space="preserve">uel </w:t>
      </w:r>
      <w:r w:rsidR="00D56E82" w:rsidRPr="00467FE6">
        <w:rPr>
          <w:rFonts w:ascii="Times New Roman" w:hAnsi="Times New Roman" w:cs="Times New Roman"/>
          <w:b/>
          <w:sz w:val="28"/>
          <w:szCs w:val="28"/>
        </w:rPr>
        <w:t>U</w:t>
      </w:r>
      <w:r w:rsidRPr="00467FE6">
        <w:rPr>
          <w:rFonts w:ascii="Times New Roman" w:hAnsi="Times New Roman" w:cs="Times New Roman"/>
          <w:b/>
          <w:sz w:val="28"/>
          <w:szCs w:val="28"/>
        </w:rPr>
        <w:t xml:space="preserve">se on </w:t>
      </w:r>
      <w:r w:rsidR="00D56E82" w:rsidRPr="00467FE6">
        <w:rPr>
          <w:rFonts w:ascii="Times New Roman" w:hAnsi="Times New Roman" w:cs="Times New Roman"/>
          <w:b/>
          <w:sz w:val="28"/>
          <w:szCs w:val="28"/>
        </w:rPr>
        <w:t>M</w:t>
      </w:r>
      <w:r w:rsidRPr="00467FE6">
        <w:rPr>
          <w:rFonts w:ascii="Times New Roman" w:hAnsi="Times New Roman" w:cs="Times New Roman"/>
          <w:b/>
          <w:sz w:val="28"/>
          <w:szCs w:val="28"/>
        </w:rPr>
        <w:t>ortality</w:t>
      </w:r>
      <w:r w:rsidR="00D56E82" w:rsidRPr="00467FE6">
        <w:rPr>
          <w:rFonts w:ascii="Times New Roman" w:hAnsi="Times New Roman" w:cs="Times New Roman"/>
          <w:b/>
          <w:sz w:val="28"/>
          <w:szCs w:val="28"/>
        </w:rPr>
        <w:t>:</w:t>
      </w:r>
      <w:r w:rsidRPr="00467FE6">
        <w:rPr>
          <w:rFonts w:ascii="Times New Roman" w:hAnsi="Times New Roman" w:cs="Times New Roman"/>
          <w:b/>
          <w:sz w:val="28"/>
          <w:szCs w:val="28"/>
        </w:rPr>
        <w:t xml:space="preserve"> </w:t>
      </w:r>
    </w:p>
    <w:p w14:paraId="43422250" w14:textId="59F0BCEB" w:rsidR="00A25C2D" w:rsidRPr="00467FE6" w:rsidRDefault="00A25C2D" w:rsidP="002E076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 w:val="left" w:pos="567"/>
        </w:tabs>
        <w:spacing w:line="300" w:lineRule="auto"/>
        <w:jc w:val="center"/>
        <w:rPr>
          <w:rFonts w:ascii="Times New Roman" w:hAnsi="Times New Roman" w:cs="Times New Roman"/>
          <w:b/>
          <w:sz w:val="28"/>
          <w:szCs w:val="28"/>
        </w:rPr>
      </w:pPr>
      <w:r w:rsidRPr="00467FE6">
        <w:rPr>
          <w:rFonts w:ascii="Times New Roman" w:hAnsi="Times New Roman" w:cs="Times New Roman"/>
          <w:b/>
          <w:sz w:val="28"/>
          <w:szCs w:val="28"/>
        </w:rPr>
        <w:t xml:space="preserve">A </w:t>
      </w:r>
      <w:r w:rsidR="00D56E82" w:rsidRPr="00467FE6">
        <w:rPr>
          <w:rFonts w:ascii="Times New Roman" w:hAnsi="Times New Roman" w:cs="Times New Roman"/>
          <w:b/>
          <w:sz w:val="28"/>
          <w:szCs w:val="28"/>
        </w:rPr>
        <w:t>C</w:t>
      </w:r>
      <w:r w:rsidR="00D364CD" w:rsidRPr="00467FE6">
        <w:rPr>
          <w:rFonts w:ascii="Times New Roman" w:hAnsi="Times New Roman" w:cs="Times New Roman"/>
          <w:b/>
          <w:sz w:val="28"/>
          <w:szCs w:val="28"/>
        </w:rPr>
        <w:t>ross-</w:t>
      </w:r>
      <w:r w:rsidR="00D56E82" w:rsidRPr="00467FE6">
        <w:rPr>
          <w:rFonts w:ascii="Times New Roman" w:hAnsi="Times New Roman" w:cs="Times New Roman"/>
          <w:b/>
          <w:sz w:val="28"/>
          <w:szCs w:val="28"/>
        </w:rPr>
        <w:t>C</w:t>
      </w:r>
      <w:r w:rsidR="00D364CD" w:rsidRPr="00467FE6">
        <w:rPr>
          <w:rFonts w:ascii="Times New Roman" w:hAnsi="Times New Roman" w:cs="Times New Roman"/>
          <w:b/>
          <w:sz w:val="28"/>
          <w:szCs w:val="28"/>
        </w:rPr>
        <w:t>ountry</w:t>
      </w:r>
      <w:r w:rsidRPr="00467FE6">
        <w:rPr>
          <w:rFonts w:ascii="Times New Roman" w:hAnsi="Times New Roman" w:cs="Times New Roman"/>
          <w:b/>
          <w:sz w:val="28"/>
          <w:szCs w:val="28"/>
        </w:rPr>
        <w:t xml:space="preserve"> </w:t>
      </w:r>
      <w:r w:rsidR="00D56E82" w:rsidRPr="00467FE6">
        <w:rPr>
          <w:rFonts w:ascii="Times New Roman" w:hAnsi="Times New Roman" w:cs="Times New Roman"/>
          <w:b/>
          <w:sz w:val="28"/>
          <w:szCs w:val="28"/>
        </w:rPr>
        <w:t>P</w:t>
      </w:r>
      <w:r w:rsidRPr="00467FE6">
        <w:rPr>
          <w:rFonts w:ascii="Times New Roman" w:hAnsi="Times New Roman" w:cs="Times New Roman"/>
          <w:b/>
          <w:sz w:val="28"/>
          <w:szCs w:val="28"/>
        </w:rPr>
        <w:t xml:space="preserve">anel </w:t>
      </w:r>
      <w:r w:rsidR="00D56E82" w:rsidRPr="00467FE6">
        <w:rPr>
          <w:rFonts w:ascii="Times New Roman" w:hAnsi="Times New Roman" w:cs="Times New Roman"/>
          <w:b/>
          <w:sz w:val="28"/>
          <w:szCs w:val="28"/>
        </w:rPr>
        <w:t>A</w:t>
      </w:r>
      <w:r w:rsidRPr="00467FE6">
        <w:rPr>
          <w:rFonts w:ascii="Times New Roman" w:hAnsi="Times New Roman" w:cs="Times New Roman"/>
          <w:b/>
          <w:sz w:val="28"/>
          <w:szCs w:val="28"/>
        </w:rPr>
        <w:t>nalysis</w:t>
      </w:r>
    </w:p>
    <w:p w14:paraId="5B2B33BF" w14:textId="77777777" w:rsidR="00A25C2D" w:rsidRPr="00467FE6" w:rsidRDefault="00A25C2D" w:rsidP="002E076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 w:val="left" w:pos="567"/>
        </w:tabs>
        <w:spacing w:line="300" w:lineRule="auto"/>
        <w:jc w:val="center"/>
        <w:rPr>
          <w:rFonts w:ascii="Times New Roman" w:hAnsi="Times New Roman" w:cs="Times New Roman"/>
          <w:b/>
          <w:sz w:val="28"/>
          <w:szCs w:val="28"/>
        </w:rPr>
      </w:pPr>
    </w:p>
    <w:p w14:paraId="04B2D001" w14:textId="77777777" w:rsidR="0064624B" w:rsidRPr="00467FE6" w:rsidRDefault="00A25C2D" w:rsidP="002E076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 w:val="left" w:pos="567"/>
        </w:tabs>
        <w:spacing w:line="300" w:lineRule="auto"/>
        <w:jc w:val="center"/>
        <w:rPr>
          <w:rFonts w:ascii="Times New Roman" w:hAnsi="Times New Roman" w:cs="Times New Roman"/>
          <w:bCs/>
          <w:sz w:val="28"/>
          <w:szCs w:val="28"/>
        </w:rPr>
      </w:pPr>
      <w:r w:rsidRPr="00467FE6">
        <w:rPr>
          <w:rFonts w:ascii="Times New Roman" w:hAnsi="Times New Roman" w:cs="Times New Roman"/>
          <w:bCs/>
          <w:sz w:val="28"/>
          <w:szCs w:val="28"/>
        </w:rPr>
        <w:t xml:space="preserve">Muhammad </w:t>
      </w:r>
      <w:proofErr w:type="gramStart"/>
      <w:r w:rsidRPr="00467FE6">
        <w:rPr>
          <w:rFonts w:ascii="Times New Roman" w:hAnsi="Times New Roman" w:cs="Times New Roman"/>
          <w:bCs/>
          <w:sz w:val="28"/>
          <w:szCs w:val="28"/>
        </w:rPr>
        <w:t xml:space="preserve">Irfan, </w:t>
      </w:r>
      <w:r w:rsidR="0064624B" w:rsidRPr="00467FE6">
        <w:rPr>
          <w:rFonts w:ascii="Times New Roman" w:hAnsi="Times New Roman" w:cs="Times New Roman"/>
          <w:bCs/>
          <w:sz w:val="28"/>
          <w:szCs w:val="28"/>
        </w:rPr>
        <w:t xml:space="preserve"> </w:t>
      </w:r>
      <w:r w:rsidRPr="00467FE6">
        <w:rPr>
          <w:rFonts w:ascii="Times New Roman" w:hAnsi="Times New Roman" w:cs="Times New Roman"/>
          <w:bCs/>
          <w:sz w:val="28"/>
          <w:szCs w:val="28"/>
        </w:rPr>
        <w:t>Michael</w:t>
      </w:r>
      <w:proofErr w:type="gramEnd"/>
      <w:r w:rsidRPr="00467FE6">
        <w:rPr>
          <w:rFonts w:ascii="Times New Roman" w:hAnsi="Times New Roman" w:cs="Times New Roman"/>
          <w:bCs/>
          <w:sz w:val="28"/>
          <w:szCs w:val="28"/>
        </w:rPr>
        <w:t xml:space="preserve"> P. Cameron</w:t>
      </w:r>
      <w:r w:rsidR="0064624B" w:rsidRPr="00467FE6">
        <w:rPr>
          <w:rFonts w:ascii="Times New Roman" w:hAnsi="Times New Roman" w:cs="Times New Roman"/>
          <w:bCs/>
          <w:sz w:val="28"/>
          <w:szCs w:val="28"/>
        </w:rPr>
        <w:t xml:space="preserve"> </w:t>
      </w:r>
    </w:p>
    <w:p w14:paraId="2BA53517" w14:textId="499F70AF" w:rsidR="00A25C2D" w:rsidRPr="00467FE6" w:rsidRDefault="00A25C2D" w:rsidP="002E076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 w:val="left" w:pos="567"/>
        </w:tabs>
        <w:spacing w:line="300" w:lineRule="auto"/>
        <w:jc w:val="center"/>
        <w:rPr>
          <w:rFonts w:ascii="Times New Roman" w:hAnsi="Times New Roman" w:cs="Times New Roman"/>
          <w:bCs/>
          <w:sz w:val="28"/>
          <w:szCs w:val="28"/>
        </w:rPr>
      </w:pPr>
      <w:r w:rsidRPr="00467FE6">
        <w:rPr>
          <w:rFonts w:ascii="Times New Roman" w:hAnsi="Times New Roman" w:cs="Times New Roman"/>
          <w:bCs/>
          <w:sz w:val="28"/>
          <w:szCs w:val="28"/>
        </w:rPr>
        <w:t xml:space="preserve"> and Gazi Hassan</w:t>
      </w:r>
    </w:p>
    <w:p w14:paraId="7BF28FD0" w14:textId="77777777" w:rsidR="00A25C2D" w:rsidRPr="00467FE6" w:rsidRDefault="00A25C2D" w:rsidP="002E076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 w:val="left" w:pos="567"/>
        </w:tabs>
        <w:spacing w:line="300" w:lineRule="auto"/>
        <w:jc w:val="center"/>
        <w:rPr>
          <w:rFonts w:ascii="Times New Roman" w:hAnsi="Times New Roman" w:cs="Times New Roman"/>
          <w:bCs/>
          <w:i/>
          <w:iCs/>
          <w:sz w:val="24"/>
          <w:szCs w:val="24"/>
        </w:rPr>
      </w:pPr>
    </w:p>
    <w:p w14:paraId="23842450" w14:textId="77777777" w:rsidR="00A25C2D" w:rsidRPr="00467FE6" w:rsidRDefault="00A25C2D" w:rsidP="002E076A">
      <w:pPr>
        <w:pStyle w:val="PlainText"/>
        <w:tabs>
          <w:tab w:val="left" w:pos="284"/>
          <w:tab w:val="left" w:pos="426"/>
          <w:tab w:val="left" w:pos="567"/>
        </w:tabs>
        <w:spacing w:line="300" w:lineRule="auto"/>
        <w:jc w:val="both"/>
        <w:rPr>
          <w:rFonts w:ascii="Times New Roman" w:hAnsi="Times New Roman" w:cs="Times New Roman"/>
          <w:b/>
          <w:sz w:val="24"/>
          <w:szCs w:val="24"/>
        </w:rPr>
      </w:pPr>
    </w:p>
    <w:p w14:paraId="1F71CD62" w14:textId="77777777" w:rsidR="00A25C2D" w:rsidRPr="00467FE6" w:rsidRDefault="00A25C2D" w:rsidP="002E076A">
      <w:pPr>
        <w:pStyle w:val="PlainText"/>
        <w:tabs>
          <w:tab w:val="left" w:pos="284"/>
          <w:tab w:val="left" w:pos="426"/>
          <w:tab w:val="left" w:pos="567"/>
        </w:tabs>
        <w:spacing w:line="300" w:lineRule="auto"/>
        <w:jc w:val="center"/>
        <w:rPr>
          <w:rFonts w:ascii="Times New Roman" w:hAnsi="Times New Roman" w:cs="Times New Roman"/>
          <w:b/>
          <w:bCs/>
          <w:sz w:val="24"/>
          <w:szCs w:val="24"/>
        </w:rPr>
      </w:pPr>
    </w:p>
    <w:p w14:paraId="2DAC8E53" w14:textId="77777777" w:rsidR="00A25C2D" w:rsidRPr="00467FE6" w:rsidRDefault="00A25C2D" w:rsidP="002E076A">
      <w:pPr>
        <w:pStyle w:val="PlainText"/>
        <w:tabs>
          <w:tab w:val="left" w:pos="284"/>
          <w:tab w:val="left" w:pos="426"/>
          <w:tab w:val="left" w:pos="567"/>
        </w:tabs>
        <w:spacing w:line="300" w:lineRule="auto"/>
        <w:jc w:val="center"/>
        <w:rPr>
          <w:rFonts w:ascii="Times New Roman" w:hAnsi="Times New Roman" w:cs="Times New Roman"/>
          <w:b/>
          <w:bCs/>
          <w:sz w:val="24"/>
          <w:szCs w:val="24"/>
        </w:rPr>
      </w:pPr>
    </w:p>
    <w:p w14:paraId="4FDCDA4C" w14:textId="19BA47EB" w:rsidR="00A25C2D" w:rsidRPr="00467FE6" w:rsidRDefault="00A25C2D" w:rsidP="002E076A">
      <w:pPr>
        <w:pStyle w:val="PlainText"/>
        <w:tabs>
          <w:tab w:val="left" w:pos="284"/>
          <w:tab w:val="left" w:pos="426"/>
          <w:tab w:val="left" w:pos="567"/>
        </w:tabs>
        <w:spacing w:line="300" w:lineRule="auto"/>
        <w:jc w:val="center"/>
        <w:rPr>
          <w:rFonts w:ascii="Times New Roman" w:hAnsi="Times New Roman" w:cs="Times New Roman"/>
          <w:b/>
          <w:bCs/>
          <w:sz w:val="28"/>
          <w:szCs w:val="28"/>
        </w:rPr>
      </w:pPr>
      <w:r w:rsidRPr="00467FE6">
        <w:rPr>
          <w:rFonts w:ascii="Times New Roman" w:hAnsi="Times New Roman" w:cs="Times New Roman"/>
          <w:b/>
          <w:bCs/>
          <w:sz w:val="28"/>
          <w:szCs w:val="28"/>
        </w:rPr>
        <w:t xml:space="preserve">Working Paper in Economics </w:t>
      </w:r>
      <w:r w:rsidR="00D56E82" w:rsidRPr="00467FE6">
        <w:rPr>
          <w:rFonts w:ascii="Times New Roman" w:hAnsi="Times New Roman" w:cs="Times New Roman"/>
          <w:b/>
          <w:bCs/>
          <w:sz w:val="28"/>
          <w:szCs w:val="28"/>
        </w:rPr>
        <w:t>11</w:t>
      </w:r>
      <w:r w:rsidRPr="00467FE6">
        <w:rPr>
          <w:rFonts w:ascii="Times New Roman" w:hAnsi="Times New Roman" w:cs="Times New Roman"/>
          <w:b/>
          <w:bCs/>
          <w:sz w:val="28"/>
          <w:szCs w:val="28"/>
        </w:rPr>
        <w:t>/18</w:t>
      </w:r>
    </w:p>
    <w:p w14:paraId="66AF6EC6" w14:textId="77777777" w:rsidR="00A25C2D" w:rsidRPr="00467FE6" w:rsidRDefault="00A25C2D" w:rsidP="002E076A">
      <w:pPr>
        <w:pStyle w:val="PlainText"/>
        <w:tabs>
          <w:tab w:val="left" w:pos="284"/>
          <w:tab w:val="left" w:pos="426"/>
          <w:tab w:val="left" w:pos="567"/>
        </w:tabs>
        <w:spacing w:line="300" w:lineRule="auto"/>
        <w:jc w:val="center"/>
        <w:rPr>
          <w:rFonts w:ascii="Times New Roman" w:hAnsi="Times New Roman" w:cs="Times New Roman"/>
          <w:b/>
          <w:bCs/>
          <w:sz w:val="28"/>
          <w:szCs w:val="28"/>
        </w:rPr>
      </w:pPr>
    </w:p>
    <w:p w14:paraId="7339819C" w14:textId="1B56883C" w:rsidR="00A25C2D" w:rsidRPr="00467FE6" w:rsidRDefault="00A25C2D" w:rsidP="002E076A">
      <w:pPr>
        <w:pStyle w:val="PlainText"/>
        <w:tabs>
          <w:tab w:val="left" w:pos="284"/>
          <w:tab w:val="left" w:pos="426"/>
          <w:tab w:val="left" w:pos="567"/>
        </w:tabs>
        <w:spacing w:line="300" w:lineRule="auto"/>
        <w:jc w:val="center"/>
        <w:rPr>
          <w:rFonts w:ascii="Times New Roman" w:hAnsi="Times New Roman" w:cs="Times New Roman"/>
          <w:sz w:val="28"/>
          <w:szCs w:val="28"/>
        </w:rPr>
      </w:pPr>
      <w:r w:rsidRPr="00467FE6">
        <w:rPr>
          <w:rFonts w:ascii="Times New Roman" w:hAnsi="Times New Roman" w:cs="Times New Roman"/>
          <w:sz w:val="28"/>
          <w:szCs w:val="28"/>
        </w:rPr>
        <w:t>August 2018</w:t>
      </w:r>
    </w:p>
    <w:p w14:paraId="002E3C28" w14:textId="5E362C75" w:rsidR="00A25C2D" w:rsidRDefault="00A25C2D" w:rsidP="002E076A">
      <w:pPr>
        <w:pStyle w:val="PlainText"/>
        <w:tabs>
          <w:tab w:val="left" w:pos="284"/>
          <w:tab w:val="left" w:pos="426"/>
          <w:tab w:val="left" w:pos="567"/>
        </w:tabs>
        <w:spacing w:line="300" w:lineRule="auto"/>
        <w:jc w:val="center"/>
        <w:rPr>
          <w:rFonts w:ascii="Times New Roman" w:hAnsi="Times New Roman" w:cs="Times New Roman"/>
          <w:sz w:val="24"/>
          <w:szCs w:val="24"/>
        </w:rPr>
      </w:pPr>
    </w:p>
    <w:p w14:paraId="5F547FAF" w14:textId="77777777" w:rsidR="00BE6227" w:rsidRPr="00467FE6" w:rsidRDefault="00BE6227" w:rsidP="002E076A">
      <w:pPr>
        <w:pStyle w:val="PlainText"/>
        <w:tabs>
          <w:tab w:val="left" w:pos="284"/>
          <w:tab w:val="left" w:pos="426"/>
          <w:tab w:val="left" w:pos="567"/>
        </w:tabs>
        <w:spacing w:line="300" w:lineRule="auto"/>
        <w:jc w:val="center"/>
        <w:rPr>
          <w:rFonts w:ascii="Times New Roman" w:hAnsi="Times New Roman" w:cs="Times New Roman"/>
          <w:sz w:val="24"/>
          <w:szCs w:val="24"/>
        </w:rPr>
      </w:pPr>
    </w:p>
    <w:p w14:paraId="2B304AB1" w14:textId="77777777" w:rsidR="00A25C2D" w:rsidRPr="00467FE6" w:rsidRDefault="00A25C2D" w:rsidP="00BE6227">
      <w:pPr>
        <w:pStyle w:val="PlainText"/>
        <w:tabs>
          <w:tab w:val="left" w:pos="284"/>
          <w:tab w:val="left" w:pos="567"/>
        </w:tabs>
        <w:jc w:val="center"/>
        <w:rPr>
          <w:rFonts w:ascii="Times New Roman" w:hAnsi="Times New Roman" w:cs="Times New Roman"/>
          <w:b/>
          <w:bCs/>
          <w:sz w:val="24"/>
          <w:szCs w:val="24"/>
          <w:lang w:val="es-ES"/>
        </w:rPr>
      </w:pPr>
      <w:r w:rsidRPr="00467FE6">
        <w:rPr>
          <w:rFonts w:ascii="Times New Roman" w:hAnsi="Times New Roman" w:cs="Times New Roman"/>
          <w:b/>
          <w:bCs/>
          <w:sz w:val="24"/>
          <w:szCs w:val="24"/>
          <w:lang w:val="es-ES"/>
        </w:rPr>
        <w:t xml:space="preserve">Muhammad </w:t>
      </w:r>
      <w:proofErr w:type="spellStart"/>
      <w:r w:rsidRPr="00467FE6">
        <w:rPr>
          <w:rFonts w:ascii="Times New Roman" w:hAnsi="Times New Roman" w:cs="Times New Roman"/>
          <w:b/>
          <w:bCs/>
          <w:sz w:val="24"/>
          <w:szCs w:val="24"/>
          <w:lang w:val="es-ES"/>
        </w:rPr>
        <w:t>Irfan</w:t>
      </w:r>
      <w:proofErr w:type="spellEnd"/>
    </w:p>
    <w:p w14:paraId="76AE243E" w14:textId="77777777" w:rsidR="00A25C2D" w:rsidRPr="00467FE6" w:rsidRDefault="00A25C2D" w:rsidP="00BE6227">
      <w:pPr>
        <w:tabs>
          <w:tab w:val="left" w:pos="567"/>
        </w:tabs>
        <w:autoSpaceDE w:val="0"/>
        <w:autoSpaceDN w:val="0"/>
        <w:adjustRightInd w:val="0"/>
        <w:jc w:val="center"/>
        <w:rPr>
          <w:lang w:val="es-ES"/>
        </w:rPr>
      </w:pPr>
      <w:r w:rsidRPr="00467FE6">
        <w:rPr>
          <w:lang w:val="es-ES"/>
        </w:rPr>
        <w:t>irfaneconomist786@gmail.com</w:t>
      </w:r>
    </w:p>
    <w:p w14:paraId="11B1445B" w14:textId="77777777" w:rsidR="00A25C2D" w:rsidRPr="00A47F73" w:rsidRDefault="00A25C2D" w:rsidP="00BE6227">
      <w:pPr>
        <w:pStyle w:val="PlainText"/>
        <w:tabs>
          <w:tab w:val="left" w:pos="284"/>
          <w:tab w:val="left" w:pos="567"/>
        </w:tabs>
        <w:jc w:val="center"/>
        <w:rPr>
          <w:rFonts w:ascii="Times New Roman" w:hAnsi="Times New Roman" w:cs="Times New Roman"/>
          <w:b/>
          <w:bCs/>
          <w:sz w:val="16"/>
          <w:szCs w:val="16"/>
          <w:lang w:val="es-ES"/>
        </w:rPr>
      </w:pPr>
    </w:p>
    <w:p w14:paraId="589804D7" w14:textId="77777777" w:rsidR="00A25C2D" w:rsidRPr="00467FE6" w:rsidRDefault="00A25C2D" w:rsidP="00BE6227">
      <w:pPr>
        <w:pStyle w:val="PlainText"/>
        <w:tabs>
          <w:tab w:val="left" w:pos="284"/>
          <w:tab w:val="left" w:pos="567"/>
        </w:tabs>
        <w:jc w:val="center"/>
        <w:rPr>
          <w:rFonts w:ascii="Times New Roman" w:hAnsi="Times New Roman" w:cs="Times New Roman"/>
          <w:b/>
          <w:bCs/>
          <w:sz w:val="24"/>
          <w:szCs w:val="24"/>
          <w:lang w:val="es-ES"/>
        </w:rPr>
      </w:pPr>
      <w:r w:rsidRPr="00467FE6">
        <w:rPr>
          <w:rFonts w:ascii="Times New Roman" w:hAnsi="Times New Roman" w:cs="Times New Roman"/>
          <w:b/>
          <w:bCs/>
          <w:sz w:val="24"/>
          <w:szCs w:val="24"/>
          <w:lang w:val="es-ES"/>
        </w:rPr>
        <w:t>Michael P. Cameron</w:t>
      </w:r>
    </w:p>
    <w:p w14:paraId="5AFE8545" w14:textId="77777777" w:rsidR="00A25C2D" w:rsidRPr="00467FE6" w:rsidRDefault="00A25C2D" w:rsidP="00BE6227">
      <w:pPr>
        <w:tabs>
          <w:tab w:val="left" w:pos="567"/>
        </w:tabs>
        <w:autoSpaceDE w:val="0"/>
        <w:autoSpaceDN w:val="0"/>
        <w:adjustRightInd w:val="0"/>
        <w:jc w:val="center"/>
        <w:rPr>
          <w:color w:val="595959"/>
          <w:shd w:val="clear" w:color="auto" w:fill="FFFFFF"/>
          <w:lang w:val="es-ES"/>
        </w:rPr>
      </w:pPr>
      <w:r w:rsidRPr="00467FE6">
        <w:rPr>
          <w:shd w:val="clear" w:color="auto" w:fill="FFFFFF"/>
          <w:lang w:val="es-ES"/>
        </w:rPr>
        <w:t>mcam@waikato.ac.nz</w:t>
      </w:r>
    </w:p>
    <w:p w14:paraId="714B87BF" w14:textId="77777777" w:rsidR="00A25C2D" w:rsidRPr="00A47F73" w:rsidRDefault="00A25C2D" w:rsidP="00BE6227">
      <w:pPr>
        <w:pStyle w:val="PlainText"/>
        <w:tabs>
          <w:tab w:val="left" w:pos="284"/>
          <w:tab w:val="left" w:pos="567"/>
        </w:tabs>
        <w:jc w:val="center"/>
        <w:rPr>
          <w:rFonts w:ascii="Times New Roman" w:hAnsi="Times New Roman" w:cs="Times New Roman"/>
          <w:b/>
          <w:bCs/>
          <w:sz w:val="16"/>
          <w:szCs w:val="16"/>
          <w:lang w:val="es-ES"/>
        </w:rPr>
      </w:pPr>
    </w:p>
    <w:p w14:paraId="79A3A8DD" w14:textId="77777777" w:rsidR="00A25C2D" w:rsidRPr="00467FE6" w:rsidRDefault="00A25C2D" w:rsidP="00BE6227">
      <w:pPr>
        <w:pStyle w:val="PlainText"/>
        <w:tabs>
          <w:tab w:val="left" w:pos="284"/>
          <w:tab w:val="left" w:pos="567"/>
        </w:tabs>
        <w:jc w:val="center"/>
        <w:rPr>
          <w:rFonts w:ascii="Times New Roman" w:hAnsi="Times New Roman" w:cs="Times New Roman"/>
          <w:b/>
          <w:bCs/>
          <w:sz w:val="24"/>
          <w:szCs w:val="24"/>
          <w:lang w:val="es-ES"/>
        </w:rPr>
      </w:pPr>
      <w:r w:rsidRPr="00467FE6">
        <w:rPr>
          <w:rFonts w:ascii="Times New Roman" w:hAnsi="Times New Roman" w:cs="Times New Roman"/>
          <w:b/>
          <w:bCs/>
          <w:sz w:val="24"/>
          <w:szCs w:val="24"/>
          <w:lang w:val="es-ES"/>
        </w:rPr>
        <w:t>Gazi Hassan</w:t>
      </w:r>
    </w:p>
    <w:p w14:paraId="16921781" w14:textId="77777777" w:rsidR="00A25C2D" w:rsidRPr="00467FE6" w:rsidRDefault="00A25C2D" w:rsidP="00BE6227">
      <w:pPr>
        <w:tabs>
          <w:tab w:val="left" w:pos="567"/>
        </w:tabs>
        <w:autoSpaceDE w:val="0"/>
        <w:autoSpaceDN w:val="0"/>
        <w:adjustRightInd w:val="0"/>
        <w:jc w:val="center"/>
        <w:rPr>
          <w:lang w:val="es-ES"/>
        </w:rPr>
      </w:pPr>
      <w:r w:rsidRPr="00467FE6">
        <w:rPr>
          <w:lang w:val="es-ES"/>
        </w:rPr>
        <w:t xml:space="preserve">gazi.hassan@waikato.ac.nz </w:t>
      </w:r>
    </w:p>
    <w:p w14:paraId="7D9C7505" w14:textId="77777777" w:rsidR="00A25C2D" w:rsidRPr="00467FE6" w:rsidRDefault="00A25C2D" w:rsidP="002E076A">
      <w:pPr>
        <w:pStyle w:val="PlainText"/>
        <w:tabs>
          <w:tab w:val="left" w:pos="284"/>
          <w:tab w:val="left" w:pos="567"/>
        </w:tabs>
        <w:spacing w:line="300" w:lineRule="auto"/>
        <w:jc w:val="center"/>
        <w:rPr>
          <w:rFonts w:ascii="Times New Roman" w:hAnsi="Times New Roman" w:cs="Times New Roman"/>
          <w:b/>
          <w:bCs/>
          <w:sz w:val="24"/>
          <w:szCs w:val="24"/>
          <w:lang w:val="es-ES"/>
        </w:rPr>
      </w:pPr>
    </w:p>
    <w:p w14:paraId="467DC208" w14:textId="77777777" w:rsidR="00F21934" w:rsidRDefault="00C85B2C" w:rsidP="00C67FD5">
      <w:pPr>
        <w:pStyle w:val="PlainText"/>
        <w:tabs>
          <w:tab w:val="left" w:pos="284"/>
          <w:tab w:val="left" w:pos="567"/>
        </w:tabs>
        <w:jc w:val="center"/>
        <w:rPr>
          <w:rFonts w:ascii="Times New Roman" w:hAnsi="Times New Roman" w:cs="Times New Roman"/>
          <w:sz w:val="24"/>
          <w:szCs w:val="24"/>
        </w:rPr>
      </w:pPr>
      <w:r w:rsidRPr="00467FE6">
        <w:rPr>
          <w:rFonts w:ascii="Times New Roman" w:hAnsi="Times New Roman" w:cs="Times New Roman"/>
          <w:sz w:val="24"/>
          <w:szCs w:val="24"/>
        </w:rPr>
        <w:t xml:space="preserve">School of Accounting, Finance </w:t>
      </w:r>
    </w:p>
    <w:p w14:paraId="764233C1" w14:textId="138DEB04" w:rsidR="00A25C2D" w:rsidRPr="00467FE6" w:rsidRDefault="00C85B2C" w:rsidP="00C67FD5">
      <w:pPr>
        <w:pStyle w:val="PlainText"/>
        <w:tabs>
          <w:tab w:val="left" w:pos="284"/>
          <w:tab w:val="left" w:pos="567"/>
        </w:tabs>
        <w:jc w:val="center"/>
        <w:rPr>
          <w:rFonts w:ascii="Times New Roman" w:hAnsi="Times New Roman" w:cs="Times New Roman"/>
          <w:sz w:val="24"/>
          <w:szCs w:val="24"/>
        </w:rPr>
      </w:pPr>
      <w:r w:rsidRPr="00467FE6">
        <w:rPr>
          <w:rFonts w:ascii="Times New Roman" w:hAnsi="Times New Roman" w:cs="Times New Roman"/>
          <w:sz w:val="24"/>
          <w:szCs w:val="24"/>
        </w:rPr>
        <w:t>and Economics</w:t>
      </w:r>
    </w:p>
    <w:p w14:paraId="64C86587" w14:textId="77777777" w:rsidR="00A25C2D" w:rsidRPr="00467FE6" w:rsidRDefault="00A25C2D" w:rsidP="00C67FD5">
      <w:pPr>
        <w:pStyle w:val="PlainText"/>
        <w:tabs>
          <w:tab w:val="left" w:pos="284"/>
          <w:tab w:val="left" w:pos="567"/>
        </w:tabs>
        <w:jc w:val="center"/>
        <w:rPr>
          <w:rFonts w:ascii="Times New Roman" w:hAnsi="Times New Roman" w:cs="Times New Roman"/>
          <w:sz w:val="24"/>
          <w:szCs w:val="24"/>
        </w:rPr>
      </w:pPr>
      <w:r w:rsidRPr="00467FE6">
        <w:rPr>
          <w:rFonts w:ascii="Times New Roman" w:hAnsi="Times New Roman" w:cs="Times New Roman"/>
          <w:sz w:val="24"/>
          <w:szCs w:val="24"/>
        </w:rPr>
        <w:t xml:space="preserve">University of Waikato </w:t>
      </w:r>
    </w:p>
    <w:p w14:paraId="76EBD3F7" w14:textId="77777777" w:rsidR="00A25C2D" w:rsidRPr="00467FE6" w:rsidRDefault="00A25C2D" w:rsidP="00C67FD5">
      <w:pPr>
        <w:pStyle w:val="PlainText"/>
        <w:tabs>
          <w:tab w:val="left" w:pos="284"/>
          <w:tab w:val="left" w:pos="567"/>
        </w:tabs>
        <w:jc w:val="center"/>
        <w:rPr>
          <w:rFonts w:ascii="Times New Roman" w:hAnsi="Times New Roman" w:cs="Times New Roman"/>
          <w:sz w:val="24"/>
          <w:szCs w:val="24"/>
        </w:rPr>
      </w:pPr>
      <w:r w:rsidRPr="00467FE6">
        <w:rPr>
          <w:rFonts w:ascii="Times New Roman" w:hAnsi="Times New Roman" w:cs="Times New Roman"/>
          <w:sz w:val="24"/>
          <w:szCs w:val="24"/>
        </w:rPr>
        <w:t>Private Bag 3105</w:t>
      </w:r>
    </w:p>
    <w:p w14:paraId="502FA876" w14:textId="77777777" w:rsidR="00A25C2D" w:rsidRPr="00467FE6" w:rsidRDefault="00A25C2D" w:rsidP="00C67FD5">
      <w:pPr>
        <w:pStyle w:val="PlainText"/>
        <w:tabs>
          <w:tab w:val="left" w:pos="284"/>
          <w:tab w:val="left" w:pos="567"/>
        </w:tabs>
        <w:jc w:val="center"/>
        <w:rPr>
          <w:rFonts w:ascii="Times New Roman" w:hAnsi="Times New Roman" w:cs="Times New Roman"/>
          <w:sz w:val="24"/>
          <w:szCs w:val="24"/>
        </w:rPr>
      </w:pPr>
      <w:r w:rsidRPr="00467FE6">
        <w:rPr>
          <w:rFonts w:ascii="Times New Roman" w:hAnsi="Times New Roman" w:cs="Times New Roman"/>
          <w:sz w:val="24"/>
          <w:szCs w:val="24"/>
        </w:rPr>
        <w:t>Hamilton 3240</w:t>
      </w:r>
    </w:p>
    <w:p w14:paraId="4F5E88EA" w14:textId="77777777" w:rsidR="00A25C2D" w:rsidRPr="00467FE6" w:rsidRDefault="00A25C2D" w:rsidP="00C67FD5">
      <w:pPr>
        <w:pStyle w:val="PlainText"/>
        <w:tabs>
          <w:tab w:val="left" w:pos="284"/>
          <w:tab w:val="left" w:pos="567"/>
        </w:tabs>
        <w:jc w:val="center"/>
        <w:rPr>
          <w:rFonts w:ascii="Times New Roman" w:hAnsi="Times New Roman" w:cs="Times New Roman"/>
          <w:sz w:val="24"/>
          <w:szCs w:val="24"/>
        </w:rPr>
      </w:pPr>
      <w:r w:rsidRPr="00467FE6">
        <w:rPr>
          <w:rFonts w:ascii="Times New Roman" w:hAnsi="Times New Roman" w:cs="Times New Roman"/>
          <w:sz w:val="24"/>
          <w:szCs w:val="24"/>
        </w:rPr>
        <w:t>New Zealand</w:t>
      </w:r>
    </w:p>
    <w:p w14:paraId="0BFAE403" w14:textId="77777777" w:rsidR="00A25C2D" w:rsidRPr="00467FE6" w:rsidRDefault="00A25C2D" w:rsidP="002E076A">
      <w:pPr>
        <w:tabs>
          <w:tab w:val="left" w:pos="567"/>
        </w:tabs>
        <w:spacing w:line="300" w:lineRule="auto"/>
        <w:jc w:val="center"/>
        <w:rPr>
          <w:b/>
          <w:bCs/>
        </w:rPr>
      </w:pPr>
    </w:p>
    <w:p w14:paraId="70A68F68" w14:textId="77777777" w:rsidR="00A25C2D" w:rsidRPr="00467FE6" w:rsidRDefault="00A25C2D" w:rsidP="002E076A">
      <w:pPr>
        <w:tabs>
          <w:tab w:val="left" w:pos="567"/>
        </w:tabs>
        <w:spacing w:line="300" w:lineRule="auto"/>
        <w:jc w:val="center"/>
        <w:rPr>
          <w:b/>
          <w:bCs/>
        </w:rPr>
      </w:pPr>
    </w:p>
    <w:p w14:paraId="680F2B50" w14:textId="77777777" w:rsidR="00FF1F9E" w:rsidRPr="00467FE6" w:rsidRDefault="00FF1F9E" w:rsidP="002E076A">
      <w:pPr>
        <w:tabs>
          <w:tab w:val="left" w:pos="567"/>
        </w:tabs>
        <w:spacing w:line="300" w:lineRule="auto"/>
        <w:jc w:val="center"/>
        <w:rPr>
          <w:b/>
          <w:bCs/>
        </w:rPr>
      </w:pPr>
    </w:p>
    <w:p w14:paraId="613B1BF1" w14:textId="77777777" w:rsidR="00FF1F9E" w:rsidRPr="00467FE6" w:rsidRDefault="00FF1F9E" w:rsidP="002E076A">
      <w:pPr>
        <w:tabs>
          <w:tab w:val="left" w:pos="567"/>
        </w:tabs>
        <w:spacing w:line="300" w:lineRule="auto"/>
        <w:jc w:val="center"/>
        <w:rPr>
          <w:b/>
          <w:bCs/>
        </w:rPr>
      </w:pPr>
    </w:p>
    <w:p w14:paraId="002F4B37" w14:textId="77777777" w:rsidR="00FF1F9E" w:rsidRPr="00467FE6" w:rsidRDefault="00FF1F9E" w:rsidP="002E076A">
      <w:pPr>
        <w:tabs>
          <w:tab w:val="left" w:pos="567"/>
        </w:tabs>
        <w:spacing w:line="300" w:lineRule="auto"/>
        <w:jc w:val="center"/>
        <w:rPr>
          <w:b/>
          <w:bCs/>
        </w:rPr>
      </w:pPr>
    </w:p>
    <w:p w14:paraId="1ADFC640" w14:textId="77777777" w:rsidR="00A47F73" w:rsidRDefault="00A47F73" w:rsidP="002E076A">
      <w:pPr>
        <w:tabs>
          <w:tab w:val="left" w:pos="567"/>
        </w:tabs>
        <w:spacing w:line="300" w:lineRule="auto"/>
        <w:jc w:val="center"/>
        <w:rPr>
          <w:b/>
          <w:bCs/>
        </w:rPr>
      </w:pPr>
    </w:p>
    <w:p w14:paraId="499CAF10" w14:textId="6F5F66EE" w:rsidR="00A47F73" w:rsidRDefault="00A47F73" w:rsidP="002E076A">
      <w:pPr>
        <w:tabs>
          <w:tab w:val="left" w:pos="567"/>
        </w:tabs>
        <w:spacing w:line="300" w:lineRule="auto"/>
        <w:jc w:val="center"/>
        <w:rPr>
          <w:b/>
          <w:bCs/>
        </w:rPr>
      </w:pPr>
    </w:p>
    <w:p w14:paraId="39FCA063" w14:textId="77777777" w:rsidR="00A47F73" w:rsidRDefault="00A47F73" w:rsidP="002E076A">
      <w:pPr>
        <w:tabs>
          <w:tab w:val="left" w:pos="567"/>
        </w:tabs>
        <w:spacing w:line="300" w:lineRule="auto"/>
        <w:jc w:val="center"/>
        <w:rPr>
          <w:b/>
          <w:bCs/>
        </w:rPr>
      </w:pPr>
    </w:p>
    <w:p w14:paraId="1FEF3436" w14:textId="77777777" w:rsidR="00A47F73" w:rsidRDefault="00A47F73" w:rsidP="002E076A">
      <w:pPr>
        <w:tabs>
          <w:tab w:val="left" w:pos="567"/>
        </w:tabs>
        <w:spacing w:line="300" w:lineRule="auto"/>
        <w:jc w:val="center"/>
        <w:rPr>
          <w:b/>
          <w:bCs/>
        </w:rPr>
      </w:pPr>
      <w:bookmarkStart w:id="0" w:name="_GoBack"/>
      <w:bookmarkEnd w:id="0"/>
    </w:p>
    <w:p w14:paraId="07F563C7" w14:textId="56308F1D" w:rsidR="003D6181" w:rsidRPr="00467FE6" w:rsidRDefault="003D6181" w:rsidP="002E076A">
      <w:pPr>
        <w:tabs>
          <w:tab w:val="left" w:pos="567"/>
        </w:tabs>
        <w:spacing w:line="300" w:lineRule="auto"/>
        <w:jc w:val="center"/>
        <w:rPr>
          <w:b/>
          <w:bCs/>
        </w:rPr>
      </w:pPr>
      <w:r w:rsidRPr="00467FE6">
        <w:rPr>
          <w:b/>
          <w:bCs/>
        </w:rPr>
        <w:t>Abstract</w:t>
      </w:r>
    </w:p>
    <w:p w14:paraId="6C0171AD" w14:textId="77777777" w:rsidR="007A35CF" w:rsidRPr="00467FE6" w:rsidRDefault="007A35CF" w:rsidP="002E076A">
      <w:pPr>
        <w:tabs>
          <w:tab w:val="left" w:pos="567"/>
        </w:tabs>
        <w:spacing w:line="300" w:lineRule="auto"/>
        <w:jc w:val="both"/>
      </w:pPr>
    </w:p>
    <w:p w14:paraId="6B62BCE1" w14:textId="702C47B2" w:rsidR="007A35CF" w:rsidRPr="00467FE6" w:rsidRDefault="00875B83" w:rsidP="008101BA">
      <w:pPr>
        <w:tabs>
          <w:tab w:val="left" w:pos="567"/>
          <w:tab w:val="left" w:pos="6301"/>
        </w:tabs>
        <w:spacing w:line="360" w:lineRule="auto"/>
        <w:jc w:val="both"/>
        <w:rPr>
          <w:b/>
          <w:bCs/>
        </w:rPr>
      </w:pPr>
      <w:r w:rsidRPr="00467FE6">
        <w:rPr>
          <w:rFonts w:asciiTheme="majorBidi" w:hAnsiTheme="majorBidi" w:cstheme="majorBidi"/>
        </w:rPr>
        <w:t>In this paper, we examine the relationship between biomass fuel consumption and measures of life expectancy and infant and child mortality. We hypothesize that solid fuel consumption at the country-level causes higher infant and child mortality, and lower male and female life expectancy at birth. Importantly our empirical strategy, using 13 years of cross-country panel data covering 101 countries at all levels of development over the period 2000-2012, allows us to obtain the causal impacts of solid fuel use on health outcomes. To obtain causal estimates, we use as instruments the proportion of the land area that is forested, and the total quantities of country-level oil and gas production. All three instruments are strong and plausibly exogenous to the determination of mortality at the country level. In our preferred instrumental variable specification, we find that solid fuel combustion causes increases in child mortality and decreases in male and female life expectancy. Our findings have important policy implications and suggest that governments, particularly of developing and middle-income countries, should focus efforts to reduce solid fuel use and encourage cleaner fuel use, in order to improve the health and well-being of their populations.</w:t>
      </w:r>
    </w:p>
    <w:p w14:paraId="38BED92A" w14:textId="77777777" w:rsidR="00FF1F9E" w:rsidRPr="00467FE6" w:rsidRDefault="00FF1F9E" w:rsidP="002E076A">
      <w:pPr>
        <w:tabs>
          <w:tab w:val="left" w:pos="567"/>
        </w:tabs>
        <w:spacing w:line="300" w:lineRule="auto"/>
        <w:jc w:val="center"/>
        <w:rPr>
          <w:b/>
          <w:bCs/>
        </w:rPr>
      </w:pPr>
    </w:p>
    <w:p w14:paraId="5BA3F9D0" w14:textId="77777777" w:rsidR="00FF1F9E" w:rsidRPr="00467FE6" w:rsidRDefault="00FF1F9E" w:rsidP="002E076A">
      <w:pPr>
        <w:tabs>
          <w:tab w:val="left" w:pos="567"/>
        </w:tabs>
        <w:spacing w:line="300" w:lineRule="auto"/>
        <w:jc w:val="center"/>
        <w:rPr>
          <w:b/>
          <w:bCs/>
        </w:rPr>
      </w:pPr>
    </w:p>
    <w:p w14:paraId="44D7A2AF" w14:textId="33DA600F" w:rsidR="00A25C2D" w:rsidRPr="00467FE6" w:rsidRDefault="00A25C2D" w:rsidP="002E076A">
      <w:pPr>
        <w:tabs>
          <w:tab w:val="left" w:pos="567"/>
        </w:tabs>
        <w:spacing w:line="300" w:lineRule="auto"/>
        <w:jc w:val="center"/>
      </w:pPr>
      <w:r w:rsidRPr="00467FE6">
        <w:rPr>
          <w:b/>
          <w:bCs/>
        </w:rPr>
        <w:t>Keywords</w:t>
      </w:r>
    </w:p>
    <w:p w14:paraId="3E03250E" w14:textId="7028DC1A" w:rsidR="00A25C2D" w:rsidRPr="00467FE6" w:rsidRDefault="00C727D2" w:rsidP="002E076A">
      <w:pPr>
        <w:tabs>
          <w:tab w:val="left" w:pos="567"/>
        </w:tabs>
        <w:spacing w:line="300" w:lineRule="auto"/>
        <w:jc w:val="center"/>
      </w:pPr>
      <w:r w:rsidRPr="00467FE6">
        <w:t>s</w:t>
      </w:r>
      <w:r w:rsidR="00A25C2D" w:rsidRPr="00467FE6">
        <w:t>olid fuels</w:t>
      </w:r>
    </w:p>
    <w:p w14:paraId="0324B48D" w14:textId="4E7499BF" w:rsidR="00A25C2D" w:rsidRPr="00467FE6" w:rsidRDefault="00C727D2" w:rsidP="002E076A">
      <w:pPr>
        <w:tabs>
          <w:tab w:val="left" w:pos="567"/>
        </w:tabs>
        <w:spacing w:line="300" w:lineRule="auto"/>
        <w:jc w:val="center"/>
      </w:pPr>
      <w:r w:rsidRPr="00467FE6">
        <w:t>i</w:t>
      </w:r>
      <w:r w:rsidR="00A25C2D" w:rsidRPr="00467FE6">
        <w:t>ndoor air pollution</w:t>
      </w:r>
    </w:p>
    <w:p w14:paraId="7685E071" w14:textId="61390694" w:rsidR="0089140D" w:rsidRPr="00467FE6" w:rsidRDefault="00C727D2" w:rsidP="002E076A">
      <w:pPr>
        <w:tabs>
          <w:tab w:val="left" w:pos="567"/>
        </w:tabs>
        <w:spacing w:line="300" w:lineRule="auto"/>
        <w:jc w:val="center"/>
      </w:pPr>
      <w:r w:rsidRPr="00467FE6">
        <w:t>c</w:t>
      </w:r>
      <w:r w:rsidR="00A25C2D" w:rsidRPr="00467FE6">
        <w:t>hild</w:t>
      </w:r>
      <w:r w:rsidR="007A35CF" w:rsidRPr="00467FE6">
        <w:t xml:space="preserve"> </w:t>
      </w:r>
      <w:r w:rsidR="00A25C2D" w:rsidRPr="00467FE6">
        <w:t>mortality</w:t>
      </w:r>
    </w:p>
    <w:p w14:paraId="45F4F52E" w14:textId="63BE36A7" w:rsidR="007A35CF" w:rsidRPr="00467FE6" w:rsidRDefault="00280920" w:rsidP="002E076A">
      <w:pPr>
        <w:tabs>
          <w:tab w:val="left" w:pos="567"/>
        </w:tabs>
        <w:spacing w:line="300" w:lineRule="auto"/>
        <w:jc w:val="center"/>
      </w:pPr>
      <w:r w:rsidRPr="00467FE6">
        <w:t>l</w:t>
      </w:r>
      <w:r w:rsidR="00A25C2D" w:rsidRPr="00467FE6">
        <w:t>ife expectancy</w:t>
      </w:r>
    </w:p>
    <w:p w14:paraId="616EBFD9" w14:textId="77777777" w:rsidR="00C44AC9" w:rsidRPr="00467FE6" w:rsidRDefault="00C44AC9" w:rsidP="002E076A">
      <w:pPr>
        <w:tabs>
          <w:tab w:val="left" w:pos="567"/>
        </w:tabs>
        <w:autoSpaceDE w:val="0"/>
        <w:autoSpaceDN w:val="0"/>
        <w:adjustRightInd w:val="0"/>
        <w:spacing w:line="300" w:lineRule="auto"/>
        <w:rPr>
          <w:b/>
        </w:rPr>
      </w:pPr>
    </w:p>
    <w:p w14:paraId="48F4B51E" w14:textId="77777777" w:rsidR="00FF1F9E" w:rsidRPr="00467FE6" w:rsidRDefault="00FF1F9E" w:rsidP="002E076A">
      <w:pPr>
        <w:tabs>
          <w:tab w:val="left" w:pos="567"/>
        </w:tabs>
        <w:autoSpaceDE w:val="0"/>
        <w:autoSpaceDN w:val="0"/>
        <w:adjustRightInd w:val="0"/>
        <w:spacing w:line="300" w:lineRule="auto"/>
        <w:jc w:val="center"/>
        <w:rPr>
          <w:b/>
        </w:rPr>
      </w:pPr>
    </w:p>
    <w:p w14:paraId="508123E3" w14:textId="37F18E81" w:rsidR="00A25C2D" w:rsidRPr="00467FE6" w:rsidRDefault="00422688" w:rsidP="002E076A">
      <w:pPr>
        <w:tabs>
          <w:tab w:val="left" w:pos="567"/>
        </w:tabs>
        <w:autoSpaceDE w:val="0"/>
        <w:autoSpaceDN w:val="0"/>
        <w:adjustRightInd w:val="0"/>
        <w:spacing w:line="300" w:lineRule="auto"/>
        <w:jc w:val="center"/>
        <w:rPr>
          <w:b/>
        </w:rPr>
      </w:pPr>
      <w:r w:rsidRPr="00467FE6">
        <w:rPr>
          <w:b/>
        </w:rPr>
        <w:t>JEL</w:t>
      </w:r>
      <w:r w:rsidR="00A25C2D" w:rsidRPr="00467FE6">
        <w:rPr>
          <w:b/>
        </w:rPr>
        <w:t xml:space="preserve"> Classification</w:t>
      </w:r>
    </w:p>
    <w:p w14:paraId="6691563A" w14:textId="30D2140C" w:rsidR="00692810" w:rsidRPr="00467FE6" w:rsidRDefault="00E70E27" w:rsidP="002E076A">
      <w:pPr>
        <w:tabs>
          <w:tab w:val="left" w:pos="567"/>
        </w:tabs>
        <w:autoSpaceDE w:val="0"/>
        <w:autoSpaceDN w:val="0"/>
        <w:adjustRightInd w:val="0"/>
        <w:spacing w:line="300" w:lineRule="auto"/>
        <w:jc w:val="center"/>
        <w:rPr>
          <w:bCs/>
          <w:lang w:val="it-IT"/>
        </w:rPr>
      </w:pPr>
      <w:r w:rsidRPr="00467FE6">
        <w:rPr>
          <w:bCs/>
          <w:lang w:val="it-IT"/>
        </w:rPr>
        <w:t>I15; Q53; O13</w:t>
      </w:r>
    </w:p>
    <w:p w14:paraId="70A5E78D" w14:textId="77777777" w:rsidR="00692810" w:rsidRPr="00467FE6" w:rsidRDefault="00692810" w:rsidP="002E076A">
      <w:pPr>
        <w:tabs>
          <w:tab w:val="left" w:pos="567"/>
        </w:tabs>
        <w:autoSpaceDE w:val="0"/>
        <w:autoSpaceDN w:val="0"/>
        <w:adjustRightInd w:val="0"/>
        <w:spacing w:line="300" w:lineRule="auto"/>
        <w:rPr>
          <w:b/>
          <w:lang w:val="it-IT"/>
        </w:rPr>
      </w:pPr>
    </w:p>
    <w:p w14:paraId="4ECC62EB" w14:textId="77777777" w:rsidR="00E97B23" w:rsidRPr="00467FE6" w:rsidRDefault="00E97B23" w:rsidP="002E076A">
      <w:pPr>
        <w:tabs>
          <w:tab w:val="left" w:pos="567"/>
        </w:tabs>
        <w:autoSpaceDE w:val="0"/>
        <w:autoSpaceDN w:val="0"/>
        <w:adjustRightInd w:val="0"/>
        <w:spacing w:line="300" w:lineRule="auto"/>
        <w:rPr>
          <w:b/>
          <w:lang w:val="it-IT"/>
        </w:rPr>
      </w:pPr>
    </w:p>
    <w:p w14:paraId="30F4C054" w14:textId="0ABF4E17" w:rsidR="00D364F9" w:rsidRPr="00467FE6" w:rsidRDefault="00D364F9" w:rsidP="002E076A">
      <w:pPr>
        <w:pStyle w:val="Heading1"/>
        <w:tabs>
          <w:tab w:val="left" w:pos="567"/>
        </w:tabs>
        <w:spacing w:before="0" w:line="300" w:lineRule="auto"/>
        <w:ind w:left="284"/>
        <w:rPr>
          <w:rFonts w:ascii="Times New Roman" w:hAnsi="Times New Roman" w:cs="Times New Roman"/>
          <w:sz w:val="24"/>
          <w:szCs w:val="24"/>
          <w:lang w:val="it-IT"/>
        </w:rPr>
      </w:pPr>
      <w:bookmarkStart w:id="1" w:name="_Toc443491016"/>
    </w:p>
    <w:p w14:paraId="68237922" w14:textId="78E80705" w:rsidR="00D364F9" w:rsidRPr="00467FE6" w:rsidRDefault="00D364F9" w:rsidP="002E076A">
      <w:pPr>
        <w:tabs>
          <w:tab w:val="left" w:pos="567"/>
        </w:tabs>
        <w:spacing w:line="300" w:lineRule="auto"/>
        <w:rPr>
          <w:lang w:val="it-IT"/>
        </w:rPr>
      </w:pPr>
    </w:p>
    <w:p w14:paraId="78625043" w14:textId="74E88A95" w:rsidR="00D364F9" w:rsidRPr="00467FE6" w:rsidRDefault="00D364F9" w:rsidP="002E076A">
      <w:pPr>
        <w:tabs>
          <w:tab w:val="left" w:pos="567"/>
        </w:tabs>
        <w:spacing w:line="300" w:lineRule="auto"/>
        <w:rPr>
          <w:lang w:val="it-IT"/>
        </w:rPr>
      </w:pPr>
    </w:p>
    <w:p w14:paraId="70C2D560" w14:textId="798399A0" w:rsidR="00210AC1" w:rsidRPr="00467FE6" w:rsidRDefault="004A323D" w:rsidP="002E076A">
      <w:pPr>
        <w:pStyle w:val="Heading1"/>
        <w:numPr>
          <w:ilvl w:val="0"/>
          <w:numId w:val="20"/>
        </w:numPr>
        <w:tabs>
          <w:tab w:val="left" w:pos="567"/>
        </w:tabs>
        <w:spacing w:before="0" w:line="300" w:lineRule="auto"/>
        <w:ind w:left="284" w:hanging="284"/>
        <w:rPr>
          <w:rFonts w:ascii="Times New Roman" w:hAnsi="Times New Roman" w:cs="Times New Roman"/>
          <w:sz w:val="24"/>
          <w:szCs w:val="24"/>
        </w:rPr>
      </w:pPr>
      <w:r w:rsidRPr="00467FE6">
        <w:rPr>
          <w:rFonts w:ascii="Times New Roman" w:hAnsi="Times New Roman" w:cs="Times New Roman"/>
          <w:sz w:val="24"/>
          <w:szCs w:val="24"/>
        </w:rPr>
        <w:t>Introduction</w:t>
      </w:r>
    </w:p>
    <w:bookmarkEnd w:id="1"/>
    <w:p w14:paraId="0E04D788" w14:textId="77777777" w:rsidR="004A323D" w:rsidRPr="00467FE6" w:rsidRDefault="004A323D" w:rsidP="002E076A">
      <w:pPr>
        <w:tabs>
          <w:tab w:val="left" w:pos="567"/>
        </w:tabs>
        <w:autoSpaceDE w:val="0"/>
        <w:autoSpaceDN w:val="0"/>
        <w:adjustRightInd w:val="0"/>
        <w:spacing w:line="300" w:lineRule="auto"/>
        <w:jc w:val="both"/>
        <w:rPr>
          <w:sz w:val="12"/>
          <w:szCs w:val="12"/>
        </w:rPr>
      </w:pPr>
    </w:p>
    <w:p w14:paraId="17A9EF67" w14:textId="1C3B7B77" w:rsidR="00572FAE" w:rsidRPr="00467FE6" w:rsidRDefault="00875B83" w:rsidP="002E076A">
      <w:pPr>
        <w:tabs>
          <w:tab w:val="left" w:pos="567"/>
        </w:tabs>
        <w:autoSpaceDE w:val="0"/>
        <w:autoSpaceDN w:val="0"/>
        <w:adjustRightInd w:val="0"/>
        <w:spacing w:line="300" w:lineRule="auto"/>
        <w:jc w:val="both"/>
        <w:rPr>
          <w:rFonts w:eastAsiaTheme="minorEastAsia"/>
          <w:lang w:val="en-NZ" w:eastAsia="zh-CN"/>
        </w:rPr>
      </w:pPr>
      <w:r w:rsidRPr="00467FE6">
        <w:t xml:space="preserve">Today, pollution is chiefly responsible for more deaths than AIDS, tuberculosis, obesity, malaria, child and maternal malnutrition, alcohol, road accidents, or wars. Globally in 2015, an estimated </w:t>
      </w:r>
      <w:r w:rsidR="006F4398">
        <w:t>nine</w:t>
      </w:r>
      <w:r w:rsidRPr="00467FE6">
        <w:t xml:space="preserve"> million premature causalities and 14 million years lived with disability were attributed to pollution (</w:t>
      </w:r>
      <w:proofErr w:type="spellStart"/>
      <w:r w:rsidRPr="00467FE6">
        <w:t>Landrigan</w:t>
      </w:r>
      <w:proofErr w:type="spellEnd"/>
      <w:r w:rsidRPr="00467FE6">
        <w:t xml:space="preserve"> </w:t>
      </w:r>
      <w:r w:rsidR="00F21934">
        <w:rPr>
          <w:rFonts w:asciiTheme="majorBidi" w:eastAsiaTheme="minorEastAsia" w:hAnsiTheme="majorBidi" w:cstheme="majorBidi"/>
          <w:i/>
        </w:rPr>
        <w:t>et al.</w:t>
      </w:r>
      <w:r w:rsidR="00F21934" w:rsidRPr="00FF1F9E">
        <w:rPr>
          <w:rFonts w:asciiTheme="majorBidi" w:eastAsiaTheme="minorEastAsia" w:hAnsiTheme="majorBidi" w:cstheme="majorBidi"/>
        </w:rPr>
        <w:t xml:space="preserve"> </w:t>
      </w:r>
      <w:r w:rsidRPr="00467FE6">
        <w:t xml:space="preserve">2017). Furthermore, millions are facing serious diseases such as lung infection, </w:t>
      </w:r>
      <w:proofErr w:type="spellStart"/>
      <w:r w:rsidRPr="00467FE6">
        <w:t>asthama</w:t>
      </w:r>
      <w:proofErr w:type="spellEnd"/>
      <w:r w:rsidRPr="00467FE6">
        <w:t>, tuberculosis (TB), sinus problems, cardiovascular diseases, and cancer (Kim, Jahan and Kabir 2011</w:t>
      </w:r>
      <w:r w:rsidR="00F21934">
        <w:t>,</w:t>
      </w:r>
      <w:r w:rsidRPr="00467FE6">
        <w:t xml:space="preserve"> Lakshmi </w:t>
      </w:r>
      <w:r w:rsidR="00F21934">
        <w:rPr>
          <w:rFonts w:asciiTheme="majorBidi" w:eastAsiaTheme="minorEastAsia" w:hAnsiTheme="majorBidi" w:cstheme="majorBidi"/>
          <w:i/>
        </w:rPr>
        <w:t>et al.</w:t>
      </w:r>
      <w:r w:rsidR="006F4398">
        <w:rPr>
          <w:rFonts w:asciiTheme="majorBidi" w:eastAsiaTheme="minorEastAsia" w:hAnsiTheme="majorBidi" w:cstheme="majorBidi"/>
        </w:rPr>
        <w:t xml:space="preserve"> </w:t>
      </w:r>
      <w:r w:rsidRPr="00467FE6">
        <w:t>2012</w:t>
      </w:r>
      <w:r w:rsidR="006F4398">
        <w:t>,</w:t>
      </w:r>
      <w:r w:rsidRPr="00467FE6">
        <w:t xml:space="preserve"> Mishra 2003b). The consumption of solid fuels remains higher in rural areas than urban </w:t>
      </w:r>
      <w:proofErr w:type="gramStart"/>
      <w:r w:rsidRPr="00467FE6">
        <w:t>areas  (</w:t>
      </w:r>
      <w:proofErr w:type="gramEnd"/>
      <w:r w:rsidRPr="00467FE6">
        <w:t>Irfan, Cameron</w:t>
      </w:r>
      <w:r w:rsidR="006F4398">
        <w:t xml:space="preserve"> and </w:t>
      </w:r>
      <w:r w:rsidRPr="00467FE6">
        <w:t>Hassan 2018) and higher in lower and middle income countries than in developed countries, and the causalities due to indoor air pollution are therefore highest in rural areas of lower and middle income countries (</w:t>
      </w:r>
      <w:proofErr w:type="spellStart"/>
      <w:r w:rsidRPr="00467FE6">
        <w:t>Landrigan</w:t>
      </w:r>
      <w:proofErr w:type="spellEnd"/>
      <w:r w:rsidRPr="00467FE6">
        <w:t xml:space="preserve"> </w:t>
      </w:r>
      <w:r w:rsidR="006F4398">
        <w:rPr>
          <w:rFonts w:asciiTheme="majorBidi" w:eastAsiaTheme="minorEastAsia" w:hAnsiTheme="majorBidi" w:cstheme="majorBidi"/>
          <w:i/>
        </w:rPr>
        <w:t>et al.</w:t>
      </w:r>
      <w:r w:rsidR="009337B3">
        <w:rPr>
          <w:rFonts w:asciiTheme="majorBidi" w:eastAsiaTheme="minorEastAsia" w:hAnsiTheme="majorBidi" w:cstheme="majorBidi"/>
        </w:rPr>
        <w:t xml:space="preserve"> </w:t>
      </w:r>
      <w:r w:rsidRPr="00467FE6">
        <w:t xml:space="preserve">2017). Apart from overall premature deaths due to indoor air pollution, adverse health effects are concentrated among women and children, because women usually cook food for their families and children under age </w:t>
      </w:r>
      <w:r w:rsidR="006F4398">
        <w:t>five</w:t>
      </w:r>
      <w:r w:rsidRPr="00467FE6">
        <w:t xml:space="preserve"> usually accompany their mothers (Edwards and </w:t>
      </w:r>
      <w:proofErr w:type="spellStart"/>
      <w:r w:rsidRPr="00467FE6">
        <w:t>Langpap</w:t>
      </w:r>
      <w:proofErr w:type="spellEnd"/>
      <w:r w:rsidRPr="00467FE6">
        <w:t xml:space="preserve"> 2012). Children and infants are particularly vulnerable because of their underdeveloped immune system is less able to fight against infections. Moreover, infants have limited energy stores that may be insufficient to compensate for the reduced feeding that accompanies respiratory illness (Berman 1991)</w:t>
      </w:r>
      <w:r w:rsidR="00572FAE" w:rsidRPr="00467FE6">
        <w:rPr>
          <w:rFonts w:eastAsiaTheme="minorEastAsia"/>
          <w:lang w:val="en-NZ" w:eastAsia="zh-CN"/>
        </w:rPr>
        <w:t xml:space="preserve">. </w:t>
      </w:r>
    </w:p>
    <w:p w14:paraId="69947D76" w14:textId="77777777" w:rsidR="0089140D" w:rsidRPr="00467FE6" w:rsidRDefault="0089140D" w:rsidP="002E076A">
      <w:pPr>
        <w:tabs>
          <w:tab w:val="left" w:pos="567"/>
        </w:tabs>
        <w:autoSpaceDE w:val="0"/>
        <w:autoSpaceDN w:val="0"/>
        <w:adjustRightInd w:val="0"/>
        <w:spacing w:line="300" w:lineRule="auto"/>
        <w:jc w:val="both"/>
      </w:pPr>
    </w:p>
    <w:p w14:paraId="6C3B7692" w14:textId="2D2321BB" w:rsidR="00692810" w:rsidRPr="00467FE6" w:rsidRDefault="00875B83" w:rsidP="002E076A">
      <w:pPr>
        <w:tabs>
          <w:tab w:val="left" w:pos="567"/>
        </w:tabs>
        <w:autoSpaceDE w:val="0"/>
        <w:autoSpaceDN w:val="0"/>
        <w:adjustRightInd w:val="0"/>
        <w:spacing w:line="300" w:lineRule="auto"/>
        <w:ind w:firstLine="720"/>
        <w:jc w:val="both"/>
      </w:pPr>
      <w:r w:rsidRPr="00467FE6">
        <w:t>Premature deaths and diseases due to indoor air pollution place a great burden on national budgets, increase medical expenditures, and reduce the overall productivity of the economy (</w:t>
      </w:r>
      <w:proofErr w:type="spellStart"/>
      <w:r w:rsidRPr="00467FE6">
        <w:t>Landrigan</w:t>
      </w:r>
      <w:proofErr w:type="spellEnd"/>
      <w:r w:rsidRPr="00467FE6">
        <w:t xml:space="preserve"> and Fuller 2014). Pollution also damages the environment, and forests are depleting because of the excessive use of firewood as a cooking source (Arnold, </w:t>
      </w:r>
      <w:proofErr w:type="spellStart"/>
      <w:r w:rsidRPr="00467FE6">
        <w:t>Köhlin</w:t>
      </w:r>
      <w:proofErr w:type="spellEnd"/>
      <w:r w:rsidRPr="00467FE6">
        <w:t xml:space="preserve"> and Persson, 2006). Worryingly, the overall consumption of solid fuel at household level is also expected to continue increasing until 2030 (Edwards and </w:t>
      </w:r>
      <w:proofErr w:type="spellStart"/>
      <w:r w:rsidRPr="00467FE6">
        <w:t>Langpap</w:t>
      </w:r>
      <w:proofErr w:type="spellEnd"/>
      <w:r w:rsidRPr="00467FE6">
        <w:t xml:space="preserve"> 2012). Currently, almost three billion people in lower income and </w:t>
      </w:r>
      <w:proofErr w:type="gramStart"/>
      <w:r w:rsidRPr="00467FE6">
        <w:t>middle income</w:t>
      </w:r>
      <w:proofErr w:type="gramEnd"/>
      <w:r w:rsidRPr="00467FE6">
        <w:t xml:space="preserve"> countries do not have access to clean or modern energy sources, and hence depend upon solid fuels such as firewood, biomass, crop residues, coal, and charcoal (</w:t>
      </w:r>
      <w:proofErr w:type="spellStart"/>
      <w:r w:rsidRPr="00467FE6">
        <w:t>Landrigan</w:t>
      </w:r>
      <w:proofErr w:type="spellEnd"/>
      <w:r w:rsidRPr="00467FE6">
        <w:t xml:space="preserve"> </w:t>
      </w:r>
      <w:r w:rsidR="006F4398">
        <w:rPr>
          <w:rFonts w:asciiTheme="majorBidi" w:eastAsiaTheme="minorEastAsia" w:hAnsiTheme="majorBidi" w:cstheme="majorBidi"/>
          <w:i/>
        </w:rPr>
        <w:t>et al.</w:t>
      </w:r>
      <w:r w:rsidR="006F4398" w:rsidRPr="00FF1F9E">
        <w:rPr>
          <w:rFonts w:asciiTheme="majorBidi" w:eastAsiaTheme="minorEastAsia" w:hAnsiTheme="majorBidi" w:cstheme="majorBidi"/>
        </w:rPr>
        <w:t xml:space="preserve"> </w:t>
      </w:r>
      <w:r w:rsidRPr="00467FE6">
        <w:t>2017). When these solid fuels are burned, they emit a multitude of complex chemicals including formaldehyde, nitrogen dioxide, carbon monoxide, cilia toxic, polycyclic aromatic hydrocarbons (PAH), and other inhalable particulates (Cooper</w:t>
      </w:r>
      <w:r w:rsidR="006F4398">
        <w:t xml:space="preserve"> </w:t>
      </w:r>
      <w:r w:rsidRPr="00467FE6">
        <w:t>1980</w:t>
      </w:r>
      <w:r w:rsidR="006F4398">
        <w:t>,</w:t>
      </w:r>
      <w:r w:rsidRPr="00467FE6">
        <w:t xml:space="preserve"> Torres-Duque</w:t>
      </w:r>
      <w:r w:rsidR="006F4398" w:rsidRPr="006F4398">
        <w:rPr>
          <w:rFonts w:asciiTheme="majorBidi" w:eastAsiaTheme="minorEastAsia" w:hAnsiTheme="majorBidi" w:cstheme="majorBidi"/>
          <w:i/>
        </w:rPr>
        <w:t xml:space="preserve"> </w:t>
      </w:r>
      <w:r w:rsidR="006F4398">
        <w:rPr>
          <w:rFonts w:asciiTheme="majorBidi" w:eastAsiaTheme="minorEastAsia" w:hAnsiTheme="majorBidi" w:cstheme="majorBidi"/>
          <w:i/>
        </w:rPr>
        <w:t>et al.</w:t>
      </w:r>
      <w:r w:rsidR="006F4398" w:rsidRPr="00FF1F9E">
        <w:rPr>
          <w:rFonts w:asciiTheme="majorBidi" w:eastAsiaTheme="minorEastAsia" w:hAnsiTheme="majorBidi" w:cstheme="majorBidi"/>
        </w:rPr>
        <w:t xml:space="preserve"> </w:t>
      </w:r>
      <w:r w:rsidRPr="00467FE6">
        <w:t>2008), leading to adverse effects on health and the environment</w:t>
      </w:r>
      <w:r w:rsidR="00916749" w:rsidRPr="00467FE6">
        <w:t>.</w:t>
      </w:r>
      <w:r w:rsidR="00CE773C" w:rsidRPr="00467FE6">
        <w:t xml:space="preserve"> </w:t>
      </w:r>
    </w:p>
    <w:p w14:paraId="4AEBE946" w14:textId="77777777" w:rsidR="0089140D" w:rsidRPr="00467FE6" w:rsidRDefault="0089140D" w:rsidP="002E076A">
      <w:pPr>
        <w:tabs>
          <w:tab w:val="left" w:pos="567"/>
        </w:tabs>
        <w:autoSpaceDE w:val="0"/>
        <w:autoSpaceDN w:val="0"/>
        <w:adjustRightInd w:val="0"/>
        <w:spacing w:line="300" w:lineRule="auto"/>
        <w:ind w:firstLine="720"/>
        <w:jc w:val="both"/>
      </w:pPr>
    </w:p>
    <w:p w14:paraId="721C5B21" w14:textId="71B16000" w:rsidR="00A06DFA" w:rsidRPr="00467FE6" w:rsidRDefault="006F4398" w:rsidP="00850CB2">
      <w:pPr>
        <w:tabs>
          <w:tab w:val="left" w:pos="709"/>
        </w:tabs>
        <w:autoSpaceDE w:val="0"/>
        <w:autoSpaceDN w:val="0"/>
        <w:adjustRightInd w:val="0"/>
        <w:spacing w:line="300" w:lineRule="auto"/>
        <w:jc w:val="both"/>
        <w:rPr>
          <w:rFonts w:eastAsiaTheme="minorEastAsia"/>
          <w:lang w:val="en-NZ"/>
        </w:rPr>
      </w:pPr>
      <w:r>
        <w:tab/>
      </w:r>
      <w:r w:rsidR="00875B83" w:rsidRPr="00467FE6">
        <w:t>Despite the substantial collective and individual damages of indoor air pollution, the use of solid fuels is common, especially in developing countries. The prevention of indoor air pollution has not gained the urgency it deserves in international forums. A possible reason of this lack of attention is the lack of awareness of the scope of the problem (</w:t>
      </w:r>
      <w:proofErr w:type="spellStart"/>
      <w:r w:rsidR="00875B83" w:rsidRPr="00467FE6">
        <w:t>Landrigan</w:t>
      </w:r>
      <w:proofErr w:type="spellEnd"/>
      <w:r w:rsidR="00875B83" w:rsidRPr="00467FE6">
        <w:t xml:space="preserve"> and Fuller, 2014). Although a positive association between solid fuel consumption and child mortality (or, more generally, a negative association between solid fuel consumption and health) has been found in many studies (</w:t>
      </w:r>
      <w:r>
        <w:t xml:space="preserve">for example, </w:t>
      </w:r>
      <w:r w:rsidR="00875B83" w:rsidRPr="00467FE6">
        <w:t xml:space="preserve">Mishra (2003), Bloom </w:t>
      </w:r>
      <w:r>
        <w:rPr>
          <w:rFonts w:asciiTheme="majorBidi" w:eastAsiaTheme="minorEastAsia" w:hAnsiTheme="majorBidi" w:cstheme="majorBidi"/>
          <w:i/>
        </w:rPr>
        <w:t>et al.</w:t>
      </w:r>
      <w:r w:rsidRPr="00FF1F9E">
        <w:rPr>
          <w:rFonts w:asciiTheme="majorBidi" w:eastAsiaTheme="minorEastAsia" w:hAnsiTheme="majorBidi" w:cstheme="majorBidi"/>
        </w:rPr>
        <w:t xml:space="preserve"> </w:t>
      </w:r>
      <w:r w:rsidR="00875B83" w:rsidRPr="00467FE6">
        <w:t xml:space="preserve"> (2005)</w:t>
      </w:r>
      <w:r>
        <w:t xml:space="preserve"> </w:t>
      </w:r>
      <w:r w:rsidR="00875B83" w:rsidRPr="00467FE6">
        <w:t xml:space="preserve">and Acharya </w:t>
      </w:r>
      <w:r>
        <w:rPr>
          <w:rFonts w:asciiTheme="majorBidi" w:eastAsiaTheme="minorEastAsia" w:hAnsiTheme="majorBidi" w:cstheme="majorBidi"/>
          <w:i/>
        </w:rPr>
        <w:t>et al.</w:t>
      </w:r>
      <w:r w:rsidRPr="00FF1F9E">
        <w:rPr>
          <w:rFonts w:asciiTheme="majorBidi" w:eastAsiaTheme="minorEastAsia" w:hAnsiTheme="majorBidi" w:cstheme="majorBidi"/>
        </w:rPr>
        <w:t xml:space="preserve"> </w:t>
      </w:r>
      <w:r w:rsidR="00875B83" w:rsidRPr="00467FE6">
        <w:lastRenderedPageBreak/>
        <w:t>(2014)). These earlier studies have failed to establish causal effects, as they have been based on cross-sectional or panel data only. The main objective of this paper is to fill this significant research gap by investigating the causal relationship between indoor air pollution and both mortality and life expectancy. This investigation is important so that policy makers can get better understanding about the adverse health effects of solid fuel consumption and form appropriate policies to reduce the consumption of solid fuels</w:t>
      </w:r>
      <w:r w:rsidR="007E7918" w:rsidRPr="00467FE6">
        <w:rPr>
          <w:rFonts w:eastAsiaTheme="minorEastAsia"/>
          <w:lang w:val="en-NZ"/>
        </w:rPr>
        <w:t xml:space="preserve">. </w:t>
      </w:r>
    </w:p>
    <w:p w14:paraId="3DCC2AF0" w14:textId="77777777" w:rsidR="0089140D" w:rsidRPr="00467FE6" w:rsidRDefault="0089140D" w:rsidP="002E076A">
      <w:pPr>
        <w:tabs>
          <w:tab w:val="left" w:pos="567"/>
        </w:tabs>
        <w:autoSpaceDE w:val="0"/>
        <w:autoSpaceDN w:val="0"/>
        <w:adjustRightInd w:val="0"/>
        <w:spacing w:line="300" w:lineRule="auto"/>
        <w:ind w:firstLine="720"/>
        <w:jc w:val="both"/>
        <w:rPr>
          <w:rFonts w:eastAsiaTheme="minorEastAsia"/>
          <w:lang w:val="en-NZ"/>
        </w:rPr>
      </w:pPr>
    </w:p>
    <w:p w14:paraId="1BD99C06" w14:textId="525CE72E" w:rsidR="00F2540D" w:rsidRPr="00467FE6" w:rsidRDefault="00875B83" w:rsidP="002E076A">
      <w:pPr>
        <w:tabs>
          <w:tab w:val="left" w:pos="567"/>
        </w:tabs>
        <w:autoSpaceDE w:val="0"/>
        <w:autoSpaceDN w:val="0"/>
        <w:adjustRightInd w:val="0"/>
        <w:spacing w:line="300" w:lineRule="auto"/>
        <w:ind w:firstLine="720"/>
        <w:jc w:val="both"/>
        <w:rPr>
          <w:rFonts w:eastAsiaTheme="minorEastAsia"/>
          <w:lang w:val="en-NZ"/>
        </w:rPr>
      </w:pPr>
      <w:r w:rsidRPr="00467FE6">
        <w:rPr>
          <w:rFonts w:eastAsiaTheme="minorEastAsia"/>
          <w:lang w:val="en-NZ"/>
        </w:rPr>
        <w:t>The rest of the paper is structured as follows. Section 2 discusses the relevant literature, Section 3 discusses the data and variables, and Section 4 presents the methodology. In Section 5 we discuss the results, and Section 6 concludes the paper</w:t>
      </w:r>
      <w:r w:rsidR="00D60673" w:rsidRPr="00467FE6">
        <w:rPr>
          <w:rFonts w:eastAsiaTheme="minorEastAsia"/>
          <w:lang w:val="en-NZ"/>
        </w:rPr>
        <w:t>.</w:t>
      </w:r>
    </w:p>
    <w:p w14:paraId="4F5E5964" w14:textId="1653B0E3" w:rsidR="0089140D" w:rsidRPr="00467FE6" w:rsidRDefault="0089140D" w:rsidP="002E076A">
      <w:pPr>
        <w:tabs>
          <w:tab w:val="left" w:pos="567"/>
        </w:tabs>
        <w:autoSpaceDE w:val="0"/>
        <w:autoSpaceDN w:val="0"/>
        <w:adjustRightInd w:val="0"/>
        <w:spacing w:line="300" w:lineRule="auto"/>
        <w:ind w:firstLine="720"/>
        <w:jc w:val="both"/>
        <w:rPr>
          <w:rFonts w:eastAsiaTheme="minorEastAsia"/>
          <w:lang w:val="en-NZ"/>
        </w:rPr>
      </w:pPr>
    </w:p>
    <w:p w14:paraId="23B5BFEB" w14:textId="77777777" w:rsidR="0064624B" w:rsidRPr="00467FE6" w:rsidRDefault="0064624B" w:rsidP="002E076A">
      <w:pPr>
        <w:tabs>
          <w:tab w:val="left" w:pos="567"/>
        </w:tabs>
        <w:autoSpaceDE w:val="0"/>
        <w:autoSpaceDN w:val="0"/>
        <w:adjustRightInd w:val="0"/>
        <w:spacing w:line="300" w:lineRule="auto"/>
        <w:ind w:firstLine="720"/>
        <w:jc w:val="both"/>
        <w:rPr>
          <w:rFonts w:eastAsiaTheme="minorEastAsia"/>
          <w:lang w:val="en-NZ"/>
        </w:rPr>
      </w:pPr>
    </w:p>
    <w:p w14:paraId="06435C4A" w14:textId="3F1D29E6" w:rsidR="00B553ED" w:rsidRPr="00467FE6" w:rsidRDefault="00210AC1" w:rsidP="002E076A">
      <w:pPr>
        <w:pStyle w:val="Heading1"/>
        <w:numPr>
          <w:ilvl w:val="0"/>
          <w:numId w:val="20"/>
        </w:numPr>
        <w:tabs>
          <w:tab w:val="left" w:pos="567"/>
        </w:tabs>
        <w:spacing w:before="0" w:line="300" w:lineRule="auto"/>
        <w:ind w:left="284" w:hanging="284"/>
        <w:rPr>
          <w:rFonts w:ascii="Times New Roman" w:hAnsi="Times New Roman" w:cs="Times New Roman"/>
          <w:sz w:val="24"/>
          <w:szCs w:val="24"/>
        </w:rPr>
      </w:pPr>
      <w:r w:rsidRPr="00467FE6">
        <w:rPr>
          <w:rFonts w:ascii="Times New Roman" w:hAnsi="Times New Roman" w:cs="Times New Roman"/>
          <w:sz w:val="24"/>
          <w:szCs w:val="24"/>
        </w:rPr>
        <w:t xml:space="preserve">Literature </w:t>
      </w:r>
      <w:r w:rsidR="004A323D" w:rsidRPr="00467FE6">
        <w:rPr>
          <w:rFonts w:ascii="Times New Roman" w:hAnsi="Times New Roman" w:cs="Times New Roman"/>
          <w:sz w:val="24"/>
          <w:szCs w:val="24"/>
        </w:rPr>
        <w:t>R</w:t>
      </w:r>
      <w:r w:rsidRPr="00467FE6">
        <w:rPr>
          <w:rFonts w:ascii="Times New Roman" w:hAnsi="Times New Roman" w:cs="Times New Roman"/>
          <w:sz w:val="24"/>
          <w:szCs w:val="24"/>
        </w:rPr>
        <w:t>eview</w:t>
      </w:r>
    </w:p>
    <w:p w14:paraId="23BE578C" w14:textId="77777777" w:rsidR="0064624B" w:rsidRPr="00467FE6" w:rsidRDefault="0064624B" w:rsidP="002E076A">
      <w:pPr>
        <w:tabs>
          <w:tab w:val="left" w:pos="567"/>
        </w:tabs>
        <w:spacing w:line="300" w:lineRule="auto"/>
        <w:jc w:val="both"/>
        <w:rPr>
          <w:rFonts w:eastAsia="AdvSABORR"/>
          <w:sz w:val="12"/>
          <w:szCs w:val="12"/>
        </w:rPr>
      </w:pPr>
    </w:p>
    <w:p w14:paraId="4C27DFD0" w14:textId="754CFF9D" w:rsidR="00892831" w:rsidRPr="00467FE6" w:rsidRDefault="00875B83" w:rsidP="002E076A">
      <w:pPr>
        <w:tabs>
          <w:tab w:val="left" w:pos="567"/>
        </w:tabs>
        <w:spacing w:line="300" w:lineRule="auto"/>
        <w:jc w:val="both"/>
        <w:rPr>
          <w:rFonts w:eastAsia="AdvSABORR"/>
        </w:rPr>
      </w:pPr>
      <w:r w:rsidRPr="00467FE6">
        <w:rPr>
          <w:rFonts w:eastAsia="AdvSABORR"/>
        </w:rPr>
        <w:t xml:space="preserve">An extensive literature is available regarding the impacts of indoor air pollution on health, including review articles such as Bruce, Perez-Padilla, and </w:t>
      </w:r>
      <w:proofErr w:type="spellStart"/>
      <w:r w:rsidRPr="00467FE6">
        <w:rPr>
          <w:rFonts w:eastAsia="AdvSABORR"/>
        </w:rPr>
        <w:t>Albalak</w:t>
      </w:r>
      <w:proofErr w:type="spellEnd"/>
      <w:r w:rsidRPr="00467FE6">
        <w:rPr>
          <w:rFonts w:eastAsia="AdvSABORR"/>
        </w:rPr>
        <w:t xml:space="preserve"> (2000), </w:t>
      </w:r>
      <w:proofErr w:type="spellStart"/>
      <w:r w:rsidRPr="00467FE6">
        <w:rPr>
          <w:rFonts w:eastAsia="AdvSABORR"/>
        </w:rPr>
        <w:t>Ezzati</w:t>
      </w:r>
      <w:proofErr w:type="spellEnd"/>
      <w:r w:rsidRPr="00467FE6">
        <w:rPr>
          <w:rFonts w:eastAsia="AdvSABORR"/>
        </w:rPr>
        <w:t xml:space="preserve"> and </w:t>
      </w:r>
      <w:proofErr w:type="spellStart"/>
      <w:r w:rsidRPr="00467FE6">
        <w:rPr>
          <w:rFonts w:eastAsia="AdvSABORR"/>
        </w:rPr>
        <w:t>Kammen</w:t>
      </w:r>
      <w:proofErr w:type="spellEnd"/>
      <w:r w:rsidRPr="00467FE6">
        <w:rPr>
          <w:rFonts w:eastAsia="AdvSABORR"/>
        </w:rPr>
        <w:t xml:space="preserve"> (2002), Kim </w:t>
      </w:r>
      <w:r w:rsidR="00025D28">
        <w:rPr>
          <w:rFonts w:asciiTheme="majorBidi" w:eastAsiaTheme="minorEastAsia" w:hAnsiTheme="majorBidi" w:cstheme="majorBidi"/>
          <w:i/>
        </w:rPr>
        <w:t>et al.</w:t>
      </w:r>
      <w:r w:rsidR="00025D28" w:rsidRPr="00FF1F9E">
        <w:rPr>
          <w:rFonts w:asciiTheme="majorBidi" w:eastAsiaTheme="minorEastAsia" w:hAnsiTheme="majorBidi" w:cstheme="majorBidi"/>
        </w:rPr>
        <w:t xml:space="preserve"> </w:t>
      </w:r>
      <w:r w:rsidRPr="00467FE6">
        <w:rPr>
          <w:rFonts w:eastAsia="AdvSABORR"/>
        </w:rPr>
        <w:t xml:space="preserve"> (2011), Larson and Rosen (2002), Oluwole, </w:t>
      </w:r>
      <w:proofErr w:type="spellStart"/>
      <w:r w:rsidRPr="00467FE6">
        <w:rPr>
          <w:rFonts w:eastAsia="AdvSABORR"/>
        </w:rPr>
        <w:t>Otaniyi</w:t>
      </w:r>
      <w:proofErr w:type="spellEnd"/>
      <w:r w:rsidRPr="00467FE6">
        <w:rPr>
          <w:rFonts w:eastAsia="AdvSABORR"/>
        </w:rPr>
        <w:t xml:space="preserve">, Ana, and </w:t>
      </w:r>
      <w:proofErr w:type="spellStart"/>
      <w:r w:rsidRPr="00467FE6">
        <w:rPr>
          <w:rFonts w:eastAsia="AdvSABORR"/>
        </w:rPr>
        <w:t>Olopade</w:t>
      </w:r>
      <w:proofErr w:type="spellEnd"/>
      <w:r w:rsidRPr="00467FE6">
        <w:rPr>
          <w:rFonts w:eastAsia="AdvSABORR"/>
        </w:rPr>
        <w:t xml:space="preserve"> (2012), Pandey, Smith, </w:t>
      </w:r>
      <w:proofErr w:type="spellStart"/>
      <w:r w:rsidRPr="00467FE6">
        <w:rPr>
          <w:rFonts w:eastAsia="AdvSABORR"/>
        </w:rPr>
        <w:t>Boleij</w:t>
      </w:r>
      <w:proofErr w:type="spellEnd"/>
      <w:r w:rsidRPr="00467FE6">
        <w:rPr>
          <w:rFonts w:eastAsia="AdvSABORR"/>
        </w:rPr>
        <w:t xml:space="preserve">, and </w:t>
      </w:r>
      <w:proofErr w:type="spellStart"/>
      <w:r w:rsidRPr="00467FE6">
        <w:rPr>
          <w:rFonts w:eastAsia="AdvSABORR"/>
        </w:rPr>
        <w:t>Wafula</w:t>
      </w:r>
      <w:proofErr w:type="spellEnd"/>
      <w:r w:rsidRPr="00467FE6">
        <w:rPr>
          <w:rFonts w:eastAsia="AdvSABORR"/>
        </w:rPr>
        <w:t xml:space="preserve"> (1989)</w:t>
      </w:r>
      <w:r w:rsidR="006F4398">
        <w:rPr>
          <w:rFonts w:eastAsia="AdvSABORR"/>
        </w:rPr>
        <w:t xml:space="preserve"> and</w:t>
      </w:r>
      <w:r w:rsidRPr="00467FE6">
        <w:rPr>
          <w:rFonts w:eastAsia="AdvSABORR"/>
        </w:rPr>
        <w:t xml:space="preserve"> Smith (2002). Despite these numerous reviews, there remains a severe lack of cross-country empirical research in particular</w:t>
      </w:r>
      <w:r w:rsidR="00904B84" w:rsidRPr="00467FE6">
        <w:rPr>
          <w:rFonts w:eastAsia="AdvSABORR"/>
        </w:rPr>
        <w:t xml:space="preserve">. </w:t>
      </w:r>
    </w:p>
    <w:p w14:paraId="7447331A" w14:textId="77777777" w:rsidR="0089140D" w:rsidRPr="00467FE6" w:rsidRDefault="0089140D" w:rsidP="002E076A">
      <w:pPr>
        <w:tabs>
          <w:tab w:val="left" w:pos="567"/>
        </w:tabs>
        <w:spacing w:line="300" w:lineRule="auto"/>
        <w:jc w:val="both"/>
      </w:pPr>
    </w:p>
    <w:p w14:paraId="0C367B95" w14:textId="27479DF1" w:rsidR="00EA66AA" w:rsidRPr="00467FE6" w:rsidRDefault="00875B83" w:rsidP="002E076A">
      <w:pPr>
        <w:tabs>
          <w:tab w:val="left" w:pos="567"/>
        </w:tabs>
        <w:spacing w:line="300" w:lineRule="auto"/>
        <w:ind w:firstLine="720"/>
        <w:jc w:val="both"/>
      </w:pPr>
      <w:r w:rsidRPr="00467FE6">
        <w:t xml:space="preserve">Among studies at the individual level, Edwards and </w:t>
      </w:r>
      <w:proofErr w:type="spellStart"/>
      <w:r w:rsidRPr="00467FE6">
        <w:t>Langpap</w:t>
      </w:r>
      <w:proofErr w:type="spellEnd"/>
      <w:r w:rsidRPr="00467FE6">
        <w:t xml:space="preserve"> (2012) investigated the impact of firewood consumption on the health of women and of children aged under five years in Guatemala, as well as the consequences of cooking inside the home. They applied probit and Two-Stage Least Squares (2SLS) regression analysis on Living Standards Measurement Survey data (for the year 2000), and</w:t>
      </w:r>
      <w:r w:rsidR="00025D28">
        <w:t xml:space="preserve"> </w:t>
      </w:r>
      <w:r w:rsidRPr="00467FE6">
        <w:t>found that firewood consumption was positively associated with the probability that a child had a respiratory disease</w:t>
      </w:r>
      <w:r w:rsidR="00B47FF3" w:rsidRPr="00467FE6">
        <w:t xml:space="preserve">. </w:t>
      </w:r>
    </w:p>
    <w:p w14:paraId="5B8FF127" w14:textId="77777777" w:rsidR="0089140D" w:rsidRPr="00467FE6" w:rsidRDefault="0089140D" w:rsidP="002E076A">
      <w:pPr>
        <w:tabs>
          <w:tab w:val="left" w:pos="567"/>
        </w:tabs>
        <w:spacing w:line="300" w:lineRule="auto"/>
        <w:ind w:firstLine="720"/>
        <w:jc w:val="both"/>
      </w:pPr>
    </w:p>
    <w:p w14:paraId="3167751E" w14:textId="60188EE3" w:rsidR="00A4641D" w:rsidRPr="00467FE6" w:rsidRDefault="00875B83" w:rsidP="002E076A">
      <w:pPr>
        <w:tabs>
          <w:tab w:val="left" w:pos="567"/>
        </w:tabs>
        <w:spacing w:line="300" w:lineRule="auto"/>
        <w:ind w:firstLine="720"/>
        <w:jc w:val="both"/>
      </w:pPr>
      <w:r w:rsidRPr="00467FE6">
        <w:t xml:space="preserve">Similarly, Mishra (2003b) examined the effect of biomass combustion on children aged under five years in Zimbabwe. They used Zimbabwe Demographic and Health Survey 1999 data, and logistic regression on the probability of suffering from Acute Respiratory Infections (ARI). They concluded that fossil fuel combustion was significantly and negatively associated with children’s health. Likewise, in Nepal </w:t>
      </w:r>
      <w:r w:rsidR="00025D28">
        <w:t>(</w:t>
      </w:r>
      <w:r w:rsidRPr="00467FE6">
        <w:t xml:space="preserve">Acharya </w:t>
      </w:r>
      <w:r w:rsidR="00025D28">
        <w:rPr>
          <w:rFonts w:asciiTheme="majorBidi" w:eastAsiaTheme="minorEastAsia" w:hAnsiTheme="majorBidi" w:cstheme="majorBidi"/>
          <w:i/>
        </w:rPr>
        <w:t>et al.</w:t>
      </w:r>
      <w:r w:rsidR="00025D28" w:rsidRPr="00FF1F9E">
        <w:rPr>
          <w:rFonts w:asciiTheme="majorBidi" w:eastAsiaTheme="minorEastAsia" w:hAnsiTheme="majorBidi" w:cstheme="majorBidi"/>
        </w:rPr>
        <w:t xml:space="preserve"> </w:t>
      </w:r>
      <w:r w:rsidRPr="00467FE6">
        <w:t xml:space="preserve">2014) and in South Africa </w:t>
      </w:r>
      <w:r w:rsidR="00025D28">
        <w:t>(</w:t>
      </w:r>
      <w:r w:rsidRPr="00467FE6">
        <w:t xml:space="preserve">Barnes </w:t>
      </w:r>
      <w:r w:rsidR="00025D28">
        <w:rPr>
          <w:rFonts w:asciiTheme="majorBidi" w:eastAsiaTheme="minorEastAsia" w:hAnsiTheme="majorBidi" w:cstheme="majorBidi"/>
          <w:i/>
        </w:rPr>
        <w:t>et al.</w:t>
      </w:r>
      <w:r w:rsidR="00025D28">
        <w:rPr>
          <w:rFonts w:asciiTheme="majorBidi" w:eastAsiaTheme="minorEastAsia" w:hAnsiTheme="majorBidi" w:cstheme="majorBidi"/>
        </w:rPr>
        <w:t xml:space="preserve"> </w:t>
      </w:r>
      <w:r w:rsidRPr="00467FE6">
        <w:t xml:space="preserve">2009) found positive associations between ARI and solid fuel consumption among children under five years. Using panel data from India, Upadhyay </w:t>
      </w:r>
      <w:r w:rsidR="00025D28">
        <w:rPr>
          <w:rFonts w:asciiTheme="majorBidi" w:eastAsiaTheme="minorEastAsia" w:hAnsiTheme="majorBidi" w:cstheme="majorBidi"/>
          <w:i/>
        </w:rPr>
        <w:t>et al.</w:t>
      </w:r>
      <w:r w:rsidR="00025D28">
        <w:rPr>
          <w:rFonts w:asciiTheme="majorBidi" w:eastAsiaTheme="minorEastAsia" w:hAnsiTheme="majorBidi" w:cstheme="majorBidi"/>
        </w:rPr>
        <w:t xml:space="preserve"> </w:t>
      </w:r>
      <w:r w:rsidRPr="00467FE6">
        <w:t>(2015) similarly found a negative association between solid fuel consumption and children’s health</w:t>
      </w:r>
      <w:r w:rsidR="00630258" w:rsidRPr="00467FE6">
        <w:t xml:space="preserve">. </w:t>
      </w:r>
    </w:p>
    <w:p w14:paraId="3381EFDE" w14:textId="77777777" w:rsidR="0089140D" w:rsidRPr="00467FE6" w:rsidRDefault="0089140D" w:rsidP="002E076A">
      <w:pPr>
        <w:tabs>
          <w:tab w:val="left" w:pos="567"/>
        </w:tabs>
        <w:spacing w:line="300" w:lineRule="auto"/>
        <w:ind w:firstLine="720"/>
        <w:jc w:val="both"/>
      </w:pPr>
    </w:p>
    <w:p w14:paraId="6904D64A" w14:textId="7895D6F2" w:rsidR="000145B7" w:rsidRPr="00467FE6" w:rsidRDefault="00875B83" w:rsidP="002E076A">
      <w:pPr>
        <w:tabs>
          <w:tab w:val="left" w:pos="567"/>
        </w:tabs>
        <w:spacing w:line="300" w:lineRule="auto"/>
        <w:ind w:firstLine="720"/>
        <w:jc w:val="both"/>
      </w:pPr>
      <w:r w:rsidRPr="00467FE6">
        <w:t xml:space="preserve">In a study in Bangladesh using primary data from 49 households, </w:t>
      </w:r>
      <w:proofErr w:type="spellStart"/>
      <w:r w:rsidRPr="00467FE6">
        <w:t>Khalequzzaman</w:t>
      </w:r>
      <w:proofErr w:type="spellEnd"/>
      <w:r w:rsidRPr="00467FE6">
        <w:t xml:space="preserve"> </w:t>
      </w:r>
      <w:r w:rsidR="00025D28">
        <w:rPr>
          <w:rFonts w:asciiTheme="majorBidi" w:eastAsiaTheme="minorEastAsia" w:hAnsiTheme="majorBidi" w:cstheme="majorBidi"/>
          <w:i/>
        </w:rPr>
        <w:t>et al.</w:t>
      </w:r>
      <w:r w:rsidR="00025D28" w:rsidRPr="00FF1F9E">
        <w:rPr>
          <w:rFonts w:asciiTheme="majorBidi" w:eastAsiaTheme="minorEastAsia" w:hAnsiTheme="majorBidi" w:cstheme="majorBidi"/>
        </w:rPr>
        <w:t xml:space="preserve"> </w:t>
      </w:r>
      <w:r w:rsidRPr="00467FE6">
        <w:t xml:space="preserve">(2007) first measured the amount of harmful gases (carbon dioxide, carbon monoxide, nitrogen dioxide, dust, and volatile organic compound) that were emitted from the energy sources used for cooking. They found that solid fuels such as fuelwood and crop residues were the main </w:t>
      </w:r>
      <w:r w:rsidRPr="00467FE6">
        <w:lastRenderedPageBreak/>
        <w:t>emitters of harmful gases, and then they concluded that these gases are affecting children’s health negatively. In other words, consumption of solid fuels (fuelwood, crop residues) were putting children’s health at risk</w:t>
      </w:r>
      <w:r w:rsidR="00440662" w:rsidRPr="00467FE6">
        <w:t xml:space="preserve">. </w:t>
      </w:r>
    </w:p>
    <w:p w14:paraId="01E9044E" w14:textId="77777777" w:rsidR="0089140D" w:rsidRPr="00467FE6" w:rsidRDefault="0089140D" w:rsidP="002E076A">
      <w:pPr>
        <w:tabs>
          <w:tab w:val="left" w:pos="567"/>
        </w:tabs>
        <w:spacing w:line="300" w:lineRule="auto"/>
        <w:ind w:firstLine="720"/>
        <w:jc w:val="both"/>
      </w:pPr>
    </w:p>
    <w:p w14:paraId="799DBF47" w14:textId="323DFF77" w:rsidR="001F2293" w:rsidRPr="00467FE6" w:rsidRDefault="00875B83" w:rsidP="002E076A">
      <w:pPr>
        <w:tabs>
          <w:tab w:val="left" w:pos="567"/>
        </w:tabs>
        <w:spacing w:line="300" w:lineRule="auto"/>
        <w:ind w:firstLine="720"/>
        <w:jc w:val="both"/>
      </w:pPr>
      <w:r w:rsidRPr="00467FE6">
        <w:rPr>
          <w:rFonts w:eastAsiaTheme="minorEastAsia"/>
        </w:rPr>
        <w:t xml:space="preserve">Cross-country investigations of these relationships are much less common, as are investigations of the relationship between life expectancy and solid fuel consumption. Pope, </w:t>
      </w:r>
      <w:proofErr w:type="spellStart"/>
      <w:r w:rsidRPr="00467FE6">
        <w:rPr>
          <w:rFonts w:eastAsiaTheme="minorEastAsia"/>
        </w:rPr>
        <w:t>Ezzati</w:t>
      </w:r>
      <w:proofErr w:type="spellEnd"/>
      <w:r w:rsidR="00025D28">
        <w:rPr>
          <w:rFonts w:eastAsiaTheme="minorEastAsia"/>
        </w:rPr>
        <w:t xml:space="preserve"> </w:t>
      </w:r>
      <w:r w:rsidRPr="00467FE6">
        <w:rPr>
          <w:rFonts w:eastAsiaTheme="minorEastAsia"/>
        </w:rPr>
        <w:t>and Dockery (2009) found a negative relationship between air pollution and life expectancy in the United States. The impact of solid fuel consumption on the health of elderly people (&gt;60 years) was examined by Mishra (2003a) in India. He found that the probability of being an asthma patient was two times higher for elderly people living in households using solid fuels than those residing in homes that used clean cooking fuels. Imelda (2018) used a quasi-experiment to establish the causal relationship between kerosene use and infant mortality in Indonesia. They used three rounds of the Indonesian Demographic and Health survey for the years 2002, 2007, and 2012. Having segregated the regions on the basis of subsidy given on LPG, they found that the infant mortality rate was lower in regions where households had shifted from kerosene to LPG use. The study concluded that the LPG subsidy program saved 600 infants death annually in Indonesia. However, the study data was based on repeated cross-sections rather than panel data, and only considered the impact of kerosene consumption on health</w:t>
      </w:r>
      <w:r w:rsidR="00243CC3" w:rsidRPr="00467FE6">
        <w:t xml:space="preserve">. </w:t>
      </w:r>
    </w:p>
    <w:p w14:paraId="129CDB07" w14:textId="77777777" w:rsidR="0089140D" w:rsidRPr="009F2AA5" w:rsidRDefault="0089140D" w:rsidP="002E076A">
      <w:pPr>
        <w:tabs>
          <w:tab w:val="left" w:pos="567"/>
        </w:tabs>
        <w:spacing w:line="300" w:lineRule="auto"/>
        <w:ind w:firstLine="720"/>
        <w:jc w:val="both"/>
        <w:rPr>
          <w:sz w:val="16"/>
          <w:szCs w:val="16"/>
        </w:rPr>
      </w:pPr>
    </w:p>
    <w:p w14:paraId="33C0044D" w14:textId="3D5CBBA8" w:rsidR="00A75581" w:rsidRPr="00467FE6" w:rsidRDefault="00875B83" w:rsidP="002E076A">
      <w:pPr>
        <w:tabs>
          <w:tab w:val="left" w:pos="567"/>
        </w:tabs>
        <w:spacing w:line="300" w:lineRule="auto"/>
        <w:ind w:firstLine="720"/>
        <w:jc w:val="both"/>
        <w:rPr>
          <w:rFonts w:eastAsiaTheme="minorEastAsia"/>
        </w:rPr>
      </w:pPr>
      <w:r w:rsidRPr="00467FE6">
        <w:rPr>
          <w:rFonts w:eastAsiaTheme="minorEastAsia"/>
        </w:rPr>
        <w:t xml:space="preserve">The study bearing the most similarity to our paper is Bloom </w:t>
      </w:r>
      <w:r w:rsidR="00025D28">
        <w:rPr>
          <w:rFonts w:asciiTheme="majorBidi" w:eastAsiaTheme="minorEastAsia" w:hAnsiTheme="majorBidi" w:cstheme="majorBidi"/>
          <w:i/>
        </w:rPr>
        <w:t>et al.</w:t>
      </w:r>
      <w:r w:rsidR="00025D28" w:rsidRPr="00FF1F9E">
        <w:rPr>
          <w:rFonts w:asciiTheme="majorBidi" w:eastAsiaTheme="minorEastAsia" w:hAnsiTheme="majorBidi" w:cstheme="majorBidi"/>
        </w:rPr>
        <w:t xml:space="preserve"> </w:t>
      </w:r>
      <w:r w:rsidRPr="00467FE6">
        <w:rPr>
          <w:rFonts w:eastAsiaTheme="minorEastAsia"/>
        </w:rPr>
        <w:t xml:space="preserve">(2005), who used cross-country data for 162 countries to investigate the health impacts of solid fuel combustion on life expectancy and child mortality. They concluded that biomass combustion was positively associated with child mortality and negatively associated with life expectancy. Our study builds on Bloom </w:t>
      </w:r>
      <w:r w:rsidR="00025D28">
        <w:rPr>
          <w:rFonts w:asciiTheme="majorBidi" w:eastAsiaTheme="minorEastAsia" w:hAnsiTheme="majorBidi" w:cstheme="majorBidi"/>
          <w:i/>
        </w:rPr>
        <w:t>et al.</w:t>
      </w:r>
      <w:r w:rsidR="00025D28" w:rsidRPr="00FF1F9E">
        <w:rPr>
          <w:rFonts w:asciiTheme="majorBidi" w:eastAsiaTheme="minorEastAsia" w:hAnsiTheme="majorBidi" w:cstheme="majorBidi"/>
        </w:rPr>
        <w:t xml:space="preserve"> </w:t>
      </w:r>
      <w:r w:rsidRPr="00467FE6">
        <w:rPr>
          <w:rFonts w:eastAsiaTheme="minorEastAsia"/>
        </w:rPr>
        <w:t xml:space="preserve"> (2005), by using panel data and adopting an instrumental variables approach to demonstrate causal, rather than correlational, effects. Although our results do not differ qualitatively from those of the earlier study, their robustness and the attribution of causality makes them more suitable for policy applications, as suggested by Barnes </w:t>
      </w:r>
      <w:r w:rsidR="00025D28">
        <w:rPr>
          <w:rFonts w:asciiTheme="majorBidi" w:eastAsiaTheme="minorEastAsia" w:hAnsiTheme="majorBidi" w:cstheme="majorBidi"/>
          <w:i/>
        </w:rPr>
        <w:t>et al.</w:t>
      </w:r>
      <w:r w:rsidR="00025D28" w:rsidRPr="00FF1F9E">
        <w:rPr>
          <w:rFonts w:asciiTheme="majorBidi" w:eastAsiaTheme="minorEastAsia" w:hAnsiTheme="majorBidi" w:cstheme="majorBidi"/>
        </w:rPr>
        <w:t xml:space="preserve"> </w:t>
      </w:r>
      <w:r w:rsidRPr="00467FE6">
        <w:rPr>
          <w:rFonts w:eastAsiaTheme="minorEastAsia"/>
        </w:rPr>
        <w:t xml:space="preserve"> (2009) and </w:t>
      </w:r>
      <w:proofErr w:type="spellStart"/>
      <w:r w:rsidRPr="00467FE6">
        <w:rPr>
          <w:rFonts w:eastAsiaTheme="minorEastAsia"/>
        </w:rPr>
        <w:t>Landrigan</w:t>
      </w:r>
      <w:proofErr w:type="spellEnd"/>
      <w:r w:rsidRPr="00467FE6">
        <w:rPr>
          <w:rFonts w:eastAsiaTheme="minorEastAsia"/>
        </w:rPr>
        <w:t xml:space="preserve"> </w:t>
      </w:r>
      <w:r w:rsidR="00025D28">
        <w:rPr>
          <w:rFonts w:asciiTheme="majorBidi" w:eastAsiaTheme="minorEastAsia" w:hAnsiTheme="majorBidi" w:cstheme="majorBidi"/>
          <w:i/>
        </w:rPr>
        <w:t>et al.</w:t>
      </w:r>
      <w:r w:rsidR="00025D28" w:rsidRPr="00FF1F9E">
        <w:rPr>
          <w:rFonts w:asciiTheme="majorBidi" w:eastAsiaTheme="minorEastAsia" w:hAnsiTheme="majorBidi" w:cstheme="majorBidi"/>
        </w:rPr>
        <w:t xml:space="preserve"> </w:t>
      </w:r>
      <w:r w:rsidRPr="00467FE6">
        <w:rPr>
          <w:rFonts w:eastAsiaTheme="minorEastAsia"/>
        </w:rPr>
        <w:t>(2017</w:t>
      </w:r>
      <w:r w:rsidR="00E163E1" w:rsidRPr="00467FE6">
        <w:rPr>
          <w:rFonts w:eastAsiaTheme="minorEastAsia"/>
        </w:rPr>
        <w:t>).</w:t>
      </w:r>
    </w:p>
    <w:p w14:paraId="4C2C246A" w14:textId="6CA7D8EE" w:rsidR="0089140D" w:rsidRPr="00467FE6" w:rsidRDefault="0089140D" w:rsidP="002E076A">
      <w:pPr>
        <w:tabs>
          <w:tab w:val="left" w:pos="567"/>
        </w:tabs>
        <w:spacing w:line="300" w:lineRule="auto"/>
        <w:ind w:firstLine="720"/>
        <w:jc w:val="both"/>
        <w:rPr>
          <w:rFonts w:eastAsiaTheme="minorEastAsia"/>
        </w:rPr>
      </w:pPr>
    </w:p>
    <w:p w14:paraId="0E1CB92D" w14:textId="007ECAF7" w:rsidR="00082B6E" w:rsidRPr="00467FE6" w:rsidRDefault="009275A6" w:rsidP="002E076A">
      <w:pPr>
        <w:pStyle w:val="ListParagraph"/>
        <w:numPr>
          <w:ilvl w:val="0"/>
          <w:numId w:val="20"/>
        </w:numPr>
        <w:tabs>
          <w:tab w:val="left" w:pos="567"/>
        </w:tabs>
        <w:spacing w:line="300" w:lineRule="auto"/>
        <w:rPr>
          <w:b/>
          <w:bCs/>
          <w:lang w:val="en-NZ"/>
        </w:rPr>
      </w:pPr>
      <w:r w:rsidRPr="00467FE6">
        <w:rPr>
          <w:b/>
          <w:bCs/>
          <w:lang w:val="en-NZ"/>
        </w:rPr>
        <w:t>D</w:t>
      </w:r>
      <w:r w:rsidR="004A323D" w:rsidRPr="00467FE6">
        <w:rPr>
          <w:b/>
          <w:bCs/>
          <w:lang w:val="en-NZ"/>
        </w:rPr>
        <w:t>ata and Variables</w:t>
      </w:r>
    </w:p>
    <w:p w14:paraId="434E9472" w14:textId="77777777" w:rsidR="004A323D" w:rsidRPr="00467FE6" w:rsidRDefault="004A323D" w:rsidP="002E076A">
      <w:pPr>
        <w:tabs>
          <w:tab w:val="left" w:pos="567"/>
        </w:tabs>
        <w:spacing w:line="300" w:lineRule="auto"/>
        <w:jc w:val="both"/>
        <w:rPr>
          <w:rFonts w:eastAsiaTheme="minorEastAsia"/>
          <w:sz w:val="12"/>
          <w:szCs w:val="12"/>
        </w:rPr>
      </w:pPr>
    </w:p>
    <w:p w14:paraId="137F5DB0" w14:textId="7333F510" w:rsidR="004A323D" w:rsidRPr="00467FE6" w:rsidRDefault="00875B83" w:rsidP="002E076A">
      <w:pPr>
        <w:tabs>
          <w:tab w:val="left" w:pos="567"/>
        </w:tabs>
        <w:spacing w:line="300" w:lineRule="auto"/>
        <w:jc w:val="both"/>
        <w:rPr>
          <w:rFonts w:eastAsiaTheme="minorEastAsia"/>
        </w:rPr>
      </w:pPr>
      <w:r w:rsidRPr="00467FE6">
        <w:rPr>
          <w:rFonts w:eastAsiaTheme="minorEastAsia"/>
        </w:rPr>
        <w:t xml:space="preserve">Panel data has many advantages over time series and conventional cross-sectional data (Hsiao, Hammond and Holly 2003). Panel data or longitudinal data usually gives the researcher a larger number of data points (N by T), increasing the degrees of freedom and reducing the collinearity among explanatory variables. It allows models to be employed that will control for the impact of time-invariant omitted variables, potentially uncovers dynamic relationships, and generates more accurate predictions. Because of these advantages panel data models have become increasingly popular among applied researchers due to their heightened capacity for capturing the complexity of human behavior, compared with cross-sectional data models (Hsiao </w:t>
      </w:r>
      <w:r w:rsidR="00025D28">
        <w:rPr>
          <w:rFonts w:asciiTheme="majorBidi" w:eastAsiaTheme="minorEastAsia" w:hAnsiTheme="majorBidi" w:cstheme="majorBidi"/>
          <w:i/>
        </w:rPr>
        <w:t>et al.</w:t>
      </w:r>
      <w:r w:rsidR="00025D28" w:rsidRPr="00FF1F9E">
        <w:rPr>
          <w:rFonts w:asciiTheme="majorBidi" w:eastAsiaTheme="minorEastAsia" w:hAnsiTheme="majorBidi" w:cstheme="majorBidi"/>
        </w:rPr>
        <w:t xml:space="preserve"> </w:t>
      </w:r>
      <w:r w:rsidRPr="00467FE6">
        <w:rPr>
          <w:rFonts w:eastAsiaTheme="minorEastAsia"/>
        </w:rPr>
        <w:lastRenderedPageBreak/>
        <w:t>2003). Most studies of the relationship between indoor air pollution and health outcomes have used cross-sectional data, whereas only a handful studies have used panel data</w:t>
      </w:r>
      <w:r w:rsidR="00630258" w:rsidRPr="00467FE6">
        <w:rPr>
          <w:rFonts w:eastAsiaTheme="minorEastAsia"/>
        </w:rPr>
        <w:t>.</w:t>
      </w:r>
    </w:p>
    <w:p w14:paraId="0938E678" w14:textId="425B8460" w:rsidR="00B20C56" w:rsidRPr="00467FE6" w:rsidRDefault="00630258" w:rsidP="004A323D">
      <w:pPr>
        <w:tabs>
          <w:tab w:val="left" w:pos="567"/>
        </w:tabs>
        <w:spacing w:line="300" w:lineRule="auto"/>
        <w:jc w:val="both"/>
        <w:rPr>
          <w:rFonts w:eastAsiaTheme="minorEastAsia"/>
        </w:rPr>
      </w:pPr>
      <w:r w:rsidRPr="00467FE6">
        <w:rPr>
          <w:rFonts w:eastAsiaTheme="minorEastAsia"/>
        </w:rPr>
        <w:t xml:space="preserve"> </w:t>
      </w:r>
      <w:r w:rsidR="004A323D" w:rsidRPr="00467FE6">
        <w:rPr>
          <w:rFonts w:eastAsiaTheme="minorEastAsia"/>
        </w:rPr>
        <w:tab/>
      </w:r>
      <w:r w:rsidR="00FE18A8" w:rsidRPr="00467FE6">
        <w:rPr>
          <w:rFonts w:eastAsiaTheme="minorEastAsia"/>
        </w:rPr>
        <w:t>Annual data on GDP, education, population, forest area, and countries’ profile variables were obtained from the World Bank’s World Development Indicators (WDI),</w:t>
      </w:r>
      <w:r w:rsidR="00FE18A8" w:rsidRPr="00467FE6">
        <w:rPr>
          <w:rStyle w:val="FootnoteReference"/>
          <w:rFonts w:eastAsiaTheme="minorEastAsia"/>
        </w:rPr>
        <w:footnoteReference w:id="1"/>
      </w:r>
      <w:r w:rsidR="00FE18A8" w:rsidRPr="00467FE6">
        <w:rPr>
          <w:rFonts w:eastAsiaTheme="minorEastAsia"/>
        </w:rPr>
        <w:t xml:space="preserve"> and child and infant mortality rates data were obtained from the World Health Organization (WHO).</w:t>
      </w:r>
      <w:r w:rsidR="00FE18A8" w:rsidRPr="00467FE6">
        <w:rPr>
          <w:rStyle w:val="FootnoteReference"/>
          <w:rFonts w:eastAsiaTheme="minorEastAsia"/>
        </w:rPr>
        <w:footnoteReference w:id="2"/>
      </w:r>
      <w:r w:rsidR="00FE18A8" w:rsidRPr="00467FE6">
        <w:rPr>
          <w:rFonts w:eastAsiaTheme="minorEastAsia"/>
        </w:rPr>
        <w:t xml:space="preserve"> Data on household fuel consumption and production at country level, including both clean and solid fuels, were obtained from the UN Statistics Division Energy Statistics Database.</w:t>
      </w:r>
      <w:r w:rsidR="00FE18A8" w:rsidRPr="00467FE6">
        <w:rPr>
          <w:rStyle w:val="FootnoteReference"/>
          <w:rFonts w:eastAsiaTheme="minorEastAsia"/>
        </w:rPr>
        <w:footnoteReference w:id="3"/>
      </w:r>
      <w:r w:rsidR="00FE18A8" w:rsidRPr="00467FE6">
        <w:rPr>
          <w:rFonts w:eastAsiaTheme="minorEastAsia"/>
        </w:rPr>
        <w:t xml:space="preserve"> The energy sources data were available only for the period 2000 to 2012, which restricts our analysis to that time period. The nature and structure of the variables can be seen in Table 1. We have unbalanced panel data on fuel consumption and health for 157 countries, although this falls to 101 in our preferred Instrumental Variables (IV) specification due to lower availability of oil and gas production and forest cover data, which are our instruments (described below</w:t>
      </w:r>
      <w:r w:rsidR="00816CB7" w:rsidRPr="00467FE6">
        <w:rPr>
          <w:rFonts w:eastAsiaTheme="minorEastAsia"/>
        </w:rPr>
        <w:t>).</w:t>
      </w:r>
      <w:r w:rsidR="0026014A" w:rsidRPr="00467FE6">
        <w:rPr>
          <w:rFonts w:eastAsiaTheme="minorEastAsia"/>
        </w:rPr>
        <w:t xml:space="preserve"> </w:t>
      </w:r>
    </w:p>
    <w:p w14:paraId="7BAE60FB" w14:textId="77777777" w:rsidR="0089140D" w:rsidRPr="00467FE6" w:rsidRDefault="0089140D" w:rsidP="002E076A">
      <w:pPr>
        <w:tabs>
          <w:tab w:val="left" w:pos="567"/>
        </w:tabs>
        <w:spacing w:line="300" w:lineRule="auto"/>
        <w:ind w:firstLine="720"/>
        <w:jc w:val="both"/>
        <w:rPr>
          <w:rFonts w:eastAsiaTheme="minorEastAsia"/>
        </w:rPr>
      </w:pPr>
    </w:p>
    <w:p w14:paraId="7D7F8E62" w14:textId="033D6CBB" w:rsidR="00082B6E" w:rsidRPr="00467FE6" w:rsidRDefault="00875B83" w:rsidP="002E076A">
      <w:pPr>
        <w:tabs>
          <w:tab w:val="left" w:pos="567"/>
        </w:tabs>
        <w:spacing w:line="300" w:lineRule="auto"/>
        <w:ind w:firstLine="720"/>
        <w:jc w:val="both"/>
        <w:rPr>
          <w:bCs/>
        </w:rPr>
      </w:pPr>
      <w:r w:rsidRPr="00467FE6">
        <w:rPr>
          <w:rFonts w:asciiTheme="majorBidi" w:hAnsiTheme="majorBidi" w:cstheme="majorBidi"/>
          <w:bCs/>
        </w:rPr>
        <w:t xml:space="preserve">The main independent variable, </w:t>
      </w:r>
      <w:r w:rsidR="009337B3">
        <w:rPr>
          <w:rFonts w:asciiTheme="majorBidi" w:hAnsiTheme="majorBidi" w:cstheme="majorBidi"/>
          <w:bCs/>
        </w:rPr>
        <w:t>‘</w:t>
      </w:r>
      <w:r w:rsidRPr="00467FE6">
        <w:rPr>
          <w:rFonts w:asciiTheme="majorBidi" w:hAnsiTheme="majorBidi" w:cstheme="majorBidi"/>
          <w:bCs/>
        </w:rPr>
        <w:t>percentage of solid fuel consumption</w:t>
      </w:r>
      <w:r w:rsidR="009337B3">
        <w:rPr>
          <w:rFonts w:asciiTheme="majorBidi" w:hAnsiTheme="majorBidi" w:cstheme="majorBidi"/>
          <w:bCs/>
        </w:rPr>
        <w:t>’</w:t>
      </w:r>
      <w:r w:rsidRPr="00467FE6">
        <w:rPr>
          <w:rFonts w:asciiTheme="majorBidi" w:hAnsiTheme="majorBidi" w:cstheme="majorBidi"/>
          <w:bCs/>
        </w:rPr>
        <w:t>, was constructed as the proportion of total energy consumption that was consumed by households of fuelwood, charcoal, and dry animal dung. Annual household energy consumption data were not all expressed in the same units; therefore, we first converted them into terajoules.</w:t>
      </w:r>
      <w:r w:rsidRPr="00467FE6">
        <w:rPr>
          <w:rStyle w:val="FootnoteReference"/>
          <w:rFonts w:asciiTheme="majorBidi" w:hAnsiTheme="majorBidi" w:cstheme="majorBidi"/>
          <w:bCs/>
        </w:rPr>
        <w:footnoteReference w:id="4"/>
      </w:r>
      <w:r w:rsidRPr="00467FE6">
        <w:rPr>
          <w:rFonts w:asciiTheme="majorBidi" w:hAnsiTheme="majorBidi" w:cstheme="majorBidi"/>
          <w:bCs/>
        </w:rPr>
        <w:t xml:space="preserve"> In the IV regression (described in the following section), we include the percentage of forested area, total production of liquefied natural gas (LNG), liquefied petroleum gas (LPG), and natural gas in terajoules, and the production of fuel and crude oil (in metric tons) as instrumental variables. The proportion of energy derived from solid fuel consumption was treated as the endogenous variable</w:t>
      </w:r>
      <w:r w:rsidR="00082B6E" w:rsidRPr="00467FE6">
        <w:rPr>
          <w:bCs/>
        </w:rPr>
        <w:t xml:space="preserve">.  </w:t>
      </w:r>
    </w:p>
    <w:p w14:paraId="77D29981" w14:textId="77777777" w:rsidR="0089140D" w:rsidRPr="00467FE6" w:rsidRDefault="0089140D" w:rsidP="002E076A">
      <w:pPr>
        <w:tabs>
          <w:tab w:val="left" w:pos="567"/>
        </w:tabs>
        <w:spacing w:line="300" w:lineRule="auto"/>
        <w:ind w:firstLine="720"/>
        <w:jc w:val="both"/>
        <w:rPr>
          <w:rFonts w:eastAsiaTheme="minorEastAsia"/>
        </w:rPr>
      </w:pPr>
    </w:p>
    <w:p w14:paraId="21863074" w14:textId="35E19788" w:rsidR="00082B6E" w:rsidRPr="00467FE6" w:rsidRDefault="00082B6E" w:rsidP="002E076A">
      <w:pPr>
        <w:pStyle w:val="NormalWeb"/>
        <w:tabs>
          <w:tab w:val="left" w:pos="567"/>
        </w:tabs>
        <w:spacing w:before="0" w:beforeAutospacing="0" w:after="0" w:afterAutospacing="0" w:line="300" w:lineRule="auto"/>
        <w:ind w:firstLine="720"/>
        <w:jc w:val="both"/>
        <w:rPr>
          <w:bCs/>
        </w:rPr>
      </w:pPr>
      <w:r w:rsidRPr="00467FE6">
        <w:rPr>
          <w:bCs/>
        </w:rPr>
        <w:t xml:space="preserve">Table 1 shows the </w:t>
      </w:r>
      <w:r w:rsidR="00CF32C6" w:rsidRPr="00467FE6">
        <w:rPr>
          <w:bCs/>
        </w:rPr>
        <w:t>summary statistics</w:t>
      </w:r>
      <w:r w:rsidRPr="00467FE6">
        <w:rPr>
          <w:bCs/>
        </w:rPr>
        <w:t xml:space="preserve"> of the variables in</w:t>
      </w:r>
      <w:r w:rsidR="008B2EB8" w:rsidRPr="00467FE6">
        <w:rPr>
          <w:bCs/>
        </w:rPr>
        <w:t xml:space="preserve"> total, as well as separately for</w:t>
      </w:r>
      <w:r w:rsidRPr="00467FE6">
        <w:rPr>
          <w:bCs/>
        </w:rPr>
        <w:t xml:space="preserve"> poor, lower middle income, upper middle income, and </w:t>
      </w:r>
      <w:r w:rsidR="00061CE8" w:rsidRPr="00467FE6">
        <w:rPr>
          <w:bCs/>
        </w:rPr>
        <w:t>high-income</w:t>
      </w:r>
      <w:r w:rsidRPr="00467FE6">
        <w:rPr>
          <w:bCs/>
        </w:rPr>
        <w:t xml:space="preserve"> countries</w:t>
      </w:r>
      <w:r w:rsidR="008B2EB8" w:rsidRPr="00467FE6">
        <w:rPr>
          <w:bCs/>
        </w:rPr>
        <w:t>.</w:t>
      </w:r>
      <w:r w:rsidRPr="00467FE6">
        <w:rPr>
          <w:rStyle w:val="FootnoteReference"/>
          <w:bCs/>
        </w:rPr>
        <w:footnoteReference w:id="5"/>
      </w:r>
      <w:r w:rsidRPr="00467FE6">
        <w:rPr>
          <w:bCs/>
        </w:rPr>
        <w:t xml:space="preserve"> As anticipated</w:t>
      </w:r>
      <w:r w:rsidR="008B2EB8" w:rsidRPr="00467FE6">
        <w:rPr>
          <w:bCs/>
        </w:rPr>
        <w:t>,</w:t>
      </w:r>
      <w:r w:rsidRPr="00467FE6">
        <w:rPr>
          <w:bCs/>
        </w:rPr>
        <w:t xml:space="preserve"> </w:t>
      </w:r>
      <w:r w:rsidR="008B2EB8" w:rsidRPr="00467FE6">
        <w:rPr>
          <w:bCs/>
        </w:rPr>
        <w:t xml:space="preserve">household </w:t>
      </w:r>
      <w:r w:rsidRPr="00467FE6">
        <w:rPr>
          <w:bCs/>
        </w:rPr>
        <w:t xml:space="preserve">consumption of solid fuel is higher in poor and lower </w:t>
      </w:r>
      <w:r w:rsidR="00061CE8" w:rsidRPr="00467FE6">
        <w:rPr>
          <w:bCs/>
        </w:rPr>
        <w:t>middle-income</w:t>
      </w:r>
      <w:r w:rsidRPr="00467FE6">
        <w:rPr>
          <w:bCs/>
        </w:rPr>
        <w:t xml:space="preserve"> countries, and the rate</w:t>
      </w:r>
      <w:r w:rsidR="008B2EB8" w:rsidRPr="00467FE6">
        <w:rPr>
          <w:bCs/>
        </w:rPr>
        <w:t>s</w:t>
      </w:r>
      <w:r w:rsidRPr="00467FE6">
        <w:rPr>
          <w:bCs/>
        </w:rPr>
        <w:t xml:space="preserve"> of infant mortality and child mortality are also higher in those countries. </w:t>
      </w:r>
      <w:r w:rsidR="008B2EB8" w:rsidRPr="00467FE6">
        <w:rPr>
          <w:bCs/>
        </w:rPr>
        <w:t>P</w:t>
      </w:r>
      <w:r w:rsidRPr="00467FE6">
        <w:rPr>
          <w:bCs/>
        </w:rPr>
        <w:t xml:space="preserve">er capita GDP and the exploration of oil and gas are </w:t>
      </w:r>
      <w:r w:rsidR="008B2EB8" w:rsidRPr="00467FE6">
        <w:rPr>
          <w:bCs/>
        </w:rPr>
        <w:t xml:space="preserve">also </w:t>
      </w:r>
      <w:r w:rsidRPr="00467FE6">
        <w:rPr>
          <w:bCs/>
        </w:rPr>
        <w:t xml:space="preserve">lower in poor and lower </w:t>
      </w:r>
      <w:r w:rsidR="008B2EB8" w:rsidRPr="00467FE6">
        <w:rPr>
          <w:bCs/>
        </w:rPr>
        <w:t>middle</w:t>
      </w:r>
      <w:r w:rsidR="0064624B" w:rsidRPr="00467FE6">
        <w:rPr>
          <w:bCs/>
        </w:rPr>
        <w:t>-</w:t>
      </w:r>
      <w:r w:rsidRPr="00467FE6">
        <w:rPr>
          <w:bCs/>
        </w:rPr>
        <w:t>income countries</w:t>
      </w:r>
      <w:r w:rsidR="00CF32C6" w:rsidRPr="00467FE6">
        <w:rPr>
          <w:bCs/>
        </w:rPr>
        <w:t>, as is t</w:t>
      </w:r>
      <w:r w:rsidRPr="00467FE6">
        <w:rPr>
          <w:bCs/>
        </w:rPr>
        <w:t xml:space="preserve">he percentage of </w:t>
      </w:r>
      <w:r w:rsidR="00CF32C6" w:rsidRPr="00467FE6">
        <w:rPr>
          <w:bCs/>
        </w:rPr>
        <w:t xml:space="preserve">the </w:t>
      </w:r>
      <w:r w:rsidRPr="00467FE6">
        <w:rPr>
          <w:bCs/>
        </w:rPr>
        <w:t>population living in urban areas.</w:t>
      </w:r>
      <w:r w:rsidR="00BF3415" w:rsidRPr="00467FE6">
        <w:rPr>
          <w:bCs/>
        </w:rPr>
        <w:t xml:space="preserve"> </w:t>
      </w:r>
      <w:r w:rsidRPr="00467FE6">
        <w:rPr>
          <w:bCs/>
        </w:rPr>
        <w:t xml:space="preserve"> </w:t>
      </w:r>
    </w:p>
    <w:p w14:paraId="0C67DFEF" w14:textId="77777777" w:rsidR="00876F9D" w:rsidRPr="00467FE6" w:rsidRDefault="00876F9D" w:rsidP="002E076A">
      <w:pPr>
        <w:pStyle w:val="NormalWeb"/>
        <w:tabs>
          <w:tab w:val="left" w:pos="567"/>
        </w:tabs>
        <w:spacing w:before="0" w:beforeAutospacing="0" w:after="0" w:afterAutospacing="0" w:line="300" w:lineRule="auto"/>
        <w:ind w:firstLine="720"/>
        <w:jc w:val="both"/>
        <w:rPr>
          <w:bCs/>
        </w:rPr>
        <w:sectPr w:rsidR="00876F9D" w:rsidRPr="00467FE6" w:rsidSect="00C85B2C">
          <w:footerReference w:type="default" r:id="rId8"/>
          <w:pgSz w:w="11906" w:h="16838" w:code="9"/>
          <w:pgMar w:top="1440" w:right="1440" w:bottom="1440" w:left="1440" w:header="709" w:footer="709" w:gutter="0"/>
          <w:cols w:space="708"/>
          <w:titlePg/>
          <w:docGrid w:linePitch="360"/>
        </w:sectPr>
      </w:pPr>
    </w:p>
    <w:p w14:paraId="33FD8684" w14:textId="6086E942" w:rsidR="00082B6E" w:rsidRPr="00467FE6" w:rsidRDefault="00082B6E" w:rsidP="004A323D">
      <w:pPr>
        <w:pStyle w:val="Caption"/>
        <w:keepNext/>
        <w:tabs>
          <w:tab w:val="left" w:pos="567"/>
        </w:tabs>
        <w:spacing w:after="0"/>
        <w:jc w:val="center"/>
        <w:rPr>
          <w:i w:val="0"/>
          <w:iCs w:val="0"/>
          <w:color w:val="auto"/>
          <w:sz w:val="22"/>
          <w:szCs w:val="22"/>
        </w:rPr>
      </w:pPr>
      <w:r w:rsidRPr="00467FE6">
        <w:rPr>
          <w:b/>
          <w:i w:val="0"/>
          <w:iCs w:val="0"/>
          <w:color w:val="auto"/>
          <w:sz w:val="22"/>
          <w:szCs w:val="22"/>
        </w:rPr>
        <w:lastRenderedPageBreak/>
        <w:t xml:space="preserve">Table </w:t>
      </w:r>
      <w:r w:rsidRPr="00467FE6">
        <w:rPr>
          <w:b/>
          <w:i w:val="0"/>
          <w:iCs w:val="0"/>
          <w:color w:val="auto"/>
          <w:sz w:val="22"/>
          <w:szCs w:val="22"/>
        </w:rPr>
        <w:fldChar w:fldCharType="begin"/>
      </w:r>
      <w:r w:rsidRPr="00467FE6">
        <w:rPr>
          <w:b/>
          <w:i w:val="0"/>
          <w:iCs w:val="0"/>
          <w:color w:val="auto"/>
          <w:sz w:val="22"/>
          <w:szCs w:val="22"/>
        </w:rPr>
        <w:instrText xml:space="preserve"> SEQ Table \* ARABIC </w:instrText>
      </w:r>
      <w:r w:rsidRPr="00467FE6">
        <w:rPr>
          <w:b/>
          <w:i w:val="0"/>
          <w:iCs w:val="0"/>
          <w:color w:val="auto"/>
          <w:sz w:val="22"/>
          <w:szCs w:val="22"/>
        </w:rPr>
        <w:fldChar w:fldCharType="separate"/>
      </w:r>
      <w:r w:rsidR="00233325">
        <w:rPr>
          <w:b/>
          <w:i w:val="0"/>
          <w:iCs w:val="0"/>
          <w:noProof/>
          <w:color w:val="auto"/>
          <w:sz w:val="22"/>
          <w:szCs w:val="22"/>
        </w:rPr>
        <w:t>1</w:t>
      </w:r>
      <w:r w:rsidRPr="00467FE6">
        <w:rPr>
          <w:b/>
          <w:i w:val="0"/>
          <w:iCs w:val="0"/>
          <w:color w:val="auto"/>
          <w:sz w:val="22"/>
          <w:szCs w:val="22"/>
        </w:rPr>
        <w:fldChar w:fldCharType="end"/>
      </w:r>
      <w:r w:rsidR="004A323D" w:rsidRPr="00467FE6">
        <w:rPr>
          <w:b/>
          <w:i w:val="0"/>
          <w:iCs w:val="0"/>
          <w:color w:val="auto"/>
          <w:sz w:val="22"/>
          <w:szCs w:val="22"/>
        </w:rPr>
        <w:t>:</w:t>
      </w:r>
      <w:r w:rsidRPr="00467FE6">
        <w:rPr>
          <w:b/>
          <w:i w:val="0"/>
          <w:iCs w:val="0"/>
          <w:color w:val="auto"/>
          <w:sz w:val="22"/>
          <w:szCs w:val="22"/>
        </w:rPr>
        <w:t xml:space="preserve"> </w:t>
      </w:r>
      <w:r w:rsidR="008B2EB8" w:rsidRPr="00467FE6">
        <w:rPr>
          <w:b/>
          <w:i w:val="0"/>
          <w:iCs w:val="0"/>
          <w:color w:val="auto"/>
          <w:sz w:val="22"/>
          <w:szCs w:val="22"/>
        </w:rPr>
        <w:t xml:space="preserve">Summary </w:t>
      </w:r>
      <w:r w:rsidR="004A323D" w:rsidRPr="00467FE6">
        <w:rPr>
          <w:b/>
          <w:i w:val="0"/>
          <w:iCs w:val="0"/>
          <w:color w:val="auto"/>
          <w:sz w:val="22"/>
          <w:szCs w:val="22"/>
        </w:rPr>
        <w:t>S</w:t>
      </w:r>
      <w:r w:rsidR="008B2EB8" w:rsidRPr="00467FE6">
        <w:rPr>
          <w:b/>
          <w:i w:val="0"/>
          <w:iCs w:val="0"/>
          <w:color w:val="auto"/>
          <w:sz w:val="22"/>
          <w:szCs w:val="22"/>
        </w:rPr>
        <w:t>tatistics</w:t>
      </w:r>
      <w:r w:rsidR="004A323D" w:rsidRPr="00467FE6">
        <w:rPr>
          <w:b/>
          <w:i w:val="0"/>
          <w:iCs w:val="0"/>
          <w:color w:val="auto"/>
          <w:sz w:val="22"/>
          <w:szCs w:val="22"/>
        </w:rPr>
        <w:t xml:space="preserve"> </w:t>
      </w:r>
      <w:r w:rsidR="008B2EB8" w:rsidRPr="00467FE6">
        <w:rPr>
          <w:b/>
          <w:i w:val="0"/>
          <w:iCs w:val="0"/>
          <w:color w:val="auto"/>
          <w:sz w:val="22"/>
          <w:szCs w:val="22"/>
        </w:rPr>
        <w:t xml:space="preserve">by </w:t>
      </w:r>
      <w:r w:rsidR="0064624B" w:rsidRPr="00467FE6">
        <w:rPr>
          <w:b/>
          <w:i w:val="0"/>
          <w:iCs w:val="0"/>
          <w:color w:val="auto"/>
          <w:sz w:val="22"/>
          <w:szCs w:val="22"/>
        </w:rPr>
        <w:t>C</w:t>
      </w:r>
      <w:r w:rsidR="008B2EB8" w:rsidRPr="00467FE6">
        <w:rPr>
          <w:b/>
          <w:i w:val="0"/>
          <w:iCs w:val="0"/>
          <w:color w:val="auto"/>
          <w:sz w:val="22"/>
          <w:szCs w:val="22"/>
        </w:rPr>
        <w:t xml:space="preserve">ountry </w:t>
      </w:r>
      <w:r w:rsidR="0064624B" w:rsidRPr="00467FE6">
        <w:rPr>
          <w:b/>
          <w:i w:val="0"/>
          <w:iCs w:val="0"/>
          <w:color w:val="auto"/>
          <w:sz w:val="22"/>
          <w:szCs w:val="22"/>
        </w:rPr>
        <w:t>I</w:t>
      </w:r>
      <w:r w:rsidR="008B2EB8" w:rsidRPr="00467FE6">
        <w:rPr>
          <w:b/>
          <w:i w:val="0"/>
          <w:iCs w:val="0"/>
          <w:color w:val="auto"/>
          <w:sz w:val="22"/>
          <w:szCs w:val="22"/>
        </w:rPr>
        <w:t xml:space="preserve">ncome </w:t>
      </w:r>
      <w:r w:rsidR="009E7187" w:rsidRPr="00467FE6">
        <w:rPr>
          <w:b/>
          <w:i w:val="0"/>
          <w:iCs w:val="0"/>
          <w:color w:val="auto"/>
          <w:sz w:val="22"/>
          <w:szCs w:val="22"/>
        </w:rPr>
        <w:t>Cl</w:t>
      </w:r>
      <w:r w:rsidR="008B2EB8" w:rsidRPr="00467FE6">
        <w:rPr>
          <w:b/>
          <w:i w:val="0"/>
          <w:iCs w:val="0"/>
          <w:color w:val="auto"/>
          <w:sz w:val="22"/>
          <w:szCs w:val="22"/>
        </w:rPr>
        <w:t>ass</w:t>
      </w:r>
    </w:p>
    <w:p w14:paraId="283A42A2" w14:textId="77777777" w:rsidR="004A323D" w:rsidRPr="00467FE6" w:rsidRDefault="004A323D" w:rsidP="004A323D">
      <w:pPr>
        <w:rPr>
          <w:sz w:val="12"/>
          <w:szCs w:val="12"/>
        </w:rPr>
      </w:pPr>
    </w:p>
    <w:tbl>
      <w:tblPr>
        <w:tblW w:w="14975" w:type="dxa"/>
        <w:jc w:val="center"/>
        <w:tblLook w:val="04A0" w:firstRow="1" w:lastRow="0" w:firstColumn="1" w:lastColumn="0" w:noHBand="0" w:noVBand="1"/>
      </w:tblPr>
      <w:tblGrid>
        <w:gridCol w:w="5760"/>
        <w:gridCol w:w="1027"/>
        <w:gridCol w:w="743"/>
        <w:gridCol w:w="1036"/>
        <w:gridCol w:w="743"/>
        <w:gridCol w:w="1039"/>
        <w:gridCol w:w="744"/>
        <w:gridCol w:w="1044"/>
        <w:gridCol w:w="762"/>
        <w:gridCol w:w="1182"/>
        <w:gridCol w:w="895"/>
      </w:tblGrid>
      <w:tr w:rsidR="00876F9D" w:rsidRPr="00467FE6" w14:paraId="015FD329" w14:textId="7F64A266" w:rsidTr="007411EF">
        <w:trPr>
          <w:trHeight w:val="447"/>
          <w:jc w:val="center"/>
        </w:trPr>
        <w:tc>
          <w:tcPr>
            <w:tcW w:w="5760" w:type="dxa"/>
            <w:tcBorders>
              <w:top w:val="single" w:sz="4" w:space="0" w:color="auto"/>
              <w:bottom w:val="single" w:sz="4" w:space="0" w:color="auto"/>
            </w:tcBorders>
            <w:shd w:val="clear" w:color="auto" w:fill="auto"/>
            <w:noWrap/>
            <w:vAlign w:val="center"/>
          </w:tcPr>
          <w:p w14:paraId="201E4E85" w14:textId="2CAF1AFB" w:rsidR="00876F9D" w:rsidRPr="00467FE6" w:rsidRDefault="00876F9D" w:rsidP="002E076A">
            <w:pPr>
              <w:tabs>
                <w:tab w:val="left" w:pos="567"/>
              </w:tabs>
              <w:jc w:val="center"/>
              <w:rPr>
                <w:sz w:val="22"/>
                <w:szCs w:val="22"/>
                <w:lang w:val="en-NZ" w:eastAsia="zh-CN"/>
              </w:rPr>
            </w:pPr>
          </w:p>
        </w:tc>
        <w:tc>
          <w:tcPr>
            <w:tcW w:w="7138" w:type="dxa"/>
            <w:gridSpan w:val="8"/>
            <w:tcBorders>
              <w:top w:val="single" w:sz="4" w:space="0" w:color="auto"/>
              <w:bottom w:val="single" w:sz="4" w:space="0" w:color="auto"/>
            </w:tcBorders>
          </w:tcPr>
          <w:p w14:paraId="6CF97625" w14:textId="1B72F3EA" w:rsidR="00876F9D" w:rsidRPr="00467FE6" w:rsidRDefault="00876F9D" w:rsidP="0064624B">
            <w:pPr>
              <w:tabs>
                <w:tab w:val="left" w:pos="567"/>
              </w:tabs>
              <w:spacing w:before="160" w:after="160"/>
              <w:jc w:val="center"/>
              <w:rPr>
                <w:bCs/>
                <w:sz w:val="22"/>
                <w:szCs w:val="22"/>
                <w:lang w:val="en-NZ" w:eastAsia="zh-CN"/>
              </w:rPr>
            </w:pPr>
            <w:r w:rsidRPr="00467FE6">
              <w:rPr>
                <w:bCs/>
                <w:sz w:val="22"/>
                <w:szCs w:val="22"/>
                <w:lang w:val="en-NZ" w:eastAsia="zh-CN"/>
              </w:rPr>
              <w:t xml:space="preserve">Country </w:t>
            </w:r>
            <w:r w:rsidR="0064624B" w:rsidRPr="00467FE6">
              <w:rPr>
                <w:bCs/>
                <w:sz w:val="22"/>
                <w:szCs w:val="22"/>
                <w:lang w:val="en-NZ" w:eastAsia="zh-CN"/>
              </w:rPr>
              <w:t>I</w:t>
            </w:r>
            <w:r w:rsidRPr="00467FE6">
              <w:rPr>
                <w:bCs/>
                <w:sz w:val="22"/>
                <w:szCs w:val="22"/>
                <w:lang w:val="en-NZ" w:eastAsia="zh-CN"/>
              </w:rPr>
              <w:t xml:space="preserve">ncome </w:t>
            </w:r>
            <w:r w:rsidR="0064624B" w:rsidRPr="00467FE6">
              <w:rPr>
                <w:bCs/>
                <w:sz w:val="22"/>
                <w:szCs w:val="22"/>
                <w:lang w:val="en-NZ" w:eastAsia="zh-CN"/>
              </w:rPr>
              <w:t>C</w:t>
            </w:r>
            <w:r w:rsidRPr="00467FE6">
              <w:rPr>
                <w:bCs/>
                <w:sz w:val="22"/>
                <w:szCs w:val="22"/>
                <w:lang w:val="en-NZ" w:eastAsia="zh-CN"/>
              </w:rPr>
              <w:t>lass</w:t>
            </w:r>
          </w:p>
        </w:tc>
        <w:tc>
          <w:tcPr>
            <w:tcW w:w="1182" w:type="dxa"/>
            <w:tcBorders>
              <w:top w:val="single" w:sz="4" w:space="0" w:color="auto"/>
              <w:bottom w:val="single" w:sz="4" w:space="0" w:color="auto"/>
            </w:tcBorders>
          </w:tcPr>
          <w:p w14:paraId="355B0F1E" w14:textId="79B232F2" w:rsidR="00876F9D" w:rsidRPr="00467FE6" w:rsidRDefault="00876F9D" w:rsidP="002E076A">
            <w:pPr>
              <w:tabs>
                <w:tab w:val="left" w:pos="567"/>
              </w:tabs>
              <w:jc w:val="center"/>
              <w:rPr>
                <w:sz w:val="22"/>
                <w:szCs w:val="22"/>
                <w:lang w:val="en-NZ" w:eastAsia="zh-CN"/>
              </w:rPr>
            </w:pPr>
          </w:p>
        </w:tc>
        <w:tc>
          <w:tcPr>
            <w:tcW w:w="895" w:type="dxa"/>
            <w:tcBorders>
              <w:top w:val="single" w:sz="4" w:space="0" w:color="auto"/>
              <w:bottom w:val="single" w:sz="4" w:space="0" w:color="auto"/>
            </w:tcBorders>
          </w:tcPr>
          <w:p w14:paraId="52B71685" w14:textId="5928907E" w:rsidR="00876F9D" w:rsidRPr="00467FE6" w:rsidRDefault="00876F9D" w:rsidP="002E076A">
            <w:pPr>
              <w:tabs>
                <w:tab w:val="left" w:pos="567"/>
              </w:tabs>
              <w:jc w:val="center"/>
              <w:rPr>
                <w:sz w:val="22"/>
                <w:szCs w:val="22"/>
                <w:lang w:val="en-NZ" w:eastAsia="zh-CN"/>
              </w:rPr>
            </w:pPr>
          </w:p>
        </w:tc>
      </w:tr>
      <w:tr w:rsidR="00876F9D" w:rsidRPr="00467FE6" w14:paraId="275BCDC1" w14:textId="54E7C2B5" w:rsidTr="008D36A3">
        <w:trPr>
          <w:trHeight w:val="256"/>
          <w:jc w:val="center"/>
        </w:trPr>
        <w:tc>
          <w:tcPr>
            <w:tcW w:w="5760" w:type="dxa"/>
            <w:tcBorders>
              <w:top w:val="single" w:sz="4" w:space="0" w:color="auto"/>
              <w:bottom w:val="single" w:sz="4" w:space="0" w:color="auto"/>
            </w:tcBorders>
            <w:shd w:val="clear" w:color="auto" w:fill="auto"/>
            <w:noWrap/>
            <w:vAlign w:val="center"/>
            <w:hideMark/>
          </w:tcPr>
          <w:p w14:paraId="54347687" w14:textId="403EB71A" w:rsidR="00876F9D" w:rsidRPr="00467FE6" w:rsidRDefault="008D36A3" w:rsidP="00C67FD5">
            <w:pPr>
              <w:tabs>
                <w:tab w:val="left" w:pos="567"/>
              </w:tabs>
              <w:spacing w:beforeLines="60" w:before="144" w:after="60"/>
              <w:jc w:val="center"/>
              <w:rPr>
                <w:bCs/>
                <w:sz w:val="22"/>
                <w:szCs w:val="22"/>
                <w:lang w:val="en-NZ" w:eastAsia="zh-CN"/>
              </w:rPr>
            </w:pPr>
            <w:r w:rsidRPr="00467FE6">
              <w:rPr>
                <w:bCs/>
                <w:sz w:val="22"/>
                <w:szCs w:val="22"/>
                <w:lang w:val="en-NZ" w:eastAsia="zh-CN"/>
              </w:rPr>
              <w:t>Variables</w:t>
            </w:r>
          </w:p>
        </w:tc>
        <w:tc>
          <w:tcPr>
            <w:tcW w:w="1027" w:type="dxa"/>
            <w:tcBorders>
              <w:top w:val="single" w:sz="4" w:space="0" w:color="auto"/>
              <w:bottom w:val="single" w:sz="4" w:space="0" w:color="auto"/>
            </w:tcBorders>
            <w:shd w:val="clear" w:color="auto" w:fill="auto"/>
            <w:noWrap/>
            <w:vAlign w:val="center"/>
            <w:hideMark/>
          </w:tcPr>
          <w:p w14:paraId="7BB40071" w14:textId="77777777" w:rsidR="00876F9D" w:rsidRPr="00467FE6" w:rsidRDefault="00876F9D" w:rsidP="00C67FD5">
            <w:pPr>
              <w:tabs>
                <w:tab w:val="left" w:pos="567"/>
              </w:tabs>
              <w:spacing w:beforeLines="60" w:before="144" w:after="60"/>
              <w:jc w:val="center"/>
              <w:rPr>
                <w:bCs/>
                <w:sz w:val="22"/>
                <w:szCs w:val="22"/>
                <w:lang w:val="en-NZ" w:eastAsia="zh-CN"/>
              </w:rPr>
            </w:pPr>
            <w:r w:rsidRPr="00467FE6">
              <w:rPr>
                <w:bCs/>
                <w:sz w:val="22"/>
                <w:szCs w:val="22"/>
                <w:lang w:val="en-NZ" w:eastAsia="zh-CN"/>
              </w:rPr>
              <w:t xml:space="preserve"> Poor</w:t>
            </w:r>
          </w:p>
        </w:tc>
        <w:tc>
          <w:tcPr>
            <w:tcW w:w="743" w:type="dxa"/>
            <w:tcBorders>
              <w:top w:val="single" w:sz="4" w:space="0" w:color="auto"/>
              <w:bottom w:val="single" w:sz="4" w:space="0" w:color="auto"/>
            </w:tcBorders>
          </w:tcPr>
          <w:p w14:paraId="36AD11A7" w14:textId="70889D18" w:rsidR="00876F9D" w:rsidRPr="00467FE6" w:rsidRDefault="00876F9D" w:rsidP="00C67FD5">
            <w:pPr>
              <w:tabs>
                <w:tab w:val="left" w:pos="567"/>
              </w:tabs>
              <w:spacing w:beforeLines="60" w:before="144" w:after="60"/>
              <w:jc w:val="center"/>
              <w:rPr>
                <w:bCs/>
                <w:sz w:val="22"/>
                <w:szCs w:val="22"/>
                <w:lang w:val="en-NZ" w:eastAsia="zh-CN"/>
              </w:rPr>
            </w:pPr>
            <w:r w:rsidRPr="00467FE6">
              <w:rPr>
                <w:bCs/>
                <w:sz w:val="22"/>
                <w:szCs w:val="22"/>
                <w:lang w:val="en-NZ" w:eastAsia="zh-CN"/>
              </w:rPr>
              <w:t>n</w:t>
            </w:r>
          </w:p>
        </w:tc>
        <w:tc>
          <w:tcPr>
            <w:tcW w:w="1036" w:type="dxa"/>
            <w:tcBorders>
              <w:top w:val="single" w:sz="4" w:space="0" w:color="auto"/>
              <w:bottom w:val="single" w:sz="4" w:space="0" w:color="auto"/>
            </w:tcBorders>
            <w:shd w:val="clear" w:color="auto" w:fill="auto"/>
            <w:noWrap/>
            <w:vAlign w:val="center"/>
            <w:hideMark/>
          </w:tcPr>
          <w:p w14:paraId="4381EDD4" w14:textId="2514A72A" w:rsidR="00876F9D" w:rsidRPr="00467FE6" w:rsidRDefault="00876F9D" w:rsidP="00C67FD5">
            <w:pPr>
              <w:tabs>
                <w:tab w:val="left" w:pos="567"/>
              </w:tabs>
              <w:spacing w:beforeLines="60" w:before="144" w:after="60"/>
              <w:jc w:val="center"/>
              <w:rPr>
                <w:bCs/>
                <w:sz w:val="22"/>
                <w:szCs w:val="22"/>
                <w:lang w:val="en-NZ" w:eastAsia="zh-CN"/>
              </w:rPr>
            </w:pPr>
            <w:r w:rsidRPr="00467FE6">
              <w:rPr>
                <w:bCs/>
                <w:sz w:val="22"/>
                <w:szCs w:val="22"/>
                <w:lang w:val="en-NZ" w:eastAsia="zh-CN"/>
              </w:rPr>
              <w:t xml:space="preserve">Lower </w:t>
            </w:r>
            <w:r w:rsidR="00FA070D" w:rsidRPr="00467FE6">
              <w:rPr>
                <w:bCs/>
                <w:sz w:val="22"/>
                <w:szCs w:val="22"/>
                <w:lang w:val="en-NZ" w:eastAsia="zh-CN"/>
              </w:rPr>
              <w:t>M</w:t>
            </w:r>
            <w:r w:rsidRPr="00467FE6">
              <w:rPr>
                <w:bCs/>
                <w:sz w:val="22"/>
                <w:szCs w:val="22"/>
                <w:lang w:val="en-NZ" w:eastAsia="zh-CN"/>
              </w:rPr>
              <w:t>iddle</w:t>
            </w:r>
          </w:p>
        </w:tc>
        <w:tc>
          <w:tcPr>
            <w:tcW w:w="743" w:type="dxa"/>
            <w:tcBorders>
              <w:top w:val="single" w:sz="4" w:space="0" w:color="auto"/>
              <w:bottom w:val="single" w:sz="4" w:space="0" w:color="auto"/>
            </w:tcBorders>
          </w:tcPr>
          <w:p w14:paraId="2C667479" w14:textId="6D31977E" w:rsidR="00876F9D" w:rsidRPr="00467FE6" w:rsidRDefault="00876F9D" w:rsidP="00C67FD5">
            <w:pPr>
              <w:tabs>
                <w:tab w:val="left" w:pos="567"/>
              </w:tabs>
              <w:spacing w:beforeLines="60" w:before="144" w:after="60"/>
              <w:jc w:val="center"/>
              <w:rPr>
                <w:bCs/>
                <w:sz w:val="22"/>
                <w:szCs w:val="22"/>
                <w:lang w:val="en-NZ" w:eastAsia="zh-CN"/>
              </w:rPr>
            </w:pPr>
            <w:r w:rsidRPr="00467FE6">
              <w:rPr>
                <w:bCs/>
                <w:sz w:val="22"/>
                <w:szCs w:val="22"/>
                <w:lang w:val="en-NZ" w:eastAsia="zh-CN"/>
              </w:rPr>
              <w:t>n</w:t>
            </w:r>
          </w:p>
        </w:tc>
        <w:tc>
          <w:tcPr>
            <w:tcW w:w="1039" w:type="dxa"/>
            <w:tcBorders>
              <w:top w:val="single" w:sz="4" w:space="0" w:color="auto"/>
              <w:bottom w:val="single" w:sz="4" w:space="0" w:color="auto"/>
            </w:tcBorders>
            <w:shd w:val="clear" w:color="auto" w:fill="auto"/>
            <w:noWrap/>
            <w:vAlign w:val="center"/>
            <w:hideMark/>
          </w:tcPr>
          <w:p w14:paraId="6A8DC4BD" w14:textId="501ABA35" w:rsidR="00876F9D" w:rsidRPr="00467FE6" w:rsidRDefault="00876F9D" w:rsidP="00C67FD5">
            <w:pPr>
              <w:tabs>
                <w:tab w:val="left" w:pos="567"/>
              </w:tabs>
              <w:spacing w:beforeLines="60" w:before="144" w:after="60"/>
              <w:jc w:val="center"/>
              <w:rPr>
                <w:bCs/>
                <w:sz w:val="22"/>
                <w:szCs w:val="22"/>
                <w:lang w:val="en-NZ" w:eastAsia="zh-CN"/>
              </w:rPr>
            </w:pPr>
            <w:r w:rsidRPr="00467FE6">
              <w:rPr>
                <w:bCs/>
                <w:sz w:val="22"/>
                <w:szCs w:val="22"/>
                <w:lang w:val="en-NZ" w:eastAsia="zh-CN"/>
              </w:rPr>
              <w:t>Upper Middle</w:t>
            </w:r>
          </w:p>
        </w:tc>
        <w:tc>
          <w:tcPr>
            <w:tcW w:w="744" w:type="dxa"/>
            <w:tcBorders>
              <w:top w:val="single" w:sz="4" w:space="0" w:color="auto"/>
              <w:bottom w:val="single" w:sz="4" w:space="0" w:color="auto"/>
            </w:tcBorders>
          </w:tcPr>
          <w:p w14:paraId="18E7FA9A" w14:textId="228D9F4E" w:rsidR="00876F9D" w:rsidRPr="00467FE6" w:rsidRDefault="00876F9D" w:rsidP="00C67FD5">
            <w:pPr>
              <w:tabs>
                <w:tab w:val="left" w:pos="567"/>
              </w:tabs>
              <w:spacing w:beforeLines="60" w:before="144" w:after="60"/>
              <w:jc w:val="center"/>
              <w:rPr>
                <w:bCs/>
                <w:sz w:val="22"/>
                <w:szCs w:val="22"/>
                <w:lang w:val="en-NZ" w:eastAsia="zh-CN"/>
              </w:rPr>
            </w:pPr>
            <w:r w:rsidRPr="00467FE6">
              <w:rPr>
                <w:bCs/>
                <w:sz w:val="22"/>
                <w:szCs w:val="22"/>
                <w:lang w:val="en-NZ" w:eastAsia="zh-CN"/>
              </w:rPr>
              <w:t>n</w:t>
            </w:r>
          </w:p>
        </w:tc>
        <w:tc>
          <w:tcPr>
            <w:tcW w:w="1044" w:type="dxa"/>
            <w:tcBorders>
              <w:top w:val="single" w:sz="4" w:space="0" w:color="auto"/>
              <w:bottom w:val="single" w:sz="4" w:space="0" w:color="auto"/>
            </w:tcBorders>
            <w:shd w:val="clear" w:color="auto" w:fill="auto"/>
            <w:noWrap/>
            <w:vAlign w:val="center"/>
            <w:hideMark/>
          </w:tcPr>
          <w:p w14:paraId="5BC187FC" w14:textId="5842E214" w:rsidR="00876F9D" w:rsidRPr="00467FE6" w:rsidRDefault="00876F9D" w:rsidP="00C67FD5">
            <w:pPr>
              <w:tabs>
                <w:tab w:val="left" w:pos="567"/>
              </w:tabs>
              <w:spacing w:beforeLines="60" w:before="144" w:after="60"/>
              <w:jc w:val="center"/>
              <w:rPr>
                <w:bCs/>
                <w:sz w:val="22"/>
                <w:szCs w:val="22"/>
                <w:lang w:val="en-NZ" w:eastAsia="zh-CN"/>
              </w:rPr>
            </w:pPr>
            <w:r w:rsidRPr="00467FE6">
              <w:rPr>
                <w:bCs/>
                <w:sz w:val="22"/>
                <w:szCs w:val="22"/>
                <w:lang w:val="en-NZ" w:eastAsia="zh-CN"/>
              </w:rPr>
              <w:t>Rich</w:t>
            </w:r>
          </w:p>
        </w:tc>
        <w:tc>
          <w:tcPr>
            <w:tcW w:w="762" w:type="dxa"/>
            <w:tcBorders>
              <w:top w:val="single" w:sz="4" w:space="0" w:color="auto"/>
              <w:bottom w:val="single" w:sz="4" w:space="0" w:color="auto"/>
            </w:tcBorders>
          </w:tcPr>
          <w:p w14:paraId="73FBF93D" w14:textId="0DF67714" w:rsidR="00876F9D" w:rsidRPr="00467FE6" w:rsidRDefault="00876F9D" w:rsidP="00C67FD5">
            <w:pPr>
              <w:tabs>
                <w:tab w:val="left" w:pos="567"/>
              </w:tabs>
              <w:spacing w:beforeLines="60" w:before="144" w:after="60"/>
              <w:jc w:val="center"/>
              <w:rPr>
                <w:bCs/>
                <w:sz w:val="22"/>
                <w:szCs w:val="22"/>
                <w:lang w:val="en-NZ" w:eastAsia="zh-CN"/>
              </w:rPr>
            </w:pPr>
            <w:r w:rsidRPr="00467FE6">
              <w:rPr>
                <w:bCs/>
                <w:sz w:val="22"/>
                <w:szCs w:val="22"/>
                <w:lang w:val="en-NZ" w:eastAsia="zh-CN"/>
              </w:rPr>
              <w:t>n</w:t>
            </w:r>
          </w:p>
        </w:tc>
        <w:tc>
          <w:tcPr>
            <w:tcW w:w="1182" w:type="dxa"/>
            <w:tcBorders>
              <w:top w:val="single" w:sz="4" w:space="0" w:color="auto"/>
              <w:bottom w:val="single" w:sz="4" w:space="0" w:color="auto"/>
            </w:tcBorders>
          </w:tcPr>
          <w:p w14:paraId="2A8ABC05" w14:textId="4091C0BA" w:rsidR="00876F9D" w:rsidRPr="00467FE6" w:rsidRDefault="008D36A3" w:rsidP="00C67FD5">
            <w:pPr>
              <w:tabs>
                <w:tab w:val="left" w:pos="567"/>
              </w:tabs>
              <w:spacing w:beforeLines="60" w:before="144" w:after="60"/>
              <w:jc w:val="center"/>
              <w:rPr>
                <w:bCs/>
                <w:sz w:val="22"/>
                <w:szCs w:val="22"/>
                <w:lang w:val="en-NZ" w:eastAsia="zh-CN"/>
              </w:rPr>
            </w:pPr>
            <w:r w:rsidRPr="00467FE6">
              <w:rPr>
                <w:bCs/>
                <w:sz w:val="22"/>
                <w:szCs w:val="22"/>
                <w:lang w:val="en-NZ" w:eastAsia="zh-CN"/>
              </w:rPr>
              <w:t>All Countries</w:t>
            </w:r>
          </w:p>
        </w:tc>
        <w:tc>
          <w:tcPr>
            <w:tcW w:w="895" w:type="dxa"/>
            <w:tcBorders>
              <w:top w:val="single" w:sz="4" w:space="0" w:color="auto"/>
              <w:bottom w:val="single" w:sz="4" w:space="0" w:color="auto"/>
            </w:tcBorders>
          </w:tcPr>
          <w:p w14:paraId="5A258427" w14:textId="224DACD8" w:rsidR="00876F9D" w:rsidRPr="00467FE6" w:rsidRDefault="008D36A3" w:rsidP="00C67FD5">
            <w:pPr>
              <w:tabs>
                <w:tab w:val="left" w:pos="567"/>
              </w:tabs>
              <w:spacing w:beforeLines="60" w:before="144" w:after="60"/>
              <w:jc w:val="center"/>
              <w:rPr>
                <w:bCs/>
                <w:sz w:val="22"/>
                <w:szCs w:val="22"/>
                <w:lang w:val="en-NZ" w:eastAsia="zh-CN"/>
              </w:rPr>
            </w:pPr>
            <w:r w:rsidRPr="00467FE6">
              <w:rPr>
                <w:bCs/>
                <w:sz w:val="22"/>
                <w:szCs w:val="22"/>
                <w:lang w:val="en-NZ" w:eastAsia="zh-CN"/>
              </w:rPr>
              <w:t>n</w:t>
            </w:r>
          </w:p>
        </w:tc>
      </w:tr>
      <w:tr w:rsidR="00D55152" w:rsidRPr="00467FE6" w14:paraId="7821369A" w14:textId="6C4BA34F" w:rsidTr="008D36A3">
        <w:trPr>
          <w:trHeight w:val="256"/>
          <w:jc w:val="center"/>
        </w:trPr>
        <w:tc>
          <w:tcPr>
            <w:tcW w:w="5760" w:type="dxa"/>
            <w:tcBorders>
              <w:top w:val="single" w:sz="4" w:space="0" w:color="auto"/>
            </w:tcBorders>
            <w:shd w:val="clear" w:color="auto" w:fill="auto"/>
            <w:noWrap/>
            <w:vAlign w:val="center"/>
            <w:hideMark/>
          </w:tcPr>
          <w:p w14:paraId="07F138F6" w14:textId="4732272D" w:rsidR="00CD6E5B" w:rsidRPr="00467FE6" w:rsidRDefault="00CD6E5B" w:rsidP="002E076A">
            <w:pPr>
              <w:tabs>
                <w:tab w:val="left" w:pos="567"/>
              </w:tabs>
              <w:rPr>
                <w:sz w:val="22"/>
                <w:szCs w:val="22"/>
                <w:lang w:val="en-NZ" w:eastAsia="zh-CN"/>
              </w:rPr>
            </w:pPr>
            <w:r w:rsidRPr="00467FE6">
              <w:rPr>
                <w:sz w:val="22"/>
                <w:szCs w:val="22"/>
                <w:lang w:val="en-NZ" w:eastAsia="zh-CN"/>
              </w:rPr>
              <w:t xml:space="preserve">Percentage </w:t>
            </w:r>
            <w:r w:rsidR="00CD7208" w:rsidRPr="00467FE6">
              <w:rPr>
                <w:sz w:val="22"/>
                <w:szCs w:val="22"/>
                <w:lang w:val="en-NZ" w:eastAsia="zh-CN"/>
              </w:rPr>
              <w:t>of Solid Fuel Consumption</w:t>
            </w:r>
          </w:p>
        </w:tc>
        <w:tc>
          <w:tcPr>
            <w:tcW w:w="1027" w:type="dxa"/>
            <w:tcBorders>
              <w:top w:val="single" w:sz="4" w:space="0" w:color="auto"/>
            </w:tcBorders>
            <w:shd w:val="clear" w:color="auto" w:fill="auto"/>
            <w:noWrap/>
            <w:vAlign w:val="center"/>
            <w:hideMark/>
          </w:tcPr>
          <w:p w14:paraId="4C22F2A8" w14:textId="77777777" w:rsidR="00CD6E5B" w:rsidRPr="00467FE6" w:rsidRDefault="00CD6E5B" w:rsidP="002E076A">
            <w:pPr>
              <w:tabs>
                <w:tab w:val="left" w:pos="567"/>
              </w:tabs>
              <w:jc w:val="center"/>
              <w:rPr>
                <w:sz w:val="22"/>
                <w:szCs w:val="22"/>
                <w:lang w:val="en-NZ" w:eastAsia="zh-CN"/>
              </w:rPr>
            </w:pPr>
            <w:r w:rsidRPr="00467FE6">
              <w:rPr>
                <w:sz w:val="22"/>
                <w:szCs w:val="22"/>
                <w:lang w:val="en-NZ" w:eastAsia="zh-CN"/>
              </w:rPr>
              <w:t>30.71</w:t>
            </w:r>
          </w:p>
          <w:p w14:paraId="73C40732" w14:textId="2AD1B3B3" w:rsidR="00CD6E5B" w:rsidRPr="00467FE6" w:rsidRDefault="00CD6E5B" w:rsidP="002E076A">
            <w:pPr>
              <w:tabs>
                <w:tab w:val="left" w:pos="567"/>
              </w:tabs>
              <w:jc w:val="center"/>
              <w:rPr>
                <w:sz w:val="22"/>
                <w:szCs w:val="22"/>
                <w:lang w:val="en-NZ" w:eastAsia="zh-CN"/>
              </w:rPr>
            </w:pPr>
            <w:r w:rsidRPr="00467FE6">
              <w:rPr>
                <w:sz w:val="22"/>
                <w:szCs w:val="22"/>
                <w:lang w:val="en-NZ" w:eastAsia="zh-CN"/>
              </w:rPr>
              <w:t>(19.03)</w:t>
            </w:r>
          </w:p>
        </w:tc>
        <w:tc>
          <w:tcPr>
            <w:tcW w:w="743" w:type="dxa"/>
            <w:tcBorders>
              <w:top w:val="single" w:sz="4" w:space="0" w:color="auto"/>
            </w:tcBorders>
          </w:tcPr>
          <w:p w14:paraId="7605AEC3" w14:textId="3541EEB6" w:rsidR="00CD6E5B" w:rsidRPr="00467FE6" w:rsidRDefault="00CD6E5B" w:rsidP="002E076A">
            <w:pPr>
              <w:tabs>
                <w:tab w:val="left" w:pos="567"/>
              </w:tabs>
              <w:jc w:val="center"/>
              <w:rPr>
                <w:sz w:val="22"/>
                <w:szCs w:val="22"/>
                <w:lang w:val="en-NZ" w:eastAsia="zh-CN"/>
              </w:rPr>
            </w:pPr>
            <w:r w:rsidRPr="00467FE6">
              <w:rPr>
                <w:sz w:val="22"/>
                <w:szCs w:val="22"/>
                <w:lang w:val="en-NZ" w:eastAsia="zh-CN"/>
              </w:rPr>
              <w:t>299</w:t>
            </w:r>
          </w:p>
        </w:tc>
        <w:tc>
          <w:tcPr>
            <w:tcW w:w="1036" w:type="dxa"/>
            <w:tcBorders>
              <w:top w:val="single" w:sz="4" w:space="0" w:color="auto"/>
            </w:tcBorders>
            <w:shd w:val="clear" w:color="auto" w:fill="auto"/>
            <w:noWrap/>
            <w:vAlign w:val="center"/>
            <w:hideMark/>
          </w:tcPr>
          <w:p w14:paraId="42550625" w14:textId="288AF5D5" w:rsidR="00CD6E5B" w:rsidRPr="00467FE6" w:rsidRDefault="00CD6E5B" w:rsidP="002E076A">
            <w:pPr>
              <w:tabs>
                <w:tab w:val="left" w:pos="567"/>
              </w:tabs>
              <w:jc w:val="center"/>
              <w:rPr>
                <w:sz w:val="22"/>
                <w:szCs w:val="22"/>
                <w:lang w:val="en-NZ" w:eastAsia="zh-CN"/>
              </w:rPr>
            </w:pPr>
            <w:r w:rsidRPr="00467FE6">
              <w:rPr>
                <w:sz w:val="22"/>
                <w:szCs w:val="22"/>
                <w:lang w:val="en-NZ" w:eastAsia="zh-CN"/>
              </w:rPr>
              <w:t>10.09</w:t>
            </w:r>
          </w:p>
          <w:p w14:paraId="52D99261" w14:textId="497E54F7" w:rsidR="00CD6E5B" w:rsidRPr="00467FE6" w:rsidRDefault="00CD6E5B" w:rsidP="002E076A">
            <w:pPr>
              <w:tabs>
                <w:tab w:val="left" w:pos="567"/>
              </w:tabs>
              <w:jc w:val="center"/>
              <w:rPr>
                <w:sz w:val="22"/>
                <w:szCs w:val="22"/>
                <w:lang w:val="en-NZ" w:eastAsia="zh-CN"/>
              </w:rPr>
            </w:pPr>
            <w:r w:rsidRPr="00467FE6">
              <w:rPr>
                <w:sz w:val="22"/>
                <w:szCs w:val="22"/>
                <w:lang w:val="en-NZ" w:eastAsia="zh-CN"/>
              </w:rPr>
              <w:t>(17.02)</w:t>
            </w:r>
          </w:p>
        </w:tc>
        <w:tc>
          <w:tcPr>
            <w:tcW w:w="743" w:type="dxa"/>
            <w:tcBorders>
              <w:top w:val="single" w:sz="4" w:space="0" w:color="auto"/>
            </w:tcBorders>
          </w:tcPr>
          <w:p w14:paraId="17A76A9B" w14:textId="638D5E0B" w:rsidR="00CD6E5B" w:rsidRPr="00467FE6" w:rsidRDefault="00CD6E5B" w:rsidP="002E076A">
            <w:pPr>
              <w:tabs>
                <w:tab w:val="left" w:pos="567"/>
              </w:tabs>
              <w:jc w:val="center"/>
              <w:rPr>
                <w:sz w:val="22"/>
                <w:szCs w:val="22"/>
                <w:lang w:val="en-NZ" w:eastAsia="zh-CN"/>
              </w:rPr>
            </w:pPr>
            <w:r w:rsidRPr="00467FE6">
              <w:rPr>
                <w:sz w:val="22"/>
                <w:szCs w:val="22"/>
                <w:lang w:val="en-NZ" w:eastAsia="zh-CN"/>
              </w:rPr>
              <w:t>505</w:t>
            </w:r>
          </w:p>
        </w:tc>
        <w:tc>
          <w:tcPr>
            <w:tcW w:w="1039" w:type="dxa"/>
            <w:tcBorders>
              <w:top w:val="single" w:sz="4" w:space="0" w:color="auto"/>
            </w:tcBorders>
            <w:shd w:val="clear" w:color="auto" w:fill="auto"/>
            <w:noWrap/>
            <w:vAlign w:val="center"/>
            <w:hideMark/>
          </w:tcPr>
          <w:p w14:paraId="7FD18460" w14:textId="718F0B0A" w:rsidR="00CD6E5B" w:rsidRPr="00467FE6" w:rsidRDefault="00CD6E5B" w:rsidP="002E076A">
            <w:pPr>
              <w:tabs>
                <w:tab w:val="left" w:pos="567"/>
              </w:tabs>
              <w:jc w:val="center"/>
              <w:rPr>
                <w:sz w:val="22"/>
                <w:szCs w:val="22"/>
                <w:lang w:val="en-NZ" w:eastAsia="zh-CN"/>
              </w:rPr>
            </w:pPr>
            <w:r w:rsidRPr="00467FE6">
              <w:rPr>
                <w:sz w:val="22"/>
                <w:szCs w:val="22"/>
                <w:lang w:val="en-NZ" w:eastAsia="zh-CN"/>
              </w:rPr>
              <w:t>1.82</w:t>
            </w:r>
          </w:p>
          <w:p w14:paraId="23D061B8" w14:textId="35C69D89" w:rsidR="00CD6E5B" w:rsidRPr="00467FE6" w:rsidRDefault="00CD6E5B" w:rsidP="002E076A">
            <w:pPr>
              <w:tabs>
                <w:tab w:val="left" w:pos="567"/>
              </w:tabs>
              <w:jc w:val="center"/>
              <w:rPr>
                <w:sz w:val="22"/>
                <w:szCs w:val="22"/>
                <w:lang w:val="en-NZ" w:eastAsia="zh-CN"/>
              </w:rPr>
            </w:pPr>
            <w:r w:rsidRPr="00467FE6">
              <w:rPr>
                <w:sz w:val="22"/>
                <w:szCs w:val="22"/>
                <w:lang w:val="en-NZ" w:eastAsia="zh-CN"/>
              </w:rPr>
              <w:t>(6.88)</w:t>
            </w:r>
          </w:p>
        </w:tc>
        <w:tc>
          <w:tcPr>
            <w:tcW w:w="744" w:type="dxa"/>
            <w:tcBorders>
              <w:top w:val="single" w:sz="4" w:space="0" w:color="auto"/>
            </w:tcBorders>
          </w:tcPr>
          <w:p w14:paraId="1E13B924" w14:textId="59E0CC3F" w:rsidR="00CD6E5B" w:rsidRPr="00467FE6" w:rsidRDefault="00CD6E5B" w:rsidP="002E076A">
            <w:pPr>
              <w:tabs>
                <w:tab w:val="left" w:pos="567"/>
              </w:tabs>
              <w:jc w:val="center"/>
              <w:rPr>
                <w:sz w:val="22"/>
                <w:szCs w:val="22"/>
                <w:lang w:val="en-NZ" w:eastAsia="zh-CN"/>
              </w:rPr>
            </w:pPr>
            <w:r w:rsidRPr="00467FE6">
              <w:rPr>
                <w:sz w:val="22"/>
                <w:szCs w:val="22"/>
                <w:lang w:val="en-NZ" w:eastAsia="zh-CN"/>
              </w:rPr>
              <w:t>599</w:t>
            </w:r>
          </w:p>
        </w:tc>
        <w:tc>
          <w:tcPr>
            <w:tcW w:w="1044" w:type="dxa"/>
            <w:tcBorders>
              <w:top w:val="single" w:sz="4" w:space="0" w:color="auto"/>
            </w:tcBorders>
            <w:shd w:val="clear" w:color="auto" w:fill="auto"/>
            <w:noWrap/>
            <w:vAlign w:val="center"/>
            <w:hideMark/>
          </w:tcPr>
          <w:p w14:paraId="0C4199A7" w14:textId="1685978D" w:rsidR="00CD6E5B" w:rsidRPr="00467FE6" w:rsidRDefault="00CD6E5B" w:rsidP="002E076A">
            <w:pPr>
              <w:tabs>
                <w:tab w:val="left" w:pos="567"/>
              </w:tabs>
              <w:jc w:val="center"/>
              <w:rPr>
                <w:sz w:val="22"/>
                <w:szCs w:val="22"/>
                <w:lang w:val="en-NZ" w:eastAsia="zh-CN"/>
              </w:rPr>
            </w:pPr>
            <w:r w:rsidRPr="00467FE6">
              <w:rPr>
                <w:sz w:val="22"/>
                <w:szCs w:val="22"/>
                <w:lang w:val="en-NZ" w:eastAsia="zh-CN"/>
              </w:rPr>
              <w:t>0.32</w:t>
            </w:r>
          </w:p>
          <w:p w14:paraId="4BB04BEC" w14:textId="0C704C6C" w:rsidR="00CD6E5B" w:rsidRPr="00467FE6" w:rsidRDefault="00CD6E5B" w:rsidP="002E076A">
            <w:pPr>
              <w:tabs>
                <w:tab w:val="left" w:pos="567"/>
              </w:tabs>
              <w:jc w:val="center"/>
              <w:rPr>
                <w:sz w:val="22"/>
                <w:szCs w:val="22"/>
                <w:lang w:val="en-NZ" w:eastAsia="zh-CN"/>
              </w:rPr>
            </w:pPr>
            <w:r w:rsidRPr="00467FE6">
              <w:rPr>
                <w:sz w:val="22"/>
                <w:szCs w:val="22"/>
                <w:lang w:val="en-NZ" w:eastAsia="zh-CN"/>
              </w:rPr>
              <w:t>(0.63)</w:t>
            </w:r>
          </w:p>
        </w:tc>
        <w:tc>
          <w:tcPr>
            <w:tcW w:w="762" w:type="dxa"/>
            <w:tcBorders>
              <w:top w:val="single" w:sz="4" w:space="0" w:color="auto"/>
            </w:tcBorders>
          </w:tcPr>
          <w:p w14:paraId="1A03F84A" w14:textId="2EE33B6F" w:rsidR="00CD6E5B" w:rsidRPr="00467FE6" w:rsidRDefault="00CD6E5B" w:rsidP="002E076A">
            <w:pPr>
              <w:tabs>
                <w:tab w:val="left" w:pos="567"/>
              </w:tabs>
              <w:jc w:val="center"/>
              <w:rPr>
                <w:sz w:val="22"/>
                <w:szCs w:val="22"/>
                <w:lang w:val="en-NZ" w:eastAsia="zh-CN"/>
              </w:rPr>
            </w:pPr>
            <w:r w:rsidRPr="00467FE6">
              <w:rPr>
                <w:sz w:val="22"/>
                <w:szCs w:val="22"/>
                <w:lang w:val="en-NZ" w:eastAsia="zh-CN"/>
              </w:rPr>
              <w:t>619</w:t>
            </w:r>
          </w:p>
        </w:tc>
        <w:tc>
          <w:tcPr>
            <w:tcW w:w="1182" w:type="dxa"/>
            <w:tcBorders>
              <w:top w:val="single" w:sz="4" w:space="0" w:color="auto"/>
            </w:tcBorders>
          </w:tcPr>
          <w:p w14:paraId="455D75AD" w14:textId="24959864" w:rsidR="00CD6E5B" w:rsidRPr="00467FE6" w:rsidRDefault="00CD6E5B" w:rsidP="002E076A">
            <w:pPr>
              <w:tabs>
                <w:tab w:val="left" w:pos="567"/>
              </w:tabs>
              <w:jc w:val="center"/>
              <w:rPr>
                <w:sz w:val="22"/>
                <w:szCs w:val="22"/>
                <w:lang w:val="en-NZ" w:eastAsia="zh-CN"/>
              </w:rPr>
            </w:pPr>
            <w:r w:rsidRPr="00467FE6">
              <w:rPr>
                <w:sz w:val="22"/>
                <w:szCs w:val="22"/>
                <w:lang w:val="en-NZ" w:eastAsia="zh-CN"/>
              </w:rPr>
              <w:t>7.69</w:t>
            </w:r>
          </w:p>
          <w:p w14:paraId="2D7838A1" w14:textId="74CFE127" w:rsidR="00CD6E5B" w:rsidRPr="00467FE6" w:rsidRDefault="00CD6E5B" w:rsidP="002E076A">
            <w:pPr>
              <w:tabs>
                <w:tab w:val="left" w:pos="567"/>
              </w:tabs>
              <w:jc w:val="center"/>
              <w:rPr>
                <w:sz w:val="22"/>
                <w:szCs w:val="22"/>
                <w:lang w:val="en-NZ" w:eastAsia="zh-CN"/>
              </w:rPr>
            </w:pPr>
            <w:r w:rsidRPr="00467FE6">
              <w:rPr>
                <w:sz w:val="22"/>
                <w:szCs w:val="22"/>
                <w:lang w:val="en-NZ" w:eastAsia="zh-CN"/>
              </w:rPr>
              <w:t>(15.69)</w:t>
            </w:r>
          </w:p>
        </w:tc>
        <w:tc>
          <w:tcPr>
            <w:tcW w:w="895" w:type="dxa"/>
            <w:tcBorders>
              <w:top w:val="single" w:sz="4" w:space="0" w:color="auto"/>
            </w:tcBorders>
          </w:tcPr>
          <w:p w14:paraId="2CC4F10E" w14:textId="081812F6" w:rsidR="00CD6E5B" w:rsidRPr="00467FE6" w:rsidRDefault="00CD6E5B" w:rsidP="002E076A">
            <w:pPr>
              <w:tabs>
                <w:tab w:val="left" w:pos="567"/>
              </w:tabs>
              <w:jc w:val="center"/>
              <w:rPr>
                <w:sz w:val="22"/>
                <w:szCs w:val="22"/>
                <w:lang w:val="en-NZ" w:eastAsia="zh-CN"/>
              </w:rPr>
            </w:pPr>
            <w:r w:rsidRPr="00467FE6">
              <w:rPr>
                <w:sz w:val="22"/>
                <w:szCs w:val="22"/>
                <w:lang w:val="en-NZ" w:eastAsia="zh-CN"/>
              </w:rPr>
              <w:t>2022</w:t>
            </w:r>
          </w:p>
        </w:tc>
      </w:tr>
      <w:tr w:rsidR="00876F9D" w:rsidRPr="00467FE6" w14:paraId="67D3C539" w14:textId="1A607A88" w:rsidTr="008D36A3">
        <w:trPr>
          <w:trHeight w:val="256"/>
          <w:jc w:val="center"/>
        </w:trPr>
        <w:tc>
          <w:tcPr>
            <w:tcW w:w="5760" w:type="dxa"/>
            <w:shd w:val="clear" w:color="auto" w:fill="auto"/>
            <w:noWrap/>
            <w:vAlign w:val="center"/>
            <w:hideMark/>
          </w:tcPr>
          <w:p w14:paraId="2D38A20A" w14:textId="33E442F0" w:rsidR="00CD6E5B" w:rsidRPr="00467FE6" w:rsidRDefault="00CD6E5B" w:rsidP="002E076A">
            <w:pPr>
              <w:tabs>
                <w:tab w:val="left" w:pos="567"/>
              </w:tabs>
              <w:rPr>
                <w:sz w:val="22"/>
                <w:szCs w:val="22"/>
                <w:lang w:val="en-NZ" w:eastAsia="zh-CN"/>
              </w:rPr>
            </w:pPr>
            <w:r w:rsidRPr="00467FE6">
              <w:rPr>
                <w:sz w:val="22"/>
                <w:szCs w:val="22"/>
                <w:lang w:val="en-NZ" w:eastAsia="zh-CN"/>
              </w:rPr>
              <w:t xml:space="preserve">Infant </w:t>
            </w:r>
            <w:r w:rsidR="00CD7208" w:rsidRPr="00467FE6">
              <w:rPr>
                <w:sz w:val="22"/>
                <w:szCs w:val="22"/>
                <w:lang w:val="en-NZ" w:eastAsia="zh-CN"/>
              </w:rPr>
              <w:t>Mortality Rate Per Thousand (0-27 Days)</w:t>
            </w:r>
          </w:p>
        </w:tc>
        <w:tc>
          <w:tcPr>
            <w:tcW w:w="1027" w:type="dxa"/>
            <w:shd w:val="clear" w:color="auto" w:fill="auto"/>
            <w:noWrap/>
            <w:vAlign w:val="center"/>
            <w:hideMark/>
          </w:tcPr>
          <w:p w14:paraId="70AD2947" w14:textId="77777777" w:rsidR="00CD6E5B" w:rsidRPr="00467FE6" w:rsidRDefault="00CD6E5B" w:rsidP="002E076A">
            <w:pPr>
              <w:tabs>
                <w:tab w:val="left" w:pos="567"/>
              </w:tabs>
              <w:jc w:val="center"/>
              <w:rPr>
                <w:sz w:val="22"/>
                <w:szCs w:val="22"/>
                <w:lang w:val="en-NZ" w:eastAsia="zh-CN"/>
              </w:rPr>
            </w:pPr>
            <w:r w:rsidRPr="00467FE6">
              <w:rPr>
                <w:sz w:val="22"/>
                <w:szCs w:val="22"/>
                <w:lang w:val="en-NZ" w:eastAsia="zh-CN"/>
              </w:rPr>
              <w:t>74.00</w:t>
            </w:r>
          </w:p>
          <w:p w14:paraId="3E158C38" w14:textId="6078CF03" w:rsidR="00CD6E5B" w:rsidRPr="00467FE6" w:rsidRDefault="00CD6E5B" w:rsidP="002E076A">
            <w:pPr>
              <w:tabs>
                <w:tab w:val="left" w:pos="567"/>
              </w:tabs>
              <w:jc w:val="center"/>
              <w:rPr>
                <w:sz w:val="22"/>
                <w:szCs w:val="22"/>
                <w:lang w:val="en-NZ" w:eastAsia="zh-CN"/>
              </w:rPr>
            </w:pPr>
            <w:r w:rsidRPr="00467FE6">
              <w:rPr>
                <w:sz w:val="22"/>
                <w:szCs w:val="22"/>
                <w:lang w:val="en-NZ" w:eastAsia="zh-CN"/>
              </w:rPr>
              <w:t>(21.28)</w:t>
            </w:r>
          </w:p>
        </w:tc>
        <w:tc>
          <w:tcPr>
            <w:tcW w:w="743" w:type="dxa"/>
          </w:tcPr>
          <w:p w14:paraId="6B650F23" w14:textId="61F44D77" w:rsidR="00CD6E5B" w:rsidRPr="00467FE6" w:rsidRDefault="00CD6E5B" w:rsidP="002E076A">
            <w:pPr>
              <w:tabs>
                <w:tab w:val="left" w:pos="567"/>
              </w:tabs>
              <w:jc w:val="center"/>
              <w:rPr>
                <w:sz w:val="22"/>
                <w:szCs w:val="22"/>
                <w:lang w:val="en-NZ" w:eastAsia="zh-CN"/>
              </w:rPr>
            </w:pPr>
            <w:r w:rsidRPr="00467FE6">
              <w:rPr>
                <w:sz w:val="22"/>
                <w:szCs w:val="22"/>
                <w:lang w:val="en-NZ" w:eastAsia="zh-CN"/>
              </w:rPr>
              <w:t>299</w:t>
            </w:r>
          </w:p>
        </w:tc>
        <w:tc>
          <w:tcPr>
            <w:tcW w:w="1036" w:type="dxa"/>
            <w:shd w:val="clear" w:color="auto" w:fill="auto"/>
            <w:noWrap/>
            <w:vAlign w:val="center"/>
            <w:hideMark/>
          </w:tcPr>
          <w:p w14:paraId="5BB10AE5" w14:textId="530E6C7E" w:rsidR="00CD6E5B" w:rsidRPr="00467FE6" w:rsidRDefault="00CD6E5B" w:rsidP="002E076A">
            <w:pPr>
              <w:tabs>
                <w:tab w:val="left" w:pos="567"/>
              </w:tabs>
              <w:jc w:val="center"/>
              <w:rPr>
                <w:sz w:val="22"/>
                <w:szCs w:val="22"/>
                <w:lang w:val="en-NZ" w:eastAsia="zh-CN"/>
              </w:rPr>
            </w:pPr>
            <w:r w:rsidRPr="00467FE6">
              <w:rPr>
                <w:sz w:val="22"/>
                <w:szCs w:val="22"/>
                <w:lang w:val="en-NZ" w:eastAsia="zh-CN"/>
              </w:rPr>
              <w:t>44.72</w:t>
            </w:r>
          </w:p>
          <w:p w14:paraId="31FBE921" w14:textId="0DBF422E" w:rsidR="00CD6E5B" w:rsidRPr="00467FE6" w:rsidRDefault="00CD6E5B" w:rsidP="002E076A">
            <w:pPr>
              <w:tabs>
                <w:tab w:val="left" w:pos="567"/>
              </w:tabs>
              <w:jc w:val="center"/>
              <w:rPr>
                <w:sz w:val="22"/>
                <w:szCs w:val="22"/>
                <w:lang w:val="en-NZ" w:eastAsia="zh-CN"/>
              </w:rPr>
            </w:pPr>
            <w:r w:rsidRPr="00467FE6">
              <w:rPr>
                <w:sz w:val="22"/>
                <w:szCs w:val="22"/>
                <w:lang w:val="en-NZ" w:eastAsia="zh-CN"/>
              </w:rPr>
              <w:t>(22.44)</w:t>
            </w:r>
          </w:p>
        </w:tc>
        <w:tc>
          <w:tcPr>
            <w:tcW w:w="743" w:type="dxa"/>
          </w:tcPr>
          <w:p w14:paraId="415DA709" w14:textId="77777777" w:rsidR="00CD6E5B" w:rsidRPr="00467FE6" w:rsidRDefault="00CD6E5B" w:rsidP="002E076A">
            <w:pPr>
              <w:tabs>
                <w:tab w:val="left" w:pos="567"/>
              </w:tabs>
              <w:jc w:val="center"/>
              <w:rPr>
                <w:sz w:val="22"/>
                <w:szCs w:val="22"/>
                <w:lang w:val="en-NZ" w:eastAsia="zh-CN"/>
              </w:rPr>
            </w:pPr>
            <w:r w:rsidRPr="00467FE6">
              <w:rPr>
                <w:sz w:val="22"/>
                <w:szCs w:val="22"/>
                <w:lang w:val="en-NZ" w:eastAsia="zh-CN"/>
              </w:rPr>
              <w:t>506</w:t>
            </w:r>
          </w:p>
          <w:p w14:paraId="1264524B" w14:textId="77777777" w:rsidR="00CD6E5B" w:rsidRPr="00467FE6" w:rsidRDefault="00CD6E5B" w:rsidP="002E076A">
            <w:pPr>
              <w:tabs>
                <w:tab w:val="left" w:pos="567"/>
              </w:tabs>
              <w:rPr>
                <w:sz w:val="22"/>
                <w:szCs w:val="22"/>
                <w:lang w:val="en-NZ" w:eastAsia="zh-CN"/>
              </w:rPr>
            </w:pPr>
          </w:p>
        </w:tc>
        <w:tc>
          <w:tcPr>
            <w:tcW w:w="1039" w:type="dxa"/>
            <w:shd w:val="clear" w:color="auto" w:fill="auto"/>
            <w:noWrap/>
            <w:vAlign w:val="center"/>
            <w:hideMark/>
          </w:tcPr>
          <w:p w14:paraId="282B6D15" w14:textId="0CB18C69" w:rsidR="00CD6E5B" w:rsidRPr="00467FE6" w:rsidRDefault="00CD6E5B" w:rsidP="002E076A">
            <w:pPr>
              <w:tabs>
                <w:tab w:val="left" w:pos="567"/>
              </w:tabs>
              <w:jc w:val="center"/>
              <w:rPr>
                <w:sz w:val="22"/>
                <w:szCs w:val="22"/>
                <w:lang w:val="en-NZ" w:eastAsia="zh-CN"/>
              </w:rPr>
            </w:pPr>
            <w:r w:rsidRPr="00467FE6">
              <w:rPr>
                <w:sz w:val="22"/>
                <w:szCs w:val="22"/>
                <w:lang w:val="en-NZ" w:eastAsia="zh-CN"/>
              </w:rPr>
              <w:t>24.37</w:t>
            </w:r>
          </w:p>
          <w:p w14:paraId="25048D28" w14:textId="663E978F" w:rsidR="00CD6E5B" w:rsidRPr="00467FE6" w:rsidRDefault="00CD6E5B" w:rsidP="002E076A">
            <w:pPr>
              <w:tabs>
                <w:tab w:val="left" w:pos="567"/>
              </w:tabs>
              <w:jc w:val="center"/>
              <w:rPr>
                <w:sz w:val="22"/>
                <w:szCs w:val="22"/>
                <w:lang w:val="en-NZ" w:eastAsia="zh-CN"/>
              </w:rPr>
            </w:pPr>
            <w:r w:rsidRPr="00467FE6">
              <w:rPr>
                <w:sz w:val="22"/>
                <w:szCs w:val="22"/>
                <w:lang w:val="en-NZ" w:eastAsia="zh-CN"/>
              </w:rPr>
              <w:t>(18.96)</w:t>
            </w:r>
          </w:p>
        </w:tc>
        <w:tc>
          <w:tcPr>
            <w:tcW w:w="744" w:type="dxa"/>
          </w:tcPr>
          <w:p w14:paraId="5835C5A4" w14:textId="200872DE" w:rsidR="00CD6E5B" w:rsidRPr="00467FE6" w:rsidRDefault="00CD6E5B" w:rsidP="002E076A">
            <w:pPr>
              <w:tabs>
                <w:tab w:val="left" w:pos="567"/>
              </w:tabs>
              <w:jc w:val="center"/>
              <w:rPr>
                <w:sz w:val="22"/>
                <w:szCs w:val="22"/>
                <w:lang w:val="en-NZ" w:eastAsia="zh-CN"/>
              </w:rPr>
            </w:pPr>
            <w:r w:rsidRPr="00467FE6">
              <w:rPr>
                <w:sz w:val="22"/>
                <w:szCs w:val="22"/>
                <w:lang w:val="en-NZ" w:eastAsia="zh-CN"/>
              </w:rPr>
              <w:t>606</w:t>
            </w:r>
          </w:p>
        </w:tc>
        <w:tc>
          <w:tcPr>
            <w:tcW w:w="1044" w:type="dxa"/>
            <w:shd w:val="clear" w:color="auto" w:fill="auto"/>
            <w:noWrap/>
            <w:vAlign w:val="center"/>
            <w:hideMark/>
          </w:tcPr>
          <w:p w14:paraId="3AA7F8CB" w14:textId="75B26767" w:rsidR="00CD6E5B" w:rsidRPr="00467FE6" w:rsidRDefault="00CD6E5B" w:rsidP="002E076A">
            <w:pPr>
              <w:tabs>
                <w:tab w:val="left" w:pos="567"/>
              </w:tabs>
              <w:jc w:val="center"/>
              <w:rPr>
                <w:sz w:val="22"/>
                <w:szCs w:val="22"/>
                <w:lang w:val="en-NZ" w:eastAsia="zh-CN"/>
              </w:rPr>
            </w:pPr>
            <w:r w:rsidRPr="00467FE6">
              <w:rPr>
                <w:sz w:val="22"/>
                <w:szCs w:val="22"/>
                <w:lang w:val="en-NZ" w:eastAsia="zh-CN"/>
              </w:rPr>
              <w:t>7.02</w:t>
            </w:r>
          </w:p>
          <w:p w14:paraId="5900659A" w14:textId="224E8770" w:rsidR="00CD6E5B" w:rsidRPr="00467FE6" w:rsidRDefault="00CD6E5B" w:rsidP="002E076A">
            <w:pPr>
              <w:tabs>
                <w:tab w:val="left" w:pos="567"/>
              </w:tabs>
              <w:jc w:val="center"/>
              <w:rPr>
                <w:sz w:val="22"/>
                <w:szCs w:val="22"/>
                <w:lang w:val="en-NZ" w:eastAsia="zh-CN"/>
              </w:rPr>
            </w:pPr>
            <w:r w:rsidRPr="00467FE6">
              <w:rPr>
                <w:sz w:val="22"/>
                <w:szCs w:val="22"/>
                <w:lang w:val="en-NZ" w:eastAsia="zh-CN"/>
              </w:rPr>
              <w:t>(5.51)</w:t>
            </w:r>
          </w:p>
        </w:tc>
        <w:tc>
          <w:tcPr>
            <w:tcW w:w="762" w:type="dxa"/>
          </w:tcPr>
          <w:p w14:paraId="623DA38F" w14:textId="5E6BDF8C" w:rsidR="00CD6E5B" w:rsidRPr="00467FE6" w:rsidRDefault="00CD6E5B" w:rsidP="002E076A">
            <w:pPr>
              <w:tabs>
                <w:tab w:val="left" w:pos="567"/>
              </w:tabs>
              <w:jc w:val="center"/>
              <w:rPr>
                <w:sz w:val="22"/>
                <w:szCs w:val="22"/>
                <w:lang w:val="en-NZ" w:eastAsia="zh-CN"/>
              </w:rPr>
            </w:pPr>
            <w:r w:rsidRPr="00467FE6">
              <w:rPr>
                <w:sz w:val="22"/>
                <w:szCs w:val="22"/>
                <w:lang w:val="en-NZ" w:eastAsia="zh-CN"/>
              </w:rPr>
              <w:t>624</w:t>
            </w:r>
          </w:p>
        </w:tc>
        <w:tc>
          <w:tcPr>
            <w:tcW w:w="1182" w:type="dxa"/>
          </w:tcPr>
          <w:p w14:paraId="7F46A753" w14:textId="2558FF0F" w:rsidR="00CD6E5B" w:rsidRPr="00467FE6" w:rsidRDefault="00CD6E5B" w:rsidP="002E076A">
            <w:pPr>
              <w:tabs>
                <w:tab w:val="left" w:pos="567"/>
              </w:tabs>
              <w:jc w:val="center"/>
              <w:rPr>
                <w:sz w:val="22"/>
                <w:szCs w:val="22"/>
                <w:lang w:val="en-NZ" w:eastAsia="zh-CN"/>
              </w:rPr>
            </w:pPr>
            <w:r w:rsidRPr="00467FE6">
              <w:rPr>
                <w:sz w:val="22"/>
                <w:szCs w:val="22"/>
                <w:lang w:val="en-NZ" w:eastAsia="zh-CN"/>
              </w:rPr>
              <w:t>31.40</w:t>
            </w:r>
          </w:p>
          <w:p w14:paraId="548E07F3" w14:textId="1BD7959E" w:rsidR="00CD6E5B" w:rsidRPr="00467FE6" w:rsidRDefault="00CD6E5B" w:rsidP="002E076A">
            <w:pPr>
              <w:tabs>
                <w:tab w:val="left" w:pos="567"/>
              </w:tabs>
              <w:jc w:val="center"/>
              <w:rPr>
                <w:sz w:val="22"/>
                <w:szCs w:val="22"/>
                <w:lang w:val="en-NZ" w:eastAsia="zh-CN"/>
              </w:rPr>
            </w:pPr>
            <w:r w:rsidRPr="00467FE6">
              <w:rPr>
                <w:sz w:val="22"/>
                <w:szCs w:val="22"/>
                <w:lang w:val="en-NZ" w:eastAsia="zh-CN"/>
              </w:rPr>
              <w:t>(28.56)</w:t>
            </w:r>
          </w:p>
        </w:tc>
        <w:tc>
          <w:tcPr>
            <w:tcW w:w="895" w:type="dxa"/>
          </w:tcPr>
          <w:p w14:paraId="02498216" w14:textId="1E9C1DD8" w:rsidR="00CD6E5B" w:rsidRPr="00467FE6" w:rsidRDefault="00CD6E5B" w:rsidP="002E076A">
            <w:pPr>
              <w:tabs>
                <w:tab w:val="left" w:pos="567"/>
              </w:tabs>
              <w:jc w:val="center"/>
              <w:rPr>
                <w:sz w:val="22"/>
                <w:szCs w:val="22"/>
                <w:lang w:val="en-NZ" w:eastAsia="zh-CN"/>
              </w:rPr>
            </w:pPr>
            <w:r w:rsidRPr="00467FE6">
              <w:rPr>
                <w:sz w:val="22"/>
                <w:szCs w:val="22"/>
                <w:lang w:val="en-NZ" w:eastAsia="zh-CN"/>
              </w:rPr>
              <w:t>2035</w:t>
            </w:r>
          </w:p>
        </w:tc>
      </w:tr>
      <w:tr w:rsidR="00876F9D" w:rsidRPr="00467FE6" w14:paraId="6AD5B64C" w14:textId="59102ED4" w:rsidTr="008D36A3">
        <w:trPr>
          <w:trHeight w:val="256"/>
          <w:jc w:val="center"/>
        </w:trPr>
        <w:tc>
          <w:tcPr>
            <w:tcW w:w="5760" w:type="dxa"/>
            <w:shd w:val="clear" w:color="auto" w:fill="auto"/>
            <w:noWrap/>
            <w:vAlign w:val="center"/>
            <w:hideMark/>
          </w:tcPr>
          <w:p w14:paraId="424214A4" w14:textId="32311AB5" w:rsidR="00CD6E5B" w:rsidRPr="00467FE6" w:rsidRDefault="00CD6E5B" w:rsidP="002E076A">
            <w:pPr>
              <w:tabs>
                <w:tab w:val="left" w:pos="567"/>
              </w:tabs>
              <w:rPr>
                <w:sz w:val="22"/>
                <w:szCs w:val="22"/>
                <w:lang w:val="en-NZ" w:eastAsia="zh-CN"/>
              </w:rPr>
            </w:pPr>
            <w:r w:rsidRPr="00467FE6">
              <w:rPr>
                <w:sz w:val="22"/>
                <w:szCs w:val="22"/>
                <w:lang w:val="en-NZ" w:eastAsia="zh-CN"/>
              </w:rPr>
              <w:t xml:space="preserve">Child </w:t>
            </w:r>
            <w:r w:rsidR="00CD7208" w:rsidRPr="00467FE6">
              <w:rPr>
                <w:sz w:val="22"/>
                <w:szCs w:val="22"/>
                <w:lang w:val="en-NZ" w:eastAsia="zh-CN"/>
              </w:rPr>
              <w:t>Mortality Rate Per Thousand (1-59 Months)</w:t>
            </w:r>
          </w:p>
        </w:tc>
        <w:tc>
          <w:tcPr>
            <w:tcW w:w="1027" w:type="dxa"/>
            <w:shd w:val="clear" w:color="auto" w:fill="auto"/>
            <w:noWrap/>
            <w:vAlign w:val="center"/>
            <w:hideMark/>
          </w:tcPr>
          <w:p w14:paraId="7C1EB7DC" w14:textId="77777777" w:rsidR="00CD6E5B" w:rsidRPr="00467FE6" w:rsidRDefault="00CD6E5B" w:rsidP="002E076A">
            <w:pPr>
              <w:tabs>
                <w:tab w:val="left" w:pos="567"/>
              </w:tabs>
              <w:jc w:val="center"/>
              <w:rPr>
                <w:sz w:val="22"/>
                <w:szCs w:val="22"/>
                <w:lang w:val="en-NZ" w:eastAsia="zh-CN"/>
              </w:rPr>
            </w:pPr>
            <w:r w:rsidRPr="00467FE6">
              <w:rPr>
                <w:sz w:val="22"/>
                <w:szCs w:val="22"/>
                <w:lang w:val="en-NZ" w:eastAsia="zh-CN"/>
              </w:rPr>
              <w:t>118.94</w:t>
            </w:r>
          </w:p>
          <w:p w14:paraId="41805C6C" w14:textId="37123ABD" w:rsidR="00CD6E5B" w:rsidRPr="00467FE6" w:rsidRDefault="00CD6E5B" w:rsidP="002E076A">
            <w:pPr>
              <w:tabs>
                <w:tab w:val="left" w:pos="567"/>
              </w:tabs>
              <w:jc w:val="center"/>
              <w:rPr>
                <w:sz w:val="22"/>
                <w:szCs w:val="22"/>
                <w:lang w:val="en-NZ" w:eastAsia="zh-CN"/>
              </w:rPr>
            </w:pPr>
            <w:r w:rsidRPr="00467FE6">
              <w:rPr>
                <w:sz w:val="22"/>
                <w:szCs w:val="22"/>
                <w:lang w:val="en-NZ" w:eastAsia="zh-CN"/>
              </w:rPr>
              <w:t>(40.86)</w:t>
            </w:r>
          </w:p>
        </w:tc>
        <w:tc>
          <w:tcPr>
            <w:tcW w:w="743" w:type="dxa"/>
          </w:tcPr>
          <w:p w14:paraId="446AC1D0" w14:textId="744CB9C0" w:rsidR="00CD6E5B" w:rsidRPr="00467FE6" w:rsidRDefault="00CD6E5B" w:rsidP="002E076A">
            <w:pPr>
              <w:tabs>
                <w:tab w:val="left" w:pos="567"/>
              </w:tabs>
              <w:jc w:val="center"/>
              <w:rPr>
                <w:sz w:val="22"/>
                <w:szCs w:val="22"/>
                <w:lang w:val="en-NZ" w:eastAsia="zh-CN"/>
              </w:rPr>
            </w:pPr>
            <w:r w:rsidRPr="00467FE6">
              <w:rPr>
                <w:sz w:val="22"/>
                <w:szCs w:val="22"/>
                <w:lang w:val="en-NZ" w:eastAsia="zh-CN"/>
              </w:rPr>
              <w:t>299</w:t>
            </w:r>
          </w:p>
        </w:tc>
        <w:tc>
          <w:tcPr>
            <w:tcW w:w="1036" w:type="dxa"/>
            <w:shd w:val="clear" w:color="auto" w:fill="auto"/>
            <w:noWrap/>
            <w:vAlign w:val="center"/>
            <w:hideMark/>
          </w:tcPr>
          <w:p w14:paraId="74666B7B" w14:textId="1F02AB1A" w:rsidR="00CD6E5B" w:rsidRPr="00467FE6" w:rsidRDefault="00CD6E5B" w:rsidP="002E076A">
            <w:pPr>
              <w:tabs>
                <w:tab w:val="left" w:pos="567"/>
              </w:tabs>
              <w:jc w:val="center"/>
              <w:rPr>
                <w:sz w:val="22"/>
                <w:szCs w:val="22"/>
                <w:lang w:val="en-NZ" w:eastAsia="zh-CN"/>
              </w:rPr>
            </w:pPr>
            <w:r w:rsidRPr="00467FE6">
              <w:rPr>
                <w:sz w:val="22"/>
                <w:szCs w:val="22"/>
                <w:lang w:val="en-NZ" w:eastAsia="zh-CN"/>
              </w:rPr>
              <w:t>61.05</w:t>
            </w:r>
          </w:p>
          <w:p w14:paraId="18363C21" w14:textId="5EB046AE" w:rsidR="00CD6E5B" w:rsidRPr="00467FE6" w:rsidRDefault="00CD6E5B" w:rsidP="002E076A">
            <w:pPr>
              <w:tabs>
                <w:tab w:val="left" w:pos="567"/>
              </w:tabs>
              <w:jc w:val="center"/>
              <w:rPr>
                <w:sz w:val="22"/>
                <w:szCs w:val="22"/>
                <w:lang w:val="en-NZ" w:eastAsia="zh-CN"/>
              </w:rPr>
            </w:pPr>
            <w:r w:rsidRPr="00467FE6">
              <w:rPr>
                <w:sz w:val="22"/>
                <w:szCs w:val="22"/>
                <w:lang w:val="en-NZ" w:eastAsia="zh-CN"/>
              </w:rPr>
              <w:t>(36.07)</w:t>
            </w:r>
          </w:p>
        </w:tc>
        <w:tc>
          <w:tcPr>
            <w:tcW w:w="743" w:type="dxa"/>
          </w:tcPr>
          <w:p w14:paraId="2F841FFC" w14:textId="18DB5E27" w:rsidR="00CD6E5B" w:rsidRPr="00467FE6" w:rsidRDefault="00CD6E5B" w:rsidP="002E076A">
            <w:pPr>
              <w:tabs>
                <w:tab w:val="left" w:pos="567"/>
              </w:tabs>
              <w:jc w:val="center"/>
              <w:rPr>
                <w:sz w:val="22"/>
                <w:szCs w:val="22"/>
                <w:lang w:val="en-NZ" w:eastAsia="zh-CN"/>
              </w:rPr>
            </w:pPr>
            <w:r w:rsidRPr="00467FE6">
              <w:rPr>
                <w:sz w:val="22"/>
                <w:szCs w:val="22"/>
                <w:lang w:val="en-NZ" w:eastAsia="zh-CN"/>
              </w:rPr>
              <w:t>506</w:t>
            </w:r>
          </w:p>
        </w:tc>
        <w:tc>
          <w:tcPr>
            <w:tcW w:w="1039" w:type="dxa"/>
            <w:shd w:val="clear" w:color="auto" w:fill="auto"/>
            <w:noWrap/>
            <w:vAlign w:val="center"/>
            <w:hideMark/>
          </w:tcPr>
          <w:p w14:paraId="73AD8DEF" w14:textId="2DB5B8ED" w:rsidR="00CD6E5B" w:rsidRPr="00467FE6" w:rsidRDefault="00CD6E5B" w:rsidP="002E076A">
            <w:pPr>
              <w:tabs>
                <w:tab w:val="left" w:pos="567"/>
              </w:tabs>
              <w:jc w:val="center"/>
              <w:rPr>
                <w:sz w:val="22"/>
                <w:szCs w:val="22"/>
                <w:lang w:val="en-NZ" w:eastAsia="zh-CN"/>
              </w:rPr>
            </w:pPr>
            <w:r w:rsidRPr="00467FE6">
              <w:rPr>
                <w:sz w:val="22"/>
                <w:szCs w:val="22"/>
                <w:lang w:val="en-NZ" w:eastAsia="zh-CN"/>
              </w:rPr>
              <w:t>31.1</w:t>
            </w:r>
          </w:p>
          <w:p w14:paraId="642B02C2" w14:textId="08BB7F36" w:rsidR="00CD6E5B" w:rsidRPr="00467FE6" w:rsidRDefault="00CD6E5B" w:rsidP="002E076A">
            <w:pPr>
              <w:tabs>
                <w:tab w:val="left" w:pos="567"/>
              </w:tabs>
              <w:jc w:val="center"/>
              <w:rPr>
                <w:sz w:val="22"/>
                <w:szCs w:val="22"/>
                <w:lang w:val="en-NZ" w:eastAsia="zh-CN"/>
              </w:rPr>
            </w:pPr>
            <w:r w:rsidRPr="00467FE6">
              <w:rPr>
                <w:sz w:val="22"/>
                <w:szCs w:val="22"/>
                <w:lang w:val="en-NZ" w:eastAsia="zh-CN"/>
              </w:rPr>
              <w:t>(29.46)</w:t>
            </w:r>
          </w:p>
        </w:tc>
        <w:tc>
          <w:tcPr>
            <w:tcW w:w="744" w:type="dxa"/>
          </w:tcPr>
          <w:p w14:paraId="7524A532" w14:textId="7F2B6A4A" w:rsidR="00CD6E5B" w:rsidRPr="00467FE6" w:rsidRDefault="00CD6E5B" w:rsidP="002E076A">
            <w:pPr>
              <w:tabs>
                <w:tab w:val="left" w:pos="567"/>
              </w:tabs>
              <w:jc w:val="center"/>
              <w:rPr>
                <w:sz w:val="22"/>
                <w:szCs w:val="22"/>
                <w:lang w:val="en-NZ" w:eastAsia="zh-CN"/>
              </w:rPr>
            </w:pPr>
            <w:r w:rsidRPr="00467FE6">
              <w:rPr>
                <w:sz w:val="22"/>
                <w:szCs w:val="22"/>
                <w:lang w:val="en-NZ" w:eastAsia="zh-CN"/>
              </w:rPr>
              <w:t>606</w:t>
            </w:r>
          </w:p>
        </w:tc>
        <w:tc>
          <w:tcPr>
            <w:tcW w:w="1044" w:type="dxa"/>
            <w:shd w:val="clear" w:color="auto" w:fill="auto"/>
            <w:noWrap/>
            <w:vAlign w:val="center"/>
            <w:hideMark/>
          </w:tcPr>
          <w:p w14:paraId="6115ACE8" w14:textId="21EBFBB9" w:rsidR="00CD6E5B" w:rsidRPr="00467FE6" w:rsidRDefault="00CD6E5B" w:rsidP="002E076A">
            <w:pPr>
              <w:tabs>
                <w:tab w:val="left" w:pos="567"/>
              </w:tabs>
              <w:jc w:val="center"/>
              <w:rPr>
                <w:sz w:val="22"/>
                <w:szCs w:val="22"/>
                <w:lang w:val="en-NZ" w:eastAsia="zh-CN"/>
              </w:rPr>
            </w:pPr>
            <w:r w:rsidRPr="00467FE6">
              <w:rPr>
                <w:sz w:val="22"/>
                <w:szCs w:val="22"/>
                <w:lang w:val="en-NZ" w:eastAsia="zh-CN"/>
              </w:rPr>
              <w:t>8.31</w:t>
            </w:r>
          </w:p>
          <w:p w14:paraId="179737B8" w14:textId="0A60064B" w:rsidR="00CD6E5B" w:rsidRPr="00467FE6" w:rsidRDefault="00CD6E5B" w:rsidP="002E076A">
            <w:pPr>
              <w:tabs>
                <w:tab w:val="left" w:pos="567"/>
              </w:tabs>
              <w:jc w:val="center"/>
              <w:rPr>
                <w:sz w:val="22"/>
                <w:szCs w:val="22"/>
                <w:lang w:val="en-NZ" w:eastAsia="zh-CN"/>
              </w:rPr>
            </w:pPr>
            <w:r w:rsidRPr="00467FE6">
              <w:rPr>
                <w:sz w:val="22"/>
                <w:szCs w:val="22"/>
                <w:lang w:val="en-NZ" w:eastAsia="zh-CN"/>
              </w:rPr>
              <w:t>(6.49)</w:t>
            </w:r>
          </w:p>
        </w:tc>
        <w:tc>
          <w:tcPr>
            <w:tcW w:w="762" w:type="dxa"/>
          </w:tcPr>
          <w:p w14:paraId="52C1850E" w14:textId="6B6BEFF9" w:rsidR="00CD6E5B" w:rsidRPr="00467FE6" w:rsidRDefault="00CD6E5B" w:rsidP="002E076A">
            <w:pPr>
              <w:tabs>
                <w:tab w:val="left" w:pos="567"/>
              </w:tabs>
              <w:jc w:val="center"/>
              <w:rPr>
                <w:sz w:val="22"/>
                <w:szCs w:val="22"/>
                <w:lang w:val="en-NZ" w:eastAsia="zh-CN"/>
              </w:rPr>
            </w:pPr>
            <w:r w:rsidRPr="00467FE6">
              <w:rPr>
                <w:sz w:val="22"/>
                <w:szCs w:val="22"/>
                <w:lang w:val="en-NZ" w:eastAsia="zh-CN"/>
              </w:rPr>
              <w:t>624</w:t>
            </w:r>
          </w:p>
        </w:tc>
        <w:tc>
          <w:tcPr>
            <w:tcW w:w="1182" w:type="dxa"/>
          </w:tcPr>
          <w:p w14:paraId="1F4155DA" w14:textId="71B89F3B" w:rsidR="00CD6E5B" w:rsidRPr="00467FE6" w:rsidRDefault="00CD6E5B" w:rsidP="002E076A">
            <w:pPr>
              <w:tabs>
                <w:tab w:val="left" w:pos="567"/>
              </w:tabs>
              <w:jc w:val="center"/>
              <w:rPr>
                <w:sz w:val="22"/>
                <w:szCs w:val="22"/>
                <w:lang w:val="en-NZ" w:eastAsia="zh-CN"/>
              </w:rPr>
            </w:pPr>
            <w:r w:rsidRPr="00467FE6">
              <w:rPr>
                <w:sz w:val="22"/>
                <w:szCs w:val="22"/>
                <w:lang w:val="en-NZ" w:eastAsia="zh-CN"/>
              </w:rPr>
              <w:t>44.48</w:t>
            </w:r>
          </w:p>
          <w:p w14:paraId="28875507" w14:textId="04EBE554" w:rsidR="00CD6E5B" w:rsidRPr="00467FE6" w:rsidRDefault="00CD6E5B" w:rsidP="002E076A">
            <w:pPr>
              <w:tabs>
                <w:tab w:val="left" w:pos="567"/>
              </w:tabs>
              <w:jc w:val="center"/>
              <w:rPr>
                <w:sz w:val="22"/>
                <w:szCs w:val="22"/>
                <w:lang w:val="en-NZ" w:eastAsia="zh-CN"/>
              </w:rPr>
            </w:pPr>
            <w:r w:rsidRPr="00467FE6">
              <w:rPr>
                <w:sz w:val="22"/>
                <w:szCs w:val="22"/>
                <w:lang w:val="en-NZ" w:eastAsia="zh-CN"/>
              </w:rPr>
              <w:t>(46.64)</w:t>
            </w:r>
          </w:p>
        </w:tc>
        <w:tc>
          <w:tcPr>
            <w:tcW w:w="895" w:type="dxa"/>
          </w:tcPr>
          <w:p w14:paraId="5CE154A1" w14:textId="66319CF7" w:rsidR="00CD6E5B" w:rsidRPr="00467FE6" w:rsidRDefault="00CD6E5B" w:rsidP="002E076A">
            <w:pPr>
              <w:tabs>
                <w:tab w:val="left" w:pos="567"/>
              </w:tabs>
              <w:jc w:val="center"/>
              <w:rPr>
                <w:sz w:val="22"/>
                <w:szCs w:val="22"/>
                <w:lang w:val="en-NZ" w:eastAsia="zh-CN"/>
              </w:rPr>
            </w:pPr>
            <w:r w:rsidRPr="00467FE6">
              <w:rPr>
                <w:sz w:val="22"/>
                <w:szCs w:val="22"/>
                <w:lang w:val="en-NZ" w:eastAsia="zh-CN"/>
              </w:rPr>
              <w:t>2035</w:t>
            </w:r>
          </w:p>
        </w:tc>
      </w:tr>
      <w:tr w:rsidR="00876F9D" w:rsidRPr="00467FE6" w14:paraId="5292C620" w14:textId="4B789E9F" w:rsidTr="008D36A3">
        <w:trPr>
          <w:trHeight w:val="256"/>
          <w:jc w:val="center"/>
        </w:trPr>
        <w:tc>
          <w:tcPr>
            <w:tcW w:w="5760" w:type="dxa"/>
            <w:shd w:val="clear" w:color="auto" w:fill="auto"/>
            <w:noWrap/>
            <w:vAlign w:val="center"/>
            <w:hideMark/>
          </w:tcPr>
          <w:p w14:paraId="23BF69C3" w14:textId="49BD5716" w:rsidR="00CD6E5B" w:rsidRPr="00467FE6" w:rsidRDefault="00CD6E5B" w:rsidP="002E076A">
            <w:pPr>
              <w:tabs>
                <w:tab w:val="left" w:pos="567"/>
              </w:tabs>
              <w:rPr>
                <w:sz w:val="22"/>
                <w:szCs w:val="22"/>
                <w:lang w:val="en-NZ" w:eastAsia="zh-CN"/>
              </w:rPr>
            </w:pPr>
            <w:r w:rsidRPr="00467FE6">
              <w:rPr>
                <w:sz w:val="22"/>
                <w:szCs w:val="22"/>
                <w:lang w:val="en-NZ" w:eastAsia="zh-CN"/>
              </w:rPr>
              <w:t xml:space="preserve">Female </w:t>
            </w:r>
            <w:r w:rsidR="00CD7208" w:rsidRPr="00467FE6">
              <w:rPr>
                <w:sz w:val="22"/>
                <w:szCs w:val="22"/>
                <w:lang w:val="en-NZ" w:eastAsia="zh-CN"/>
              </w:rPr>
              <w:t>Primary School Enrolment (Gross)</w:t>
            </w:r>
          </w:p>
        </w:tc>
        <w:tc>
          <w:tcPr>
            <w:tcW w:w="1027" w:type="dxa"/>
            <w:shd w:val="clear" w:color="auto" w:fill="auto"/>
            <w:noWrap/>
            <w:vAlign w:val="center"/>
            <w:hideMark/>
          </w:tcPr>
          <w:p w14:paraId="014923E7" w14:textId="77777777" w:rsidR="00CD6E5B" w:rsidRPr="00467FE6" w:rsidRDefault="00CD6E5B" w:rsidP="002E076A">
            <w:pPr>
              <w:tabs>
                <w:tab w:val="left" w:pos="567"/>
              </w:tabs>
              <w:jc w:val="center"/>
              <w:rPr>
                <w:sz w:val="22"/>
                <w:szCs w:val="22"/>
                <w:lang w:val="en-NZ" w:eastAsia="zh-CN"/>
              </w:rPr>
            </w:pPr>
            <w:r w:rsidRPr="00467FE6">
              <w:rPr>
                <w:sz w:val="22"/>
                <w:szCs w:val="22"/>
                <w:lang w:val="en-NZ" w:eastAsia="zh-CN"/>
              </w:rPr>
              <w:t>75.96</w:t>
            </w:r>
          </w:p>
          <w:p w14:paraId="6DF30206" w14:textId="677D16AF" w:rsidR="00CD6E5B" w:rsidRPr="00467FE6" w:rsidRDefault="00CD6E5B" w:rsidP="002E076A">
            <w:pPr>
              <w:tabs>
                <w:tab w:val="left" w:pos="567"/>
              </w:tabs>
              <w:jc w:val="center"/>
              <w:rPr>
                <w:sz w:val="22"/>
                <w:szCs w:val="22"/>
                <w:lang w:val="en-NZ" w:eastAsia="zh-CN"/>
              </w:rPr>
            </w:pPr>
            <w:r w:rsidRPr="00467FE6">
              <w:rPr>
                <w:sz w:val="22"/>
                <w:szCs w:val="22"/>
                <w:lang w:val="en-NZ" w:eastAsia="zh-CN"/>
              </w:rPr>
              <w:t>(42.25)</w:t>
            </w:r>
          </w:p>
        </w:tc>
        <w:tc>
          <w:tcPr>
            <w:tcW w:w="743" w:type="dxa"/>
          </w:tcPr>
          <w:p w14:paraId="08CACABE" w14:textId="3E7EEDB1" w:rsidR="00CD6E5B" w:rsidRPr="00467FE6" w:rsidRDefault="00CD6E5B" w:rsidP="002E076A">
            <w:pPr>
              <w:tabs>
                <w:tab w:val="left" w:pos="567"/>
              </w:tabs>
              <w:jc w:val="center"/>
              <w:rPr>
                <w:sz w:val="22"/>
                <w:szCs w:val="22"/>
                <w:lang w:val="en-NZ" w:eastAsia="zh-CN"/>
              </w:rPr>
            </w:pPr>
            <w:r w:rsidRPr="00467FE6">
              <w:rPr>
                <w:sz w:val="22"/>
                <w:szCs w:val="22"/>
                <w:lang w:val="en-NZ" w:eastAsia="zh-CN"/>
              </w:rPr>
              <w:t>299</w:t>
            </w:r>
          </w:p>
        </w:tc>
        <w:tc>
          <w:tcPr>
            <w:tcW w:w="1036" w:type="dxa"/>
            <w:shd w:val="clear" w:color="auto" w:fill="auto"/>
            <w:noWrap/>
            <w:vAlign w:val="center"/>
            <w:hideMark/>
          </w:tcPr>
          <w:p w14:paraId="1EA1875C" w14:textId="4E9A1956" w:rsidR="00CD6E5B" w:rsidRPr="00467FE6" w:rsidRDefault="00CD6E5B" w:rsidP="002E076A">
            <w:pPr>
              <w:tabs>
                <w:tab w:val="left" w:pos="567"/>
              </w:tabs>
              <w:jc w:val="center"/>
              <w:rPr>
                <w:sz w:val="22"/>
                <w:szCs w:val="22"/>
                <w:lang w:val="en-NZ" w:eastAsia="zh-CN"/>
              </w:rPr>
            </w:pPr>
            <w:r w:rsidRPr="00467FE6">
              <w:rPr>
                <w:sz w:val="22"/>
                <w:szCs w:val="22"/>
                <w:lang w:val="en-NZ" w:eastAsia="zh-CN"/>
              </w:rPr>
              <w:t>89.84</w:t>
            </w:r>
          </w:p>
          <w:p w14:paraId="35D29815" w14:textId="41C43944" w:rsidR="00CD6E5B" w:rsidRPr="00467FE6" w:rsidRDefault="00CD6E5B" w:rsidP="002E076A">
            <w:pPr>
              <w:tabs>
                <w:tab w:val="left" w:pos="567"/>
              </w:tabs>
              <w:jc w:val="center"/>
              <w:rPr>
                <w:sz w:val="22"/>
                <w:szCs w:val="22"/>
                <w:lang w:val="en-NZ" w:eastAsia="zh-CN"/>
              </w:rPr>
            </w:pPr>
            <w:r w:rsidRPr="00467FE6">
              <w:rPr>
                <w:sz w:val="22"/>
                <w:szCs w:val="22"/>
                <w:lang w:val="en-NZ" w:eastAsia="zh-CN"/>
              </w:rPr>
              <w:t>(35.92)</w:t>
            </w:r>
          </w:p>
        </w:tc>
        <w:tc>
          <w:tcPr>
            <w:tcW w:w="743" w:type="dxa"/>
          </w:tcPr>
          <w:p w14:paraId="77EDE458" w14:textId="32B7AC06" w:rsidR="00CD6E5B" w:rsidRPr="00467FE6" w:rsidRDefault="00CD6E5B" w:rsidP="002E076A">
            <w:pPr>
              <w:tabs>
                <w:tab w:val="left" w:pos="567"/>
              </w:tabs>
              <w:jc w:val="center"/>
              <w:rPr>
                <w:sz w:val="22"/>
                <w:szCs w:val="22"/>
                <w:lang w:val="en-NZ" w:eastAsia="zh-CN"/>
              </w:rPr>
            </w:pPr>
            <w:r w:rsidRPr="00467FE6">
              <w:rPr>
                <w:sz w:val="22"/>
                <w:szCs w:val="22"/>
                <w:lang w:val="en-NZ" w:eastAsia="zh-CN"/>
              </w:rPr>
              <w:t>506</w:t>
            </w:r>
          </w:p>
        </w:tc>
        <w:tc>
          <w:tcPr>
            <w:tcW w:w="1039" w:type="dxa"/>
            <w:shd w:val="clear" w:color="auto" w:fill="auto"/>
            <w:noWrap/>
            <w:vAlign w:val="center"/>
            <w:hideMark/>
          </w:tcPr>
          <w:p w14:paraId="6B21384A" w14:textId="7ACBCFC0" w:rsidR="00CD6E5B" w:rsidRPr="00467FE6" w:rsidRDefault="00CD6E5B" w:rsidP="002E076A">
            <w:pPr>
              <w:tabs>
                <w:tab w:val="left" w:pos="567"/>
              </w:tabs>
              <w:jc w:val="center"/>
              <w:rPr>
                <w:sz w:val="22"/>
                <w:szCs w:val="22"/>
                <w:lang w:val="en-NZ" w:eastAsia="zh-CN"/>
              </w:rPr>
            </w:pPr>
            <w:r w:rsidRPr="00467FE6">
              <w:rPr>
                <w:sz w:val="22"/>
                <w:szCs w:val="22"/>
                <w:lang w:val="en-NZ" w:eastAsia="zh-CN"/>
              </w:rPr>
              <w:t>84.20</w:t>
            </w:r>
          </w:p>
          <w:p w14:paraId="747966D7" w14:textId="006BA06B" w:rsidR="00CD6E5B" w:rsidRPr="00467FE6" w:rsidRDefault="00CD6E5B" w:rsidP="002E076A">
            <w:pPr>
              <w:tabs>
                <w:tab w:val="left" w:pos="567"/>
              </w:tabs>
              <w:jc w:val="center"/>
              <w:rPr>
                <w:sz w:val="22"/>
                <w:szCs w:val="22"/>
                <w:lang w:val="en-NZ" w:eastAsia="zh-CN"/>
              </w:rPr>
            </w:pPr>
            <w:r w:rsidRPr="00467FE6">
              <w:rPr>
                <w:sz w:val="22"/>
                <w:szCs w:val="22"/>
                <w:lang w:val="en-NZ" w:eastAsia="zh-CN"/>
              </w:rPr>
              <w:t>(42.74)</w:t>
            </w:r>
          </w:p>
        </w:tc>
        <w:tc>
          <w:tcPr>
            <w:tcW w:w="744" w:type="dxa"/>
          </w:tcPr>
          <w:p w14:paraId="1E028478" w14:textId="3F998933" w:rsidR="00CD6E5B" w:rsidRPr="00467FE6" w:rsidRDefault="00CD6E5B" w:rsidP="002E076A">
            <w:pPr>
              <w:tabs>
                <w:tab w:val="left" w:pos="567"/>
              </w:tabs>
              <w:jc w:val="center"/>
              <w:rPr>
                <w:sz w:val="22"/>
                <w:szCs w:val="22"/>
                <w:lang w:val="en-NZ" w:eastAsia="zh-CN"/>
              </w:rPr>
            </w:pPr>
            <w:r w:rsidRPr="00467FE6">
              <w:rPr>
                <w:sz w:val="22"/>
                <w:szCs w:val="22"/>
                <w:lang w:val="en-NZ" w:eastAsia="zh-CN"/>
              </w:rPr>
              <w:t>606</w:t>
            </w:r>
          </w:p>
        </w:tc>
        <w:tc>
          <w:tcPr>
            <w:tcW w:w="1044" w:type="dxa"/>
            <w:shd w:val="clear" w:color="auto" w:fill="auto"/>
            <w:noWrap/>
            <w:vAlign w:val="center"/>
            <w:hideMark/>
          </w:tcPr>
          <w:p w14:paraId="706B3EF6" w14:textId="19E269D3" w:rsidR="00CD6E5B" w:rsidRPr="00467FE6" w:rsidRDefault="00CD6E5B" w:rsidP="002E076A">
            <w:pPr>
              <w:tabs>
                <w:tab w:val="left" w:pos="567"/>
              </w:tabs>
              <w:jc w:val="center"/>
              <w:rPr>
                <w:sz w:val="22"/>
                <w:szCs w:val="22"/>
                <w:lang w:val="en-NZ" w:eastAsia="zh-CN"/>
              </w:rPr>
            </w:pPr>
            <w:r w:rsidRPr="00467FE6">
              <w:rPr>
                <w:sz w:val="22"/>
                <w:szCs w:val="22"/>
                <w:lang w:val="en-NZ" w:eastAsia="zh-CN"/>
              </w:rPr>
              <w:t>91.72</w:t>
            </w:r>
          </w:p>
          <w:p w14:paraId="5D5B631E" w14:textId="0B4CD1BD" w:rsidR="00CD6E5B" w:rsidRPr="00467FE6" w:rsidRDefault="00CD6E5B" w:rsidP="002E076A">
            <w:pPr>
              <w:tabs>
                <w:tab w:val="left" w:pos="567"/>
              </w:tabs>
              <w:jc w:val="center"/>
              <w:rPr>
                <w:sz w:val="22"/>
                <w:szCs w:val="22"/>
                <w:lang w:val="en-NZ" w:eastAsia="zh-CN"/>
              </w:rPr>
            </w:pPr>
            <w:r w:rsidRPr="00467FE6">
              <w:rPr>
                <w:sz w:val="22"/>
                <w:szCs w:val="22"/>
                <w:lang w:val="en-NZ" w:eastAsia="zh-CN"/>
              </w:rPr>
              <w:t>(31.74)</w:t>
            </w:r>
          </w:p>
        </w:tc>
        <w:tc>
          <w:tcPr>
            <w:tcW w:w="762" w:type="dxa"/>
          </w:tcPr>
          <w:p w14:paraId="3E6A0D37" w14:textId="26E215CD" w:rsidR="00CD6E5B" w:rsidRPr="00467FE6" w:rsidRDefault="00CD6E5B" w:rsidP="002E076A">
            <w:pPr>
              <w:tabs>
                <w:tab w:val="left" w:pos="567"/>
              </w:tabs>
              <w:jc w:val="center"/>
              <w:rPr>
                <w:sz w:val="22"/>
                <w:szCs w:val="22"/>
                <w:lang w:val="en-NZ" w:eastAsia="zh-CN"/>
              </w:rPr>
            </w:pPr>
            <w:r w:rsidRPr="00467FE6">
              <w:rPr>
                <w:sz w:val="22"/>
                <w:szCs w:val="22"/>
                <w:lang w:val="en-NZ" w:eastAsia="zh-CN"/>
              </w:rPr>
              <w:t>624</w:t>
            </w:r>
          </w:p>
        </w:tc>
        <w:tc>
          <w:tcPr>
            <w:tcW w:w="1182" w:type="dxa"/>
          </w:tcPr>
          <w:p w14:paraId="15F66A91" w14:textId="651A5635" w:rsidR="00CD6E5B" w:rsidRPr="00467FE6" w:rsidRDefault="00CD6E5B" w:rsidP="002E076A">
            <w:pPr>
              <w:tabs>
                <w:tab w:val="left" w:pos="567"/>
              </w:tabs>
              <w:jc w:val="center"/>
              <w:rPr>
                <w:sz w:val="22"/>
                <w:szCs w:val="22"/>
                <w:lang w:val="en-NZ" w:eastAsia="zh-CN"/>
              </w:rPr>
            </w:pPr>
            <w:r w:rsidRPr="00467FE6">
              <w:rPr>
                <w:sz w:val="22"/>
                <w:szCs w:val="22"/>
                <w:lang w:val="en-NZ" w:eastAsia="zh-CN"/>
              </w:rPr>
              <w:t>86.69</w:t>
            </w:r>
          </w:p>
          <w:p w14:paraId="2962E909" w14:textId="535049A0" w:rsidR="00CD6E5B" w:rsidRPr="00467FE6" w:rsidRDefault="00CD6E5B" w:rsidP="002E076A">
            <w:pPr>
              <w:tabs>
                <w:tab w:val="left" w:pos="567"/>
              </w:tabs>
              <w:jc w:val="center"/>
              <w:rPr>
                <w:sz w:val="22"/>
                <w:szCs w:val="22"/>
                <w:lang w:val="en-NZ" w:eastAsia="zh-CN"/>
              </w:rPr>
            </w:pPr>
            <w:r w:rsidRPr="00467FE6">
              <w:rPr>
                <w:sz w:val="22"/>
                <w:szCs w:val="22"/>
                <w:lang w:val="en-NZ" w:eastAsia="zh-CN"/>
              </w:rPr>
              <w:t>(38.24)</w:t>
            </w:r>
          </w:p>
        </w:tc>
        <w:tc>
          <w:tcPr>
            <w:tcW w:w="895" w:type="dxa"/>
          </w:tcPr>
          <w:p w14:paraId="6D6A1672" w14:textId="185FA419" w:rsidR="00CD6E5B" w:rsidRPr="00467FE6" w:rsidRDefault="00CD6E5B" w:rsidP="002E076A">
            <w:pPr>
              <w:tabs>
                <w:tab w:val="left" w:pos="567"/>
              </w:tabs>
              <w:jc w:val="center"/>
              <w:rPr>
                <w:sz w:val="22"/>
                <w:szCs w:val="22"/>
                <w:lang w:val="en-NZ" w:eastAsia="zh-CN"/>
              </w:rPr>
            </w:pPr>
            <w:r w:rsidRPr="00467FE6">
              <w:rPr>
                <w:sz w:val="22"/>
                <w:szCs w:val="22"/>
                <w:lang w:val="en-NZ" w:eastAsia="zh-CN"/>
              </w:rPr>
              <w:t>2035</w:t>
            </w:r>
          </w:p>
        </w:tc>
      </w:tr>
      <w:tr w:rsidR="00876F9D" w:rsidRPr="00467FE6" w14:paraId="7B078EBD" w14:textId="19EC07B5" w:rsidTr="008D36A3">
        <w:trPr>
          <w:trHeight w:val="256"/>
          <w:jc w:val="center"/>
        </w:trPr>
        <w:tc>
          <w:tcPr>
            <w:tcW w:w="5760" w:type="dxa"/>
            <w:shd w:val="clear" w:color="auto" w:fill="auto"/>
            <w:noWrap/>
            <w:vAlign w:val="center"/>
            <w:hideMark/>
          </w:tcPr>
          <w:p w14:paraId="63C79AE1" w14:textId="4A544454" w:rsidR="00CD6E5B" w:rsidRPr="00467FE6" w:rsidRDefault="00CD6E5B" w:rsidP="002E076A">
            <w:pPr>
              <w:tabs>
                <w:tab w:val="left" w:pos="567"/>
              </w:tabs>
              <w:rPr>
                <w:sz w:val="22"/>
                <w:szCs w:val="22"/>
                <w:lang w:val="en-NZ" w:eastAsia="zh-CN"/>
              </w:rPr>
            </w:pPr>
            <w:r w:rsidRPr="00467FE6">
              <w:rPr>
                <w:sz w:val="22"/>
                <w:szCs w:val="22"/>
                <w:lang w:val="en-NZ" w:eastAsia="zh-CN"/>
              </w:rPr>
              <w:t xml:space="preserve">Male </w:t>
            </w:r>
            <w:r w:rsidR="00CD7208" w:rsidRPr="00467FE6">
              <w:rPr>
                <w:sz w:val="22"/>
                <w:szCs w:val="22"/>
                <w:lang w:val="en-NZ" w:eastAsia="zh-CN"/>
              </w:rPr>
              <w:t>Primary School Enrolment (Gross)</w:t>
            </w:r>
          </w:p>
        </w:tc>
        <w:tc>
          <w:tcPr>
            <w:tcW w:w="1027" w:type="dxa"/>
            <w:shd w:val="clear" w:color="auto" w:fill="auto"/>
            <w:noWrap/>
            <w:vAlign w:val="center"/>
            <w:hideMark/>
          </w:tcPr>
          <w:p w14:paraId="7B8DA119" w14:textId="77777777" w:rsidR="00CD6E5B" w:rsidRPr="00467FE6" w:rsidRDefault="00CD6E5B" w:rsidP="002E076A">
            <w:pPr>
              <w:tabs>
                <w:tab w:val="left" w:pos="567"/>
              </w:tabs>
              <w:jc w:val="center"/>
              <w:rPr>
                <w:sz w:val="22"/>
                <w:szCs w:val="22"/>
                <w:lang w:val="en-NZ" w:eastAsia="zh-CN"/>
              </w:rPr>
            </w:pPr>
            <w:r w:rsidRPr="00467FE6">
              <w:rPr>
                <w:sz w:val="22"/>
                <w:szCs w:val="22"/>
                <w:lang w:val="en-NZ" w:eastAsia="zh-CN"/>
              </w:rPr>
              <w:t>87.78</w:t>
            </w:r>
          </w:p>
          <w:p w14:paraId="036A237D" w14:textId="5C0AC741" w:rsidR="00CD6E5B" w:rsidRPr="00467FE6" w:rsidRDefault="00CD6E5B" w:rsidP="002E076A">
            <w:pPr>
              <w:tabs>
                <w:tab w:val="left" w:pos="567"/>
              </w:tabs>
              <w:jc w:val="center"/>
              <w:rPr>
                <w:sz w:val="22"/>
                <w:szCs w:val="22"/>
                <w:lang w:val="en-NZ" w:eastAsia="zh-CN"/>
              </w:rPr>
            </w:pPr>
            <w:r w:rsidRPr="00467FE6">
              <w:rPr>
                <w:sz w:val="22"/>
                <w:szCs w:val="22"/>
                <w:lang w:val="en-NZ" w:eastAsia="zh-CN"/>
              </w:rPr>
              <w:t>(42.91)</w:t>
            </w:r>
          </w:p>
        </w:tc>
        <w:tc>
          <w:tcPr>
            <w:tcW w:w="743" w:type="dxa"/>
          </w:tcPr>
          <w:p w14:paraId="69E37713" w14:textId="26716B5B" w:rsidR="00CD6E5B" w:rsidRPr="00467FE6" w:rsidRDefault="00CD6E5B" w:rsidP="002E076A">
            <w:pPr>
              <w:tabs>
                <w:tab w:val="left" w:pos="567"/>
              </w:tabs>
              <w:jc w:val="center"/>
              <w:rPr>
                <w:sz w:val="22"/>
                <w:szCs w:val="22"/>
                <w:lang w:val="en-NZ" w:eastAsia="zh-CN"/>
              </w:rPr>
            </w:pPr>
            <w:r w:rsidRPr="00467FE6">
              <w:rPr>
                <w:sz w:val="22"/>
                <w:szCs w:val="22"/>
                <w:lang w:val="en-NZ" w:eastAsia="zh-CN"/>
              </w:rPr>
              <w:t>299</w:t>
            </w:r>
          </w:p>
        </w:tc>
        <w:tc>
          <w:tcPr>
            <w:tcW w:w="1036" w:type="dxa"/>
            <w:shd w:val="clear" w:color="auto" w:fill="auto"/>
            <w:noWrap/>
            <w:vAlign w:val="center"/>
            <w:hideMark/>
          </w:tcPr>
          <w:p w14:paraId="19E01900" w14:textId="66D08DF9" w:rsidR="00CD6E5B" w:rsidRPr="00467FE6" w:rsidRDefault="00CD6E5B" w:rsidP="002E076A">
            <w:pPr>
              <w:tabs>
                <w:tab w:val="left" w:pos="567"/>
              </w:tabs>
              <w:jc w:val="center"/>
              <w:rPr>
                <w:sz w:val="22"/>
                <w:szCs w:val="22"/>
                <w:lang w:val="en-NZ" w:eastAsia="zh-CN"/>
              </w:rPr>
            </w:pPr>
            <w:r w:rsidRPr="00467FE6">
              <w:rPr>
                <w:sz w:val="22"/>
                <w:szCs w:val="22"/>
                <w:lang w:val="en-NZ" w:eastAsia="zh-CN"/>
              </w:rPr>
              <w:t>93.42</w:t>
            </w:r>
          </w:p>
          <w:p w14:paraId="452BDD61" w14:textId="57C734E3" w:rsidR="00CD6E5B" w:rsidRPr="00467FE6" w:rsidRDefault="00CD6E5B" w:rsidP="002E076A">
            <w:pPr>
              <w:tabs>
                <w:tab w:val="left" w:pos="567"/>
              </w:tabs>
              <w:jc w:val="center"/>
              <w:rPr>
                <w:sz w:val="22"/>
                <w:szCs w:val="22"/>
                <w:lang w:val="en-NZ" w:eastAsia="zh-CN"/>
              </w:rPr>
            </w:pPr>
            <w:r w:rsidRPr="00467FE6">
              <w:rPr>
                <w:sz w:val="22"/>
                <w:szCs w:val="22"/>
                <w:lang w:val="en-NZ" w:eastAsia="zh-CN"/>
              </w:rPr>
              <w:t>(93.42)</w:t>
            </w:r>
          </w:p>
        </w:tc>
        <w:tc>
          <w:tcPr>
            <w:tcW w:w="743" w:type="dxa"/>
          </w:tcPr>
          <w:p w14:paraId="3CE16898" w14:textId="4B4F4250" w:rsidR="00CD6E5B" w:rsidRPr="00467FE6" w:rsidRDefault="00CD6E5B" w:rsidP="002E076A">
            <w:pPr>
              <w:tabs>
                <w:tab w:val="left" w:pos="567"/>
              </w:tabs>
              <w:jc w:val="center"/>
              <w:rPr>
                <w:sz w:val="22"/>
                <w:szCs w:val="22"/>
                <w:lang w:val="en-NZ" w:eastAsia="zh-CN"/>
              </w:rPr>
            </w:pPr>
            <w:r w:rsidRPr="00467FE6">
              <w:rPr>
                <w:sz w:val="22"/>
                <w:szCs w:val="22"/>
                <w:lang w:val="en-NZ" w:eastAsia="zh-CN"/>
              </w:rPr>
              <w:t>506</w:t>
            </w:r>
          </w:p>
        </w:tc>
        <w:tc>
          <w:tcPr>
            <w:tcW w:w="1039" w:type="dxa"/>
            <w:shd w:val="clear" w:color="auto" w:fill="auto"/>
            <w:noWrap/>
            <w:vAlign w:val="center"/>
            <w:hideMark/>
          </w:tcPr>
          <w:p w14:paraId="3ED8BDE9" w14:textId="7C5DFDE0" w:rsidR="00CD6E5B" w:rsidRPr="00467FE6" w:rsidRDefault="00CD6E5B" w:rsidP="002E076A">
            <w:pPr>
              <w:tabs>
                <w:tab w:val="left" w:pos="567"/>
              </w:tabs>
              <w:jc w:val="center"/>
              <w:rPr>
                <w:sz w:val="22"/>
                <w:szCs w:val="22"/>
                <w:lang w:val="en-NZ" w:eastAsia="zh-CN"/>
              </w:rPr>
            </w:pPr>
            <w:r w:rsidRPr="00467FE6">
              <w:rPr>
                <w:sz w:val="22"/>
                <w:szCs w:val="22"/>
                <w:lang w:val="en-NZ" w:eastAsia="zh-CN"/>
              </w:rPr>
              <w:t>86.13</w:t>
            </w:r>
          </w:p>
          <w:p w14:paraId="1BFA6E29" w14:textId="2860D4FE" w:rsidR="00CD6E5B" w:rsidRPr="00467FE6" w:rsidRDefault="00CD6E5B" w:rsidP="002E076A">
            <w:pPr>
              <w:tabs>
                <w:tab w:val="left" w:pos="567"/>
              </w:tabs>
              <w:jc w:val="center"/>
              <w:rPr>
                <w:sz w:val="22"/>
                <w:szCs w:val="22"/>
                <w:lang w:val="en-NZ" w:eastAsia="zh-CN"/>
              </w:rPr>
            </w:pPr>
            <w:r w:rsidRPr="00467FE6">
              <w:rPr>
                <w:sz w:val="22"/>
                <w:szCs w:val="22"/>
                <w:lang w:val="en-NZ" w:eastAsia="zh-CN"/>
              </w:rPr>
              <w:t>(43.86)</w:t>
            </w:r>
          </w:p>
        </w:tc>
        <w:tc>
          <w:tcPr>
            <w:tcW w:w="744" w:type="dxa"/>
          </w:tcPr>
          <w:p w14:paraId="6B4C1352" w14:textId="00314E29" w:rsidR="00CD6E5B" w:rsidRPr="00467FE6" w:rsidRDefault="00CD6E5B" w:rsidP="002E076A">
            <w:pPr>
              <w:tabs>
                <w:tab w:val="left" w:pos="567"/>
              </w:tabs>
              <w:jc w:val="center"/>
              <w:rPr>
                <w:sz w:val="22"/>
                <w:szCs w:val="22"/>
                <w:lang w:val="en-NZ" w:eastAsia="zh-CN"/>
              </w:rPr>
            </w:pPr>
            <w:r w:rsidRPr="00467FE6">
              <w:rPr>
                <w:sz w:val="22"/>
                <w:szCs w:val="22"/>
                <w:lang w:val="en-NZ" w:eastAsia="zh-CN"/>
              </w:rPr>
              <w:t>606</w:t>
            </w:r>
          </w:p>
        </w:tc>
        <w:tc>
          <w:tcPr>
            <w:tcW w:w="1044" w:type="dxa"/>
            <w:shd w:val="clear" w:color="auto" w:fill="auto"/>
            <w:noWrap/>
            <w:vAlign w:val="center"/>
            <w:hideMark/>
          </w:tcPr>
          <w:p w14:paraId="7160DE8D" w14:textId="61A0A7A3" w:rsidR="00CD6E5B" w:rsidRPr="00467FE6" w:rsidRDefault="00CD6E5B" w:rsidP="002E076A">
            <w:pPr>
              <w:tabs>
                <w:tab w:val="left" w:pos="567"/>
              </w:tabs>
              <w:jc w:val="center"/>
              <w:rPr>
                <w:sz w:val="22"/>
                <w:szCs w:val="22"/>
                <w:lang w:val="en-NZ" w:eastAsia="zh-CN"/>
              </w:rPr>
            </w:pPr>
            <w:r w:rsidRPr="00467FE6">
              <w:rPr>
                <w:sz w:val="22"/>
                <w:szCs w:val="22"/>
                <w:lang w:val="en-NZ" w:eastAsia="zh-CN"/>
              </w:rPr>
              <w:t>92.37</w:t>
            </w:r>
          </w:p>
          <w:p w14:paraId="2C46C840" w14:textId="1FFBBB33" w:rsidR="00CD6E5B" w:rsidRPr="00467FE6" w:rsidRDefault="00CD6E5B" w:rsidP="002E076A">
            <w:pPr>
              <w:tabs>
                <w:tab w:val="left" w:pos="567"/>
              </w:tabs>
              <w:jc w:val="center"/>
              <w:rPr>
                <w:sz w:val="22"/>
                <w:szCs w:val="22"/>
                <w:lang w:val="en-NZ" w:eastAsia="zh-CN"/>
              </w:rPr>
            </w:pPr>
            <w:r w:rsidRPr="00467FE6">
              <w:rPr>
                <w:sz w:val="22"/>
                <w:szCs w:val="22"/>
                <w:lang w:val="en-NZ" w:eastAsia="zh-CN"/>
              </w:rPr>
              <w:t>(32.03)</w:t>
            </w:r>
          </w:p>
        </w:tc>
        <w:tc>
          <w:tcPr>
            <w:tcW w:w="762" w:type="dxa"/>
          </w:tcPr>
          <w:p w14:paraId="11D528B5" w14:textId="4A6B1424" w:rsidR="00CD6E5B" w:rsidRPr="00467FE6" w:rsidRDefault="00CD6E5B" w:rsidP="002E076A">
            <w:pPr>
              <w:tabs>
                <w:tab w:val="left" w:pos="567"/>
              </w:tabs>
              <w:jc w:val="center"/>
              <w:rPr>
                <w:sz w:val="22"/>
                <w:szCs w:val="22"/>
                <w:lang w:val="en-NZ" w:eastAsia="zh-CN"/>
              </w:rPr>
            </w:pPr>
            <w:r w:rsidRPr="00467FE6">
              <w:rPr>
                <w:sz w:val="22"/>
                <w:szCs w:val="22"/>
                <w:lang w:val="en-NZ" w:eastAsia="zh-CN"/>
              </w:rPr>
              <w:t>624</w:t>
            </w:r>
          </w:p>
        </w:tc>
        <w:tc>
          <w:tcPr>
            <w:tcW w:w="1182" w:type="dxa"/>
          </w:tcPr>
          <w:p w14:paraId="327D10FF" w14:textId="0589C848" w:rsidR="00CD6E5B" w:rsidRPr="00467FE6" w:rsidRDefault="00CD6E5B" w:rsidP="002E076A">
            <w:pPr>
              <w:tabs>
                <w:tab w:val="left" w:pos="567"/>
              </w:tabs>
              <w:jc w:val="center"/>
              <w:rPr>
                <w:sz w:val="22"/>
                <w:szCs w:val="22"/>
                <w:lang w:val="en-NZ" w:eastAsia="zh-CN"/>
              </w:rPr>
            </w:pPr>
            <w:r w:rsidRPr="00467FE6">
              <w:rPr>
                <w:sz w:val="22"/>
                <w:szCs w:val="22"/>
                <w:lang w:val="en-NZ" w:eastAsia="zh-CN"/>
              </w:rPr>
              <w:t>90.09</w:t>
            </w:r>
          </w:p>
          <w:p w14:paraId="0301E700" w14:textId="26E18E62" w:rsidR="00CD6E5B" w:rsidRPr="00467FE6" w:rsidRDefault="00CD6E5B" w:rsidP="002E076A">
            <w:pPr>
              <w:tabs>
                <w:tab w:val="left" w:pos="567"/>
              </w:tabs>
              <w:jc w:val="center"/>
              <w:rPr>
                <w:sz w:val="22"/>
                <w:szCs w:val="22"/>
                <w:lang w:val="en-NZ" w:eastAsia="zh-CN"/>
              </w:rPr>
            </w:pPr>
            <w:r w:rsidRPr="00467FE6">
              <w:rPr>
                <w:sz w:val="22"/>
                <w:szCs w:val="22"/>
                <w:lang w:val="en-NZ" w:eastAsia="zh-CN"/>
              </w:rPr>
              <w:t>(38.64)</w:t>
            </w:r>
          </w:p>
        </w:tc>
        <w:tc>
          <w:tcPr>
            <w:tcW w:w="895" w:type="dxa"/>
          </w:tcPr>
          <w:p w14:paraId="0EF05AA3" w14:textId="282709EE" w:rsidR="00CD6E5B" w:rsidRPr="00467FE6" w:rsidRDefault="00CD6E5B" w:rsidP="002E076A">
            <w:pPr>
              <w:tabs>
                <w:tab w:val="left" w:pos="567"/>
              </w:tabs>
              <w:jc w:val="center"/>
              <w:rPr>
                <w:sz w:val="22"/>
                <w:szCs w:val="22"/>
                <w:lang w:val="en-NZ" w:eastAsia="zh-CN"/>
              </w:rPr>
            </w:pPr>
            <w:r w:rsidRPr="00467FE6">
              <w:rPr>
                <w:sz w:val="22"/>
                <w:szCs w:val="22"/>
                <w:lang w:val="en-NZ" w:eastAsia="zh-CN"/>
              </w:rPr>
              <w:t>2035</w:t>
            </w:r>
          </w:p>
        </w:tc>
      </w:tr>
      <w:tr w:rsidR="00876F9D" w:rsidRPr="00467FE6" w14:paraId="54B89E9E" w14:textId="35D1D550" w:rsidTr="008D36A3">
        <w:trPr>
          <w:trHeight w:val="256"/>
          <w:jc w:val="center"/>
        </w:trPr>
        <w:tc>
          <w:tcPr>
            <w:tcW w:w="5760" w:type="dxa"/>
            <w:shd w:val="clear" w:color="auto" w:fill="auto"/>
            <w:noWrap/>
            <w:vAlign w:val="center"/>
            <w:hideMark/>
          </w:tcPr>
          <w:p w14:paraId="6BFBDB27" w14:textId="22B2AE9B" w:rsidR="00CD6E5B" w:rsidRPr="00467FE6" w:rsidRDefault="00CD6E5B" w:rsidP="002E076A">
            <w:pPr>
              <w:tabs>
                <w:tab w:val="left" w:pos="567"/>
              </w:tabs>
              <w:rPr>
                <w:sz w:val="22"/>
                <w:szCs w:val="22"/>
                <w:lang w:val="en-NZ" w:eastAsia="zh-CN"/>
              </w:rPr>
            </w:pPr>
            <w:r w:rsidRPr="00467FE6">
              <w:rPr>
                <w:sz w:val="22"/>
                <w:szCs w:val="22"/>
                <w:lang w:val="en-NZ" w:eastAsia="zh-CN"/>
              </w:rPr>
              <w:t xml:space="preserve">Log </w:t>
            </w:r>
            <w:r w:rsidR="00CD7208" w:rsidRPr="00467FE6">
              <w:rPr>
                <w:sz w:val="22"/>
                <w:szCs w:val="22"/>
                <w:lang w:val="en-NZ" w:eastAsia="zh-CN"/>
              </w:rPr>
              <w:t xml:space="preserve">of </w:t>
            </w:r>
            <w:r w:rsidRPr="00467FE6">
              <w:rPr>
                <w:sz w:val="22"/>
                <w:szCs w:val="22"/>
                <w:lang w:val="en-NZ" w:eastAsia="zh-CN"/>
              </w:rPr>
              <w:t xml:space="preserve">GDP </w:t>
            </w:r>
            <w:r w:rsidR="00CD7208" w:rsidRPr="00467FE6">
              <w:rPr>
                <w:sz w:val="22"/>
                <w:szCs w:val="22"/>
                <w:lang w:val="en-NZ" w:eastAsia="zh-CN"/>
              </w:rPr>
              <w:t>Per Capita (</w:t>
            </w:r>
            <w:r w:rsidRPr="00467FE6">
              <w:rPr>
                <w:sz w:val="22"/>
                <w:szCs w:val="22"/>
                <w:lang w:val="en-NZ" w:eastAsia="zh-CN"/>
              </w:rPr>
              <w:t>USD</w:t>
            </w:r>
            <w:r w:rsidR="00CD7208" w:rsidRPr="00467FE6">
              <w:rPr>
                <w:sz w:val="22"/>
                <w:szCs w:val="22"/>
                <w:lang w:val="en-NZ" w:eastAsia="zh-CN"/>
              </w:rPr>
              <w:t>)</w:t>
            </w:r>
          </w:p>
        </w:tc>
        <w:tc>
          <w:tcPr>
            <w:tcW w:w="1027" w:type="dxa"/>
            <w:shd w:val="clear" w:color="auto" w:fill="auto"/>
            <w:noWrap/>
            <w:vAlign w:val="center"/>
            <w:hideMark/>
          </w:tcPr>
          <w:p w14:paraId="381346B4" w14:textId="77777777" w:rsidR="00CD6E5B" w:rsidRPr="00467FE6" w:rsidRDefault="00CD6E5B" w:rsidP="002E076A">
            <w:pPr>
              <w:tabs>
                <w:tab w:val="left" w:pos="567"/>
              </w:tabs>
              <w:jc w:val="center"/>
              <w:rPr>
                <w:sz w:val="22"/>
                <w:szCs w:val="22"/>
                <w:lang w:val="en-NZ" w:eastAsia="zh-CN"/>
              </w:rPr>
            </w:pPr>
            <w:r w:rsidRPr="00467FE6">
              <w:rPr>
                <w:sz w:val="22"/>
                <w:szCs w:val="22"/>
                <w:lang w:val="en-NZ" w:eastAsia="zh-CN"/>
              </w:rPr>
              <w:t>5.95</w:t>
            </w:r>
          </w:p>
          <w:p w14:paraId="568C31A5" w14:textId="612D1E74" w:rsidR="00CD6E5B" w:rsidRPr="00467FE6" w:rsidRDefault="00CD6E5B" w:rsidP="002E076A">
            <w:pPr>
              <w:tabs>
                <w:tab w:val="left" w:pos="567"/>
              </w:tabs>
              <w:jc w:val="center"/>
              <w:rPr>
                <w:sz w:val="22"/>
                <w:szCs w:val="22"/>
                <w:lang w:val="en-NZ" w:eastAsia="zh-CN"/>
              </w:rPr>
            </w:pPr>
            <w:r w:rsidRPr="00467FE6">
              <w:rPr>
                <w:sz w:val="22"/>
                <w:szCs w:val="22"/>
                <w:lang w:val="en-NZ" w:eastAsia="zh-CN"/>
              </w:rPr>
              <w:t>(0.50)</w:t>
            </w:r>
          </w:p>
        </w:tc>
        <w:tc>
          <w:tcPr>
            <w:tcW w:w="743" w:type="dxa"/>
          </w:tcPr>
          <w:p w14:paraId="23FDD2AF" w14:textId="481F007E" w:rsidR="00CD6E5B" w:rsidRPr="00467FE6" w:rsidRDefault="00CD6E5B" w:rsidP="002E076A">
            <w:pPr>
              <w:tabs>
                <w:tab w:val="left" w:pos="567"/>
              </w:tabs>
              <w:jc w:val="center"/>
              <w:rPr>
                <w:sz w:val="22"/>
                <w:szCs w:val="22"/>
                <w:lang w:val="en-NZ" w:eastAsia="zh-CN"/>
              </w:rPr>
            </w:pPr>
            <w:r w:rsidRPr="00467FE6">
              <w:rPr>
                <w:sz w:val="22"/>
                <w:szCs w:val="22"/>
                <w:lang w:val="en-NZ" w:eastAsia="zh-CN"/>
              </w:rPr>
              <w:t>297</w:t>
            </w:r>
          </w:p>
        </w:tc>
        <w:tc>
          <w:tcPr>
            <w:tcW w:w="1036" w:type="dxa"/>
            <w:shd w:val="clear" w:color="auto" w:fill="auto"/>
            <w:noWrap/>
            <w:vAlign w:val="center"/>
            <w:hideMark/>
          </w:tcPr>
          <w:p w14:paraId="5B596101" w14:textId="565C0A23" w:rsidR="00CD6E5B" w:rsidRPr="00467FE6" w:rsidRDefault="00CD6E5B" w:rsidP="002E076A">
            <w:pPr>
              <w:tabs>
                <w:tab w:val="left" w:pos="567"/>
              </w:tabs>
              <w:jc w:val="center"/>
              <w:rPr>
                <w:sz w:val="22"/>
                <w:szCs w:val="22"/>
                <w:lang w:val="en-NZ" w:eastAsia="zh-CN"/>
              </w:rPr>
            </w:pPr>
            <w:r w:rsidRPr="00467FE6">
              <w:rPr>
                <w:sz w:val="22"/>
                <w:szCs w:val="22"/>
                <w:lang w:val="en-NZ" w:eastAsia="zh-CN"/>
              </w:rPr>
              <w:t>7.03</w:t>
            </w:r>
          </w:p>
          <w:p w14:paraId="0EEB49F2" w14:textId="6E59A5EB" w:rsidR="00CD6E5B" w:rsidRPr="00467FE6" w:rsidRDefault="00CD6E5B" w:rsidP="002E076A">
            <w:pPr>
              <w:tabs>
                <w:tab w:val="left" w:pos="567"/>
              </w:tabs>
              <w:jc w:val="center"/>
              <w:rPr>
                <w:sz w:val="22"/>
                <w:szCs w:val="22"/>
                <w:lang w:val="en-NZ" w:eastAsia="zh-CN"/>
              </w:rPr>
            </w:pPr>
            <w:r w:rsidRPr="00467FE6">
              <w:rPr>
                <w:sz w:val="22"/>
                <w:szCs w:val="22"/>
                <w:lang w:val="en-NZ" w:eastAsia="zh-CN"/>
              </w:rPr>
              <w:t>(0.69)</w:t>
            </w:r>
          </w:p>
        </w:tc>
        <w:tc>
          <w:tcPr>
            <w:tcW w:w="743" w:type="dxa"/>
          </w:tcPr>
          <w:p w14:paraId="10C8A931" w14:textId="3AAFD2A0" w:rsidR="00CD6E5B" w:rsidRPr="00467FE6" w:rsidRDefault="00CD6E5B" w:rsidP="002E076A">
            <w:pPr>
              <w:tabs>
                <w:tab w:val="left" w:pos="567"/>
              </w:tabs>
              <w:jc w:val="center"/>
              <w:rPr>
                <w:sz w:val="22"/>
                <w:szCs w:val="22"/>
                <w:lang w:val="en-NZ" w:eastAsia="zh-CN"/>
              </w:rPr>
            </w:pPr>
            <w:r w:rsidRPr="00467FE6">
              <w:rPr>
                <w:sz w:val="22"/>
                <w:szCs w:val="22"/>
                <w:lang w:val="en-NZ" w:eastAsia="zh-CN"/>
              </w:rPr>
              <w:t>500</w:t>
            </w:r>
          </w:p>
        </w:tc>
        <w:tc>
          <w:tcPr>
            <w:tcW w:w="1039" w:type="dxa"/>
            <w:shd w:val="clear" w:color="auto" w:fill="auto"/>
            <w:noWrap/>
            <w:vAlign w:val="center"/>
            <w:hideMark/>
          </w:tcPr>
          <w:p w14:paraId="73806F93" w14:textId="2E76708D" w:rsidR="00CD6E5B" w:rsidRPr="00467FE6" w:rsidRDefault="00CD6E5B" w:rsidP="002E076A">
            <w:pPr>
              <w:tabs>
                <w:tab w:val="left" w:pos="567"/>
              </w:tabs>
              <w:jc w:val="center"/>
              <w:rPr>
                <w:sz w:val="22"/>
                <w:szCs w:val="22"/>
                <w:lang w:val="en-NZ" w:eastAsia="zh-CN"/>
              </w:rPr>
            </w:pPr>
            <w:r w:rsidRPr="00467FE6">
              <w:rPr>
                <w:sz w:val="22"/>
                <w:szCs w:val="22"/>
                <w:lang w:val="en-NZ" w:eastAsia="zh-CN"/>
              </w:rPr>
              <w:t>8.31</w:t>
            </w:r>
          </w:p>
          <w:p w14:paraId="2145501E" w14:textId="63758352" w:rsidR="00CD6E5B" w:rsidRPr="00467FE6" w:rsidRDefault="00CD6E5B" w:rsidP="002E076A">
            <w:pPr>
              <w:tabs>
                <w:tab w:val="left" w:pos="567"/>
              </w:tabs>
              <w:jc w:val="center"/>
              <w:rPr>
                <w:sz w:val="22"/>
                <w:szCs w:val="22"/>
                <w:lang w:val="en-NZ" w:eastAsia="zh-CN"/>
              </w:rPr>
            </w:pPr>
            <w:r w:rsidRPr="00467FE6">
              <w:rPr>
                <w:sz w:val="22"/>
                <w:szCs w:val="22"/>
                <w:lang w:val="en-NZ" w:eastAsia="zh-CN"/>
              </w:rPr>
              <w:t>(0.65)</w:t>
            </w:r>
          </w:p>
        </w:tc>
        <w:tc>
          <w:tcPr>
            <w:tcW w:w="744" w:type="dxa"/>
          </w:tcPr>
          <w:p w14:paraId="46BB9778" w14:textId="7E902C32" w:rsidR="00CD6E5B" w:rsidRPr="00467FE6" w:rsidRDefault="00CD6E5B" w:rsidP="002E076A">
            <w:pPr>
              <w:tabs>
                <w:tab w:val="left" w:pos="567"/>
              </w:tabs>
              <w:jc w:val="center"/>
              <w:rPr>
                <w:sz w:val="22"/>
                <w:szCs w:val="22"/>
                <w:lang w:val="en-NZ" w:eastAsia="zh-CN"/>
              </w:rPr>
            </w:pPr>
            <w:r w:rsidRPr="00467FE6">
              <w:rPr>
                <w:sz w:val="22"/>
                <w:szCs w:val="22"/>
                <w:lang w:val="en-NZ" w:eastAsia="zh-CN"/>
              </w:rPr>
              <w:t>601</w:t>
            </w:r>
          </w:p>
        </w:tc>
        <w:tc>
          <w:tcPr>
            <w:tcW w:w="1044" w:type="dxa"/>
            <w:shd w:val="clear" w:color="auto" w:fill="auto"/>
            <w:noWrap/>
            <w:vAlign w:val="center"/>
            <w:hideMark/>
          </w:tcPr>
          <w:p w14:paraId="7B1F5028" w14:textId="608E1B56" w:rsidR="00CD6E5B" w:rsidRPr="00467FE6" w:rsidRDefault="00CD6E5B" w:rsidP="002E076A">
            <w:pPr>
              <w:tabs>
                <w:tab w:val="left" w:pos="567"/>
              </w:tabs>
              <w:jc w:val="center"/>
              <w:rPr>
                <w:sz w:val="22"/>
                <w:szCs w:val="22"/>
                <w:lang w:val="en-NZ" w:eastAsia="zh-CN"/>
              </w:rPr>
            </w:pPr>
            <w:r w:rsidRPr="00467FE6">
              <w:rPr>
                <w:sz w:val="22"/>
                <w:szCs w:val="22"/>
                <w:lang w:val="en-NZ" w:eastAsia="zh-CN"/>
              </w:rPr>
              <w:t>10.02</w:t>
            </w:r>
          </w:p>
          <w:p w14:paraId="7B5316BF" w14:textId="714887A6" w:rsidR="00CD6E5B" w:rsidRPr="00467FE6" w:rsidRDefault="00CD6E5B" w:rsidP="002E076A">
            <w:pPr>
              <w:tabs>
                <w:tab w:val="left" w:pos="567"/>
              </w:tabs>
              <w:jc w:val="center"/>
              <w:rPr>
                <w:sz w:val="22"/>
                <w:szCs w:val="22"/>
                <w:lang w:val="en-NZ" w:eastAsia="zh-CN"/>
              </w:rPr>
            </w:pPr>
            <w:r w:rsidRPr="00467FE6">
              <w:rPr>
                <w:sz w:val="22"/>
                <w:szCs w:val="22"/>
                <w:lang w:val="en-NZ" w:eastAsia="zh-CN"/>
              </w:rPr>
              <w:t>(0.75)</w:t>
            </w:r>
          </w:p>
        </w:tc>
        <w:tc>
          <w:tcPr>
            <w:tcW w:w="762" w:type="dxa"/>
          </w:tcPr>
          <w:p w14:paraId="1A1CA897" w14:textId="08F08B8A" w:rsidR="00CD6E5B" w:rsidRPr="00467FE6" w:rsidRDefault="00CD6E5B" w:rsidP="002E076A">
            <w:pPr>
              <w:tabs>
                <w:tab w:val="left" w:pos="567"/>
              </w:tabs>
              <w:jc w:val="center"/>
              <w:rPr>
                <w:sz w:val="22"/>
                <w:szCs w:val="22"/>
                <w:lang w:val="en-NZ" w:eastAsia="zh-CN"/>
              </w:rPr>
            </w:pPr>
            <w:r w:rsidRPr="00467FE6">
              <w:rPr>
                <w:sz w:val="22"/>
                <w:szCs w:val="22"/>
                <w:lang w:val="en-NZ" w:eastAsia="zh-CN"/>
              </w:rPr>
              <w:t>617</w:t>
            </w:r>
          </w:p>
        </w:tc>
        <w:tc>
          <w:tcPr>
            <w:tcW w:w="1182" w:type="dxa"/>
          </w:tcPr>
          <w:p w14:paraId="3D9CA648" w14:textId="39876439" w:rsidR="00CD6E5B" w:rsidRPr="00467FE6" w:rsidRDefault="00CD6E5B" w:rsidP="002E076A">
            <w:pPr>
              <w:tabs>
                <w:tab w:val="left" w:pos="567"/>
              </w:tabs>
              <w:jc w:val="center"/>
              <w:rPr>
                <w:sz w:val="22"/>
                <w:szCs w:val="22"/>
                <w:lang w:val="en-NZ" w:eastAsia="zh-CN"/>
              </w:rPr>
            </w:pPr>
            <w:r w:rsidRPr="00467FE6">
              <w:rPr>
                <w:sz w:val="22"/>
                <w:szCs w:val="22"/>
                <w:lang w:val="en-NZ" w:eastAsia="zh-CN"/>
              </w:rPr>
              <w:t>8.16</w:t>
            </w:r>
          </w:p>
          <w:p w14:paraId="3DA3EC9A" w14:textId="1E797A90" w:rsidR="00CD6E5B" w:rsidRPr="00467FE6" w:rsidRDefault="00CD6E5B" w:rsidP="002E076A">
            <w:pPr>
              <w:tabs>
                <w:tab w:val="left" w:pos="567"/>
              </w:tabs>
              <w:jc w:val="center"/>
              <w:rPr>
                <w:sz w:val="22"/>
                <w:szCs w:val="22"/>
                <w:lang w:val="en-NZ" w:eastAsia="zh-CN"/>
              </w:rPr>
            </w:pPr>
            <w:r w:rsidRPr="00467FE6">
              <w:rPr>
                <w:sz w:val="22"/>
                <w:szCs w:val="22"/>
                <w:lang w:val="en-NZ" w:eastAsia="zh-CN"/>
              </w:rPr>
              <w:t>(1.60)</w:t>
            </w:r>
          </w:p>
        </w:tc>
        <w:tc>
          <w:tcPr>
            <w:tcW w:w="895" w:type="dxa"/>
          </w:tcPr>
          <w:p w14:paraId="4DF13D72" w14:textId="7CB4C7CC" w:rsidR="00CD6E5B" w:rsidRPr="00467FE6" w:rsidRDefault="00CD6E5B" w:rsidP="002E076A">
            <w:pPr>
              <w:tabs>
                <w:tab w:val="left" w:pos="567"/>
              </w:tabs>
              <w:jc w:val="center"/>
              <w:rPr>
                <w:sz w:val="22"/>
                <w:szCs w:val="22"/>
                <w:lang w:val="en-NZ" w:eastAsia="zh-CN"/>
              </w:rPr>
            </w:pPr>
            <w:r w:rsidRPr="00467FE6">
              <w:rPr>
                <w:sz w:val="22"/>
                <w:szCs w:val="22"/>
                <w:lang w:val="en-NZ" w:eastAsia="zh-CN"/>
              </w:rPr>
              <w:t>2015</w:t>
            </w:r>
          </w:p>
        </w:tc>
      </w:tr>
      <w:tr w:rsidR="00876F9D" w:rsidRPr="00467FE6" w14:paraId="1D77DB8F" w14:textId="3ACF2105" w:rsidTr="008D36A3">
        <w:trPr>
          <w:trHeight w:val="256"/>
          <w:jc w:val="center"/>
        </w:trPr>
        <w:tc>
          <w:tcPr>
            <w:tcW w:w="5760" w:type="dxa"/>
            <w:shd w:val="clear" w:color="auto" w:fill="auto"/>
            <w:noWrap/>
            <w:vAlign w:val="center"/>
            <w:hideMark/>
          </w:tcPr>
          <w:p w14:paraId="49AA08F6" w14:textId="491E3B62" w:rsidR="00CD6E5B" w:rsidRPr="00467FE6" w:rsidRDefault="00CD6E5B" w:rsidP="002E076A">
            <w:pPr>
              <w:tabs>
                <w:tab w:val="left" w:pos="567"/>
              </w:tabs>
              <w:rPr>
                <w:sz w:val="22"/>
                <w:szCs w:val="22"/>
                <w:lang w:val="en-NZ" w:eastAsia="zh-CN"/>
              </w:rPr>
            </w:pPr>
            <w:r w:rsidRPr="00467FE6">
              <w:rPr>
                <w:sz w:val="22"/>
                <w:szCs w:val="22"/>
                <w:lang w:val="en-NZ" w:eastAsia="zh-CN"/>
              </w:rPr>
              <w:t xml:space="preserve">Total </w:t>
            </w:r>
            <w:r w:rsidR="00CD7208" w:rsidRPr="00467FE6">
              <w:rPr>
                <w:sz w:val="22"/>
                <w:szCs w:val="22"/>
                <w:lang w:val="en-NZ" w:eastAsia="zh-CN"/>
              </w:rPr>
              <w:t>Population (Millions)</w:t>
            </w:r>
          </w:p>
        </w:tc>
        <w:tc>
          <w:tcPr>
            <w:tcW w:w="1027" w:type="dxa"/>
            <w:shd w:val="clear" w:color="auto" w:fill="auto"/>
            <w:noWrap/>
            <w:vAlign w:val="center"/>
            <w:hideMark/>
          </w:tcPr>
          <w:p w14:paraId="1B269EFC" w14:textId="77777777" w:rsidR="00CD6E5B" w:rsidRPr="00467FE6" w:rsidRDefault="00CD6E5B" w:rsidP="002E076A">
            <w:pPr>
              <w:tabs>
                <w:tab w:val="left" w:pos="567"/>
              </w:tabs>
              <w:jc w:val="center"/>
              <w:rPr>
                <w:sz w:val="22"/>
                <w:szCs w:val="22"/>
                <w:lang w:val="en-NZ" w:eastAsia="zh-CN"/>
              </w:rPr>
            </w:pPr>
            <w:r w:rsidRPr="00467FE6">
              <w:rPr>
                <w:sz w:val="22"/>
                <w:szCs w:val="22"/>
                <w:lang w:val="en-NZ" w:eastAsia="zh-CN"/>
              </w:rPr>
              <w:t>15.54</w:t>
            </w:r>
          </w:p>
          <w:p w14:paraId="33ADE651" w14:textId="0CC00371" w:rsidR="00CD6E5B" w:rsidRPr="00467FE6" w:rsidRDefault="00CD6E5B" w:rsidP="002E076A">
            <w:pPr>
              <w:tabs>
                <w:tab w:val="left" w:pos="567"/>
              </w:tabs>
              <w:jc w:val="center"/>
              <w:rPr>
                <w:sz w:val="22"/>
                <w:szCs w:val="22"/>
                <w:lang w:val="en-NZ" w:eastAsia="zh-CN"/>
              </w:rPr>
            </w:pPr>
            <w:r w:rsidRPr="00467FE6">
              <w:rPr>
                <w:sz w:val="22"/>
                <w:szCs w:val="22"/>
                <w:lang w:val="en-NZ" w:eastAsia="zh-CN"/>
              </w:rPr>
              <w:t>(15.60)</w:t>
            </w:r>
          </w:p>
        </w:tc>
        <w:tc>
          <w:tcPr>
            <w:tcW w:w="743" w:type="dxa"/>
          </w:tcPr>
          <w:p w14:paraId="154A0D2A" w14:textId="279D8430" w:rsidR="00CD6E5B" w:rsidRPr="00467FE6" w:rsidRDefault="00CD6E5B" w:rsidP="002E076A">
            <w:pPr>
              <w:tabs>
                <w:tab w:val="left" w:pos="567"/>
              </w:tabs>
              <w:jc w:val="center"/>
              <w:rPr>
                <w:sz w:val="22"/>
                <w:szCs w:val="22"/>
                <w:lang w:val="en-NZ" w:eastAsia="zh-CN"/>
              </w:rPr>
            </w:pPr>
            <w:r w:rsidRPr="00467FE6">
              <w:rPr>
                <w:sz w:val="22"/>
                <w:szCs w:val="22"/>
                <w:lang w:val="en-NZ" w:eastAsia="zh-CN"/>
              </w:rPr>
              <w:t>298</w:t>
            </w:r>
          </w:p>
        </w:tc>
        <w:tc>
          <w:tcPr>
            <w:tcW w:w="1036" w:type="dxa"/>
            <w:shd w:val="clear" w:color="auto" w:fill="auto"/>
            <w:noWrap/>
            <w:vAlign w:val="center"/>
            <w:hideMark/>
          </w:tcPr>
          <w:p w14:paraId="316970D1" w14:textId="5B88419D" w:rsidR="00CD6E5B" w:rsidRPr="00467FE6" w:rsidRDefault="00CD6E5B" w:rsidP="002E076A">
            <w:pPr>
              <w:tabs>
                <w:tab w:val="left" w:pos="567"/>
              </w:tabs>
              <w:jc w:val="center"/>
              <w:rPr>
                <w:sz w:val="22"/>
                <w:szCs w:val="22"/>
                <w:lang w:val="en-NZ" w:eastAsia="zh-CN"/>
              </w:rPr>
            </w:pPr>
            <w:r w:rsidRPr="00467FE6">
              <w:rPr>
                <w:sz w:val="22"/>
                <w:szCs w:val="22"/>
                <w:lang w:val="en-NZ" w:eastAsia="zh-CN"/>
              </w:rPr>
              <w:t>59.90</w:t>
            </w:r>
          </w:p>
          <w:p w14:paraId="3519CF07" w14:textId="3211BA6D" w:rsidR="00CD6E5B" w:rsidRPr="00467FE6" w:rsidRDefault="00CD6E5B" w:rsidP="002E076A">
            <w:pPr>
              <w:tabs>
                <w:tab w:val="left" w:pos="567"/>
              </w:tabs>
              <w:jc w:val="center"/>
              <w:rPr>
                <w:sz w:val="22"/>
                <w:szCs w:val="22"/>
                <w:lang w:val="en-NZ" w:eastAsia="zh-CN"/>
              </w:rPr>
            </w:pPr>
            <w:r w:rsidRPr="00467FE6">
              <w:rPr>
                <w:sz w:val="22"/>
                <w:szCs w:val="22"/>
                <w:lang w:val="en-NZ" w:eastAsia="zh-CN"/>
              </w:rPr>
              <w:t>(186.43)</w:t>
            </w:r>
          </w:p>
        </w:tc>
        <w:tc>
          <w:tcPr>
            <w:tcW w:w="743" w:type="dxa"/>
          </w:tcPr>
          <w:p w14:paraId="55BD552B" w14:textId="06301C9F" w:rsidR="00CD6E5B" w:rsidRPr="00467FE6" w:rsidRDefault="00CD6E5B" w:rsidP="002E076A">
            <w:pPr>
              <w:tabs>
                <w:tab w:val="left" w:pos="567"/>
              </w:tabs>
              <w:jc w:val="center"/>
              <w:rPr>
                <w:sz w:val="22"/>
                <w:szCs w:val="22"/>
                <w:lang w:val="en-NZ" w:eastAsia="zh-CN"/>
              </w:rPr>
            </w:pPr>
            <w:r w:rsidRPr="00467FE6">
              <w:rPr>
                <w:sz w:val="22"/>
                <w:szCs w:val="22"/>
                <w:lang w:val="en-NZ" w:eastAsia="zh-CN"/>
              </w:rPr>
              <w:t>506</w:t>
            </w:r>
          </w:p>
        </w:tc>
        <w:tc>
          <w:tcPr>
            <w:tcW w:w="1039" w:type="dxa"/>
            <w:shd w:val="clear" w:color="auto" w:fill="auto"/>
            <w:noWrap/>
            <w:vAlign w:val="center"/>
            <w:hideMark/>
          </w:tcPr>
          <w:p w14:paraId="3A2815DC" w14:textId="7D0F79B7" w:rsidR="00CD6E5B" w:rsidRPr="00467FE6" w:rsidRDefault="00CD6E5B" w:rsidP="002E076A">
            <w:pPr>
              <w:tabs>
                <w:tab w:val="left" w:pos="567"/>
              </w:tabs>
              <w:jc w:val="center"/>
              <w:rPr>
                <w:sz w:val="22"/>
                <w:szCs w:val="22"/>
                <w:lang w:val="en-NZ" w:eastAsia="zh-CN"/>
              </w:rPr>
            </w:pPr>
            <w:r w:rsidRPr="00467FE6">
              <w:rPr>
                <w:sz w:val="22"/>
                <w:szCs w:val="22"/>
                <w:lang w:val="en-NZ" w:eastAsia="zh-CN"/>
              </w:rPr>
              <w:t>48.84</w:t>
            </w:r>
          </w:p>
          <w:p w14:paraId="2EDB7C5A" w14:textId="64F57341" w:rsidR="00CD6E5B" w:rsidRPr="00467FE6" w:rsidRDefault="00CD6E5B" w:rsidP="002E076A">
            <w:pPr>
              <w:tabs>
                <w:tab w:val="left" w:pos="567"/>
              </w:tabs>
              <w:jc w:val="center"/>
              <w:rPr>
                <w:sz w:val="22"/>
                <w:szCs w:val="22"/>
                <w:lang w:val="en-NZ" w:eastAsia="zh-CN"/>
              </w:rPr>
            </w:pPr>
            <w:r w:rsidRPr="00467FE6">
              <w:rPr>
                <w:sz w:val="22"/>
                <w:szCs w:val="22"/>
                <w:lang w:val="en-NZ" w:eastAsia="zh-CN"/>
              </w:rPr>
              <w:t>(190.62)</w:t>
            </w:r>
          </w:p>
        </w:tc>
        <w:tc>
          <w:tcPr>
            <w:tcW w:w="744" w:type="dxa"/>
          </w:tcPr>
          <w:p w14:paraId="3BFAE9BE" w14:textId="7BFC67EF" w:rsidR="00CD6E5B" w:rsidRPr="00467FE6" w:rsidRDefault="00CD6E5B" w:rsidP="002E076A">
            <w:pPr>
              <w:tabs>
                <w:tab w:val="left" w:pos="567"/>
              </w:tabs>
              <w:jc w:val="center"/>
              <w:rPr>
                <w:sz w:val="22"/>
                <w:szCs w:val="22"/>
                <w:lang w:val="en-NZ" w:eastAsia="zh-CN"/>
              </w:rPr>
            </w:pPr>
            <w:r w:rsidRPr="00467FE6">
              <w:rPr>
                <w:sz w:val="22"/>
                <w:szCs w:val="22"/>
                <w:lang w:val="en-NZ" w:eastAsia="zh-CN"/>
              </w:rPr>
              <w:t>606</w:t>
            </w:r>
          </w:p>
        </w:tc>
        <w:tc>
          <w:tcPr>
            <w:tcW w:w="1044" w:type="dxa"/>
            <w:shd w:val="clear" w:color="auto" w:fill="auto"/>
            <w:noWrap/>
            <w:vAlign w:val="center"/>
            <w:hideMark/>
          </w:tcPr>
          <w:p w14:paraId="353E63F5" w14:textId="25AEBFA5" w:rsidR="00CD6E5B" w:rsidRPr="00467FE6" w:rsidRDefault="00CD6E5B" w:rsidP="002E076A">
            <w:pPr>
              <w:tabs>
                <w:tab w:val="left" w:pos="567"/>
              </w:tabs>
              <w:jc w:val="center"/>
              <w:rPr>
                <w:sz w:val="22"/>
                <w:szCs w:val="22"/>
                <w:lang w:val="en-NZ" w:eastAsia="zh-CN"/>
              </w:rPr>
            </w:pPr>
            <w:r w:rsidRPr="00467FE6">
              <w:rPr>
                <w:sz w:val="22"/>
                <w:szCs w:val="22"/>
                <w:lang w:val="en-NZ" w:eastAsia="zh-CN"/>
              </w:rPr>
              <w:t>14.60</w:t>
            </w:r>
          </w:p>
          <w:p w14:paraId="358D90FC" w14:textId="652EE00C" w:rsidR="00CD6E5B" w:rsidRPr="00467FE6" w:rsidRDefault="00CD6E5B" w:rsidP="002E076A">
            <w:pPr>
              <w:tabs>
                <w:tab w:val="left" w:pos="567"/>
              </w:tabs>
              <w:jc w:val="center"/>
              <w:rPr>
                <w:sz w:val="22"/>
                <w:szCs w:val="22"/>
                <w:lang w:val="en-NZ" w:eastAsia="zh-CN"/>
              </w:rPr>
            </w:pPr>
            <w:r w:rsidRPr="00467FE6">
              <w:rPr>
                <w:sz w:val="22"/>
                <w:szCs w:val="22"/>
                <w:lang w:val="en-NZ" w:eastAsia="zh-CN"/>
              </w:rPr>
              <w:t>(24.51)</w:t>
            </w:r>
          </w:p>
        </w:tc>
        <w:tc>
          <w:tcPr>
            <w:tcW w:w="762" w:type="dxa"/>
          </w:tcPr>
          <w:p w14:paraId="367EB416" w14:textId="0F25D42C" w:rsidR="00CD6E5B" w:rsidRPr="00467FE6" w:rsidRDefault="00CD6E5B" w:rsidP="002E076A">
            <w:pPr>
              <w:tabs>
                <w:tab w:val="left" w:pos="567"/>
              </w:tabs>
              <w:jc w:val="center"/>
              <w:rPr>
                <w:sz w:val="22"/>
                <w:szCs w:val="22"/>
                <w:lang w:val="en-NZ" w:eastAsia="zh-CN"/>
              </w:rPr>
            </w:pPr>
            <w:r w:rsidRPr="00467FE6">
              <w:rPr>
                <w:sz w:val="22"/>
                <w:szCs w:val="22"/>
                <w:lang w:val="en-NZ" w:eastAsia="zh-CN"/>
              </w:rPr>
              <w:t>624</w:t>
            </w:r>
          </w:p>
        </w:tc>
        <w:tc>
          <w:tcPr>
            <w:tcW w:w="1182" w:type="dxa"/>
          </w:tcPr>
          <w:p w14:paraId="12FFEB5E" w14:textId="587C6014" w:rsidR="00CD6E5B" w:rsidRPr="00467FE6" w:rsidRDefault="00CD6E5B" w:rsidP="002E076A">
            <w:pPr>
              <w:tabs>
                <w:tab w:val="left" w:pos="567"/>
              </w:tabs>
              <w:jc w:val="center"/>
              <w:rPr>
                <w:sz w:val="22"/>
                <w:szCs w:val="22"/>
                <w:lang w:val="en-NZ" w:eastAsia="zh-CN"/>
              </w:rPr>
            </w:pPr>
            <w:r w:rsidRPr="00467FE6">
              <w:rPr>
                <w:sz w:val="22"/>
                <w:szCs w:val="22"/>
                <w:lang w:val="en-NZ" w:eastAsia="zh-CN"/>
              </w:rPr>
              <w:t>36.20</w:t>
            </w:r>
          </w:p>
          <w:p w14:paraId="7EF52420" w14:textId="54756DAD" w:rsidR="00CD6E5B" w:rsidRPr="00467FE6" w:rsidRDefault="00CD6E5B" w:rsidP="002E076A">
            <w:pPr>
              <w:tabs>
                <w:tab w:val="left" w:pos="567"/>
              </w:tabs>
              <w:jc w:val="center"/>
              <w:rPr>
                <w:sz w:val="22"/>
                <w:szCs w:val="22"/>
                <w:lang w:val="en-NZ" w:eastAsia="zh-CN"/>
              </w:rPr>
            </w:pPr>
            <w:r w:rsidRPr="00467FE6">
              <w:rPr>
                <w:sz w:val="22"/>
                <w:szCs w:val="22"/>
                <w:lang w:val="en-NZ" w:eastAsia="zh-CN"/>
              </w:rPr>
              <w:t>(141.63)</w:t>
            </w:r>
          </w:p>
        </w:tc>
        <w:tc>
          <w:tcPr>
            <w:tcW w:w="895" w:type="dxa"/>
          </w:tcPr>
          <w:p w14:paraId="37329828" w14:textId="3E61E33B" w:rsidR="00CD6E5B" w:rsidRPr="00467FE6" w:rsidRDefault="00CD6E5B" w:rsidP="002E076A">
            <w:pPr>
              <w:tabs>
                <w:tab w:val="left" w:pos="567"/>
              </w:tabs>
              <w:jc w:val="center"/>
              <w:rPr>
                <w:sz w:val="22"/>
                <w:szCs w:val="22"/>
                <w:lang w:val="en-NZ" w:eastAsia="zh-CN"/>
              </w:rPr>
            </w:pPr>
            <w:r w:rsidRPr="00467FE6">
              <w:rPr>
                <w:sz w:val="22"/>
                <w:szCs w:val="22"/>
                <w:lang w:val="en-NZ" w:eastAsia="zh-CN"/>
              </w:rPr>
              <w:t>2034</w:t>
            </w:r>
          </w:p>
        </w:tc>
      </w:tr>
      <w:tr w:rsidR="00876F9D" w:rsidRPr="00467FE6" w14:paraId="2FF4C12D" w14:textId="2B03FA1E" w:rsidTr="008D36A3">
        <w:trPr>
          <w:trHeight w:val="256"/>
          <w:jc w:val="center"/>
        </w:trPr>
        <w:tc>
          <w:tcPr>
            <w:tcW w:w="5760" w:type="dxa"/>
            <w:shd w:val="clear" w:color="auto" w:fill="auto"/>
            <w:noWrap/>
            <w:vAlign w:val="center"/>
            <w:hideMark/>
          </w:tcPr>
          <w:p w14:paraId="1A2EC136" w14:textId="14072A6E" w:rsidR="00CD6E5B" w:rsidRPr="00467FE6" w:rsidRDefault="00CD6E5B" w:rsidP="002E076A">
            <w:pPr>
              <w:tabs>
                <w:tab w:val="left" w:pos="567"/>
              </w:tabs>
              <w:rPr>
                <w:sz w:val="22"/>
                <w:szCs w:val="22"/>
                <w:lang w:val="en-NZ" w:eastAsia="zh-CN"/>
              </w:rPr>
            </w:pPr>
            <w:r w:rsidRPr="00467FE6">
              <w:rPr>
                <w:sz w:val="22"/>
                <w:szCs w:val="22"/>
                <w:lang w:val="en-NZ" w:eastAsia="zh-CN"/>
              </w:rPr>
              <w:t xml:space="preserve">Percentage </w:t>
            </w:r>
            <w:r w:rsidR="00CD7208" w:rsidRPr="00467FE6">
              <w:rPr>
                <w:sz w:val="22"/>
                <w:szCs w:val="22"/>
                <w:lang w:val="en-NZ" w:eastAsia="zh-CN"/>
              </w:rPr>
              <w:t xml:space="preserve">of </w:t>
            </w:r>
            <w:r w:rsidRPr="00467FE6">
              <w:rPr>
                <w:sz w:val="22"/>
                <w:szCs w:val="22"/>
                <w:lang w:val="en-NZ" w:eastAsia="zh-CN"/>
              </w:rPr>
              <w:t xml:space="preserve">Urban </w:t>
            </w:r>
            <w:r w:rsidR="00CD7208" w:rsidRPr="00467FE6">
              <w:rPr>
                <w:sz w:val="22"/>
                <w:szCs w:val="22"/>
                <w:lang w:val="en-NZ" w:eastAsia="zh-CN"/>
              </w:rPr>
              <w:t>Population</w:t>
            </w:r>
          </w:p>
        </w:tc>
        <w:tc>
          <w:tcPr>
            <w:tcW w:w="1027" w:type="dxa"/>
            <w:shd w:val="clear" w:color="auto" w:fill="auto"/>
            <w:noWrap/>
            <w:vAlign w:val="center"/>
            <w:hideMark/>
          </w:tcPr>
          <w:p w14:paraId="0EB6FA4E" w14:textId="77777777" w:rsidR="00CD6E5B" w:rsidRPr="00467FE6" w:rsidRDefault="00CD6E5B" w:rsidP="002E076A">
            <w:pPr>
              <w:tabs>
                <w:tab w:val="left" w:pos="567"/>
              </w:tabs>
              <w:jc w:val="center"/>
              <w:rPr>
                <w:sz w:val="22"/>
                <w:szCs w:val="22"/>
                <w:lang w:val="en-NZ" w:eastAsia="zh-CN"/>
              </w:rPr>
            </w:pPr>
            <w:r w:rsidRPr="00467FE6">
              <w:rPr>
                <w:sz w:val="22"/>
                <w:szCs w:val="22"/>
                <w:lang w:val="en-NZ" w:eastAsia="zh-CN"/>
              </w:rPr>
              <w:t>26.99</w:t>
            </w:r>
          </w:p>
          <w:p w14:paraId="1CAD32F8" w14:textId="50992DEC" w:rsidR="00CD6E5B" w:rsidRPr="00467FE6" w:rsidRDefault="00CD6E5B" w:rsidP="002E076A">
            <w:pPr>
              <w:tabs>
                <w:tab w:val="left" w:pos="567"/>
              </w:tabs>
              <w:jc w:val="center"/>
              <w:rPr>
                <w:sz w:val="22"/>
                <w:szCs w:val="22"/>
                <w:lang w:val="en-NZ" w:eastAsia="zh-CN"/>
              </w:rPr>
            </w:pPr>
            <w:r w:rsidRPr="00467FE6">
              <w:rPr>
                <w:sz w:val="22"/>
                <w:szCs w:val="22"/>
                <w:lang w:val="en-NZ" w:eastAsia="zh-CN"/>
              </w:rPr>
              <w:t>(10.25)</w:t>
            </w:r>
          </w:p>
        </w:tc>
        <w:tc>
          <w:tcPr>
            <w:tcW w:w="743" w:type="dxa"/>
          </w:tcPr>
          <w:p w14:paraId="5797A371" w14:textId="3A57D1CA" w:rsidR="00CD6E5B" w:rsidRPr="00467FE6" w:rsidRDefault="00CD6E5B" w:rsidP="002E076A">
            <w:pPr>
              <w:tabs>
                <w:tab w:val="left" w:pos="567"/>
              </w:tabs>
              <w:jc w:val="center"/>
              <w:rPr>
                <w:sz w:val="22"/>
                <w:szCs w:val="22"/>
                <w:lang w:val="en-NZ" w:eastAsia="zh-CN"/>
              </w:rPr>
            </w:pPr>
            <w:r w:rsidRPr="00467FE6">
              <w:rPr>
                <w:sz w:val="22"/>
                <w:szCs w:val="22"/>
                <w:lang w:val="en-NZ" w:eastAsia="zh-CN"/>
              </w:rPr>
              <w:t>298</w:t>
            </w:r>
          </w:p>
        </w:tc>
        <w:tc>
          <w:tcPr>
            <w:tcW w:w="1036" w:type="dxa"/>
            <w:shd w:val="clear" w:color="auto" w:fill="auto"/>
            <w:noWrap/>
            <w:vAlign w:val="center"/>
            <w:hideMark/>
          </w:tcPr>
          <w:p w14:paraId="3B890326" w14:textId="54E7B1AA" w:rsidR="00CD6E5B" w:rsidRPr="00467FE6" w:rsidRDefault="00CD6E5B" w:rsidP="002E076A">
            <w:pPr>
              <w:tabs>
                <w:tab w:val="left" w:pos="567"/>
              </w:tabs>
              <w:jc w:val="center"/>
              <w:rPr>
                <w:sz w:val="22"/>
                <w:szCs w:val="22"/>
                <w:lang w:val="en-NZ" w:eastAsia="zh-CN"/>
              </w:rPr>
            </w:pPr>
            <w:r w:rsidRPr="00467FE6">
              <w:rPr>
                <w:sz w:val="22"/>
                <w:szCs w:val="22"/>
                <w:lang w:val="en-NZ" w:eastAsia="zh-CN"/>
              </w:rPr>
              <w:t>41.24</w:t>
            </w:r>
          </w:p>
          <w:p w14:paraId="124AA558" w14:textId="51A5E5A5" w:rsidR="00CD6E5B" w:rsidRPr="00467FE6" w:rsidRDefault="00CD6E5B" w:rsidP="002E076A">
            <w:pPr>
              <w:tabs>
                <w:tab w:val="left" w:pos="567"/>
              </w:tabs>
              <w:jc w:val="center"/>
              <w:rPr>
                <w:sz w:val="22"/>
                <w:szCs w:val="22"/>
                <w:lang w:val="en-NZ" w:eastAsia="zh-CN"/>
              </w:rPr>
            </w:pPr>
            <w:r w:rsidRPr="00467FE6">
              <w:rPr>
                <w:sz w:val="22"/>
                <w:szCs w:val="22"/>
                <w:lang w:val="en-NZ" w:eastAsia="zh-CN"/>
              </w:rPr>
              <w:t>(17.01)</w:t>
            </w:r>
          </w:p>
        </w:tc>
        <w:tc>
          <w:tcPr>
            <w:tcW w:w="743" w:type="dxa"/>
          </w:tcPr>
          <w:p w14:paraId="55465E89" w14:textId="7EC6A0BA" w:rsidR="00CD6E5B" w:rsidRPr="00467FE6" w:rsidRDefault="00CD6E5B" w:rsidP="002E076A">
            <w:pPr>
              <w:tabs>
                <w:tab w:val="left" w:pos="567"/>
              </w:tabs>
              <w:jc w:val="center"/>
              <w:rPr>
                <w:sz w:val="22"/>
                <w:szCs w:val="22"/>
                <w:lang w:val="en-NZ" w:eastAsia="zh-CN"/>
              </w:rPr>
            </w:pPr>
            <w:r w:rsidRPr="00467FE6">
              <w:rPr>
                <w:sz w:val="22"/>
                <w:szCs w:val="22"/>
                <w:lang w:val="en-NZ" w:eastAsia="zh-CN"/>
              </w:rPr>
              <w:t>506</w:t>
            </w:r>
          </w:p>
        </w:tc>
        <w:tc>
          <w:tcPr>
            <w:tcW w:w="1039" w:type="dxa"/>
            <w:shd w:val="clear" w:color="auto" w:fill="auto"/>
            <w:noWrap/>
            <w:vAlign w:val="center"/>
            <w:hideMark/>
          </w:tcPr>
          <w:p w14:paraId="54B5E0F5" w14:textId="5B793DD8" w:rsidR="00CD6E5B" w:rsidRPr="00467FE6" w:rsidRDefault="00CD6E5B" w:rsidP="002E076A">
            <w:pPr>
              <w:tabs>
                <w:tab w:val="left" w:pos="567"/>
              </w:tabs>
              <w:jc w:val="center"/>
              <w:rPr>
                <w:sz w:val="22"/>
                <w:szCs w:val="22"/>
                <w:lang w:val="en-NZ" w:eastAsia="zh-CN"/>
              </w:rPr>
            </w:pPr>
            <w:r w:rsidRPr="00467FE6">
              <w:rPr>
                <w:sz w:val="22"/>
                <w:szCs w:val="22"/>
                <w:lang w:val="en-NZ" w:eastAsia="zh-CN"/>
              </w:rPr>
              <w:t>59.77</w:t>
            </w:r>
          </w:p>
          <w:p w14:paraId="6083F57D" w14:textId="445D4031" w:rsidR="00CD6E5B" w:rsidRPr="00467FE6" w:rsidRDefault="00CD6E5B" w:rsidP="002E076A">
            <w:pPr>
              <w:tabs>
                <w:tab w:val="left" w:pos="567"/>
              </w:tabs>
              <w:jc w:val="center"/>
              <w:rPr>
                <w:sz w:val="22"/>
                <w:szCs w:val="22"/>
                <w:lang w:val="en-NZ" w:eastAsia="zh-CN"/>
              </w:rPr>
            </w:pPr>
            <w:r w:rsidRPr="00467FE6">
              <w:rPr>
                <w:sz w:val="22"/>
                <w:szCs w:val="22"/>
                <w:lang w:val="en-NZ" w:eastAsia="zh-CN"/>
              </w:rPr>
              <w:t>(15.12)</w:t>
            </w:r>
          </w:p>
        </w:tc>
        <w:tc>
          <w:tcPr>
            <w:tcW w:w="744" w:type="dxa"/>
          </w:tcPr>
          <w:p w14:paraId="496DFEEE" w14:textId="1D2C2819" w:rsidR="00CD6E5B" w:rsidRPr="00467FE6" w:rsidRDefault="00CD6E5B" w:rsidP="002E076A">
            <w:pPr>
              <w:tabs>
                <w:tab w:val="left" w:pos="567"/>
              </w:tabs>
              <w:jc w:val="center"/>
              <w:rPr>
                <w:sz w:val="22"/>
                <w:szCs w:val="22"/>
                <w:lang w:val="en-NZ" w:eastAsia="zh-CN"/>
              </w:rPr>
            </w:pPr>
            <w:r w:rsidRPr="00467FE6">
              <w:rPr>
                <w:sz w:val="22"/>
                <w:szCs w:val="22"/>
                <w:lang w:val="en-NZ" w:eastAsia="zh-CN"/>
              </w:rPr>
              <w:t>606</w:t>
            </w:r>
          </w:p>
        </w:tc>
        <w:tc>
          <w:tcPr>
            <w:tcW w:w="1044" w:type="dxa"/>
            <w:shd w:val="clear" w:color="auto" w:fill="auto"/>
            <w:noWrap/>
            <w:vAlign w:val="center"/>
            <w:hideMark/>
          </w:tcPr>
          <w:p w14:paraId="416D981F" w14:textId="23E5FED5" w:rsidR="00CD6E5B" w:rsidRPr="00467FE6" w:rsidRDefault="00CD6E5B" w:rsidP="002E076A">
            <w:pPr>
              <w:tabs>
                <w:tab w:val="left" w:pos="567"/>
              </w:tabs>
              <w:jc w:val="center"/>
              <w:rPr>
                <w:sz w:val="22"/>
                <w:szCs w:val="22"/>
                <w:lang w:val="en-NZ" w:eastAsia="zh-CN"/>
              </w:rPr>
            </w:pPr>
            <w:r w:rsidRPr="00467FE6">
              <w:rPr>
                <w:sz w:val="22"/>
                <w:szCs w:val="22"/>
                <w:lang w:val="en-NZ" w:eastAsia="zh-CN"/>
              </w:rPr>
              <w:t>75.70</w:t>
            </w:r>
          </w:p>
          <w:p w14:paraId="2471C3B1" w14:textId="7B1A04A2" w:rsidR="00CD6E5B" w:rsidRPr="00467FE6" w:rsidRDefault="00CD6E5B" w:rsidP="002E076A">
            <w:pPr>
              <w:tabs>
                <w:tab w:val="left" w:pos="567"/>
              </w:tabs>
              <w:jc w:val="center"/>
              <w:rPr>
                <w:sz w:val="22"/>
                <w:szCs w:val="22"/>
                <w:lang w:val="en-NZ" w:eastAsia="zh-CN"/>
              </w:rPr>
            </w:pPr>
            <w:r w:rsidRPr="00467FE6">
              <w:rPr>
                <w:sz w:val="22"/>
                <w:szCs w:val="22"/>
                <w:lang w:val="en-NZ" w:eastAsia="zh-CN"/>
              </w:rPr>
              <w:t>(18.71)</w:t>
            </w:r>
          </w:p>
        </w:tc>
        <w:tc>
          <w:tcPr>
            <w:tcW w:w="762" w:type="dxa"/>
          </w:tcPr>
          <w:p w14:paraId="73B41B65" w14:textId="394967D0" w:rsidR="00CD6E5B" w:rsidRPr="00467FE6" w:rsidRDefault="00CD6E5B" w:rsidP="002E076A">
            <w:pPr>
              <w:tabs>
                <w:tab w:val="left" w:pos="567"/>
              </w:tabs>
              <w:jc w:val="center"/>
              <w:rPr>
                <w:sz w:val="22"/>
                <w:szCs w:val="22"/>
                <w:lang w:val="en-NZ" w:eastAsia="zh-CN"/>
              </w:rPr>
            </w:pPr>
            <w:r w:rsidRPr="00467FE6">
              <w:rPr>
                <w:sz w:val="22"/>
                <w:szCs w:val="22"/>
                <w:lang w:val="en-NZ" w:eastAsia="zh-CN"/>
              </w:rPr>
              <w:t>624</w:t>
            </w:r>
          </w:p>
        </w:tc>
        <w:tc>
          <w:tcPr>
            <w:tcW w:w="1182" w:type="dxa"/>
          </w:tcPr>
          <w:p w14:paraId="3B6D1C64" w14:textId="35CF7B25" w:rsidR="00CD6E5B" w:rsidRPr="00467FE6" w:rsidRDefault="00CD6E5B" w:rsidP="002E076A">
            <w:pPr>
              <w:tabs>
                <w:tab w:val="left" w:pos="567"/>
              </w:tabs>
              <w:jc w:val="center"/>
              <w:rPr>
                <w:sz w:val="22"/>
                <w:szCs w:val="22"/>
                <w:lang w:val="en-NZ" w:eastAsia="zh-CN"/>
              </w:rPr>
            </w:pPr>
            <w:r w:rsidRPr="00467FE6">
              <w:rPr>
                <w:sz w:val="22"/>
                <w:szCs w:val="22"/>
                <w:lang w:val="en-NZ" w:eastAsia="zh-CN"/>
              </w:rPr>
              <w:t>55.24</w:t>
            </w:r>
          </w:p>
          <w:p w14:paraId="63E6FFEB" w14:textId="7CAFFBE0" w:rsidR="00CD6E5B" w:rsidRPr="00467FE6" w:rsidRDefault="00CD6E5B" w:rsidP="002E076A">
            <w:pPr>
              <w:tabs>
                <w:tab w:val="left" w:pos="567"/>
              </w:tabs>
              <w:jc w:val="center"/>
              <w:rPr>
                <w:sz w:val="22"/>
                <w:szCs w:val="22"/>
                <w:lang w:val="en-NZ" w:eastAsia="zh-CN"/>
              </w:rPr>
            </w:pPr>
            <w:r w:rsidRPr="00467FE6">
              <w:rPr>
                <w:sz w:val="22"/>
                <w:szCs w:val="22"/>
                <w:lang w:val="en-NZ" w:eastAsia="zh-CN"/>
              </w:rPr>
              <w:t>(23.72)</w:t>
            </w:r>
          </w:p>
        </w:tc>
        <w:tc>
          <w:tcPr>
            <w:tcW w:w="895" w:type="dxa"/>
          </w:tcPr>
          <w:p w14:paraId="529F2498" w14:textId="4C572DAB" w:rsidR="00CD6E5B" w:rsidRPr="00467FE6" w:rsidRDefault="00CD6E5B" w:rsidP="002E076A">
            <w:pPr>
              <w:tabs>
                <w:tab w:val="left" w:pos="567"/>
              </w:tabs>
              <w:jc w:val="center"/>
              <w:rPr>
                <w:sz w:val="22"/>
                <w:szCs w:val="22"/>
                <w:lang w:val="en-NZ" w:eastAsia="zh-CN"/>
              </w:rPr>
            </w:pPr>
            <w:r w:rsidRPr="00467FE6">
              <w:rPr>
                <w:sz w:val="22"/>
                <w:szCs w:val="22"/>
                <w:lang w:val="en-NZ" w:eastAsia="zh-CN"/>
              </w:rPr>
              <w:t>2034</w:t>
            </w:r>
          </w:p>
        </w:tc>
      </w:tr>
      <w:tr w:rsidR="00876F9D" w:rsidRPr="00467FE6" w14:paraId="2B7E6D5D" w14:textId="3E4BB0F0" w:rsidTr="008D36A3">
        <w:trPr>
          <w:trHeight w:val="256"/>
          <w:jc w:val="center"/>
        </w:trPr>
        <w:tc>
          <w:tcPr>
            <w:tcW w:w="5760" w:type="dxa"/>
            <w:shd w:val="clear" w:color="auto" w:fill="auto"/>
            <w:noWrap/>
            <w:vAlign w:val="center"/>
            <w:hideMark/>
          </w:tcPr>
          <w:p w14:paraId="5BA396EA" w14:textId="2123E7AD" w:rsidR="00CD6E5B" w:rsidRPr="00467FE6" w:rsidRDefault="00CD6E5B" w:rsidP="002E076A">
            <w:pPr>
              <w:tabs>
                <w:tab w:val="left" w:pos="567"/>
              </w:tabs>
              <w:rPr>
                <w:sz w:val="22"/>
                <w:szCs w:val="22"/>
                <w:lang w:val="en-NZ" w:eastAsia="zh-CN"/>
              </w:rPr>
            </w:pPr>
            <w:r w:rsidRPr="00467FE6">
              <w:rPr>
                <w:sz w:val="22"/>
                <w:szCs w:val="22"/>
                <w:lang w:val="en-NZ" w:eastAsia="zh-CN"/>
              </w:rPr>
              <w:t xml:space="preserve">Percentage </w:t>
            </w:r>
            <w:r w:rsidR="00CD7208" w:rsidRPr="00467FE6">
              <w:rPr>
                <w:sz w:val="22"/>
                <w:szCs w:val="22"/>
                <w:lang w:val="en-NZ" w:eastAsia="zh-CN"/>
              </w:rPr>
              <w:t xml:space="preserve">of </w:t>
            </w:r>
            <w:r w:rsidRPr="00467FE6">
              <w:rPr>
                <w:sz w:val="22"/>
                <w:szCs w:val="22"/>
                <w:lang w:val="en-NZ" w:eastAsia="zh-CN"/>
              </w:rPr>
              <w:t xml:space="preserve">Forest </w:t>
            </w:r>
            <w:r w:rsidR="00CD7208" w:rsidRPr="00467FE6">
              <w:rPr>
                <w:sz w:val="22"/>
                <w:szCs w:val="22"/>
                <w:lang w:val="en-NZ" w:eastAsia="zh-CN"/>
              </w:rPr>
              <w:t>Area of Total Area</w:t>
            </w:r>
          </w:p>
        </w:tc>
        <w:tc>
          <w:tcPr>
            <w:tcW w:w="1027" w:type="dxa"/>
            <w:shd w:val="clear" w:color="auto" w:fill="auto"/>
            <w:noWrap/>
            <w:vAlign w:val="center"/>
            <w:hideMark/>
          </w:tcPr>
          <w:p w14:paraId="2DE1785C" w14:textId="77777777" w:rsidR="00CD6E5B" w:rsidRPr="00467FE6" w:rsidRDefault="00CD6E5B" w:rsidP="002E076A">
            <w:pPr>
              <w:tabs>
                <w:tab w:val="left" w:pos="567"/>
              </w:tabs>
              <w:jc w:val="center"/>
              <w:rPr>
                <w:sz w:val="22"/>
                <w:szCs w:val="22"/>
                <w:lang w:val="en-NZ" w:eastAsia="zh-CN"/>
              </w:rPr>
            </w:pPr>
            <w:r w:rsidRPr="00467FE6">
              <w:rPr>
                <w:sz w:val="22"/>
                <w:szCs w:val="22"/>
                <w:lang w:val="en-NZ" w:eastAsia="zh-CN"/>
              </w:rPr>
              <w:t>21.86</w:t>
            </w:r>
          </w:p>
          <w:p w14:paraId="3DD323BC" w14:textId="6B586596" w:rsidR="00CD6E5B" w:rsidRPr="00467FE6" w:rsidRDefault="00CD6E5B" w:rsidP="002E076A">
            <w:pPr>
              <w:tabs>
                <w:tab w:val="left" w:pos="567"/>
              </w:tabs>
              <w:jc w:val="center"/>
              <w:rPr>
                <w:sz w:val="22"/>
                <w:szCs w:val="22"/>
                <w:lang w:val="en-NZ" w:eastAsia="zh-CN"/>
              </w:rPr>
            </w:pPr>
            <w:r w:rsidRPr="00467FE6">
              <w:rPr>
                <w:sz w:val="22"/>
                <w:szCs w:val="22"/>
                <w:lang w:val="en-NZ" w:eastAsia="zh-CN"/>
              </w:rPr>
              <w:t>(15.30)</w:t>
            </w:r>
          </w:p>
        </w:tc>
        <w:tc>
          <w:tcPr>
            <w:tcW w:w="743" w:type="dxa"/>
          </w:tcPr>
          <w:p w14:paraId="3B0D51D9" w14:textId="56181117" w:rsidR="00CD6E5B" w:rsidRPr="00467FE6" w:rsidRDefault="00CD6E5B" w:rsidP="002E076A">
            <w:pPr>
              <w:tabs>
                <w:tab w:val="left" w:pos="567"/>
              </w:tabs>
              <w:jc w:val="center"/>
              <w:rPr>
                <w:sz w:val="22"/>
                <w:szCs w:val="22"/>
                <w:lang w:val="en-NZ" w:eastAsia="zh-CN"/>
              </w:rPr>
            </w:pPr>
            <w:r w:rsidRPr="00467FE6">
              <w:rPr>
                <w:sz w:val="22"/>
                <w:szCs w:val="22"/>
                <w:lang w:val="en-NZ" w:eastAsia="zh-CN"/>
              </w:rPr>
              <w:t>299</w:t>
            </w:r>
          </w:p>
        </w:tc>
        <w:tc>
          <w:tcPr>
            <w:tcW w:w="1036" w:type="dxa"/>
            <w:shd w:val="clear" w:color="auto" w:fill="auto"/>
            <w:noWrap/>
            <w:vAlign w:val="center"/>
            <w:hideMark/>
          </w:tcPr>
          <w:p w14:paraId="680EB39E" w14:textId="6F661A56" w:rsidR="00CD6E5B" w:rsidRPr="00467FE6" w:rsidRDefault="00CD6E5B" w:rsidP="002E076A">
            <w:pPr>
              <w:tabs>
                <w:tab w:val="left" w:pos="567"/>
              </w:tabs>
              <w:jc w:val="center"/>
              <w:rPr>
                <w:sz w:val="22"/>
                <w:szCs w:val="22"/>
                <w:lang w:val="en-NZ" w:eastAsia="zh-CN"/>
              </w:rPr>
            </w:pPr>
            <w:r w:rsidRPr="00467FE6">
              <w:rPr>
                <w:sz w:val="22"/>
                <w:szCs w:val="22"/>
                <w:lang w:val="en-NZ" w:eastAsia="zh-CN"/>
              </w:rPr>
              <w:t>29.92</w:t>
            </w:r>
          </w:p>
          <w:p w14:paraId="170DA9D0" w14:textId="72463DBB" w:rsidR="00CD6E5B" w:rsidRPr="00467FE6" w:rsidRDefault="00CD6E5B" w:rsidP="002E076A">
            <w:pPr>
              <w:tabs>
                <w:tab w:val="left" w:pos="567"/>
              </w:tabs>
              <w:jc w:val="center"/>
              <w:rPr>
                <w:sz w:val="22"/>
                <w:szCs w:val="22"/>
                <w:lang w:val="en-NZ" w:eastAsia="zh-CN"/>
              </w:rPr>
            </w:pPr>
            <w:r w:rsidRPr="00467FE6">
              <w:rPr>
                <w:sz w:val="22"/>
                <w:szCs w:val="22"/>
                <w:lang w:val="en-NZ" w:eastAsia="zh-CN"/>
              </w:rPr>
              <w:t>(23.90)</w:t>
            </w:r>
          </w:p>
        </w:tc>
        <w:tc>
          <w:tcPr>
            <w:tcW w:w="743" w:type="dxa"/>
          </w:tcPr>
          <w:p w14:paraId="74B1F8F2" w14:textId="2510FCC7" w:rsidR="00CD6E5B" w:rsidRPr="00467FE6" w:rsidRDefault="00CD6E5B" w:rsidP="002E076A">
            <w:pPr>
              <w:tabs>
                <w:tab w:val="left" w:pos="567"/>
              </w:tabs>
              <w:jc w:val="center"/>
              <w:rPr>
                <w:sz w:val="22"/>
                <w:szCs w:val="22"/>
                <w:lang w:val="en-NZ" w:eastAsia="zh-CN"/>
              </w:rPr>
            </w:pPr>
            <w:r w:rsidRPr="00467FE6">
              <w:rPr>
                <w:sz w:val="22"/>
                <w:szCs w:val="22"/>
                <w:lang w:val="en-NZ" w:eastAsia="zh-CN"/>
              </w:rPr>
              <w:t>506</w:t>
            </w:r>
          </w:p>
        </w:tc>
        <w:tc>
          <w:tcPr>
            <w:tcW w:w="1039" w:type="dxa"/>
            <w:shd w:val="clear" w:color="auto" w:fill="auto"/>
            <w:noWrap/>
            <w:vAlign w:val="center"/>
            <w:hideMark/>
          </w:tcPr>
          <w:p w14:paraId="02385C3F" w14:textId="07A58A29" w:rsidR="00CD6E5B" w:rsidRPr="00467FE6" w:rsidRDefault="00CD6E5B" w:rsidP="002E076A">
            <w:pPr>
              <w:tabs>
                <w:tab w:val="left" w:pos="567"/>
              </w:tabs>
              <w:jc w:val="center"/>
              <w:rPr>
                <w:sz w:val="22"/>
                <w:szCs w:val="22"/>
                <w:lang w:val="en-NZ" w:eastAsia="zh-CN"/>
              </w:rPr>
            </w:pPr>
            <w:r w:rsidRPr="00467FE6">
              <w:rPr>
                <w:sz w:val="22"/>
                <w:szCs w:val="22"/>
                <w:lang w:val="en-NZ" w:eastAsia="zh-CN"/>
              </w:rPr>
              <w:t>38.27</w:t>
            </w:r>
          </w:p>
          <w:p w14:paraId="47377B88" w14:textId="04ECD4D5" w:rsidR="00CD6E5B" w:rsidRPr="00467FE6" w:rsidRDefault="00CD6E5B" w:rsidP="002E076A">
            <w:pPr>
              <w:tabs>
                <w:tab w:val="left" w:pos="567"/>
              </w:tabs>
              <w:jc w:val="center"/>
              <w:rPr>
                <w:sz w:val="22"/>
                <w:szCs w:val="22"/>
                <w:lang w:val="en-NZ" w:eastAsia="zh-CN"/>
              </w:rPr>
            </w:pPr>
            <w:r w:rsidRPr="00467FE6">
              <w:rPr>
                <w:sz w:val="22"/>
                <w:szCs w:val="22"/>
                <w:lang w:val="en-NZ" w:eastAsia="zh-CN"/>
              </w:rPr>
              <w:t>(25.09)</w:t>
            </w:r>
          </w:p>
        </w:tc>
        <w:tc>
          <w:tcPr>
            <w:tcW w:w="744" w:type="dxa"/>
          </w:tcPr>
          <w:p w14:paraId="0D2FDDC7" w14:textId="420B0CB1" w:rsidR="00CD6E5B" w:rsidRPr="00467FE6" w:rsidRDefault="00CD6E5B" w:rsidP="002E076A">
            <w:pPr>
              <w:tabs>
                <w:tab w:val="left" w:pos="567"/>
              </w:tabs>
              <w:jc w:val="center"/>
              <w:rPr>
                <w:sz w:val="22"/>
                <w:szCs w:val="22"/>
                <w:lang w:val="en-NZ" w:eastAsia="zh-CN"/>
              </w:rPr>
            </w:pPr>
            <w:r w:rsidRPr="00467FE6">
              <w:rPr>
                <w:sz w:val="22"/>
                <w:szCs w:val="22"/>
                <w:lang w:val="en-NZ" w:eastAsia="zh-CN"/>
              </w:rPr>
              <w:t>606</w:t>
            </w:r>
          </w:p>
        </w:tc>
        <w:tc>
          <w:tcPr>
            <w:tcW w:w="1044" w:type="dxa"/>
            <w:shd w:val="clear" w:color="auto" w:fill="auto"/>
            <w:noWrap/>
            <w:vAlign w:val="center"/>
            <w:hideMark/>
          </w:tcPr>
          <w:p w14:paraId="368AF56A" w14:textId="1BD9CA3A" w:rsidR="00CD6E5B" w:rsidRPr="00467FE6" w:rsidRDefault="00CD6E5B" w:rsidP="002E076A">
            <w:pPr>
              <w:tabs>
                <w:tab w:val="left" w:pos="567"/>
              </w:tabs>
              <w:jc w:val="center"/>
              <w:rPr>
                <w:sz w:val="22"/>
                <w:szCs w:val="22"/>
                <w:lang w:val="en-NZ" w:eastAsia="zh-CN"/>
              </w:rPr>
            </w:pPr>
            <w:r w:rsidRPr="00467FE6">
              <w:rPr>
                <w:sz w:val="22"/>
                <w:szCs w:val="22"/>
                <w:lang w:val="en-NZ" w:eastAsia="zh-CN"/>
              </w:rPr>
              <w:t>28.33</w:t>
            </w:r>
          </w:p>
          <w:p w14:paraId="0BF5A84C" w14:textId="40D150C8" w:rsidR="00CD6E5B" w:rsidRPr="00467FE6" w:rsidRDefault="00CD6E5B" w:rsidP="002E076A">
            <w:pPr>
              <w:tabs>
                <w:tab w:val="left" w:pos="567"/>
              </w:tabs>
              <w:jc w:val="center"/>
              <w:rPr>
                <w:sz w:val="22"/>
                <w:szCs w:val="22"/>
                <w:lang w:val="en-NZ" w:eastAsia="zh-CN"/>
              </w:rPr>
            </w:pPr>
            <w:r w:rsidRPr="00467FE6">
              <w:rPr>
                <w:sz w:val="22"/>
                <w:szCs w:val="22"/>
                <w:lang w:val="en-NZ" w:eastAsia="zh-CN"/>
              </w:rPr>
              <w:t>(22.27)</w:t>
            </w:r>
          </w:p>
        </w:tc>
        <w:tc>
          <w:tcPr>
            <w:tcW w:w="762" w:type="dxa"/>
          </w:tcPr>
          <w:p w14:paraId="170AED19" w14:textId="50206982" w:rsidR="00CD6E5B" w:rsidRPr="00467FE6" w:rsidRDefault="00CD6E5B" w:rsidP="002E076A">
            <w:pPr>
              <w:tabs>
                <w:tab w:val="left" w:pos="567"/>
              </w:tabs>
              <w:jc w:val="center"/>
              <w:rPr>
                <w:sz w:val="22"/>
                <w:szCs w:val="22"/>
                <w:lang w:val="en-NZ" w:eastAsia="zh-CN"/>
              </w:rPr>
            </w:pPr>
            <w:r w:rsidRPr="00467FE6">
              <w:rPr>
                <w:sz w:val="22"/>
                <w:szCs w:val="22"/>
                <w:lang w:val="en-NZ" w:eastAsia="zh-CN"/>
              </w:rPr>
              <w:t>624</w:t>
            </w:r>
          </w:p>
        </w:tc>
        <w:tc>
          <w:tcPr>
            <w:tcW w:w="1182" w:type="dxa"/>
          </w:tcPr>
          <w:p w14:paraId="6A461558" w14:textId="5F8BF38A" w:rsidR="00CD6E5B" w:rsidRPr="00467FE6" w:rsidRDefault="00CD6E5B" w:rsidP="002E076A">
            <w:pPr>
              <w:tabs>
                <w:tab w:val="left" w:pos="567"/>
              </w:tabs>
              <w:jc w:val="center"/>
              <w:rPr>
                <w:sz w:val="22"/>
                <w:szCs w:val="22"/>
                <w:lang w:val="en-NZ" w:eastAsia="zh-CN"/>
              </w:rPr>
            </w:pPr>
            <w:r w:rsidRPr="00467FE6">
              <w:rPr>
                <w:sz w:val="22"/>
                <w:szCs w:val="22"/>
                <w:lang w:val="en-NZ" w:eastAsia="zh-CN"/>
              </w:rPr>
              <w:t>30.73</w:t>
            </w:r>
          </w:p>
          <w:p w14:paraId="1DADB17B" w14:textId="463ABE21" w:rsidR="00CD6E5B" w:rsidRPr="00467FE6" w:rsidRDefault="00CD6E5B" w:rsidP="002E076A">
            <w:pPr>
              <w:tabs>
                <w:tab w:val="left" w:pos="567"/>
              </w:tabs>
              <w:jc w:val="center"/>
              <w:rPr>
                <w:sz w:val="22"/>
                <w:szCs w:val="22"/>
                <w:lang w:val="en-NZ" w:eastAsia="zh-CN"/>
              </w:rPr>
            </w:pPr>
            <w:r w:rsidRPr="00467FE6">
              <w:rPr>
                <w:sz w:val="22"/>
                <w:szCs w:val="22"/>
                <w:lang w:val="en-NZ" w:eastAsia="zh-CN"/>
              </w:rPr>
              <w:t>(23.35)</w:t>
            </w:r>
          </w:p>
        </w:tc>
        <w:tc>
          <w:tcPr>
            <w:tcW w:w="895" w:type="dxa"/>
          </w:tcPr>
          <w:p w14:paraId="78CFB93B" w14:textId="477FCDCA" w:rsidR="00CD6E5B" w:rsidRPr="00467FE6" w:rsidRDefault="00CD6E5B" w:rsidP="002E076A">
            <w:pPr>
              <w:tabs>
                <w:tab w:val="left" w:pos="567"/>
              </w:tabs>
              <w:jc w:val="center"/>
              <w:rPr>
                <w:sz w:val="22"/>
                <w:szCs w:val="22"/>
                <w:lang w:val="en-NZ" w:eastAsia="zh-CN"/>
              </w:rPr>
            </w:pPr>
            <w:r w:rsidRPr="00467FE6">
              <w:rPr>
                <w:sz w:val="22"/>
                <w:szCs w:val="22"/>
                <w:lang w:val="en-NZ" w:eastAsia="zh-CN"/>
              </w:rPr>
              <w:t>2035</w:t>
            </w:r>
          </w:p>
        </w:tc>
      </w:tr>
      <w:tr w:rsidR="00876F9D" w:rsidRPr="00467FE6" w14:paraId="1027A285" w14:textId="540208AA" w:rsidTr="008D36A3">
        <w:trPr>
          <w:trHeight w:val="256"/>
          <w:jc w:val="center"/>
        </w:trPr>
        <w:tc>
          <w:tcPr>
            <w:tcW w:w="5760" w:type="dxa"/>
            <w:shd w:val="clear" w:color="auto" w:fill="auto"/>
            <w:noWrap/>
            <w:vAlign w:val="center"/>
            <w:hideMark/>
          </w:tcPr>
          <w:p w14:paraId="2C364CAC" w14:textId="6C2A9EFE" w:rsidR="00CD6E5B" w:rsidRPr="00467FE6" w:rsidRDefault="00CD6E5B" w:rsidP="002E076A">
            <w:pPr>
              <w:tabs>
                <w:tab w:val="left" w:pos="567"/>
              </w:tabs>
              <w:rPr>
                <w:sz w:val="22"/>
                <w:szCs w:val="22"/>
                <w:lang w:val="en-NZ" w:eastAsia="zh-CN"/>
              </w:rPr>
            </w:pPr>
            <w:r w:rsidRPr="00467FE6">
              <w:rPr>
                <w:sz w:val="22"/>
                <w:szCs w:val="22"/>
                <w:lang w:val="en-NZ" w:eastAsia="zh-CN"/>
              </w:rPr>
              <w:t xml:space="preserve">Log </w:t>
            </w:r>
            <w:r w:rsidR="00CD7208" w:rsidRPr="00467FE6">
              <w:rPr>
                <w:sz w:val="22"/>
                <w:szCs w:val="22"/>
                <w:lang w:val="en-NZ" w:eastAsia="zh-CN"/>
              </w:rPr>
              <w:t xml:space="preserve">of </w:t>
            </w:r>
            <w:r w:rsidRPr="00467FE6">
              <w:rPr>
                <w:sz w:val="22"/>
                <w:szCs w:val="22"/>
                <w:lang w:val="en-NZ" w:eastAsia="zh-CN"/>
              </w:rPr>
              <w:t>LNG</w:t>
            </w:r>
            <w:r w:rsidR="00CD7208" w:rsidRPr="00467FE6">
              <w:rPr>
                <w:sz w:val="22"/>
                <w:szCs w:val="22"/>
                <w:lang w:val="en-NZ" w:eastAsia="zh-CN"/>
              </w:rPr>
              <w:t xml:space="preserve">, </w:t>
            </w:r>
            <w:r w:rsidRPr="00467FE6">
              <w:rPr>
                <w:sz w:val="22"/>
                <w:szCs w:val="22"/>
                <w:lang w:val="en-NZ" w:eastAsia="zh-CN"/>
              </w:rPr>
              <w:t>LPG</w:t>
            </w:r>
            <w:r w:rsidR="00CD7208" w:rsidRPr="00467FE6">
              <w:rPr>
                <w:sz w:val="22"/>
                <w:szCs w:val="22"/>
                <w:lang w:val="en-NZ" w:eastAsia="zh-CN"/>
              </w:rPr>
              <w:t xml:space="preserve"> and Natural Gas Production (Terajoule)</w:t>
            </w:r>
          </w:p>
        </w:tc>
        <w:tc>
          <w:tcPr>
            <w:tcW w:w="1027" w:type="dxa"/>
            <w:shd w:val="clear" w:color="auto" w:fill="auto"/>
            <w:noWrap/>
            <w:vAlign w:val="center"/>
            <w:hideMark/>
          </w:tcPr>
          <w:p w14:paraId="3A282BB1" w14:textId="77777777" w:rsidR="00CD6E5B" w:rsidRPr="00467FE6" w:rsidRDefault="00CD6E5B" w:rsidP="002E076A">
            <w:pPr>
              <w:tabs>
                <w:tab w:val="left" w:pos="567"/>
              </w:tabs>
              <w:jc w:val="center"/>
              <w:rPr>
                <w:sz w:val="22"/>
                <w:szCs w:val="22"/>
                <w:lang w:val="en-NZ" w:eastAsia="zh-CN"/>
              </w:rPr>
            </w:pPr>
            <w:r w:rsidRPr="00467FE6">
              <w:rPr>
                <w:sz w:val="22"/>
                <w:szCs w:val="22"/>
                <w:lang w:val="en-NZ" w:eastAsia="zh-CN"/>
              </w:rPr>
              <w:t>4.55</w:t>
            </w:r>
          </w:p>
          <w:p w14:paraId="3220EA89" w14:textId="6734A739" w:rsidR="00CD6E5B" w:rsidRPr="00467FE6" w:rsidRDefault="00CD6E5B" w:rsidP="002E076A">
            <w:pPr>
              <w:tabs>
                <w:tab w:val="left" w:pos="567"/>
              </w:tabs>
              <w:jc w:val="center"/>
              <w:rPr>
                <w:sz w:val="22"/>
                <w:szCs w:val="22"/>
                <w:lang w:val="en-NZ" w:eastAsia="zh-CN"/>
              </w:rPr>
            </w:pPr>
            <w:r w:rsidRPr="00467FE6">
              <w:rPr>
                <w:sz w:val="22"/>
                <w:szCs w:val="22"/>
                <w:lang w:val="en-NZ" w:eastAsia="zh-CN"/>
              </w:rPr>
              <w:t>(4.57)</w:t>
            </w:r>
          </w:p>
        </w:tc>
        <w:tc>
          <w:tcPr>
            <w:tcW w:w="743" w:type="dxa"/>
          </w:tcPr>
          <w:p w14:paraId="583ED280" w14:textId="74548FF8" w:rsidR="00CD6E5B" w:rsidRPr="00467FE6" w:rsidRDefault="00CD6E5B" w:rsidP="002E076A">
            <w:pPr>
              <w:tabs>
                <w:tab w:val="left" w:pos="567"/>
              </w:tabs>
              <w:jc w:val="center"/>
              <w:rPr>
                <w:sz w:val="22"/>
                <w:szCs w:val="22"/>
                <w:lang w:val="en-NZ" w:eastAsia="zh-CN"/>
              </w:rPr>
            </w:pPr>
            <w:r w:rsidRPr="00467FE6">
              <w:rPr>
                <w:sz w:val="22"/>
                <w:szCs w:val="22"/>
                <w:lang w:val="en-NZ" w:eastAsia="zh-CN"/>
              </w:rPr>
              <w:t>73</w:t>
            </w:r>
          </w:p>
        </w:tc>
        <w:tc>
          <w:tcPr>
            <w:tcW w:w="1036" w:type="dxa"/>
            <w:shd w:val="clear" w:color="auto" w:fill="auto"/>
            <w:noWrap/>
            <w:vAlign w:val="center"/>
            <w:hideMark/>
          </w:tcPr>
          <w:p w14:paraId="33D25D51" w14:textId="0909CE5F" w:rsidR="00CD6E5B" w:rsidRPr="00467FE6" w:rsidRDefault="00CD6E5B" w:rsidP="002E076A">
            <w:pPr>
              <w:tabs>
                <w:tab w:val="left" w:pos="567"/>
              </w:tabs>
              <w:jc w:val="center"/>
              <w:rPr>
                <w:sz w:val="22"/>
                <w:szCs w:val="22"/>
                <w:lang w:val="en-NZ" w:eastAsia="zh-CN"/>
              </w:rPr>
            </w:pPr>
            <w:r w:rsidRPr="00467FE6">
              <w:rPr>
                <w:sz w:val="22"/>
                <w:szCs w:val="22"/>
                <w:lang w:val="en-NZ" w:eastAsia="zh-CN"/>
              </w:rPr>
              <w:t>7.24</w:t>
            </w:r>
          </w:p>
          <w:p w14:paraId="2852B435" w14:textId="7BC23C0F" w:rsidR="00CD6E5B" w:rsidRPr="00467FE6" w:rsidRDefault="00CD6E5B" w:rsidP="002E076A">
            <w:pPr>
              <w:tabs>
                <w:tab w:val="left" w:pos="567"/>
              </w:tabs>
              <w:jc w:val="center"/>
              <w:rPr>
                <w:sz w:val="22"/>
                <w:szCs w:val="22"/>
                <w:lang w:val="en-NZ" w:eastAsia="zh-CN"/>
              </w:rPr>
            </w:pPr>
            <w:r w:rsidRPr="00467FE6">
              <w:rPr>
                <w:sz w:val="22"/>
                <w:szCs w:val="22"/>
                <w:lang w:val="en-NZ" w:eastAsia="zh-CN"/>
              </w:rPr>
              <w:t>(7.15)</w:t>
            </w:r>
          </w:p>
        </w:tc>
        <w:tc>
          <w:tcPr>
            <w:tcW w:w="743" w:type="dxa"/>
          </w:tcPr>
          <w:p w14:paraId="5411689D" w14:textId="17BE25DA" w:rsidR="00CD6E5B" w:rsidRPr="00467FE6" w:rsidRDefault="00CD6E5B" w:rsidP="002E076A">
            <w:pPr>
              <w:tabs>
                <w:tab w:val="left" w:pos="567"/>
              </w:tabs>
              <w:jc w:val="center"/>
              <w:rPr>
                <w:sz w:val="22"/>
                <w:szCs w:val="22"/>
                <w:lang w:val="en-NZ" w:eastAsia="zh-CN"/>
              </w:rPr>
            </w:pPr>
            <w:r w:rsidRPr="00467FE6">
              <w:rPr>
                <w:sz w:val="22"/>
                <w:szCs w:val="22"/>
                <w:lang w:val="en-NZ" w:eastAsia="zh-CN"/>
              </w:rPr>
              <w:t>301</w:t>
            </w:r>
          </w:p>
        </w:tc>
        <w:tc>
          <w:tcPr>
            <w:tcW w:w="1039" w:type="dxa"/>
            <w:shd w:val="clear" w:color="auto" w:fill="auto"/>
            <w:noWrap/>
            <w:vAlign w:val="center"/>
            <w:hideMark/>
          </w:tcPr>
          <w:p w14:paraId="07D82F8C" w14:textId="6AA842A3" w:rsidR="00CD6E5B" w:rsidRPr="00467FE6" w:rsidRDefault="00CD6E5B" w:rsidP="002E076A">
            <w:pPr>
              <w:tabs>
                <w:tab w:val="left" w:pos="567"/>
              </w:tabs>
              <w:jc w:val="center"/>
              <w:rPr>
                <w:sz w:val="22"/>
                <w:szCs w:val="22"/>
                <w:lang w:val="en-NZ" w:eastAsia="zh-CN"/>
              </w:rPr>
            </w:pPr>
            <w:r w:rsidRPr="00467FE6">
              <w:rPr>
                <w:sz w:val="22"/>
                <w:szCs w:val="22"/>
                <w:lang w:val="en-NZ" w:eastAsia="zh-CN"/>
              </w:rPr>
              <w:t>9.49</w:t>
            </w:r>
          </w:p>
          <w:p w14:paraId="0BA4BC9E" w14:textId="71461A3B" w:rsidR="00CD6E5B" w:rsidRPr="00467FE6" w:rsidRDefault="00CD6E5B" w:rsidP="002E076A">
            <w:pPr>
              <w:tabs>
                <w:tab w:val="left" w:pos="567"/>
              </w:tabs>
              <w:jc w:val="center"/>
              <w:rPr>
                <w:sz w:val="22"/>
                <w:szCs w:val="22"/>
                <w:lang w:val="en-NZ" w:eastAsia="zh-CN"/>
              </w:rPr>
            </w:pPr>
            <w:r w:rsidRPr="00467FE6">
              <w:rPr>
                <w:sz w:val="22"/>
                <w:szCs w:val="22"/>
                <w:lang w:val="en-NZ" w:eastAsia="zh-CN"/>
              </w:rPr>
              <w:t>(5.64)</w:t>
            </w:r>
          </w:p>
        </w:tc>
        <w:tc>
          <w:tcPr>
            <w:tcW w:w="744" w:type="dxa"/>
          </w:tcPr>
          <w:p w14:paraId="5DA506E6" w14:textId="3CF2B253" w:rsidR="00CD6E5B" w:rsidRPr="00467FE6" w:rsidRDefault="00CD6E5B" w:rsidP="002E076A">
            <w:pPr>
              <w:tabs>
                <w:tab w:val="left" w:pos="567"/>
              </w:tabs>
              <w:jc w:val="center"/>
              <w:rPr>
                <w:sz w:val="22"/>
                <w:szCs w:val="22"/>
                <w:lang w:val="en-NZ" w:eastAsia="zh-CN"/>
              </w:rPr>
            </w:pPr>
            <w:r w:rsidRPr="00467FE6">
              <w:rPr>
                <w:sz w:val="22"/>
                <w:szCs w:val="22"/>
                <w:lang w:val="en-NZ" w:eastAsia="zh-CN"/>
              </w:rPr>
              <w:t>428</w:t>
            </w:r>
          </w:p>
        </w:tc>
        <w:tc>
          <w:tcPr>
            <w:tcW w:w="1044" w:type="dxa"/>
            <w:shd w:val="clear" w:color="auto" w:fill="auto"/>
            <w:noWrap/>
            <w:vAlign w:val="center"/>
            <w:hideMark/>
          </w:tcPr>
          <w:p w14:paraId="49E4BA10" w14:textId="005BD272" w:rsidR="00CD6E5B" w:rsidRPr="00467FE6" w:rsidRDefault="00CD6E5B" w:rsidP="002E076A">
            <w:pPr>
              <w:tabs>
                <w:tab w:val="left" w:pos="567"/>
              </w:tabs>
              <w:jc w:val="center"/>
              <w:rPr>
                <w:sz w:val="22"/>
                <w:szCs w:val="22"/>
                <w:lang w:val="en-NZ" w:eastAsia="zh-CN"/>
              </w:rPr>
            </w:pPr>
            <w:r w:rsidRPr="00467FE6">
              <w:rPr>
                <w:sz w:val="22"/>
                <w:szCs w:val="22"/>
                <w:lang w:val="en-NZ" w:eastAsia="zh-CN"/>
              </w:rPr>
              <w:t>9.45</w:t>
            </w:r>
          </w:p>
          <w:p w14:paraId="66C2C849" w14:textId="6E8C795F" w:rsidR="00CD6E5B" w:rsidRPr="00467FE6" w:rsidRDefault="00CD6E5B" w:rsidP="002E076A">
            <w:pPr>
              <w:tabs>
                <w:tab w:val="left" w:pos="567"/>
              </w:tabs>
              <w:jc w:val="center"/>
              <w:rPr>
                <w:sz w:val="22"/>
                <w:szCs w:val="22"/>
                <w:lang w:val="en-NZ" w:eastAsia="zh-CN"/>
              </w:rPr>
            </w:pPr>
            <w:r w:rsidRPr="00467FE6">
              <w:rPr>
                <w:sz w:val="22"/>
                <w:szCs w:val="22"/>
                <w:lang w:val="en-NZ" w:eastAsia="zh-CN"/>
              </w:rPr>
              <w:t>(5.50)</w:t>
            </w:r>
          </w:p>
        </w:tc>
        <w:tc>
          <w:tcPr>
            <w:tcW w:w="762" w:type="dxa"/>
          </w:tcPr>
          <w:p w14:paraId="5B782B6C" w14:textId="067C7CFE" w:rsidR="00CD6E5B" w:rsidRPr="00467FE6" w:rsidRDefault="00CD6E5B" w:rsidP="002E076A">
            <w:pPr>
              <w:tabs>
                <w:tab w:val="left" w:pos="567"/>
              </w:tabs>
              <w:jc w:val="center"/>
              <w:rPr>
                <w:sz w:val="22"/>
                <w:szCs w:val="22"/>
                <w:lang w:val="en-NZ" w:eastAsia="zh-CN"/>
              </w:rPr>
            </w:pPr>
            <w:r w:rsidRPr="00467FE6">
              <w:rPr>
                <w:sz w:val="22"/>
                <w:szCs w:val="22"/>
                <w:lang w:val="en-NZ" w:eastAsia="zh-CN"/>
              </w:rPr>
              <w:t>499</w:t>
            </w:r>
          </w:p>
        </w:tc>
        <w:tc>
          <w:tcPr>
            <w:tcW w:w="1182" w:type="dxa"/>
          </w:tcPr>
          <w:p w14:paraId="598A7581" w14:textId="19368424" w:rsidR="00CD6E5B" w:rsidRPr="00467FE6" w:rsidRDefault="00CD6E5B" w:rsidP="002E076A">
            <w:pPr>
              <w:tabs>
                <w:tab w:val="left" w:pos="567"/>
              </w:tabs>
              <w:jc w:val="center"/>
              <w:rPr>
                <w:sz w:val="22"/>
                <w:szCs w:val="22"/>
                <w:lang w:val="en-NZ" w:eastAsia="zh-CN"/>
              </w:rPr>
            </w:pPr>
            <w:r w:rsidRPr="00467FE6">
              <w:rPr>
                <w:sz w:val="22"/>
                <w:szCs w:val="22"/>
                <w:lang w:val="en-NZ" w:eastAsia="zh-CN"/>
              </w:rPr>
              <w:t>8.68</w:t>
            </w:r>
          </w:p>
          <w:p w14:paraId="2FCABFAA" w14:textId="4CB90AA3" w:rsidR="00CD6E5B" w:rsidRPr="00467FE6" w:rsidRDefault="00CD6E5B" w:rsidP="002E076A">
            <w:pPr>
              <w:tabs>
                <w:tab w:val="left" w:pos="567"/>
              </w:tabs>
              <w:jc w:val="center"/>
              <w:rPr>
                <w:sz w:val="22"/>
                <w:szCs w:val="22"/>
                <w:lang w:val="en-NZ" w:eastAsia="zh-CN"/>
              </w:rPr>
            </w:pPr>
            <w:r w:rsidRPr="00467FE6">
              <w:rPr>
                <w:sz w:val="22"/>
                <w:szCs w:val="22"/>
                <w:lang w:val="en-NZ" w:eastAsia="zh-CN"/>
              </w:rPr>
              <w:t>(6.07)</w:t>
            </w:r>
          </w:p>
        </w:tc>
        <w:tc>
          <w:tcPr>
            <w:tcW w:w="895" w:type="dxa"/>
          </w:tcPr>
          <w:p w14:paraId="6D1341E3" w14:textId="0D06A1F7" w:rsidR="00CD6E5B" w:rsidRPr="00467FE6" w:rsidRDefault="00CD6E5B" w:rsidP="002E076A">
            <w:pPr>
              <w:tabs>
                <w:tab w:val="left" w:pos="567"/>
              </w:tabs>
              <w:jc w:val="center"/>
              <w:rPr>
                <w:sz w:val="22"/>
                <w:szCs w:val="22"/>
                <w:lang w:val="en-NZ" w:eastAsia="zh-CN"/>
              </w:rPr>
            </w:pPr>
            <w:r w:rsidRPr="00467FE6">
              <w:rPr>
                <w:sz w:val="22"/>
                <w:szCs w:val="22"/>
                <w:lang w:val="en-NZ" w:eastAsia="zh-CN"/>
              </w:rPr>
              <w:t>1301</w:t>
            </w:r>
          </w:p>
        </w:tc>
      </w:tr>
      <w:tr w:rsidR="00876F9D" w:rsidRPr="00467FE6" w14:paraId="5BDD3116" w14:textId="16D3A365" w:rsidTr="008D36A3">
        <w:trPr>
          <w:trHeight w:val="256"/>
          <w:jc w:val="center"/>
        </w:trPr>
        <w:tc>
          <w:tcPr>
            <w:tcW w:w="5760" w:type="dxa"/>
            <w:tcBorders>
              <w:bottom w:val="single" w:sz="4" w:space="0" w:color="auto"/>
            </w:tcBorders>
            <w:shd w:val="clear" w:color="auto" w:fill="auto"/>
            <w:noWrap/>
            <w:vAlign w:val="center"/>
            <w:hideMark/>
          </w:tcPr>
          <w:p w14:paraId="5B927FE9" w14:textId="7A00B323" w:rsidR="00CD6E5B" w:rsidRPr="00467FE6" w:rsidRDefault="00CD6E5B" w:rsidP="002E076A">
            <w:pPr>
              <w:tabs>
                <w:tab w:val="left" w:pos="567"/>
              </w:tabs>
              <w:rPr>
                <w:sz w:val="22"/>
                <w:szCs w:val="22"/>
                <w:lang w:val="en-NZ" w:eastAsia="zh-CN"/>
              </w:rPr>
            </w:pPr>
            <w:r w:rsidRPr="00467FE6">
              <w:rPr>
                <w:sz w:val="22"/>
                <w:szCs w:val="22"/>
                <w:lang w:val="en-NZ" w:eastAsia="zh-CN"/>
              </w:rPr>
              <w:t xml:space="preserve">Log </w:t>
            </w:r>
            <w:r w:rsidR="00CD7208" w:rsidRPr="00467FE6">
              <w:rPr>
                <w:sz w:val="22"/>
                <w:szCs w:val="22"/>
                <w:lang w:val="en-NZ" w:eastAsia="zh-CN"/>
              </w:rPr>
              <w:t>of Fuel Oil and Crude Oil Production (Metric Tons)</w:t>
            </w:r>
          </w:p>
        </w:tc>
        <w:tc>
          <w:tcPr>
            <w:tcW w:w="1027" w:type="dxa"/>
            <w:tcBorders>
              <w:bottom w:val="single" w:sz="4" w:space="0" w:color="auto"/>
            </w:tcBorders>
            <w:shd w:val="clear" w:color="auto" w:fill="auto"/>
            <w:noWrap/>
            <w:vAlign w:val="center"/>
            <w:hideMark/>
          </w:tcPr>
          <w:p w14:paraId="1E42054F" w14:textId="77777777" w:rsidR="00CD6E5B" w:rsidRPr="00467FE6" w:rsidRDefault="00CD6E5B" w:rsidP="002E076A">
            <w:pPr>
              <w:tabs>
                <w:tab w:val="left" w:pos="567"/>
              </w:tabs>
              <w:jc w:val="center"/>
              <w:rPr>
                <w:sz w:val="22"/>
                <w:szCs w:val="22"/>
                <w:lang w:val="en-NZ" w:eastAsia="zh-CN"/>
              </w:rPr>
            </w:pPr>
            <w:r w:rsidRPr="00467FE6">
              <w:rPr>
                <w:sz w:val="22"/>
                <w:szCs w:val="22"/>
                <w:lang w:val="en-NZ" w:eastAsia="zh-CN"/>
              </w:rPr>
              <w:t>5.58</w:t>
            </w:r>
          </w:p>
          <w:p w14:paraId="65D25E3F" w14:textId="7A270803" w:rsidR="00CD6E5B" w:rsidRPr="00467FE6" w:rsidRDefault="00CD6E5B" w:rsidP="002E076A">
            <w:pPr>
              <w:tabs>
                <w:tab w:val="left" w:pos="567"/>
              </w:tabs>
              <w:jc w:val="center"/>
              <w:rPr>
                <w:sz w:val="22"/>
                <w:szCs w:val="22"/>
                <w:lang w:val="en-NZ" w:eastAsia="zh-CN"/>
              </w:rPr>
            </w:pPr>
            <w:r w:rsidRPr="00467FE6">
              <w:rPr>
                <w:sz w:val="22"/>
                <w:szCs w:val="22"/>
                <w:lang w:val="en-NZ" w:eastAsia="zh-CN"/>
              </w:rPr>
              <w:t>(2.04)</w:t>
            </w:r>
          </w:p>
        </w:tc>
        <w:tc>
          <w:tcPr>
            <w:tcW w:w="743" w:type="dxa"/>
            <w:tcBorders>
              <w:bottom w:val="single" w:sz="4" w:space="0" w:color="auto"/>
            </w:tcBorders>
          </w:tcPr>
          <w:p w14:paraId="0FFBDD43" w14:textId="6B241D85" w:rsidR="00CD6E5B" w:rsidRPr="00467FE6" w:rsidRDefault="00CD6E5B" w:rsidP="002E076A">
            <w:pPr>
              <w:tabs>
                <w:tab w:val="left" w:pos="567"/>
              </w:tabs>
              <w:jc w:val="center"/>
              <w:rPr>
                <w:sz w:val="22"/>
                <w:szCs w:val="22"/>
                <w:lang w:val="en-NZ" w:eastAsia="zh-CN"/>
              </w:rPr>
            </w:pPr>
            <w:r w:rsidRPr="00467FE6">
              <w:rPr>
                <w:sz w:val="22"/>
                <w:szCs w:val="22"/>
                <w:lang w:val="en-NZ" w:eastAsia="zh-CN"/>
              </w:rPr>
              <w:t>40</w:t>
            </w:r>
          </w:p>
        </w:tc>
        <w:tc>
          <w:tcPr>
            <w:tcW w:w="1036" w:type="dxa"/>
            <w:tcBorders>
              <w:bottom w:val="single" w:sz="4" w:space="0" w:color="auto"/>
            </w:tcBorders>
            <w:shd w:val="clear" w:color="auto" w:fill="auto"/>
            <w:noWrap/>
            <w:vAlign w:val="center"/>
            <w:hideMark/>
          </w:tcPr>
          <w:p w14:paraId="527679B7" w14:textId="7D1E56FB" w:rsidR="00CD6E5B" w:rsidRPr="00467FE6" w:rsidRDefault="00CD6E5B" w:rsidP="002E076A">
            <w:pPr>
              <w:tabs>
                <w:tab w:val="left" w:pos="567"/>
              </w:tabs>
              <w:jc w:val="center"/>
              <w:rPr>
                <w:sz w:val="22"/>
                <w:szCs w:val="22"/>
                <w:lang w:val="en-NZ" w:eastAsia="zh-CN"/>
              </w:rPr>
            </w:pPr>
            <w:r w:rsidRPr="00467FE6">
              <w:rPr>
                <w:sz w:val="22"/>
                <w:szCs w:val="22"/>
                <w:lang w:val="en-NZ" w:eastAsia="zh-CN"/>
              </w:rPr>
              <w:t>7.60</w:t>
            </w:r>
          </w:p>
          <w:p w14:paraId="262851BA" w14:textId="3AFCC61E" w:rsidR="00CD6E5B" w:rsidRPr="00467FE6" w:rsidRDefault="00CD6E5B" w:rsidP="002E076A">
            <w:pPr>
              <w:tabs>
                <w:tab w:val="left" w:pos="567"/>
              </w:tabs>
              <w:jc w:val="center"/>
              <w:rPr>
                <w:sz w:val="22"/>
                <w:szCs w:val="22"/>
                <w:lang w:val="en-NZ" w:eastAsia="zh-CN"/>
              </w:rPr>
            </w:pPr>
            <w:r w:rsidRPr="00467FE6">
              <w:rPr>
                <w:sz w:val="22"/>
                <w:szCs w:val="22"/>
                <w:lang w:val="en-NZ" w:eastAsia="zh-CN"/>
              </w:rPr>
              <w:t>(2.10)</w:t>
            </w:r>
          </w:p>
        </w:tc>
        <w:tc>
          <w:tcPr>
            <w:tcW w:w="743" w:type="dxa"/>
            <w:tcBorders>
              <w:bottom w:val="single" w:sz="4" w:space="0" w:color="auto"/>
            </w:tcBorders>
          </w:tcPr>
          <w:p w14:paraId="55145D23" w14:textId="74BEE193" w:rsidR="00CD6E5B" w:rsidRPr="00467FE6" w:rsidRDefault="00CD6E5B" w:rsidP="002E076A">
            <w:pPr>
              <w:tabs>
                <w:tab w:val="left" w:pos="567"/>
              </w:tabs>
              <w:jc w:val="center"/>
              <w:rPr>
                <w:sz w:val="22"/>
                <w:szCs w:val="22"/>
                <w:lang w:val="en-NZ" w:eastAsia="zh-CN"/>
              </w:rPr>
            </w:pPr>
            <w:r w:rsidRPr="00467FE6">
              <w:rPr>
                <w:sz w:val="22"/>
                <w:szCs w:val="22"/>
                <w:lang w:val="en-NZ" w:eastAsia="zh-CN"/>
              </w:rPr>
              <w:t>344</w:t>
            </w:r>
          </w:p>
        </w:tc>
        <w:tc>
          <w:tcPr>
            <w:tcW w:w="1039" w:type="dxa"/>
            <w:tcBorders>
              <w:bottom w:val="single" w:sz="4" w:space="0" w:color="auto"/>
            </w:tcBorders>
            <w:shd w:val="clear" w:color="auto" w:fill="auto"/>
            <w:noWrap/>
            <w:vAlign w:val="center"/>
            <w:hideMark/>
          </w:tcPr>
          <w:p w14:paraId="73D403CA" w14:textId="3AE74379" w:rsidR="00CD6E5B" w:rsidRPr="00467FE6" w:rsidRDefault="00CD6E5B" w:rsidP="002E076A">
            <w:pPr>
              <w:tabs>
                <w:tab w:val="left" w:pos="567"/>
              </w:tabs>
              <w:jc w:val="center"/>
              <w:rPr>
                <w:sz w:val="22"/>
                <w:szCs w:val="22"/>
                <w:lang w:val="en-NZ" w:eastAsia="zh-CN"/>
              </w:rPr>
            </w:pPr>
            <w:r w:rsidRPr="00467FE6">
              <w:rPr>
                <w:sz w:val="22"/>
                <w:szCs w:val="22"/>
                <w:lang w:val="en-NZ" w:eastAsia="zh-CN"/>
              </w:rPr>
              <w:t>8.92</w:t>
            </w:r>
          </w:p>
          <w:p w14:paraId="27A25791" w14:textId="392F842F" w:rsidR="00CD6E5B" w:rsidRPr="00467FE6" w:rsidRDefault="00CD6E5B" w:rsidP="002E076A">
            <w:pPr>
              <w:tabs>
                <w:tab w:val="left" w:pos="567"/>
              </w:tabs>
              <w:jc w:val="center"/>
              <w:rPr>
                <w:sz w:val="22"/>
                <w:szCs w:val="22"/>
                <w:lang w:val="en-NZ" w:eastAsia="zh-CN"/>
              </w:rPr>
            </w:pPr>
            <w:r w:rsidRPr="00467FE6">
              <w:rPr>
                <w:sz w:val="22"/>
                <w:szCs w:val="22"/>
                <w:lang w:val="en-NZ" w:eastAsia="zh-CN"/>
              </w:rPr>
              <w:t>(2.36)</w:t>
            </w:r>
          </w:p>
        </w:tc>
        <w:tc>
          <w:tcPr>
            <w:tcW w:w="744" w:type="dxa"/>
            <w:tcBorders>
              <w:bottom w:val="single" w:sz="4" w:space="0" w:color="auto"/>
            </w:tcBorders>
          </w:tcPr>
          <w:p w14:paraId="5B7C95C5" w14:textId="45AFF3B1" w:rsidR="00CD6E5B" w:rsidRPr="00467FE6" w:rsidRDefault="00CD6E5B" w:rsidP="002E076A">
            <w:pPr>
              <w:tabs>
                <w:tab w:val="left" w:pos="567"/>
              </w:tabs>
              <w:jc w:val="center"/>
              <w:rPr>
                <w:sz w:val="22"/>
                <w:szCs w:val="22"/>
                <w:lang w:val="en-NZ" w:eastAsia="zh-CN"/>
              </w:rPr>
            </w:pPr>
            <w:r w:rsidRPr="00467FE6">
              <w:rPr>
                <w:sz w:val="22"/>
                <w:szCs w:val="22"/>
                <w:lang w:val="en-NZ" w:eastAsia="zh-CN"/>
              </w:rPr>
              <w:t>438</w:t>
            </w:r>
          </w:p>
        </w:tc>
        <w:tc>
          <w:tcPr>
            <w:tcW w:w="1044" w:type="dxa"/>
            <w:tcBorders>
              <w:bottom w:val="single" w:sz="4" w:space="0" w:color="auto"/>
            </w:tcBorders>
            <w:shd w:val="clear" w:color="auto" w:fill="auto"/>
            <w:noWrap/>
            <w:vAlign w:val="center"/>
            <w:hideMark/>
          </w:tcPr>
          <w:p w14:paraId="1A0620D5" w14:textId="1F069B32" w:rsidR="00CD6E5B" w:rsidRPr="00467FE6" w:rsidRDefault="00CD6E5B" w:rsidP="002E076A">
            <w:pPr>
              <w:tabs>
                <w:tab w:val="left" w:pos="567"/>
              </w:tabs>
              <w:jc w:val="center"/>
              <w:rPr>
                <w:sz w:val="22"/>
                <w:szCs w:val="22"/>
                <w:lang w:val="en-NZ" w:eastAsia="zh-CN"/>
              </w:rPr>
            </w:pPr>
            <w:r w:rsidRPr="00467FE6">
              <w:rPr>
                <w:sz w:val="22"/>
                <w:szCs w:val="22"/>
                <w:lang w:val="en-NZ" w:eastAsia="zh-CN"/>
              </w:rPr>
              <w:t>8.90</w:t>
            </w:r>
          </w:p>
          <w:p w14:paraId="782645F8" w14:textId="51D02182" w:rsidR="00CD6E5B" w:rsidRPr="00467FE6" w:rsidRDefault="00CD6E5B" w:rsidP="002E076A">
            <w:pPr>
              <w:tabs>
                <w:tab w:val="left" w:pos="567"/>
              </w:tabs>
              <w:jc w:val="center"/>
              <w:rPr>
                <w:sz w:val="22"/>
                <w:szCs w:val="22"/>
                <w:lang w:val="en-NZ" w:eastAsia="zh-CN"/>
              </w:rPr>
            </w:pPr>
            <w:r w:rsidRPr="00467FE6">
              <w:rPr>
                <w:sz w:val="22"/>
                <w:szCs w:val="22"/>
                <w:lang w:val="en-NZ" w:eastAsia="zh-CN"/>
              </w:rPr>
              <w:t>(1.87)</w:t>
            </w:r>
          </w:p>
        </w:tc>
        <w:tc>
          <w:tcPr>
            <w:tcW w:w="762" w:type="dxa"/>
            <w:tcBorders>
              <w:bottom w:val="single" w:sz="4" w:space="0" w:color="auto"/>
            </w:tcBorders>
          </w:tcPr>
          <w:p w14:paraId="659FA951" w14:textId="70D3CACD" w:rsidR="00CD6E5B" w:rsidRPr="00467FE6" w:rsidRDefault="00CD6E5B" w:rsidP="002E076A">
            <w:pPr>
              <w:tabs>
                <w:tab w:val="left" w:pos="567"/>
              </w:tabs>
              <w:jc w:val="center"/>
              <w:rPr>
                <w:sz w:val="22"/>
                <w:szCs w:val="22"/>
                <w:lang w:val="en-NZ" w:eastAsia="zh-CN"/>
              </w:rPr>
            </w:pPr>
            <w:r w:rsidRPr="00467FE6">
              <w:rPr>
                <w:sz w:val="22"/>
                <w:szCs w:val="22"/>
                <w:lang w:val="en-NZ" w:eastAsia="zh-CN"/>
              </w:rPr>
              <w:t>487</w:t>
            </w:r>
          </w:p>
        </w:tc>
        <w:tc>
          <w:tcPr>
            <w:tcW w:w="1182" w:type="dxa"/>
            <w:tcBorders>
              <w:bottom w:val="single" w:sz="4" w:space="0" w:color="auto"/>
            </w:tcBorders>
          </w:tcPr>
          <w:p w14:paraId="6F573CF1" w14:textId="2C26BFFA" w:rsidR="00CD6E5B" w:rsidRPr="00467FE6" w:rsidRDefault="00CD6E5B" w:rsidP="002E076A">
            <w:pPr>
              <w:tabs>
                <w:tab w:val="left" w:pos="567"/>
              </w:tabs>
              <w:jc w:val="center"/>
              <w:rPr>
                <w:sz w:val="22"/>
                <w:szCs w:val="22"/>
                <w:lang w:val="en-NZ" w:eastAsia="zh-CN"/>
              </w:rPr>
            </w:pPr>
            <w:r w:rsidRPr="00467FE6">
              <w:rPr>
                <w:sz w:val="22"/>
                <w:szCs w:val="22"/>
                <w:lang w:val="en-NZ" w:eastAsia="zh-CN"/>
              </w:rPr>
              <w:t>8.47</w:t>
            </w:r>
          </w:p>
          <w:p w14:paraId="00C9E184" w14:textId="0FDDC400" w:rsidR="00CD6E5B" w:rsidRPr="00467FE6" w:rsidRDefault="00CD6E5B" w:rsidP="002E076A">
            <w:pPr>
              <w:tabs>
                <w:tab w:val="left" w:pos="567"/>
              </w:tabs>
              <w:jc w:val="center"/>
              <w:rPr>
                <w:sz w:val="22"/>
                <w:szCs w:val="22"/>
                <w:lang w:val="en-NZ" w:eastAsia="zh-CN"/>
              </w:rPr>
            </w:pPr>
            <w:r w:rsidRPr="00467FE6">
              <w:rPr>
                <w:sz w:val="22"/>
                <w:szCs w:val="22"/>
                <w:lang w:val="en-NZ" w:eastAsia="zh-CN"/>
              </w:rPr>
              <w:t>(2.23)</w:t>
            </w:r>
          </w:p>
        </w:tc>
        <w:tc>
          <w:tcPr>
            <w:tcW w:w="895" w:type="dxa"/>
            <w:tcBorders>
              <w:bottom w:val="single" w:sz="4" w:space="0" w:color="auto"/>
            </w:tcBorders>
          </w:tcPr>
          <w:p w14:paraId="50300BF8" w14:textId="52804391" w:rsidR="00CD6E5B" w:rsidRPr="00467FE6" w:rsidRDefault="00CD6E5B" w:rsidP="002E076A">
            <w:pPr>
              <w:tabs>
                <w:tab w:val="left" w:pos="567"/>
              </w:tabs>
              <w:jc w:val="center"/>
              <w:rPr>
                <w:sz w:val="22"/>
                <w:szCs w:val="22"/>
                <w:lang w:val="en-NZ" w:eastAsia="zh-CN"/>
              </w:rPr>
            </w:pPr>
            <w:r w:rsidRPr="00467FE6">
              <w:rPr>
                <w:sz w:val="22"/>
                <w:szCs w:val="22"/>
                <w:lang w:val="en-NZ" w:eastAsia="zh-CN"/>
              </w:rPr>
              <w:t>1297</w:t>
            </w:r>
          </w:p>
        </w:tc>
      </w:tr>
    </w:tbl>
    <w:p w14:paraId="623E3F85" w14:textId="77777777" w:rsidR="00BE4E87" w:rsidRPr="00467FE6" w:rsidRDefault="00BE4E87" w:rsidP="00BE4E87">
      <w:pPr>
        <w:rPr>
          <w:sz w:val="4"/>
          <w:szCs w:val="4"/>
          <w:lang w:val="en-NZ" w:eastAsia="zh-CN"/>
        </w:rPr>
      </w:pPr>
      <w:bookmarkStart w:id="2" w:name="_Toc443491035"/>
    </w:p>
    <w:p w14:paraId="755E4A6D" w14:textId="7A213176" w:rsidR="00876F9D" w:rsidRPr="00467FE6" w:rsidRDefault="00876F9D" w:rsidP="00BE4E87">
      <w:pPr>
        <w:ind w:left="-426"/>
        <w:rPr>
          <w:lang w:val="en-NZ" w:eastAsia="zh-CN"/>
        </w:rPr>
        <w:sectPr w:rsidR="00876F9D" w:rsidRPr="00467FE6" w:rsidSect="00876F9D">
          <w:pgSz w:w="16838" w:h="11906" w:orient="landscape"/>
          <w:pgMar w:top="1440" w:right="1440" w:bottom="1440" w:left="1440" w:header="708" w:footer="708" w:gutter="0"/>
          <w:cols w:space="708"/>
          <w:docGrid w:linePitch="360"/>
        </w:sectPr>
      </w:pPr>
      <w:r w:rsidRPr="00467FE6">
        <w:rPr>
          <w:sz w:val="22"/>
          <w:szCs w:val="22"/>
          <w:lang w:val="en-NZ" w:eastAsia="zh-CN"/>
        </w:rPr>
        <w:t>Standard deviations are in</w:t>
      </w:r>
      <w:r w:rsidR="00BE4E87" w:rsidRPr="00467FE6">
        <w:rPr>
          <w:sz w:val="22"/>
          <w:szCs w:val="22"/>
          <w:lang w:val="en-NZ" w:eastAsia="zh-CN"/>
        </w:rPr>
        <w:t xml:space="preserve"> parenthesis</w:t>
      </w:r>
      <w:r w:rsidR="00FA070D" w:rsidRPr="00467FE6">
        <w:rPr>
          <w:sz w:val="22"/>
          <w:szCs w:val="22"/>
          <w:lang w:val="en-NZ" w:eastAsia="zh-CN"/>
        </w:rPr>
        <w:t>.</w:t>
      </w:r>
    </w:p>
    <w:p w14:paraId="5EC05E17" w14:textId="7E9DC56E" w:rsidR="004C65D7" w:rsidRPr="00467FE6" w:rsidRDefault="009275A6" w:rsidP="002E076A">
      <w:pPr>
        <w:pStyle w:val="Heading1"/>
        <w:numPr>
          <w:ilvl w:val="0"/>
          <w:numId w:val="20"/>
        </w:numPr>
        <w:tabs>
          <w:tab w:val="left" w:pos="567"/>
        </w:tabs>
        <w:spacing w:before="0" w:line="300" w:lineRule="auto"/>
        <w:ind w:left="284" w:hanging="284"/>
        <w:rPr>
          <w:rFonts w:ascii="Times New Roman" w:hAnsi="Times New Roman" w:cs="Times New Roman"/>
          <w:sz w:val="24"/>
          <w:szCs w:val="24"/>
          <w:lang w:val="en-NZ"/>
        </w:rPr>
      </w:pPr>
      <w:r w:rsidRPr="00467FE6">
        <w:rPr>
          <w:rFonts w:ascii="Times New Roman" w:hAnsi="Times New Roman" w:cs="Times New Roman"/>
          <w:sz w:val="24"/>
          <w:szCs w:val="24"/>
          <w:lang w:val="en-NZ"/>
        </w:rPr>
        <w:lastRenderedPageBreak/>
        <w:t>M</w:t>
      </w:r>
      <w:bookmarkEnd w:id="2"/>
      <w:r w:rsidR="004A323D" w:rsidRPr="00467FE6">
        <w:rPr>
          <w:rFonts w:ascii="Times New Roman" w:hAnsi="Times New Roman" w:cs="Times New Roman"/>
          <w:sz w:val="24"/>
          <w:szCs w:val="24"/>
          <w:lang w:val="en-NZ"/>
        </w:rPr>
        <w:t>ethodology</w:t>
      </w:r>
    </w:p>
    <w:p w14:paraId="32DE28E3" w14:textId="77777777" w:rsidR="004A323D" w:rsidRPr="00467FE6" w:rsidRDefault="004A323D" w:rsidP="002E076A">
      <w:pPr>
        <w:tabs>
          <w:tab w:val="left" w:pos="567"/>
        </w:tabs>
        <w:autoSpaceDE w:val="0"/>
        <w:autoSpaceDN w:val="0"/>
        <w:adjustRightInd w:val="0"/>
        <w:spacing w:line="300" w:lineRule="auto"/>
        <w:jc w:val="both"/>
        <w:rPr>
          <w:rFonts w:eastAsiaTheme="minorEastAsia"/>
          <w:sz w:val="12"/>
          <w:szCs w:val="12"/>
          <w:lang w:val="en-NZ"/>
        </w:rPr>
      </w:pPr>
      <w:bookmarkStart w:id="3" w:name="_Toc443491048"/>
    </w:p>
    <w:p w14:paraId="11FDD45A" w14:textId="5DD4B902" w:rsidR="00E11F63" w:rsidRPr="00467FE6" w:rsidRDefault="00FE18A8" w:rsidP="002E076A">
      <w:pPr>
        <w:tabs>
          <w:tab w:val="left" w:pos="567"/>
        </w:tabs>
        <w:autoSpaceDE w:val="0"/>
        <w:autoSpaceDN w:val="0"/>
        <w:adjustRightInd w:val="0"/>
        <w:spacing w:line="300" w:lineRule="auto"/>
        <w:jc w:val="both"/>
        <w:rPr>
          <w:bCs/>
        </w:rPr>
      </w:pPr>
      <w:r w:rsidRPr="00467FE6">
        <w:rPr>
          <w:rFonts w:eastAsiaTheme="minorEastAsia"/>
          <w:lang w:val="en-NZ"/>
        </w:rPr>
        <w:t>Our hypothesis is that increasing solid fuel consumption at household level causes indoor air pollution and is therefore a source of higher infant and child mortality and lower life expectancy at birth. We do not have cross-country data on indoor air pollution, and so our models are a reduced form specification that links solid fuel consumption directly to health impacts. Hence, in order to examine the impact of using biomass fuels on child mortality and life expectancy, we applied panel data models. In total we ran five models with different dependent variables: (1) infant mortality per thousand; (2) child mortality per thousand; (3) life expectancy at birth for both sexes combined; (4) female life expectancy at birth and (5) male life expectancy at birth. Explanatory variables included the proportion of energy derived from solid fuel consumption, male and female primary school enrolment (gross), log of gross domestic product per capita, and proportion of the population living in urban areas</w:t>
      </w:r>
      <w:r w:rsidR="00E11F63" w:rsidRPr="00467FE6">
        <w:rPr>
          <w:bCs/>
        </w:rPr>
        <w:t>.</w:t>
      </w:r>
    </w:p>
    <w:p w14:paraId="072C57EC" w14:textId="72A9CEA9" w:rsidR="007411EF" w:rsidRPr="00467FE6" w:rsidRDefault="007411EF" w:rsidP="002E076A">
      <w:pPr>
        <w:tabs>
          <w:tab w:val="left" w:pos="567"/>
        </w:tabs>
        <w:autoSpaceDE w:val="0"/>
        <w:autoSpaceDN w:val="0"/>
        <w:adjustRightInd w:val="0"/>
        <w:spacing w:line="300" w:lineRule="auto"/>
        <w:jc w:val="both"/>
        <w:rPr>
          <w:bCs/>
        </w:rPr>
      </w:pPr>
    </w:p>
    <w:p w14:paraId="52DDF96D" w14:textId="77777777" w:rsidR="00FE18A8" w:rsidRPr="00467FE6" w:rsidRDefault="00FE18A8" w:rsidP="00FE18A8">
      <w:pPr>
        <w:tabs>
          <w:tab w:val="left" w:pos="567"/>
        </w:tabs>
        <w:autoSpaceDE w:val="0"/>
        <w:autoSpaceDN w:val="0"/>
        <w:adjustRightInd w:val="0"/>
        <w:spacing w:line="300" w:lineRule="auto"/>
        <w:jc w:val="both"/>
        <w:rPr>
          <w:rFonts w:eastAsiaTheme="minorEastAsia"/>
          <w:lang w:val="en-NZ" w:eastAsia="zh-CN"/>
        </w:rPr>
      </w:pPr>
      <w:r w:rsidRPr="00467FE6">
        <w:rPr>
          <w:rFonts w:eastAsiaTheme="minorEastAsia"/>
          <w:lang w:val="en-NZ" w:eastAsia="zh-CN"/>
        </w:rPr>
        <w:t>The general panel specification of our models is:</w:t>
      </w:r>
    </w:p>
    <w:p w14:paraId="28B6BA9E" w14:textId="77777777" w:rsidR="00FE18A8" w:rsidRPr="00467FE6" w:rsidRDefault="00FE18A8" w:rsidP="00FE18A8">
      <w:pPr>
        <w:tabs>
          <w:tab w:val="left" w:pos="567"/>
        </w:tabs>
        <w:autoSpaceDE w:val="0"/>
        <w:autoSpaceDN w:val="0"/>
        <w:adjustRightInd w:val="0"/>
        <w:spacing w:line="300" w:lineRule="auto"/>
        <w:jc w:val="both"/>
        <w:rPr>
          <w:rFonts w:eastAsiaTheme="minorEastAsia"/>
          <w:sz w:val="12"/>
          <w:szCs w:val="12"/>
          <w:lang w:val="en-NZ" w:eastAsia="zh-CN"/>
        </w:rPr>
      </w:pPr>
    </w:p>
    <w:p w14:paraId="05220815" w14:textId="77777777" w:rsidR="00FE18A8" w:rsidRPr="00467FE6" w:rsidRDefault="005A611B" w:rsidP="00FE18A8">
      <w:pPr>
        <w:tabs>
          <w:tab w:val="left" w:pos="567"/>
        </w:tabs>
        <w:autoSpaceDE w:val="0"/>
        <w:autoSpaceDN w:val="0"/>
        <w:adjustRightInd w:val="0"/>
        <w:spacing w:line="300" w:lineRule="auto"/>
        <w:jc w:val="center"/>
        <w:rPr>
          <w:sz w:val="22"/>
          <w:szCs w:val="22"/>
          <w:lang w:val="en-NZ"/>
        </w:rPr>
      </w:pPr>
      <m:oMath>
        <m:sSub>
          <m:sSubPr>
            <m:ctrlPr>
              <w:rPr>
                <w:rFonts w:ascii="Cambria Math" w:hAnsi="Cambria Math"/>
                <w:i/>
                <w:sz w:val="22"/>
                <w:szCs w:val="22"/>
                <w:lang w:val="en-NZ"/>
              </w:rPr>
            </m:ctrlPr>
          </m:sSubPr>
          <m:e>
            <m:r>
              <w:rPr>
                <w:rFonts w:ascii="Cambria Math" w:hAnsi="Cambria Math"/>
                <w:sz w:val="22"/>
                <w:szCs w:val="22"/>
                <w:lang w:val="en-NZ"/>
              </w:rPr>
              <m:t>y</m:t>
            </m:r>
          </m:e>
          <m:sub>
            <m:r>
              <w:rPr>
                <w:rFonts w:ascii="Cambria Math" w:hAnsi="Cambria Math"/>
                <w:sz w:val="22"/>
                <w:szCs w:val="22"/>
                <w:lang w:val="en-NZ"/>
              </w:rPr>
              <m:t>it</m:t>
            </m:r>
          </m:sub>
        </m:sSub>
        <m:r>
          <w:rPr>
            <w:rFonts w:ascii="Cambria Math" w:hAnsi="Cambria Math"/>
            <w:sz w:val="22"/>
            <w:szCs w:val="22"/>
            <w:lang w:val="en-NZ"/>
          </w:rPr>
          <m:t>=</m:t>
        </m:r>
        <m:sSub>
          <m:sSubPr>
            <m:ctrlPr>
              <w:rPr>
                <w:rFonts w:ascii="Cambria Math" w:hAnsi="Cambria Math"/>
                <w:i/>
                <w:sz w:val="22"/>
                <w:szCs w:val="22"/>
                <w:lang w:val="en-NZ"/>
              </w:rPr>
            </m:ctrlPr>
          </m:sSubPr>
          <m:e>
            <m:r>
              <w:rPr>
                <w:rFonts w:ascii="Cambria Math" w:hAnsi="Cambria Math"/>
                <w:sz w:val="22"/>
                <w:szCs w:val="22"/>
                <w:lang w:val="en-NZ"/>
              </w:rPr>
              <m:t>β</m:t>
            </m:r>
          </m:e>
          <m:sub>
            <m:r>
              <w:rPr>
                <w:rFonts w:ascii="Cambria Math" w:hAnsi="Cambria Math"/>
                <w:sz w:val="22"/>
                <w:szCs w:val="22"/>
                <w:lang w:val="en-NZ"/>
              </w:rPr>
              <m:t>1</m:t>
            </m:r>
          </m:sub>
        </m:sSub>
        <m:sSub>
          <m:sSubPr>
            <m:ctrlPr>
              <w:rPr>
                <w:rFonts w:ascii="Cambria Math" w:hAnsi="Cambria Math"/>
                <w:i/>
                <w:sz w:val="22"/>
                <w:szCs w:val="22"/>
                <w:lang w:val="en-NZ"/>
              </w:rPr>
            </m:ctrlPr>
          </m:sSubPr>
          <m:e>
            <m:r>
              <w:rPr>
                <w:rFonts w:ascii="Cambria Math" w:hAnsi="Cambria Math"/>
                <w:sz w:val="22"/>
                <w:szCs w:val="22"/>
                <w:lang w:val="en-NZ"/>
              </w:rPr>
              <m:t>x</m:t>
            </m:r>
          </m:e>
          <m:sub>
            <m:r>
              <w:rPr>
                <w:rFonts w:ascii="Cambria Math" w:hAnsi="Cambria Math"/>
                <w:sz w:val="22"/>
                <w:szCs w:val="22"/>
                <w:lang w:val="en-NZ"/>
              </w:rPr>
              <m:t>it</m:t>
            </m:r>
          </m:sub>
        </m:sSub>
        <m:r>
          <w:rPr>
            <w:rFonts w:ascii="Cambria Math" w:hAnsi="Cambria Math"/>
            <w:sz w:val="22"/>
            <w:szCs w:val="22"/>
            <w:lang w:val="en-NZ"/>
          </w:rPr>
          <m:t>+</m:t>
        </m:r>
        <m:sSub>
          <m:sSubPr>
            <m:ctrlPr>
              <w:rPr>
                <w:rFonts w:ascii="Cambria Math" w:hAnsi="Cambria Math"/>
                <w:i/>
                <w:sz w:val="22"/>
                <w:szCs w:val="22"/>
                <w:lang w:val="en-NZ"/>
              </w:rPr>
            </m:ctrlPr>
          </m:sSubPr>
          <m:e>
            <m:r>
              <w:rPr>
                <w:rFonts w:ascii="Cambria Math" w:hAnsi="Cambria Math"/>
                <w:sz w:val="22"/>
                <w:szCs w:val="22"/>
                <w:lang w:val="en-NZ"/>
              </w:rPr>
              <m:t>a</m:t>
            </m:r>
          </m:e>
          <m:sub>
            <m:r>
              <w:rPr>
                <w:rFonts w:ascii="Cambria Math" w:hAnsi="Cambria Math"/>
                <w:sz w:val="22"/>
                <w:szCs w:val="22"/>
                <w:lang w:val="en-NZ"/>
              </w:rPr>
              <m:t>i</m:t>
            </m:r>
          </m:sub>
        </m:sSub>
        <m:r>
          <w:rPr>
            <w:rFonts w:ascii="Cambria Math" w:hAnsi="Cambria Math"/>
            <w:sz w:val="22"/>
            <w:szCs w:val="22"/>
            <w:lang w:val="en-NZ"/>
          </w:rPr>
          <m:t>+</m:t>
        </m:r>
        <m:sSub>
          <m:sSubPr>
            <m:ctrlPr>
              <w:rPr>
                <w:rFonts w:ascii="Cambria Math" w:hAnsi="Cambria Math"/>
                <w:i/>
                <w:sz w:val="22"/>
                <w:szCs w:val="22"/>
                <w:lang w:val="en-NZ"/>
              </w:rPr>
            </m:ctrlPr>
          </m:sSubPr>
          <m:e>
            <m:r>
              <w:rPr>
                <w:rFonts w:ascii="Cambria Math" w:hAnsi="Cambria Math"/>
                <w:sz w:val="22"/>
                <w:szCs w:val="22"/>
                <w:lang w:val="en-NZ"/>
              </w:rPr>
              <m:t>u</m:t>
            </m:r>
          </m:e>
          <m:sub>
            <m:r>
              <w:rPr>
                <w:rFonts w:ascii="Cambria Math" w:hAnsi="Cambria Math"/>
                <w:sz w:val="22"/>
                <w:szCs w:val="22"/>
                <w:lang w:val="en-NZ"/>
              </w:rPr>
              <m:t xml:space="preserve">it </m:t>
            </m:r>
          </m:sub>
        </m:sSub>
        <m:r>
          <w:rPr>
            <w:rFonts w:ascii="Cambria Math" w:hAnsi="Cambria Math"/>
            <w:sz w:val="22"/>
            <w:szCs w:val="22"/>
            <w:lang w:val="en-NZ"/>
          </w:rPr>
          <m:t>,             t=1,2,3,………..T</m:t>
        </m:r>
      </m:oMath>
      <w:r w:rsidR="00FE18A8" w:rsidRPr="00467FE6">
        <w:rPr>
          <w:sz w:val="22"/>
          <w:szCs w:val="22"/>
          <w:lang w:val="en-NZ"/>
        </w:rPr>
        <w:tab/>
      </w:r>
      <w:r w:rsidR="00FE18A8" w:rsidRPr="00467FE6">
        <w:rPr>
          <w:sz w:val="22"/>
          <w:szCs w:val="22"/>
          <w:lang w:val="en-NZ"/>
        </w:rPr>
        <w:tab/>
      </w:r>
      <w:r w:rsidR="00FE18A8" w:rsidRPr="00467FE6">
        <w:rPr>
          <w:sz w:val="22"/>
          <w:szCs w:val="22"/>
          <w:lang w:val="en-NZ"/>
        </w:rPr>
        <w:tab/>
        <w:t>(1)</w:t>
      </w:r>
    </w:p>
    <w:p w14:paraId="059CC874" w14:textId="77777777" w:rsidR="00FE18A8" w:rsidRPr="00467FE6" w:rsidRDefault="00FE18A8" w:rsidP="00FE18A8">
      <w:pPr>
        <w:tabs>
          <w:tab w:val="left" w:pos="567"/>
        </w:tabs>
        <w:autoSpaceDE w:val="0"/>
        <w:autoSpaceDN w:val="0"/>
        <w:adjustRightInd w:val="0"/>
        <w:spacing w:line="300" w:lineRule="auto"/>
        <w:jc w:val="both"/>
        <w:rPr>
          <w:rFonts w:eastAsiaTheme="minorEastAsia"/>
          <w:lang w:val="en-NZ" w:eastAsia="zh-CN"/>
        </w:rPr>
      </w:pPr>
      <w:r w:rsidRPr="00467FE6">
        <w:rPr>
          <w:rFonts w:eastAsiaTheme="minorEastAsia"/>
          <w:lang w:val="en-NZ" w:eastAsia="zh-CN"/>
        </w:rPr>
        <w:t>where:</w:t>
      </w:r>
    </w:p>
    <w:p w14:paraId="6AC2ADCE" w14:textId="77777777" w:rsidR="00FE18A8" w:rsidRPr="00467FE6" w:rsidRDefault="005A611B" w:rsidP="00FE18A8">
      <w:pPr>
        <w:autoSpaceDE w:val="0"/>
        <w:autoSpaceDN w:val="0"/>
        <w:adjustRightInd w:val="0"/>
        <w:spacing w:line="264" w:lineRule="auto"/>
        <w:ind w:left="426" w:hanging="426"/>
        <w:jc w:val="both"/>
        <w:rPr>
          <w:rFonts w:eastAsiaTheme="minorEastAsia"/>
          <w:lang w:val="en-NZ"/>
        </w:rPr>
      </w:pPr>
      <m:oMath>
        <m:sSub>
          <m:sSubPr>
            <m:ctrlPr>
              <w:rPr>
                <w:rFonts w:ascii="Cambria Math" w:hAnsi="Cambria Math"/>
                <w:i/>
                <w:lang w:val="en-NZ"/>
              </w:rPr>
            </m:ctrlPr>
          </m:sSubPr>
          <m:e>
            <m:r>
              <w:rPr>
                <w:rFonts w:ascii="Cambria Math" w:hAnsi="Cambria Math"/>
                <w:lang w:val="en-NZ"/>
              </w:rPr>
              <m:t>y</m:t>
            </m:r>
          </m:e>
          <m:sub>
            <m:r>
              <w:rPr>
                <w:rFonts w:ascii="Cambria Math" w:hAnsi="Cambria Math"/>
                <w:lang w:val="en-NZ"/>
              </w:rPr>
              <m:t>it</m:t>
            </m:r>
          </m:sub>
        </m:sSub>
      </m:oMath>
      <w:r w:rsidR="00FE18A8" w:rsidRPr="00467FE6">
        <w:rPr>
          <w:rFonts w:eastAsiaTheme="minorEastAsia"/>
          <w:lang w:val="en-NZ"/>
        </w:rPr>
        <w:t xml:space="preserve"> </w:t>
      </w:r>
      <w:r w:rsidR="00FE18A8" w:rsidRPr="00467FE6">
        <w:rPr>
          <w:rFonts w:eastAsiaTheme="minorEastAsia"/>
          <w:lang w:val="en-NZ"/>
        </w:rPr>
        <w:tab/>
        <w:t xml:space="preserve">dependent variable for country </w:t>
      </w:r>
      <w:proofErr w:type="spellStart"/>
      <w:r w:rsidR="00FE18A8" w:rsidRPr="00467FE6">
        <w:rPr>
          <w:rFonts w:eastAsiaTheme="minorEastAsia"/>
          <w:i/>
          <w:lang w:val="en-NZ"/>
        </w:rPr>
        <w:t>i</w:t>
      </w:r>
      <w:proofErr w:type="spellEnd"/>
      <w:r w:rsidR="00FE18A8" w:rsidRPr="00467FE6">
        <w:rPr>
          <w:rFonts w:eastAsiaTheme="minorEastAsia"/>
          <w:i/>
          <w:lang w:val="en-NZ"/>
        </w:rPr>
        <w:t xml:space="preserve"> </w:t>
      </w:r>
      <w:r w:rsidR="00FE18A8" w:rsidRPr="00467FE6">
        <w:rPr>
          <w:rFonts w:eastAsiaTheme="minorEastAsia"/>
          <w:lang w:val="en-NZ"/>
        </w:rPr>
        <w:t xml:space="preserve">in time period </w:t>
      </w:r>
      <w:r w:rsidR="00FE18A8" w:rsidRPr="00467FE6">
        <w:rPr>
          <w:rFonts w:eastAsiaTheme="minorEastAsia"/>
          <w:i/>
          <w:lang w:val="en-NZ"/>
        </w:rPr>
        <w:t>t</w:t>
      </w:r>
      <w:r w:rsidR="00FE18A8" w:rsidRPr="00467FE6">
        <w:rPr>
          <w:rFonts w:eastAsiaTheme="minorEastAsia"/>
          <w:lang w:val="en-NZ"/>
        </w:rPr>
        <w:t xml:space="preserve"> (in our case, the dependent variable is one of infant mortality, child mortality or life expectancy for the whole population or for one of the genders);</w:t>
      </w:r>
    </w:p>
    <w:p w14:paraId="4992A35C" w14:textId="77777777" w:rsidR="00FE18A8" w:rsidRPr="00467FE6" w:rsidRDefault="005A611B" w:rsidP="00FE18A8">
      <w:pPr>
        <w:autoSpaceDE w:val="0"/>
        <w:autoSpaceDN w:val="0"/>
        <w:adjustRightInd w:val="0"/>
        <w:spacing w:line="264" w:lineRule="auto"/>
        <w:ind w:left="426" w:hanging="426"/>
        <w:jc w:val="both"/>
        <w:rPr>
          <w:rFonts w:eastAsiaTheme="minorEastAsia"/>
          <w:lang w:val="en-NZ"/>
        </w:rPr>
      </w:pPr>
      <m:oMath>
        <m:sSub>
          <m:sSubPr>
            <m:ctrlPr>
              <w:rPr>
                <w:rFonts w:ascii="Cambria Math" w:hAnsi="Cambria Math"/>
                <w:i/>
                <w:lang w:val="en-NZ"/>
              </w:rPr>
            </m:ctrlPr>
          </m:sSubPr>
          <m:e>
            <m:r>
              <w:rPr>
                <w:rFonts w:ascii="Cambria Math" w:hAnsi="Cambria Math"/>
                <w:lang w:val="en-NZ"/>
              </w:rPr>
              <m:t>x</m:t>
            </m:r>
          </m:e>
          <m:sub>
            <m:r>
              <w:rPr>
                <w:rFonts w:ascii="Cambria Math" w:hAnsi="Cambria Math"/>
                <w:lang w:val="en-NZ"/>
              </w:rPr>
              <m:t>it</m:t>
            </m:r>
          </m:sub>
        </m:sSub>
      </m:oMath>
      <w:r w:rsidR="00FE18A8" w:rsidRPr="00467FE6">
        <w:rPr>
          <w:rFonts w:eastAsiaTheme="minorEastAsia"/>
          <w:lang w:val="en-NZ"/>
        </w:rPr>
        <w:t xml:space="preserve"> </w:t>
      </w:r>
      <w:r w:rsidR="00FE18A8" w:rsidRPr="00467FE6">
        <w:rPr>
          <w:rFonts w:eastAsiaTheme="minorEastAsia"/>
          <w:lang w:val="en-NZ"/>
        </w:rPr>
        <w:tab/>
        <w:t>independent variables;</w:t>
      </w:r>
    </w:p>
    <w:p w14:paraId="1991CD00" w14:textId="77777777" w:rsidR="00FE18A8" w:rsidRPr="00467FE6" w:rsidRDefault="005A611B" w:rsidP="00FE18A8">
      <w:pPr>
        <w:autoSpaceDE w:val="0"/>
        <w:autoSpaceDN w:val="0"/>
        <w:adjustRightInd w:val="0"/>
        <w:spacing w:line="264" w:lineRule="auto"/>
        <w:ind w:left="426" w:hanging="426"/>
        <w:jc w:val="both"/>
        <w:rPr>
          <w:rFonts w:eastAsiaTheme="minorEastAsia"/>
          <w:lang w:val="en-NZ"/>
        </w:rPr>
      </w:pPr>
      <m:oMath>
        <m:sSub>
          <m:sSubPr>
            <m:ctrlPr>
              <w:rPr>
                <w:rFonts w:ascii="Cambria Math" w:hAnsi="Cambria Math"/>
                <w:i/>
                <w:lang w:val="en-NZ"/>
              </w:rPr>
            </m:ctrlPr>
          </m:sSubPr>
          <m:e>
            <m:r>
              <w:rPr>
                <w:rFonts w:ascii="Cambria Math" w:hAnsi="Cambria Math"/>
                <w:lang w:val="en-NZ"/>
              </w:rPr>
              <m:t>a</m:t>
            </m:r>
          </m:e>
          <m:sub>
            <m:r>
              <w:rPr>
                <w:rFonts w:ascii="Cambria Math" w:hAnsi="Cambria Math"/>
                <w:lang w:val="en-NZ"/>
              </w:rPr>
              <m:t>i</m:t>
            </m:r>
          </m:sub>
        </m:sSub>
      </m:oMath>
      <w:r w:rsidR="00FE18A8" w:rsidRPr="00467FE6">
        <w:rPr>
          <w:rFonts w:eastAsiaTheme="minorEastAsia"/>
          <w:lang w:val="en-NZ"/>
        </w:rPr>
        <w:t xml:space="preserve"> </w:t>
      </w:r>
      <w:r w:rsidR="00FE18A8" w:rsidRPr="00467FE6">
        <w:rPr>
          <w:rFonts w:eastAsiaTheme="minorEastAsia"/>
          <w:lang w:val="en-NZ"/>
        </w:rPr>
        <w:tab/>
        <w:t>unknown intercept for each country;</w:t>
      </w:r>
    </w:p>
    <w:p w14:paraId="097244E8" w14:textId="77777777" w:rsidR="00FE18A8" w:rsidRPr="00467FE6" w:rsidRDefault="005A611B" w:rsidP="00FE18A8">
      <w:pPr>
        <w:autoSpaceDE w:val="0"/>
        <w:autoSpaceDN w:val="0"/>
        <w:adjustRightInd w:val="0"/>
        <w:spacing w:line="264" w:lineRule="auto"/>
        <w:ind w:left="426" w:hanging="426"/>
        <w:jc w:val="both"/>
        <w:rPr>
          <w:rFonts w:eastAsiaTheme="minorEastAsia"/>
          <w:lang w:val="en-NZ"/>
        </w:rPr>
      </w:pPr>
      <m:oMath>
        <m:sSub>
          <m:sSubPr>
            <m:ctrlPr>
              <w:rPr>
                <w:rFonts w:ascii="Cambria Math" w:hAnsi="Cambria Math"/>
                <w:i/>
                <w:lang w:val="en-NZ"/>
              </w:rPr>
            </m:ctrlPr>
          </m:sSubPr>
          <m:e>
            <m:r>
              <w:rPr>
                <w:rFonts w:ascii="Cambria Math" w:hAnsi="Cambria Math"/>
                <w:lang w:val="en-NZ"/>
              </w:rPr>
              <m:t>β</m:t>
            </m:r>
          </m:e>
          <m:sub>
            <m:r>
              <w:rPr>
                <w:rFonts w:ascii="Cambria Math" w:hAnsi="Cambria Math"/>
                <w:lang w:val="en-NZ"/>
              </w:rPr>
              <m:t>1</m:t>
            </m:r>
          </m:sub>
        </m:sSub>
      </m:oMath>
      <w:r w:rsidR="00FE18A8" w:rsidRPr="00467FE6">
        <w:rPr>
          <w:rFonts w:eastAsiaTheme="minorEastAsia"/>
          <w:lang w:val="en-NZ"/>
        </w:rPr>
        <w:t xml:space="preserve"> </w:t>
      </w:r>
      <w:r w:rsidR="00FE18A8" w:rsidRPr="00467FE6">
        <w:rPr>
          <w:rFonts w:eastAsiaTheme="minorEastAsia"/>
          <w:lang w:val="en-NZ"/>
        </w:rPr>
        <w:tab/>
        <w:t>coefficient for the independent variables;</w:t>
      </w:r>
    </w:p>
    <w:p w14:paraId="7FCA2BD4" w14:textId="77777777" w:rsidR="00FE18A8" w:rsidRPr="00467FE6" w:rsidRDefault="005A611B" w:rsidP="00FE18A8">
      <w:pPr>
        <w:autoSpaceDE w:val="0"/>
        <w:autoSpaceDN w:val="0"/>
        <w:adjustRightInd w:val="0"/>
        <w:spacing w:line="264" w:lineRule="auto"/>
        <w:ind w:left="426" w:hanging="426"/>
        <w:jc w:val="both"/>
        <w:rPr>
          <w:rFonts w:eastAsiaTheme="minorEastAsia"/>
          <w:lang w:val="en-NZ"/>
        </w:rPr>
      </w:pPr>
      <m:oMath>
        <m:sSub>
          <m:sSubPr>
            <m:ctrlPr>
              <w:rPr>
                <w:rFonts w:ascii="Cambria Math" w:hAnsi="Cambria Math"/>
                <w:i/>
                <w:lang w:val="en-NZ"/>
              </w:rPr>
            </m:ctrlPr>
          </m:sSubPr>
          <m:e>
            <m:r>
              <w:rPr>
                <w:rFonts w:ascii="Cambria Math" w:hAnsi="Cambria Math"/>
                <w:lang w:val="en-NZ"/>
              </w:rPr>
              <m:t>u</m:t>
            </m:r>
          </m:e>
          <m:sub>
            <m:r>
              <w:rPr>
                <w:rFonts w:ascii="Cambria Math" w:hAnsi="Cambria Math"/>
                <w:lang w:val="en-NZ"/>
              </w:rPr>
              <m:t>it</m:t>
            </m:r>
          </m:sub>
        </m:sSub>
      </m:oMath>
      <w:r w:rsidR="00FE18A8" w:rsidRPr="00467FE6">
        <w:rPr>
          <w:rFonts w:eastAsiaTheme="minorEastAsia"/>
          <w:lang w:val="en-NZ"/>
        </w:rPr>
        <w:t xml:space="preserve"> </w:t>
      </w:r>
      <w:r w:rsidR="00FE18A8" w:rsidRPr="00467FE6">
        <w:rPr>
          <w:rFonts w:eastAsiaTheme="minorEastAsia"/>
          <w:lang w:val="en-NZ"/>
        </w:rPr>
        <w:tab/>
        <w:t>idiosyncratic error term.</w:t>
      </w:r>
    </w:p>
    <w:p w14:paraId="776A11EB" w14:textId="77777777" w:rsidR="00FE18A8" w:rsidRPr="00467FE6" w:rsidRDefault="00FE18A8" w:rsidP="002E076A">
      <w:pPr>
        <w:tabs>
          <w:tab w:val="left" w:pos="567"/>
        </w:tabs>
        <w:autoSpaceDE w:val="0"/>
        <w:autoSpaceDN w:val="0"/>
        <w:adjustRightInd w:val="0"/>
        <w:spacing w:line="300" w:lineRule="auto"/>
        <w:jc w:val="both"/>
        <w:rPr>
          <w:bCs/>
        </w:rPr>
      </w:pPr>
    </w:p>
    <w:p w14:paraId="669837D8" w14:textId="242D54F6" w:rsidR="005E0C33" w:rsidRPr="00467FE6" w:rsidRDefault="00A52CC9" w:rsidP="002E076A">
      <w:pPr>
        <w:tabs>
          <w:tab w:val="left" w:pos="567"/>
        </w:tabs>
        <w:autoSpaceDE w:val="0"/>
        <w:autoSpaceDN w:val="0"/>
        <w:adjustRightInd w:val="0"/>
        <w:spacing w:line="300" w:lineRule="auto"/>
        <w:ind w:firstLine="720"/>
        <w:jc w:val="both"/>
        <w:rPr>
          <w:rFonts w:eastAsiaTheme="minorEastAsia"/>
          <w:lang w:val="en-NZ" w:eastAsia="zh-CN"/>
        </w:rPr>
      </w:pPr>
      <w:r w:rsidRPr="00467FE6">
        <w:rPr>
          <w:rFonts w:eastAsiaTheme="minorEastAsia"/>
          <w:lang w:val="en-NZ"/>
        </w:rPr>
        <w:t>A particular issue for our reduced form specification is that solid fuel consumption may depend on household income, education level, access to the fuels, and other demographic variables that are also included in the regression model (Jan, Khan</w:t>
      </w:r>
      <w:r w:rsidR="00025D28">
        <w:rPr>
          <w:rFonts w:eastAsiaTheme="minorEastAsia"/>
          <w:lang w:val="en-NZ"/>
        </w:rPr>
        <w:t xml:space="preserve"> an</w:t>
      </w:r>
      <w:r w:rsidRPr="00467FE6">
        <w:rPr>
          <w:rFonts w:eastAsiaTheme="minorEastAsia"/>
          <w:lang w:val="en-NZ"/>
        </w:rPr>
        <w:t>d Hayat 2012</w:t>
      </w:r>
      <w:r w:rsidR="00025D28">
        <w:rPr>
          <w:rFonts w:eastAsiaTheme="minorEastAsia"/>
          <w:lang w:val="en-NZ"/>
        </w:rPr>
        <w:t xml:space="preserve">, </w:t>
      </w:r>
      <w:r w:rsidRPr="00467FE6">
        <w:rPr>
          <w:rFonts w:eastAsiaTheme="minorEastAsia"/>
          <w:lang w:val="en-NZ"/>
        </w:rPr>
        <w:t>Lee 2013</w:t>
      </w:r>
      <w:r w:rsidR="00025D28">
        <w:rPr>
          <w:rFonts w:eastAsiaTheme="minorEastAsia"/>
          <w:lang w:val="en-NZ"/>
        </w:rPr>
        <w:t>,</w:t>
      </w:r>
      <w:r w:rsidRPr="00467FE6">
        <w:rPr>
          <w:rFonts w:eastAsiaTheme="minorEastAsia"/>
          <w:lang w:val="en-NZ"/>
        </w:rPr>
        <w:t xml:space="preserve"> Irfan, Cameron and Hassan 2017). Thus, the independent variable will be correlated with the error term in the panel regression model, leading to an endogeneity problem. To overcome this, we apply an IV approach. Our selected instruments are: (1) percentage of forest area in the country; (2) annual production of natural gas; and (3) annual production of crude and fuel oil. Our instrumental variables model, with instruments denoted by </w:t>
      </w:r>
      <w:r w:rsidRPr="00025D28">
        <w:rPr>
          <w:rFonts w:eastAsiaTheme="minorEastAsia"/>
          <w:i/>
          <w:lang w:val="en-NZ"/>
        </w:rPr>
        <w:t>zit</w:t>
      </w:r>
      <w:r w:rsidRPr="00467FE6">
        <w:rPr>
          <w:rFonts w:eastAsiaTheme="minorEastAsia"/>
          <w:lang w:val="en-NZ"/>
        </w:rPr>
        <w:t>, is shown in Equation (2):</w:t>
      </w:r>
      <w:r w:rsidR="005E0C33" w:rsidRPr="00467FE6">
        <w:rPr>
          <w:rFonts w:eastAsiaTheme="minorEastAsia"/>
          <w:lang w:val="en-NZ" w:eastAsia="zh-CN"/>
        </w:rPr>
        <w:t xml:space="preserve"> </w:t>
      </w:r>
    </w:p>
    <w:p w14:paraId="15047B9D" w14:textId="77777777" w:rsidR="00C925C5" w:rsidRPr="00467FE6" w:rsidRDefault="00C925C5" w:rsidP="002E076A">
      <w:pPr>
        <w:tabs>
          <w:tab w:val="left" w:pos="567"/>
        </w:tabs>
        <w:autoSpaceDE w:val="0"/>
        <w:autoSpaceDN w:val="0"/>
        <w:adjustRightInd w:val="0"/>
        <w:spacing w:line="300" w:lineRule="auto"/>
        <w:ind w:firstLine="720"/>
        <w:jc w:val="both"/>
        <w:rPr>
          <w:rFonts w:eastAsiaTheme="minorEastAsia"/>
          <w:lang w:val="en-NZ"/>
        </w:rPr>
      </w:pPr>
    </w:p>
    <w:p w14:paraId="241C2A8D" w14:textId="2D72A4D5" w:rsidR="00806391" w:rsidRPr="00467FE6" w:rsidRDefault="005A611B" w:rsidP="002E076A">
      <w:pPr>
        <w:tabs>
          <w:tab w:val="left" w:pos="567"/>
        </w:tabs>
        <w:autoSpaceDE w:val="0"/>
        <w:autoSpaceDN w:val="0"/>
        <w:adjustRightInd w:val="0"/>
        <w:spacing w:line="300" w:lineRule="auto"/>
        <w:jc w:val="center"/>
        <w:rPr>
          <w:sz w:val="22"/>
          <w:szCs w:val="22"/>
          <w:lang w:val="en-NZ"/>
        </w:rPr>
      </w:pPr>
      <m:oMath>
        <m:sSub>
          <m:sSubPr>
            <m:ctrlPr>
              <w:rPr>
                <w:rFonts w:ascii="Cambria Math" w:hAnsi="Cambria Math"/>
                <w:i/>
                <w:sz w:val="22"/>
                <w:szCs w:val="22"/>
                <w:lang w:val="en-NZ"/>
              </w:rPr>
            </m:ctrlPr>
          </m:sSubPr>
          <m:e>
            <m:r>
              <w:rPr>
                <w:rFonts w:ascii="Cambria Math" w:hAnsi="Cambria Math"/>
                <w:sz w:val="22"/>
                <w:szCs w:val="22"/>
                <w:lang w:val="en-NZ"/>
              </w:rPr>
              <m:t>y</m:t>
            </m:r>
          </m:e>
          <m:sub>
            <m:r>
              <w:rPr>
                <w:rFonts w:ascii="Cambria Math" w:hAnsi="Cambria Math"/>
                <w:sz w:val="22"/>
                <w:szCs w:val="22"/>
                <w:lang w:val="en-NZ"/>
              </w:rPr>
              <m:t>it</m:t>
            </m:r>
          </m:sub>
        </m:sSub>
        <m:r>
          <w:rPr>
            <w:rFonts w:ascii="Cambria Math" w:hAnsi="Cambria Math"/>
            <w:sz w:val="22"/>
            <w:szCs w:val="22"/>
            <w:lang w:val="en-NZ"/>
          </w:rPr>
          <m:t>=</m:t>
        </m:r>
        <m:sSub>
          <m:sSubPr>
            <m:ctrlPr>
              <w:rPr>
                <w:rFonts w:ascii="Cambria Math" w:hAnsi="Cambria Math"/>
                <w:i/>
                <w:sz w:val="22"/>
                <w:szCs w:val="22"/>
                <w:lang w:val="en-NZ"/>
              </w:rPr>
            </m:ctrlPr>
          </m:sSubPr>
          <m:e>
            <m:r>
              <w:rPr>
                <w:rFonts w:ascii="Cambria Math" w:hAnsi="Cambria Math"/>
                <w:sz w:val="22"/>
                <w:szCs w:val="22"/>
                <w:lang w:val="en-NZ"/>
              </w:rPr>
              <m:t>β</m:t>
            </m:r>
          </m:e>
          <m:sub>
            <m:r>
              <w:rPr>
                <w:rFonts w:ascii="Cambria Math" w:hAnsi="Cambria Math"/>
                <w:sz w:val="22"/>
                <w:szCs w:val="22"/>
                <w:lang w:val="en-NZ"/>
              </w:rPr>
              <m:t>1</m:t>
            </m:r>
          </m:sub>
        </m:sSub>
        <m:sSub>
          <m:sSubPr>
            <m:ctrlPr>
              <w:rPr>
                <w:rFonts w:ascii="Cambria Math" w:hAnsi="Cambria Math"/>
                <w:i/>
                <w:sz w:val="22"/>
                <w:szCs w:val="22"/>
                <w:lang w:val="en-NZ"/>
              </w:rPr>
            </m:ctrlPr>
          </m:sSubPr>
          <m:e>
            <m:r>
              <w:rPr>
                <w:rFonts w:ascii="Cambria Math" w:hAnsi="Cambria Math"/>
                <w:sz w:val="22"/>
                <w:szCs w:val="22"/>
                <w:lang w:val="en-NZ"/>
              </w:rPr>
              <m:t>x</m:t>
            </m:r>
          </m:e>
          <m:sub>
            <m:r>
              <w:rPr>
                <w:rFonts w:ascii="Cambria Math" w:hAnsi="Cambria Math"/>
                <w:sz w:val="22"/>
                <w:szCs w:val="22"/>
                <w:lang w:val="en-NZ"/>
              </w:rPr>
              <m:t>it1</m:t>
            </m:r>
          </m:sub>
        </m:sSub>
        <m:r>
          <w:rPr>
            <w:rFonts w:ascii="Cambria Math" w:hAnsi="Cambria Math"/>
            <w:sz w:val="22"/>
            <w:szCs w:val="22"/>
            <w:lang w:val="en-NZ"/>
          </w:rPr>
          <m:t>+</m:t>
        </m:r>
        <m:sSub>
          <m:sSubPr>
            <m:ctrlPr>
              <w:rPr>
                <w:rFonts w:ascii="Cambria Math" w:hAnsi="Cambria Math"/>
                <w:i/>
                <w:sz w:val="22"/>
                <w:szCs w:val="22"/>
                <w:lang w:val="en-NZ"/>
              </w:rPr>
            </m:ctrlPr>
          </m:sSubPr>
          <m:e>
            <m:r>
              <w:rPr>
                <w:rFonts w:ascii="Cambria Math" w:hAnsi="Cambria Math"/>
                <w:sz w:val="22"/>
                <w:szCs w:val="22"/>
                <w:lang w:val="en-NZ"/>
              </w:rPr>
              <m:t>β</m:t>
            </m:r>
          </m:e>
          <m:sub>
            <m:r>
              <w:rPr>
                <w:rFonts w:ascii="Cambria Math" w:hAnsi="Cambria Math"/>
                <w:sz w:val="22"/>
                <w:szCs w:val="22"/>
                <w:lang w:val="en-NZ"/>
              </w:rPr>
              <m:t>2</m:t>
            </m:r>
          </m:sub>
        </m:sSub>
        <m:sSub>
          <m:sSubPr>
            <m:ctrlPr>
              <w:rPr>
                <w:rFonts w:ascii="Cambria Math" w:hAnsi="Cambria Math"/>
                <w:i/>
                <w:sz w:val="22"/>
                <w:szCs w:val="22"/>
                <w:lang w:val="en-NZ"/>
              </w:rPr>
            </m:ctrlPr>
          </m:sSubPr>
          <m:e>
            <m:r>
              <w:rPr>
                <w:rFonts w:ascii="Cambria Math" w:hAnsi="Cambria Math"/>
                <w:sz w:val="22"/>
                <w:szCs w:val="22"/>
                <w:lang w:val="en-NZ"/>
              </w:rPr>
              <m:t>x</m:t>
            </m:r>
          </m:e>
          <m:sub>
            <m:r>
              <w:rPr>
                <w:rFonts w:ascii="Cambria Math" w:hAnsi="Cambria Math"/>
                <w:sz w:val="22"/>
                <w:szCs w:val="22"/>
                <w:lang w:val="en-NZ"/>
              </w:rPr>
              <m:t>it2</m:t>
            </m:r>
          </m:sub>
        </m:sSub>
        <m:r>
          <w:rPr>
            <w:rFonts w:ascii="Cambria Math" w:hAnsi="Cambria Math"/>
            <w:sz w:val="22"/>
            <w:szCs w:val="22"/>
            <w:lang w:val="en-NZ"/>
          </w:rPr>
          <m:t>+</m:t>
        </m:r>
        <m:sSub>
          <m:sSubPr>
            <m:ctrlPr>
              <w:rPr>
                <w:rFonts w:ascii="Cambria Math" w:hAnsi="Cambria Math"/>
                <w:i/>
                <w:sz w:val="22"/>
                <w:szCs w:val="22"/>
                <w:lang w:val="en-NZ"/>
              </w:rPr>
            </m:ctrlPr>
          </m:sSubPr>
          <m:e>
            <m:r>
              <w:rPr>
                <w:rFonts w:ascii="Cambria Math" w:hAnsi="Cambria Math"/>
                <w:sz w:val="22"/>
                <w:szCs w:val="22"/>
                <w:lang w:val="en-NZ"/>
              </w:rPr>
              <m:t>β</m:t>
            </m:r>
          </m:e>
          <m:sub>
            <m:r>
              <w:rPr>
                <w:rFonts w:ascii="Cambria Math" w:hAnsi="Cambria Math"/>
                <w:sz w:val="22"/>
                <w:szCs w:val="22"/>
                <w:lang w:val="en-NZ"/>
              </w:rPr>
              <m:t>3</m:t>
            </m:r>
          </m:sub>
        </m:sSub>
        <m:sSub>
          <m:sSubPr>
            <m:ctrlPr>
              <w:rPr>
                <w:rFonts w:ascii="Cambria Math" w:hAnsi="Cambria Math"/>
                <w:i/>
                <w:sz w:val="22"/>
                <w:szCs w:val="22"/>
                <w:lang w:val="en-NZ"/>
              </w:rPr>
            </m:ctrlPr>
          </m:sSubPr>
          <m:e>
            <m:r>
              <w:rPr>
                <w:rFonts w:ascii="Cambria Math" w:hAnsi="Cambria Math"/>
                <w:sz w:val="22"/>
                <w:szCs w:val="22"/>
                <w:lang w:val="en-NZ"/>
              </w:rPr>
              <m:t>z</m:t>
            </m:r>
          </m:e>
          <m:sub>
            <m:r>
              <w:rPr>
                <w:rFonts w:ascii="Cambria Math" w:hAnsi="Cambria Math"/>
                <w:sz w:val="22"/>
                <w:szCs w:val="22"/>
                <w:lang w:val="en-NZ"/>
              </w:rPr>
              <m:t>it3</m:t>
            </m:r>
          </m:sub>
        </m:sSub>
        <m:r>
          <w:rPr>
            <w:rFonts w:ascii="Cambria Math" w:hAnsi="Cambria Math"/>
            <w:sz w:val="22"/>
            <w:szCs w:val="22"/>
            <w:lang w:val="en-NZ"/>
          </w:rPr>
          <m:t xml:space="preserve"> .. . ..+</m:t>
        </m:r>
        <m:sSub>
          <m:sSubPr>
            <m:ctrlPr>
              <w:rPr>
                <w:rFonts w:ascii="Cambria Math" w:hAnsi="Cambria Math"/>
                <w:i/>
                <w:sz w:val="22"/>
                <w:szCs w:val="22"/>
                <w:lang w:val="en-NZ"/>
              </w:rPr>
            </m:ctrlPr>
          </m:sSubPr>
          <m:e>
            <m:r>
              <w:rPr>
                <w:rFonts w:ascii="Cambria Math" w:hAnsi="Cambria Math"/>
                <w:sz w:val="22"/>
                <w:szCs w:val="22"/>
                <w:lang w:val="en-NZ"/>
              </w:rPr>
              <m:t>β</m:t>
            </m:r>
          </m:e>
          <m:sub>
            <m:r>
              <w:rPr>
                <w:rFonts w:ascii="Cambria Math" w:hAnsi="Cambria Math"/>
                <w:sz w:val="22"/>
                <w:szCs w:val="22"/>
                <w:lang w:val="en-NZ"/>
              </w:rPr>
              <m:t>k</m:t>
            </m:r>
          </m:sub>
        </m:sSub>
        <m:sSub>
          <m:sSubPr>
            <m:ctrlPr>
              <w:rPr>
                <w:rFonts w:ascii="Cambria Math" w:hAnsi="Cambria Math"/>
                <w:i/>
                <w:sz w:val="22"/>
                <w:szCs w:val="22"/>
                <w:lang w:val="en-NZ"/>
              </w:rPr>
            </m:ctrlPr>
          </m:sSubPr>
          <m:e>
            <m:r>
              <w:rPr>
                <w:rFonts w:ascii="Cambria Math" w:hAnsi="Cambria Math"/>
                <w:sz w:val="22"/>
                <w:szCs w:val="22"/>
                <w:lang w:val="en-NZ"/>
              </w:rPr>
              <m:t>x</m:t>
            </m:r>
          </m:e>
          <m:sub>
            <m:r>
              <w:rPr>
                <w:rFonts w:ascii="Cambria Math" w:hAnsi="Cambria Math"/>
                <w:sz w:val="22"/>
                <w:szCs w:val="22"/>
                <w:lang w:val="en-NZ"/>
              </w:rPr>
              <m:t>itk</m:t>
            </m:r>
          </m:sub>
        </m:sSub>
        <m:r>
          <w:rPr>
            <w:rFonts w:ascii="Cambria Math" w:hAnsi="Cambria Math"/>
            <w:sz w:val="22"/>
            <w:szCs w:val="22"/>
            <w:lang w:val="en-NZ"/>
          </w:rPr>
          <m:t>+</m:t>
        </m:r>
        <m:sSub>
          <m:sSubPr>
            <m:ctrlPr>
              <w:rPr>
                <w:rFonts w:ascii="Cambria Math" w:hAnsi="Cambria Math"/>
                <w:i/>
                <w:sz w:val="22"/>
                <w:szCs w:val="22"/>
                <w:lang w:val="en-NZ"/>
              </w:rPr>
            </m:ctrlPr>
          </m:sSubPr>
          <m:e>
            <m:r>
              <w:rPr>
                <w:rFonts w:ascii="Cambria Math" w:hAnsi="Cambria Math"/>
                <w:sz w:val="22"/>
                <w:szCs w:val="22"/>
                <w:lang w:val="en-NZ"/>
              </w:rPr>
              <m:t>a</m:t>
            </m:r>
          </m:e>
          <m:sub>
            <m:r>
              <w:rPr>
                <w:rFonts w:ascii="Cambria Math" w:hAnsi="Cambria Math"/>
                <w:sz w:val="22"/>
                <w:szCs w:val="22"/>
                <w:lang w:val="en-NZ"/>
              </w:rPr>
              <m:t>i</m:t>
            </m:r>
          </m:sub>
        </m:sSub>
        <m:r>
          <w:rPr>
            <w:rFonts w:ascii="Cambria Math" w:hAnsi="Cambria Math"/>
            <w:sz w:val="22"/>
            <w:szCs w:val="22"/>
            <w:lang w:val="en-NZ"/>
          </w:rPr>
          <m:t>+</m:t>
        </m:r>
        <m:sSub>
          <m:sSubPr>
            <m:ctrlPr>
              <w:rPr>
                <w:rFonts w:ascii="Cambria Math" w:hAnsi="Cambria Math"/>
                <w:i/>
                <w:sz w:val="22"/>
                <w:szCs w:val="22"/>
                <w:lang w:val="en-NZ"/>
              </w:rPr>
            </m:ctrlPr>
          </m:sSubPr>
          <m:e>
            <m:r>
              <w:rPr>
                <w:rFonts w:ascii="Cambria Math" w:hAnsi="Cambria Math"/>
                <w:sz w:val="22"/>
                <w:szCs w:val="22"/>
                <w:lang w:val="en-NZ"/>
              </w:rPr>
              <m:t>u</m:t>
            </m:r>
          </m:e>
          <m:sub>
            <m:r>
              <w:rPr>
                <w:rFonts w:ascii="Cambria Math" w:hAnsi="Cambria Math"/>
                <w:sz w:val="22"/>
                <w:szCs w:val="22"/>
                <w:lang w:val="en-NZ"/>
              </w:rPr>
              <m:t xml:space="preserve">it </m:t>
            </m:r>
          </m:sub>
        </m:sSub>
        <m:r>
          <w:rPr>
            <w:rFonts w:ascii="Cambria Math" w:hAnsi="Cambria Math"/>
            <w:sz w:val="22"/>
            <w:szCs w:val="22"/>
            <w:lang w:val="en-NZ"/>
          </w:rPr>
          <m:t>,         t=1,2,3,...T</m:t>
        </m:r>
      </m:oMath>
      <w:r w:rsidR="00E83504" w:rsidRPr="00467FE6">
        <w:rPr>
          <w:sz w:val="22"/>
          <w:szCs w:val="22"/>
          <w:lang w:val="en-NZ"/>
        </w:rPr>
        <w:tab/>
        <w:t>(2</w:t>
      </w:r>
      <w:r w:rsidR="00806391" w:rsidRPr="00467FE6">
        <w:rPr>
          <w:sz w:val="22"/>
          <w:szCs w:val="22"/>
          <w:lang w:val="en-NZ"/>
        </w:rPr>
        <w:t>)</w:t>
      </w:r>
    </w:p>
    <w:p w14:paraId="70666826" w14:textId="77777777" w:rsidR="00C925C5" w:rsidRPr="00467FE6" w:rsidRDefault="00C925C5" w:rsidP="002E076A">
      <w:pPr>
        <w:tabs>
          <w:tab w:val="left" w:pos="567"/>
        </w:tabs>
        <w:autoSpaceDE w:val="0"/>
        <w:autoSpaceDN w:val="0"/>
        <w:adjustRightInd w:val="0"/>
        <w:spacing w:line="300" w:lineRule="auto"/>
        <w:ind w:firstLine="720"/>
        <w:rPr>
          <w:rFonts w:eastAsiaTheme="minorEastAsia"/>
          <w:lang w:val="en-NZ"/>
        </w:rPr>
      </w:pPr>
    </w:p>
    <w:p w14:paraId="222A51F4" w14:textId="2A9BAEAA" w:rsidR="00D364CD" w:rsidRPr="00467FE6" w:rsidRDefault="00C925C5" w:rsidP="002E076A">
      <w:pPr>
        <w:tabs>
          <w:tab w:val="left" w:pos="567"/>
        </w:tabs>
        <w:autoSpaceDE w:val="0"/>
        <w:autoSpaceDN w:val="0"/>
        <w:adjustRightInd w:val="0"/>
        <w:spacing w:line="300" w:lineRule="auto"/>
        <w:rPr>
          <w:lang w:val="en-NZ"/>
        </w:rPr>
      </w:pPr>
      <w:r w:rsidRPr="00467FE6">
        <w:rPr>
          <w:rFonts w:eastAsiaTheme="minorEastAsia"/>
          <w:lang w:val="en-NZ"/>
        </w:rPr>
        <w:t>w</w:t>
      </w:r>
      <w:r w:rsidR="008070BB" w:rsidRPr="00467FE6">
        <w:rPr>
          <w:rFonts w:eastAsiaTheme="minorEastAsia"/>
          <w:lang w:val="en-NZ"/>
        </w:rPr>
        <w:t>here</w:t>
      </w:r>
      <w:r w:rsidR="00D364CD" w:rsidRPr="00467FE6">
        <w:rPr>
          <w:rFonts w:eastAsiaTheme="minorEastAsia"/>
          <w:lang w:val="en-NZ"/>
        </w:rPr>
        <w:t xml:space="preserve"> </w:t>
      </w:r>
      <w:r w:rsidR="00D364CD" w:rsidRPr="00467FE6">
        <w:rPr>
          <w:rFonts w:eastAsiaTheme="minorEastAsia"/>
          <w:i/>
          <w:iCs/>
          <w:lang w:val="en-NZ"/>
        </w:rPr>
        <w:t>k</w:t>
      </w:r>
      <w:r w:rsidR="00D364CD" w:rsidRPr="00467FE6">
        <w:rPr>
          <w:rFonts w:eastAsiaTheme="minorEastAsia"/>
          <w:lang w:val="en-NZ"/>
        </w:rPr>
        <w:t xml:space="preserve"> </w:t>
      </w:r>
      <w:r w:rsidR="008070BB" w:rsidRPr="00467FE6">
        <w:rPr>
          <w:rFonts w:eastAsiaTheme="minorEastAsia"/>
          <w:lang w:val="en-NZ"/>
        </w:rPr>
        <w:t>is</w:t>
      </w:r>
      <w:r w:rsidR="00D364CD" w:rsidRPr="00467FE6">
        <w:rPr>
          <w:rFonts w:eastAsiaTheme="minorEastAsia"/>
          <w:lang w:val="en-NZ"/>
        </w:rPr>
        <w:t xml:space="preserve"> the number of explanatory variables.</w:t>
      </w:r>
    </w:p>
    <w:p w14:paraId="4562FFB1" w14:textId="77777777" w:rsidR="00C925C5" w:rsidRPr="00467FE6" w:rsidRDefault="00C925C5" w:rsidP="002E076A">
      <w:pPr>
        <w:tabs>
          <w:tab w:val="left" w:pos="567"/>
        </w:tabs>
        <w:autoSpaceDE w:val="0"/>
        <w:autoSpaceDN w:val="0"/>
        <w:adjustRightInd w:val="0"/>
        <w:spacing w:line="300" w:lineRule="auto"/>
        <w:ind w:firstLine="720"/>
        <w:jc w:val="both"/>
        <w:rPr>
          <w:lang w:val="en-NZ"/>
        </w:rPr>
      </w:pPr>
    </w:p>
    <w:p w14:paraId="59582E06" w14:textId="2FF777D1" w:rsidR="00A52CC9" w:rsidRPr="00467FE6" w:rsidRDefault="00A52CC9" w:rsidP="002E076A">
      <w:pPr>
        <w:tabs>
          <w:tab w:val="left" w:pos="567"/>
        </w:tabs>
        <w:autoSpaceDE w:val="0"/>
        <w:autoSpaceDN w:val="0"/>
        <w:adjustRightInd w:val="0"/>
        <w:spacing w:line="300" w:lineRule="auto"/>
        <w:ind w:firstLine="720"/>
        <w:jc w:val="both"/>
        <w:rPr>
          <w:lang w:val="en-NZ"/>
        </w:rPr>
      </w:pPr>
      <w:r w:rsidRPr="00467FE6">
        <w:rPr>
          <w:rFonts w:asciiTheme="majorBidi" w:eastAsiaTheme="minorEastAsia" w:hAnsiTheme="majorBidi" w:cstheme="majorBidi"/>
          <w:lang w:val="en-NZ"/>
        </w:rPr>
        <w:t>Each of these variables can be expected to affect the endogenous variable (solid fuel consumption), and is plausibly exogenous (</w:t>
      </w:r>
      <w:r w:rsidR="009337B3">
        <w:rPr>
          <w:rFonts w:asciiTheme="majorBidi" w:eastAsiaTheme="minorEastAsia" w:hAnsiTheme="majorBidi" w:cstheme="majorBidi"/>
          <w:lang w:val="en-NZ"/>
        </w:rPr>
        <w:t>that is,</w:t>
      </w:r>
      <w:r w:rsidRPr="00467FE6">
        <w:rPr>
          <w:rFonts w:asciiTheme="majorBidi" w:eastAsiaTheme="minorEastAsia" w:hAnsiTheme="majorBidi" w:cstheme="majorBidi"/>
          <w:lang w:val="en-NZ"/>
        </w:rPr>
        <w:t xml:space="preserve"> has no direct effect on infant and child mortality or life expectancy).  Households located near to forested areas are expected to </w:t>
      </w:r>
      <w:r w:rsidRPr="00467FE6">
        <w:rPr>
          <w:rFonts w:asciiTheme="majorBidi" w:eastAsiaTheme="minorEastAsia" w:hAnsiTheme="majorBidi" w:cstheme="majorBidi"/>
          <w:lang w:val="en-NZ"/>
        </w:rPr>
        <w:lastRenderedPageBreak/>
        <w:t>consume more of firewood (</w:t>
      </w:r>
      <w:r w:rsidRPr="00467FE6">
        <w:rPr>
          <w:rFonts w:asciiTheme="majorBidi" w:hAnsiTheme="majorBidi" w:cstheme="majorBidi"/>
        </w:rPr>
        <w:fldChar w:fldCharType="begin"/>
      </w:r>
      <w:r w:rsidRPr="00467FE6">
        <w:rPr>
          <w:rFonts w:asciiTheme="majorBidi" w:hAnsiTheme="majorBidi" w:cstheme="majorBidi"/>
        </w:rPr>
        <w:instrText xml:space="preserve"> ADDIN ZOTERO_ITEM CSL_CITATION {"citationID":"a20n1r7ejkb","properties":{"formattedCitation":"(Jumbe &amp; Angelsen, 2011)","plainCitation":"(Jumbe &amp; Angelsen, 2011)"},"citationItems":[{"id":765,"uris":["http://zotero.org/users/2699952/items/6JJDZH5H"],"uri":["http://zotero.org/users/2699952/items/6JJDZH5H"],"itemData":{"id":765,"type":"article-journal","title":"Modeling choice of fuelwood source among rural households in Malawi: A multinomial probit analysis","container-title":"Energy Economics","page":"732-738","volume":"33","issue":"5","source":"ScienceDirect","abstract":"This paper addresses two questions: what determines household's choice of fuelwood source and, what are the environmental consequences of fuelwood collection choices? We address these questions by estimating the multinomial probit model using survey data for households surrounding Chimaliro and Liwonde forest reserves in Malawi. After controlling for heterogeneity among households, we find strong substitution opportunities across fuelwood collection sources. Attributes of the fuelwood sources (size and species composition) and distance to the sources are the most important determinants of fuelwood choice. Further results show that customary managed forests generate environmental benefits by reducing pressure on both plantation forests and forest reserves. These findings support the need to strengthen community-based institutions to manage local forest resources.","DOI":"10.1016/j.eneco.2010.12.011","ISSN":"0140-9883","shortTitle":"Modeling choice of fuelwood source among rural households in Malawi","journalAbbreviation":"Energy Economics","author":[{"family":"Jumbe","given":"Charles B. L."},{"family":"Angelsen","given":"Arild"}],"issued":{"date-parts":[["2011",9]]}}}],"schema":"https://github.com/citation-style-language/schema/raw/master/csl-citation.json"} </w:instrText>
      </w:r>
      <w:r w:rsidRPr="00467FE6">
        <w:rPr>
          <w:rFonts w:asciiTheme="majorBidi" w:hAnsiTheme="majorBidi" w:cstheme="majorBidi"/>
        </w:rPr>
        <w:fldChar w:fldCharType="separate"/>
      </w:r>
      <w:r w:rsidRPr="00467FE6">
        <w:rPr>
          <w:rFonts w:asciiTheme="majorBidi" w:hAnsiTheme="majorBidi" w:cstheme="majorBidi"/>
        </w:rPr>
        <w:t>Jumbe and Angelsen, 2011)</w:t>
      </w:r>
      <w:r w:rsidRPr="00467FE6">
        <w:rPr>
          <w:rFonts w:asciiTheme="majorBidi" w:hAnsiTheme="majorBidi" w:cstheme="majorBidi"/>
        </w:rPr>
        <w:fldChar w:fldCharType="end"/>
      </w:r>
      <w:r w:rsidRPr="00467FE6">
        <w:rPr>
          <w:rFonts w:asciiTheme="majorBidi" w:hAnsiTheme="majorBidi" w:cstheme="majorBidi"/>
        </w:rPr>
        <w:t>, while forested areas are not expected to directly affect mortality or life expectancy in a material way. In 2015, the total number of fatalities due to forest fire across 31 countries</w:t>
      </w:r>
      <w:r w:rsidRPr="00467FE6">
        <w:rPr>
          <w:rStyle w:val="FootnoteReference"/>
          <w:rFonts w:asciiTheme="majorBidi" w:hAnsiTheme="majorBidi" w:cstheme="majorBidi"/>
        </w:rPr>
        <w:footnoteReference w:id="6"/>
      </w:r>
      <w:r w:rsidRPr="00467FE6">
        <w:rPr>
          <w:rFonts w:asciiTheme="majorBidi" w:hAnsiTheme="majorBidi" w:cstheme="majorBidi"/>
        </w:rPr>
        <w:t xml:space="preserve"> are only 18,400, which is certainly too small to have an appreciable impact on country-level mortality </w:t>
      </w:r>
      <w:r w:rsidRPr="00467FE6">
        <w:rPr>
          <w:rFonts w:asciiTheme="majorBidi" w:hAnsiTheme="majorBidi" w:cstheme="majorBidi"/>
        </w:rPr>
        <w:fldChar w:fldCharType="begin"/>
      </w:r>
      <w:r w:rsidRPr="00467FE6">
        <w:rPr>
          <w:rFonts w:asciiTheme="majorBidi" w:hAnsiTheme="majorBidi" w:cstheme="majorBidi"/>
        </w:rPr>
        <w:instrText xml:space="preserve"> ADDIN ZOTERO_ITEM CSL_CITATION {"citationID":"abiLTgLA","properties":{"formattedCitation":"(\\uc0\\u8220{}World Fire Statistics | CTIF - International Association of Fire Services for Safer Citizens through Skilled Firefighters,\\uc0\\u8221{} n.d.)","plainCitation":"(“World Fire Statistics | CTIF - International Association of Fire Services for Safer Citizens through Skilled Firefighters,” n.d.)","noteIndex":0},"citationItems":[{"id":1326,"uris":["http://zotero.org/users/2699952/items/QCEBSK6R"],"uri":["http://zotero.org/users/2699952/items/QCEBSK6R"],"itemData":{"id":1326,"type":"webpage","title":"World Fire Statistics | CTIF - International Association of Fire Services for Safer Citizens through Skilled Firefighters","URL":"https://www.ctif.org/world-fire-statistics","accessed":{"date-parts":[["2018",8,20]]}}}],"schema":"https://github.com/citation-style-language/schema/raw/master/csl-citation.json"} </w:instrText>
      </w:r>
      <w:r w:rsidRPr="00467FE6">
        <w:rPr>
          <w:rFonts w:asciiTheme="majorBidi" w:hAnsiTheme="majorBidi" w:cstheme="majorBidi"/>
        </w:rPr>
        <w:fldChar w:fldCharType="separate"/>
      </w:r>
      <w:r w:rsidRPr="00467FE6">
        <w:t>(World Fire Statistics, n.d.)</w:t>
      </w:r>
      <w:r w:rsidRPr="00467FE6">
        <w:rPr>
          <w:rFonts w:asciiTheme="majorBidi" w:hAnsiTheme="majorBidi" w:cstheme="majorBidi"/>
        </w:rPr>
        <w:fldChar w:fldCharType="end"/>
      </w:r>
      <w:r w:rsidRPr="00467FE6">
        <w:rPr>
          <w:rFonts w:asciiTheme="majorBidi" w:hAnsiTheme="majorBidi" w:cstheme="majorBidi"/>
        </w:rPr>
        <w:t xml:space="preserve">. Moreover, causalities due to wildfire or forest fire are reducing significantly due to better equipment for firefighting and advancements in weather forecasting </w:t>
      </w:r>
      <w:r w:rsidRPr="00467FE6">
        <w:rPr>
          <w:rFonts w:asciiTheme="majorBidi" w:hAnsiTheme="majorBidi" w:cstheme="majorBidi"/>
        </w:rPr>
        <w:fldChar w:fldCharType="begin"/>
      </w:r>
      <w:r w:rsidRPr="00467FE6">
        <w:rPr>
          <w:rFonts w:asciiTheme="majorBidi" w:hAnsiTheme="majorBidi" w:cstheme="majorBidi"/>
        </w:rPr>
        <w:instrText xml:space="preserve"> ADDIN ZOTERO_ITEM CSL_CITATION {"citationID":"PTqKYtyH","properties":{"formattedCitation":"(Doerr &amp; Sant\\uc0\\u237{}n, 2016)","plainCitation":"(Doerr &amp; Santín, 2016)","noteIndex":0},"citationItems":[{"id":1321,"uris":["http://zotero.org/users/2699952/items/8PJICG7X"],"uri":["http://zotero.org/users/2699952/items/8PJICG7X"],"itemData":{"id":1321,"type":"article-journal","title":"Global trends in wildfire and its impacts: perceptions versus realities in a changing world","container-title":"Philosophical Transactions of the Royal Society B: Biological Sciences","volume":"371","issue":"1696","source":"PubMed Central","abstract":"Wildfire has been an important process affecting the Earth's surface and atmosphere for over 350 million years and human societies have coexisted with fire since their emergence. Yet many consider wildfire as an accelerating problem, with widely held perceptions both in the media and scientific papers of increasing fire occurrence, severity and resulting losses. However, important exceptions aside, the quantitative evidence available does not support these perceived overall trends. Instead, global area burned appears to have overall declined over past decades, and there is increasing evidence that there is less fire in the global landscape today than centuries ago. Regarding fire severity, limited data are available. For the western USA, they indicate little change overall, and also that area burned at high severity has overall declined compared to pre-European settlement. Direct fatalities from fire and economic losses also show no clear trends over the past three decades. Trends in indirect impacts, such as health problems from smoke or disruption to social functioning, remain insufficiently quantified to be examined. Global predictions for increased fire under a warming climate highlight the already urgent need for a more sustainable coexistence with fire. The data evaluation presented here aims to contribute to this by reducing misconceptions and facilitating a more informed understanding of the realities of global fire., This article is part of themed issue ‘The interaction of fire and mankind’.","URL":"https://www.ncbi.nlm.nih.gov/pmc/articles/PMC4874420/","DOI":"10.1098/rstb.2015.0345","ISSN":"0962-8436","note":"PMID: 27216515\nPMCID: PMC4874420","shortTitle":"Global trends in wildfire and its impacts","journalAbbreviation":"Philos Trans R Soc Lond B Biol Sci","author":[{"family":"Doerr","given":"Stefan H."},{"family":"Santín","given":"Cristina"}],"issued":{"date-parts":[["2016",6,5]]},"accessed":{"date-parts":[["2018",8,12]]}}}],"schema":"https://github.com/citation-style-language/schema/raw/master/csl-citation.json"} </w:instrText>
      </w:r>
      <w:r w:rsidRPr="00467FE6">
        <w:rPr>
          <w:rFonts w:asciiTheme="majorBidi" w:hAnsiTheme="majorBidi" w:cstheme="majorBidi"/>
        </w:rPr>
        <w:fldChar w:fldCharType="separate"/>
      </w:r>
      <w:r w:rsidRPr="00467FE6">
        <w:t>(</w:t>
      </w:r>
      <w:proofErr w:type="spellStart"/>
      <w:r w:rsidRPr="00467FE6">
        <w:t>Doerr</w:t>
      </w:r>
      <w:proofErr w:type="spellEnd"/>
      <w:r w:rsidRPr="00467FE6">
        <w:t xml:space="preserve"> </w:t>
      </w:r>
      <w:r w:rsidR="00025D28">
        <w:t xml:space="preserve">and </w:t>
      </w:r>
      <w:proofErr w:type="spellStart"/>
      <w:r w:rsidRPr="00467FE6">
        <w:t>Santín</w:t>
      </w:r>
      <w:proofErr w:type="spellEnd"/>
      <w:r w:rsidRPr="00467FE6">
        <w:t xml:space="preserve"> 2016)</w:t>
      </w:r>
      <w:r w:rsidRPr="00467FE6">
        <w:rPr>
          <w:rFonts w:asciiTheme="majorBidi" w:hAnsiTheme="majorBidi" w:cstheme="majorBidi"/>
        </w:rPr>
        <w:fldChar w:fldCharType="end"/>
      </w:r>
      <w:r w:rsidRPr="00467FE6">
        <w:rPr>
          <w:lang w:val="en-NZ"/>
        </w:rPr>
        <w:t>.</w:t>
      </w:r>
    </w:p>
    <w:p w14:paraId="246F9B50" w14:textId="77777777" w:rsidR="00A52CC9" w:rsidRPr="00467FE6" w:rsidRDefault="00A52CC9" w:rsidP="002E076A">
      <w:pPr>
        <w:tabs>
          <w:tab w:val="left" w:pos="567"/>
        </w:tabs>
        <w:autoSpaceDE w:val="0"/>
        <w:autoSpaceDN w:val="0"/>
        <w:adjustRightInd w:val="0"/>
        <w:spacing w:line="300" w:lineRule="auto"/>
        <w:ind w:firstLine="720"/>
        <w:jc w:val="both"/>
        <w:rPr>
          <w:lang w:val="en-NZ"/>
        </w:rPr>
      </w:pPr>
    </w:p>
    <w:p w14:paraId="1C59F155" w14:textId="080B8283" w:rsidR="00A52CC9" w:rsidRPr="00467FE6" w:rsidRDefault="00A52CC9" w:rsidP="002E076A">
      <w:pPr>
        <w:tabs>
          <w:tab w:val="left" w:pos="567"/>
        </w:tabs>
        <w:autoSpaceDE w:val="0"/>
        <w:autoSpaceDN w:val="0"/>
        <w:adjustRightInd w:val="0"/>
        <w:spacing w:line="300" w:lineRule="auto"/>
        <w:ind w:firstLine="720"/>
        <w:jc w:val="both"/>
        <w:rPr>
          <w:lang w:val="en-NZ"/>
        </w:rPr>
      </w:pPr>
      <w:r w:rsidRPr="00467FE6">
        <w:rPr>
          <w:rFonts w:asciiTheme="majorBidi" w:hAnsiTheme="majorBidi" w:cstheme="majorBidi"/>
        </w:rPr>
        <w:t xml:space="preserve">Similarly, a country that has oil and gas reserves is expected to consume </w:t>
      </w:r>
      <w:proofErr w:type="gramStart"/>
      <w:r w:rsidRPr="00467FE6">
        <w:rPr>
          <w:rFonts w:asciiTheme="majorBidi" w:hAnsiTheme="majorBidi" w:cstheme="majorBidi"/>
        </w:rPr>
        <w:t>less</w:t>
      </w:r>
      <w:proofErr w:type="gramEnd"/>
      <w:r w:rsidRPr="00467FE6">
        <w:rPr>
          <w:rFonts w:asciiTheme="majorBidi" w:hAnsiTheme="majorBidi" w:cstheme="majorBidi"/>
        </w:rPr>
        <w:t xml:space="preserve"> solid fuels because of the increased availability of natural gas, LNG, LPG, and kerosene oil. Production of oil and gas is not expected to have an appreciable direct effect on mortality or life expectancy. The global data related to number of fatalities due to oil and gas extraction occupation are not available; however, some studies have tried to estimate the number of deaths at a regional level. The total number of deaths from 1969 to 1996 due to oil and gas related occupation in seven countries</w:t>
      </w:r>
      <w:r w:rsidRPr="00467FE6">
        <w:rPr>
          <w:rStyle w:val="FootnoteReference"/>
          <w:rFonts w:asciiTheme="majorBidi" w:hAnsiTheme="majorBidi" w:cstheme="majorBidi"/>
        </w:rPr>
        <w:footnoteReference w:id="7"/>
      </w:r>
      <w:r w:rsidRPr="00467FE6">
        <w:rPr>
          <w:rFonts w:asciiTheme="majorBidi" w:hAnsiTheme="majorBidi" w:cstheme="majorBidi"/>
        </w:rPr>
        <w:t xml:space="preserve"> were 8,386  </w:t>
      </w:r>
      <w:r w:rsidRPr="00467FE6">
        <w:rPr>
          <w:rFonts w:asciiTheme="majorBidi" w:hAnsiTheme="majorBidi" w:cstheme="majorBidi"/>
        </w:rPr>
        <w:fldChar w:fldCharType="begin"/>
      </w:r>
      <w:r w:rsidRPr="00467FE6">
        <w:rPr>
          <w:rFonts w:asciiTheme="majorBidi" w:hAnsiTheme="majorBidi" w:cstheme="majorBidi"/>
        </w:rPr>
        <w:instrText xml:space="preserve"> ADDIN ZOTERO_ITEM CSL_CITATION {"citationID":"DSoBh6Za","properties":{"formattedCitation":"(Hirschberg, Burgherr, Spiekerman, &amp; Dones, 2004)","plainCitation":"(Hirschberg, Burgherr, Spiekerman, &amp; Dones, 2004)","noteIndex":0},"citationItems":[{"id":1315,"uris":["http://zotero.org/users/2699952/items/DZI4QM2U"],"uri":["http://zotero.org/users/2699952/items/DZI4QM2U"],"itemData":{"id":1315,"type":"article-journal","title":"Severe accidents in the energy sector: comparative perspective","container-title":"Journal of Hazardous Materials","collection-title":"A Selection of Papers from the JRC/ESReDA Seminar on Safety Investigation Accidents, Petten, The Netherlands, 12-13 May, 2003","page":"57-65","volume":"111","issue":"1","source":"ScienceDirect","abstract":"This paper addresses one of the controversial issues in the current comparative studies of the environmental and health impacts of energy systems, i.e. the treatment of severe accidents. The work covers technical aspects of severe accidents and thus primarily reflects an engineering perspective on the energy-related risk issues, though some social implications are also touched upon. The assessment concerns fossil energy sources (coal, oil and gas), nuclear power and hydro power. The scope is not limited to the power production (conversion) step of these energy chains but, whenever applicable, also includes exploration, extraction, transports, processing, storage and waste disposal. With the exception of the nuclear chain the focus of the work has been on the evaluation of the historical experience of accidents. The basis used for this evaluation is a comprehensive database ENSAD (Energy-related Severe Accident Database), established by the Paul Scherrer Institut (PSI). For hypothetical nuclear accidents the probabilistic technique has also been employed and extended to cover the assessment of economic consequences of such accidents. The broader picture obtained by coverage of full energy chains leads on the world-wide basis to aggregated immediate fatality rates being much higher for the fossil chains than what one would expect if only power plants were considered. Generally, the immediate fatality rates are for all considered energy carriers significantly higher for the non-OECD countries than for OECD countries. In the case of hydro and nuclear the difference is in fact dramatic. The presentation of results is not limited to the aggregated values specific for each energy chain. Also frequency-consequence curves are provided. They reflect implicitly the ranking based on the aggregated values but include also such information as the observed or predicted chain-specific maximum extents of damages. This perspective on severe accidents may lead to different system rankings, depending on the individual risk aversion.","DOI":"10.1016/j.jhazmat.2004.02.009","ISSN":"0304-3894","shortTitle":"Severe accidents in the energy sector","journalAbbreviation":"Journal of Hazardous Materials","author":[{"family":"Hirschberg","given":"Stefan"},{"family":"Burgherr","given":"Peter"},{"family":"Spiekerman","given":"Gerard"},{"family":"Dones","given":"Roberto"}],"issued":{"date-parts":[["2004",7,26]]}}}],"schema":"https://github.com/citation-style-language/schema/raw/master/csl-citation.json"} </w:instrText>
      </w:r>
      <w:r w:rsidRPr="00467FE6">
        <w:rPr>
          <w:rFonts w:asciiTheme="majorBidi" w:hAnsiTheme="majorBidi" w:cstheme="majorBidi"/>
        </w:rPr>
        <w:fldChar w:fldCharType="separate"/>
      </w:r>
      <w:r w:rsidRPr="00467FE6">
        <w:t>(Hirschberg</w:t>
      </w:r>
      <w:r w:rsidR="00025D28" w:rsidRPr="00025D28">
        <w:rPr>
          <w:rFonts w:asciiTheme="majorBidi" w:eastAsiaTheme="minorEastAsia" w:hAnsiTheme="majorBidi" w:cstheme="majorBidi"/>
          <w:i/>
        </w:rPr>
        <w:t xml:space="preserve"> </w:t>
      </w:r>
      <w:r w:rsidR="00025D28">
        <w:rPr>
          <w:rFonts w:asciiTheme="majorBidi" w:eastAsiaTheme="minorEastAsia" w:hAnsiTheme="majorBidi" w:cstheme="majorBidi"/>
          <w:i/>
        </w:rPr>
        <w:t>et al.</w:t>
      </w:r>
      <w:r w:rsidR="00025D28" w:rsidRPr="00FF1F9E">
        <w:rPr>
          <w:rFonts w:asciiTheme="majorBidi" w:eastAsiaTheme="minorEastAsia" w:hAnsiTheme="majorBidi" w:cstheme="majorBidi"/>
        </w:rPr>
        <w:t xml:space="preserve"> </w:t>
      </w:r>
      <w:r w:rsidRPr="00467FE6">
        <w:t>2004)</w:t>
      </w:r>
      <w:r w:rsidRPr="00467FE6">
        <w:rPr>
          <w:rFonts w:asciiTheme="majorBidi" w:hAnsiTheme="majorBidi" w:cstheme="majorBidi"/>
        </w:rPr>
        <w:fldChar w:fldCharType="end"/>
      </w:r>
      <w:r w:rsidRPr="00467FE6">
        <w:rPr>
          <w:rFonts w:asciiTheme="majorBidi" w:hAnsiTheme="majorBidi" w:cstheme="majorBidi"/>
        </w:rPr>
        <w:t xml:space="preserve"> and in the United States of America from 2003 to 2013 were 1,189 </w:t>
      </w:r>
      <w:r w:rsidRPr="00467FE6">
        <w:rPr>
          <w:rFonts w:asciiTheme="majorBidi" w:hAnsiTheme="majorBidi" w:cstheme="majorBidi"/>
        </w:rPr>
        <w:fldChar w:fldCharType="begin"/>
      </w:r>
      <w:r w:rsidRPr="00467FE6">
        <w:rPr>
          <w:rFonts w:asciiTheme="majorBidi" w:hAnsiTheme="majorBidi" w:cstheme="majorBidi"/>
        </w:rPr>
        <w:instrText xml:space="preserve"> ADDIN ZOTERO_ITEM CSL_CITATION {"citationID":"l68McnS4","properties":{"formattedCitation":"(Mason, Retzer, Hill, &amp; Lincoln, 2015)","plainCitation":"(Mason, Retzer, Hill, &amp; Lincoln, 2015)","noteIndex":0},"citationItems":[{"id":1316,"uris":["http://zotero.org/users/2699952/items/YSRHYUE2"],"uri":["http://zotero.org/users/2699952/items/YSRHYUE2"],"itemData":{"id":1316,"type":"article-journal","title":"Occupational Fatalities During the Oil and Gas Boom — United States, 2003–2013","container-title":"MMWR. Morbidity and Mortality Weekly Report","page":"551-554","volume":"64","issue":"20","source":"PubMed Central","ISSN":"0149-2195","note":"PMID: 26020138\nPMCID: PMC4584518","journalAbbreviation":"MMWR Morb Mortal Wkly Rep","author":[{"family":"Mason","given":"Krystal L."},{"family":"Retzer","given":"Kyla D."},{"family":"Hill","given":"Ryan"},{"family":"Lincoln","given":"Jennifer M."}],"issued":{"date-parts":[["2015",5,29]]}}}],"schema":"https://github.com/citation-style-language/schema/raw/master/csl-citation.json"} </w:instrText>
      </w:r>
      <w:r w:rsidRPr="00467FE6">
        <w:rPr>
          <w:rFonts w:asciiTheme="majorBidi" w:hAnsiTheme="majorBidi" w:cstheme="majorBidi"/>
        </w:rPr>
        <w:fldChar w:fldCharType="separate"/>
      </w:r>
      <w:r w:rsidRPr="00467FE6">
        <w:t xml:space="preserve">(Mason </w:t>
      </w:r>
      <w:r w:rsidR="00025D28">
        <w:rPr>
          <w:rFonts w:asciiTheme="majorBidi" w:eastAsiaTheme="minorEastAsia" w:hAnsiTheme="majorBidi" w:cstheme="majorBidi"/>
          <w:i/>
        </w:rPr>
        <w:t>et al.</w:t>
      </w:r>
      <w:r w:rsidR="00025D28" w:rsidRPr="00FF1F9E">
        <w:rPr>
          <w:rFonts w:asciiTheme="majorBidi" w:eastAsiaTheme="minorEastAsia" w:hAnsiTheme="majorBidi" w:cstheme="majorBidi"/>
        </w:rPr>
        <w:t xml:space="preserve"> </w:t>
      </w:r>
      <w:r w:rsidRPr="00467FE6">
        <w:t>2015)</w:t>
      </w:r>
      <w:r w:rsidRPr="00467FE6">
        <w:rPr>
          <w:rFonts w:asciiTheme="majorBidi" w:hAnsiTheme="majorBidi" w:cstheme="majorBidi"/>
        </w:rPr>
        <w:fldChar w:fldCharType="end"/>
      </w:r>
      <w:r w:rsidRPr="00467FE6">
        <w:rPr>
          <w:rFonts w:asciiTheme="majorBidi" w:hAnsiTheme="majorBidi" w:cstheme="majorBidi"/>
        </w:rPr>
        <w:t>. Thus, this is again too small to have an appreciable impact on country-level mortality. Moreover, wildfire and especially oil and gas extraction related mortality are more likely to affect adults than children. Therefore, we argue that our instruments are plausibly exogenous</w:t>
      </w:r>
      <w:r w:rsidRPr="00467FE6">
        <w:rPr>
          <w:lang w:val="en-NZ"/>
        </w:rPr>
        <w:t>.</w:t>
      </w:r>
    </w:p>
    <w:p w14:paraId="18F402DD" w14:textId="77777777" w:rsidR="00A52CC9" w:rsidRPr="00467FE6" w:rsidRDefault="00A52CC9" w:rsidP="002E076A">
      <w:pPr>
        <w:tabs>
          <w:tab w:val="left" w:pos="567"/>
        </w:tabs>
        <w:autoSpaceDE w:val="0"/>
        <w:autoSpaceDN w:val="0"/>
        <w:adjustRightInd w:val="0"/>
        <w:spacing w:line="300" w:lineRule="auto"/>
        <w:ind w:firstLine="720"/>
        <w:jc w:val="both"/>
        <w:rPr>
          <w:lang w:val="en-NZ"/>
        </w:rPr>
      </w:pPr>
    </w:p>
    <w:p w14:paraId="25B752B8" w14:textId="13F38CCE" w:rsidR="00A52CC9" w:rsidRPr="00467FE6" w:rsidRDefault="00A52CC9" w:rsidP="002E076A">
      <w:pPr>
        <w:tabs>
          <w:tab w:val="left" w:pos="567"/>
        </w:tabs>
        <w:autoSpaceDE w:val="0"/>
        <w:autoSpaceDN w:val="0"/>
        <w:adjustRightInd w:val="0"/>
        <w:spacing w:line="300" w:lineRule="auto"/>
        <w:ind w:firstLine="720"/>
        <w:jc w:val="both"/>
        <w:rPr>
          <w:lang w:val="en-NZ"/>
        </w:rPr>
      </w:pPr>
      <w:r w:rsidRPr="00467FE6">
        <w:rPr>
          <w:lang w:val="en-NZ"/>
        </w:rPr>
        <w:t>There could be some cause for concern that our instruments are influenced by GDP and are therefore not exogenous in that way. To allay these concerns, we checked the correlation between the instruments and the log of GDP per capita. Table A4 in the appendix shows that only one instrument (log of gas production) is significantly and positively associated with log of GDP per capita. We ran the first</w:t>
      </w:r>
      <w:r w:rsidR="0042061B">
        <w:rPr>
          <w:lang w:val="en-NZ"/>
        </w:rPr>
        <w:t xml:space="preserve"> </w:t>
      </w:r>
      <w:r w:rsidRPr="00467FE6">
        <w:rPr>
          <w:lang w:val="en-NZ"/>
        </w:rPr>
        <w:t>stage regression without log of GDP per capita, and the results are presented in Table A5. The results are not sensitive to the exclusion of log of gas production. Furthermore, the suitability of the instruments was further tested for over-identification and under-identification, as well as for weak instruments.</w:t>
      </w:r>
    </w:p>
    <w:p w14:paraId="3191DF09" w14:textId="77777777" w:rsidR="00A52CC9" w:rsidRPr="00467FE6" w:rsidRDefault="00A52CC9" w:rsidP="002E076A">
      <w:pPr>
        <w:tabs>
          <w:tab w:val="left" w:pos="567"/>
        </w:tabs>
        <w:autoSpaceDE w:val="0"/>
        <w:autoSpaceDN w:val="0"/>
        <w:adjustRightInd w:val="0"/>
        <w:spacing w:line="300" w:lineRule="auto"/>
        <w:ind w:firstLine="720"/>
        <w:jc w:val="both"/>
        <w:rPr>
          <w:lang w:val="en-NZ"/>
        </w:rPr>
      </w:pPr>
    </w:p>
    <w:p w14:paraId="216D6CA5" w14:textId="4A795BB4" w:rsidR="008C02E1" w:rsidRPr="00467FE6" w:rsidRDefault="00A52CC9" w:rsidP="002E076A">
      <w:pPr>
        <w:tabs>
          <w:tab w:val="left" w:pos="567"/>
        </w:tabs>
        <w:autoSpaceDE w:val="0"/>
        <w:autoSpaceDN w:val="0"/>
        <w:adjustRightInd w:val="0"/>
        <w:spacing w:line="300" w:lineRule="auto"/>
        <w:ind w:firstLine="720"/>
        <w:jc w:val="both"/>
        <w:rPr>
          <w:lang w:val="en-NZ"/>
        </w:rPr>
      </w:pPr>
      <w:r w:rsidRPr="00467FE6">
        <w:rPr>
          <w:lang w:val="en-NZ"/>
        </w:rPr>
        <w:t>Finally, we also anticipate medicinal and technological improvements over time could significantly affect mortality rates. Therefore, time fixed effects were included by introducing time dummies for each year in each model</w:t>
      </w:r>
      <w:r w:rsidR="00226636" w:rsidRPr="00467FE6">
        <w:rPr>
          <w:lang w:val="en-NZ"/>
        </w:rPr>
        <w:t>:</w:t>
      </w:r>
    </w:p>
    <w:p w14:paraId="1FD46DD3" w14:textId="77777777" w:rsidR="00C925C5" w:rsidRPr="00467FE6" w:rsidRDefault="00C925C5" w:rsidP="002E076A">
      <w:pPr>
        <w:tabs>
          <w:tab w:val="left" w:pos="567"/>
        </w:tabs>
        <w:autoSpaceDE w:val="0"/>
        <w:autoSpaceDN w:val="0"/>
        <w:adjustRightInd w:val="0"/>
        <w:spacing w:line="300" w:lineRule="auto"/>
        <w:ind w:firstLine="720"/>
        <w:jc w:val="both"/>
        <w:rPr>
          <w:lang w:val="en-NZ"/>
        </w:rPr>
      </w:pPr>
    </w:p>
    <w:p w14:paraId="1F365B85" w14:textId="33860342" w:rsidR="004C466B" w:rsidRPr="00467FE6" w:rsidRDefault="005A611B" w:rsidP="002E076A">
      <w:pPr>
        <w:tabs>
          <w:tab w:val="left" w:pos="567"/>
        </w:tabs>
        <w:autoSpaceDE w:val="0"/>
        <w:autoSpaceDN w:val="0"/>
        <w:adjustRightInd w:val="0"/>
        <w:spacing w:line="300" w:lineRule="auto"/>
        <w:jc w:val="center"/>
        <w:rPr>
          <w:sz w:val="22"/>
          <w:szCs w:val="22"/>
          <w:lang w:val="en-NZ"/>
        </w:rPr>
      </w:pPr>
      <m:oMath>
        <m:sSub>
          <m:sSubPr>
            <m:ctrlPr>
              <w:rPr>
                <w:rFonts w:ascii="Cambria Math" w:hAnsi="Cambria Math"/>
                <w:i/>
                <w:sz w:val="22"/>
                <w:szCs w:val="22"/>
                <w:lang w:val="en-NZ"/>
              </w:rPr>
            </m:ctrlPr>
          </m:sSubPr>
          <m:e>
            <m:r>
              <w:rPr>
                <w:rFonts w:ascii="Cambria Math" w:hAnsi="Cambria Math"/>
                <w:sz w:val="22"/>
                <w:szCs w:val="22"/>
                <w:lang w:val="en-NZ"/>
              </w:rPr>
              <m:t>y</m:t>
            </m:r>
          </m:e>
          <m:sub>
            <m:r>
              <w:rPr>
                <w:rFonts w:ascii="Cambria Math" w:hAnsi="Cambria Math"/>
                <w:sz w:val="22"/>
                <w:szCs w:val="22"/>
                <w:lang w:val="en-NZ"/>
              </w:rPr>
              <m:t>it</m:t>
            </m:r>
          </m:sub>
        </m:sSub>
        <m:r>
          <w:rPr>
            <w:rFonts w:ascii="Cambria Math" w:hAnsi="Cambria Math"/>
            <w:sz w:val="22"/>
            <w:szCs w:val="22"/>
            <w:lang w:val="en-NZ"/>
          </w:rPr>
          <m:t>=</m:t>
        </m:r>
        <m:sSub>
          <m:sSubPr>
            <m:ctrlPr>
              <w:rPr>
                <w:rFonts w:ascii="Cambria Math" w:hAnsi="Cambria Math"/>
                <w:i/>
                <w:sz w:val="22"/>
                <w:szCs w:val="22"/>
                <w:lang w:val="en-NZ"/>
              </w:rPr>
            </m:ctrlPr>
          </m:sSubPr>
          <m:e>
            <m:r>
              <w:rPr>
                <w:rFonts w:ascii="Cambria Math" w:hAnsi="Cambria Math"/>
                <w:sz w:val="22"/>
                <w:szCs w:val="22"/>
                <w:lang w:val="en-NZ"/>
              </w:rPr>
              <m:t>β</m:t>
            </m:r>
          </m:e>
          <m:sub>
            <m:r>
              <w:rPr>
                <w:rFonts w:ascii="Cambria Math" w:hAnsi="Cambria Math"/>
                <w:sz w:val="22"/>
                <w:szCs w:val="22"/>
                <w:lang w:val="en-NZ"/>
              </w:rPr>
              <m:t>1</m:t>
            </m:r>
          </m:sub>
        </m:sSub>
        <m:sSub>
          <m:sSubPr>
            <m:ctrlPr>
              <w:rPr>
                <w:rFonts w:ascii="Cambria Math" w:hAnsi="Cambria Math"/>
                <w:i/>
                <w:sz w:val="22"/>
                <w:szCs w:val="22"/>
                <w:lang w:val="en-NZ"/>
              </w:rPr>
            </m:ctrlPr>
          </m:sSubPr>
          <m:e>
            <m:r>
              <w:rPr>
                <w:rFonts w:ascii="Cambria Math" w:hAnsi="Cambria Math"/>
                <w:sz w:val="22"/>
                <w:szCs w:val="22"/>
                <w:lang w:val="en-NZ"/>
              </w:rPr>
              <m:t>x</m:t>
            </m:r>
          </m:e>
          <m:sub>
            <m:r>
              <w:rPr>
                <w:rFonts w:ascii="Cambria Math" w:hAnsi="Cambria Math"/>
                <w:sz w:val="22"/>
                <w:szCs w:val="22"/>
                <w:lang w:val="en-NZ"/>
              </w:rPr>
              <m:t>it1</m:t>
            </m:r>
          </m:sub>
        </m:sSub>
        <m:r>
          <w:rPr>
            <w:rFonts w:ascii="Cambria Math" w:hAnsi="Cambria Math"/>
            <w:sz w:val="22"/>
            <w:szCs w:val="22"/>
            <w:lang w:val="en-NZ"/>
          </w:rPr>
          <m:t>+</m:t>
        </m:r>
        <m:sSub>
          <m:sSubPr>
            <m:ctrlPr>
              <w:rPr>
                <w:rFonts w:ascii="Cambria Math" w:hAnsi="Cambria Math"/>
                <w:i/>
                <w:sz w:val="22"/>
                <w:szCs w:val="22"/>
                <w:lang w:val="en-NZ"/>
              </w:rPr>
            </m:ctrlPr>
          </m:sSubPr>
          <m:e>
            <m:r>
              <w:rPr>
                <w:rFonts w:ascii="Cambria Math" w:hAnsi="Cambria Math"/>
                <w:sz w:val="22"/>
                <w:szCs w:val="22"/>
                <w:lang w:val="en-NZ"/>
              </w:rPr>
              <m:t>β</m:t>
            </m:r>
          </m:e>
          <m:sub>
            <m:r>
              <w:rPr>
                <w:rFonts w:ascii="Cambria Math" w:hAnsi="Cambria Math"/>
                <w:sz w:val="22"/>
                <w:szCs w:val="22"/>
                <w:lang w:val="en-NZ"/>
              </w:rPr>
              <m:t>2</m:t>
            </m:r>
          </m:sub>
        </m:sSub>
        <m:sSub>
          <m:sSubPr>
            <m:ctrlPr>
              <w:rPr>
                <w:rFonts w:ascii="Cambria Math" w:hAnsi="Cambria Math"/>
                <w:i/>
                <w:sz w:val="22"/>
                <w:szCs w:val="22"/>
                <w:lang w:val="en-NZ"/>
              </w:rPr>
            </m:ctrlPr>
          </m:sSubPr>
          <m:e>
            <m:r>
              <w:rPr>
                <w:rFonts w:ascii="Cambria Math" w:hAnsi="Cambria Math"/>
                <w:sz w:val="22"/>
                <w:szCs w:val="22"/>
                <w:lang w:val="en-NZ"/>
              </w:rPr>
              <m:t>x</m:t>
            </m:r>
          </m:e>
          <m:sub>
            <m:r>
              <w:rPr>
                <w:rFonts w:ascii="Cambria Math" w:hAnsi="Cambria Math"/>
                <w:sz w:val="22"/>
                <w:szCs w:val="22"/>
                <w:lang w:val="en-NZ"/>
              </w:rPr>
              <m:t>it2</m:t>
            </m:r>
          </m:sub>
        </m:sSub>
        <m:r>
          <w:rPr>
            <w:rFonts w:ascii="Cambria Math" w:hAnsi="Cambria Math"/>
            <w:sz w:val="22"/>
            <w:szCs w:val="22"/>
            <w:lang w:val="en-NZ"/>
          </w:rPr>
          <m:t>+</m:t>
        </m:r>
        <m:sSub>
          <m:sSubPr>
            <m:ctrlPr>
              <w:rPr>
                <w:rFonts w:ascii="Cambria Math" w:hAnsi="Cambria Math"/>
                <w:i/>
                <w:sz w:val="22"/>
                <w:szCs w:val="22"/>
                <w:lang w:val="en-NZ"/>
              </w:rPr>
            </m:ctrlPr>
          </m:sSubPr>
          <m:e>
            <m:r>
              <w:rPr>
                <w:rFonts w:ascii="Cambria Math" w:hAnsi="Cambria Math"/>
                <w:sz w:val="22"/>
                <w:szCs w:val="22"/>
                <w:lang w:val="en-NZ"/>
              </w:rPr>
              <m:t>β</m:t>
            </m:r>
          </m:e>
          <m:sub>
            <m:r>
              <w:rPr>
                <w:rFonts w:ascii="Cambria Math" w:hAnsi="Cambria Math"/>
                <w:sz w:val="22"/>
                <w:szCs w:val="22"/>
                <w:lang w:val="en-NZ"/>
              </w:rPr>
              <m:t>3</m:t>
            </m:r>
          </m:sub>
        </m:sSub>
        <m:sSub>
          <m:sSubPr>
            <m:ctrlPr>
              <w:rPr>
                <w:rFonts w:ascii="Cambria Math" w:hAnsi="Cambria Math"/>
                <w:i/>
                <w:sz w:val="22"/>
                <w:szCs w:val="22"/>
                <w:lang w:val="en-NZ"/>
              </w:rPr>
            </m:ctrlPr>
          </m:sSubPr>
          <m:e>
            <m:r>
              <w:rPr>
                <w:rFonts w:ascii="Cambria Math" w:hAnsi="Cambria Math"/>
                <w:sz w:val="22"/>
                <w:szCs w:val="22"/>
                <w:lang w:val="en-NZ"/>
              </w:rPr>
              <m:t>z</m:t>
            </m:r>
          </m:e>
          <m:sub>
            <m:r>
              <w:rPr>
                <w:rFonts w:ascii="Cambria Math" w:hAnsi="Cambria Math"/>
                <w:sz w:val="22"/>
                <w:szCs w:val="22"/>
                <w:lang w:val="en-NZ"/>
              </w:rPr>
              <m:t>it3</m:t>
            </m:r>
          </m:sub>
        </m:sSub>
        <m:r>
          <w:rPr>
            <w:rFonts w:ascii="Cambria Math" w:hAnsi="Cambria Math"/>
            <w:sz w:val="22"/>
            <w:szCs w:val="22"/>
            <w:lang w:val="en-NZ"/>
          </w:rPr>
          <m:t>+</m:t>
        </m:r>
        <m:sSub>
          <m:sSubPr>
            <m:ctrlPr>
              <w:rPr>
                <w:rFonts w:ascii="Cambria Math" w:hAnsi="Cambria Math"/>
                <w:i/>
                <w:sz w:val="22"/>
                <w:szCs w:val="22"/>
                <w:lang w:val="en-NZ"/>
              </w:rPr>
            </m:ctrlPr>
          </m:sSubPr>
          <m:e>
            <m:r>
              <w:rPr>
                <w:rFonts w:ascii="Cambria Math" w:hAnsi="Cambria Math"/>
                <w:sz w:val="22"/>
                <w:szCs w:val="22"/>
                <w:lang w:val="en-NZ"/>
              </w:rPr>
              <m:t>β</m:t>
            </m:r>
          </m:e>
          <m:sub>
            <m:r>
              <w:rPr>
                <w:rFonts w:ascii="Cambria Math" w:hAnsi="Cambria Math"/>
                <w:sz w:val="22"/>
                <w:szCs w:val="22"/>
                <w:lang w:val="en-NZ"/>
              </w:rPr>
              <m:t>3</m:t>
            </m:r>
          </m:sub>
        </m:sSub>
        <m:sSub>
          <m:sSubPr>
            <m:ctrlPr>
              <w:rPr>
                <w:rFonts w:ascii="Cambria Math" w:hAnsi="Cambria Math"/>
                <w:i/>
                <w:sz w:val="22"/>
                <w:szCs w:val="22"/>
                <w:lang w:val="en-NZ"/>
              </w:rPr>
            </m:ctrlPr>
          </m:sSubPr>
          <m:e>
            <m:r>
              <w:rPr>
                <w:rFonts w:ascii="Cambria Math" w:hAnsi="Cambria Math"/>
                <w:sz w:val="22"/>
                <w:szCs w:val="22"/>
                <w:lang w:val="en-NZ"/>
              </w:rPr>
              <m:t>D</m:t>
            </m:r>
          </m:e>
          <m:sub>
            <m:r>
              <w:rPr>
                <w:rFonts w:ascii="Cambria Math" w:hAnsi="Cambria Math"/>
                <w:sz w:val="22"/>
                <w:szCs w:val="22"/>
                <w:lang w:val="en-NZ"/>
              </w:rPr>
              <m:t>it4</m:t>
            </m:r>
          </m:sub>
        </m:sSub>
        <m:r>
          <w:rPr>
            <w:rFonts w:ascii="Cambria Math" w:hAnsi="Cambria Math"/>
            <w:sz w:val="22"/>
            <w:szCs w:val="22"/>
            <w:lang w:val="en-NZ"/>
          </w:rPr>
          <m:t xml:space="preserve"> .... . +</m:t>
        </m:r>
        <m:sSub>
          <m:sSubPr>
            <m:ctrlPr>
              <w:rPr>
                <w:rFonts w:ascii="Cambria Math" w:hAnsi="Cambria Math"/>
                <w:i/>
                <w:sz w:val="22"/>
                <w:szCs w:val="22"/>
                <w:lang w:val="en-NZ"/>
              </w:rPr>
            </m:ctrlPr>
          </m:sSubPr>
          <m:e>
            <m:r>
              <w:rPr>
                <w:rFonts w:ascii="Cambria Math" w:hAnsi="Cambria Math"/>
                <w:sz w:val="22"/>
                <w:szCs w:val="22"/>
                <w:lang w:val="en-NZ"/>
              </w:rPr>
              <m:t>β</m:t>
            </m:r>
          </m:e>
          <m:sub>
            <m:r>
              <w:rPr>
                <w:rFonts w:ascii="Cambria Math" w:hAnsi="Cambria Math"/>
                <w:sz w:val="22"/>
                <w:szCs w:val="22"/>
                <w:lang w:val="en-NZ"/>
              </w:rPr>
              <m:t>k</m:t>
            </m:r>
          </m:sub>
        </m:sSub>
        <m:sSub>
          <m:sSubPr>
            <m:ctrlPr>
              <w:rPr>
                <w:rFonts w:ascii="Cambria Math" w:hAnsi="Cambria Math"/>
                <w:i/>
                <w:sz w:val="22"/>
                <w:szCs w:val="22"/>
                <w:lang w:val="en-NZ"/>
              </w:rPr>
            </m:ctrlPr>
          </m:sSubPr>
          <m:e>
            <m:r>
              <w:rPr>
                <w:rFonts w:ascii="Cambria Math" w:hAnsi="Cambria Math"/>
                <w:sz w:val="22"/>
                <w:szCs w:val="22"/>
                <w:lang w:val="en-NZ"/>
              </w:rPr>
              <m:t>x</m:t>
            </m:r>
          </m:e>
          <m:sub>
            <m:r>
              <w:rPr>
                <w:rFonts w:ascii="Cambria Math" w:hAnsi="Cambria Math"/>
                <w:sz w:val="22"/>
                <w:szCs w:val="22"/>
                <w:lang w:val="en-NZ"/>
              </w:rPr>
              <m:t>itk</m:t>
            </m:r>
          </m:sub>
        </m:sSub>
        <m:r>
          <w:rPr>
            <w:rFonts w:ascii="Cambria Math" w:hAnsi="Cambria Math"/>
            <w:sz w:val="22"/>
            <w:szCs w:val="22"/>
            <w:lang w:val="en-NZ"/>
          </w:rPr>
          <m:t>+</m:t>
        </m:r>
        <m:sSub>
          <m:sSubPr>
            <m:ctrlPr>
              <w:rPr>
                <w:rFonts w:ascii="Cambria Math" w:hAnsi="Cambria Math"/>
                <w:i/>
                <w:sz w:val="22"/>
                <w:szCs w:val="22"/>
                <w:lang w:val="en-NZ"/>
              </w:rPr>
            </m:ctrlPr>
          </m:sSubPr>
          <m:e>
            <m:r>
              <w:rPr>
                <w:rFonts w:ascii="Cambria Math" w:hAnsi="Cambria Math"/>
                <w:sz w:val="22"/>
                <w:szCs w:val="22"/>
                <w:lang w:val="en-NZ"/>
              </w:rPr>
              <m:t>a</m:t>
            </m:r>
          </m:e>
          <m:sub>
            <m:r>
              <w:rPr>
                <w:rFonts w:ascii="Cambria Math" w:hAnsi="Cambria Math"/>
                <w:sz w:val="22"/>
                <w:szCs w:val="22"/>
                <w:lang w:val="en-NZ"/>
              </w:rPr>
              <m:t>i</m:t>
            </m:r>
          </m:sub>
        </m:sSub>
        <m:r>
          <w:rPr>
            <w:rFonts w:ascii="Cambria Math" w:hAnsi="Cambria Math"/>
            <w:sz w:val="22"/>
            <w:szCs w:val="22"/>
            <w:lang w:val="en-NZ"/>
          </w:rPr>
          <m:t>+</m:t>
        </m:r>
        <m:sSub>
          <m:sSubPr>
            <m:ctrlPr>
              <w:rPr>
                <w:rFonts w:ascii="Cambria Math" w:hAnsi="Cambria Math"/>
                <w:i/>
                <w:sz w:val="22"/>
                <w:szCs w:val="22"/>
                <w:lang w:val="en-NZ"/>
              </w:rPr>
            </m:ctrlPr>
          </m:sSubPr>
          <m:e>
            <m:r>
              <w:rPr>
                <w:rFonts w:ascii="Cambria Math" w:hAnsi="Cambria Math"/>
                <w:sz w:val="22"/>
                <w:szCs w:val="22"/>
                <w:lang w:val="en-NZ"/>
              </w:rPr>
              <m:t>u</m:t>
            </m:r>
          </m:e>
          <m:sub>
            <m:r>
              <w:rPr>
                <w:rFonts w:ascii="Cambria Math" w:hAnsi="Cambria Math"/>
                <w:sz w:val="22"/>
                <w:szCs w:val="22"/>
                <w:lang w:val="en-NZ"/>
              </w:rPr>
              <m:t xml:space="preserve">it </m:t>
            </m:r>
          </m:sub>
        </m:sSub>
        <m:r>
          <w:rPr>
            <w:rFonts w:ascii="Cambria Math" w:hAnsi="Cambria Math"/>
            <w:sz w:val="22"/>
            <w:szCs w:val="22"/>
            <w:lang w:val="en-NZ"/>
          </w:rPr>
          <m:t>,         t=1,2,3,...T</m:t>
        </m:r>
      </m:oMath>
      <w:r w:rsidR="00E956F3" w:rsidRPr="00467FE6">
        <w:rPr>
          <w:sz w:val="22"/>
          <w:szCs w:val="22"/>
          <w:lang w:val="en-NZ"/>
        </w:rPr>
        <w:tab/>
        <w:t>(3</w:t>
      </w:r>
      <w:r w:rsidR="004C466B" w:rsidRPr="00467FE6">
        <w:rPr>
          <w:sz w:val="22"/>
          <w:szCs w:val="22"/>
          <w:lang w:val="en-NZ"/>
        </w:rPr>
        <w:t>)</w:t>
      </w:r>
    </w:p>
    <w:p w14:paraId="3737D005" w14:textId="392F142F" w:rsidR="00C925C5" w:rsidRPr="00467FE6" w:rsidRDefault="00C925C5" w:rsidP="002E076A">
      <w:pPr>
        <w:tabs>
          <w:tab w:val="left" w:pos="567"/>
        </w:tabs>
        <w:autoSpaceDE w:val="0"/>
        <w:autoSpaceDN w:val="0"/>
        <w:adjustRightInd w:val="0"/>
        <w:spacing w:line="300" w:lineRule="auto"/>
        <w:jc w:val="center"/>
        <w:rPr>
          <w:lang w:val="en-NZ"/>
        </w:rPr>
      </w:pPr>
    </w:p>
    <w:p w14:paraId="5E262E75" w14:textId="77777777" w:rsidR="00A52CC9" w:rsidRPr="00467FE6" w:rsidRDefault="00A52CC9" w:rsidP="002E076A">
      <w:pPr>
        <w:tabs>
          <w:tab w:val="left" w:pos="567"/>
        </w:tabs>
        <w:autoSpaceDE w:val="0"/>
        <w:autoSpaceDN w:val="0"/>
        <w:adjustRightInd w:val="0"/>
        <w:spacing w:line="300" w:lineRule="auto"/>
        <w:jc w:val="center"/>
        <w:rPr>
          <w:lang w:val="en-NZ"/>
        </w:rPr>
      </w:pPr>
    </w:p>
    <w:p w14:paraId="07FB910C" w14:textId="5CD1372F" w:rsidR="001F2E70" w:rsidRPr="00467FE6" w:rsidRDefault="009275A6" w:rsidP="002E076A">
      <w:pPr>
        <w:pStyle w:val="Heading1"/>
        <w:numPr>
          <w:ilvl w:val="0"/>
          <w:numId w:val="20"/>
        </w:numPr>
        <w:tabs>
          <w:tab w:val="left" w:pos="567"/>
        </w:tabs>
        <w:spacing w:before="0" w:line="300" w:lineRule="auto"/>
        <w:rPr>
          <w:rFonts w:ascii="Times New Roman" w:eastAsia="Times New Roman" w:hAnsi="Times New Roman" w:cs="Times New Roman"/>
          <w:sz w:val="24"/>
          <w:szCs w:val="24"/>
          <w:lang w:val="en-NZ"/>
        </w:rPr>
      </w:pPr>
      <w:r w:rsidRPr="00467FE6">
        <w:rPr>
          <w:rFonts w:ascii="Times New Roman" w:eastAsia="Times New Roman" w:hAnsi="Times New Roman" w:cs="Times New Roman"/>
          <w:sz w:val="24"/>
          <w:szCs w:val="24"/>
          <w:lang w:val="en-NZ"/>
        </w:rPr>
        <w:lastRenderedPageBreak/>
        <w:t>R</w:t>
      </w:r>
      <w:r w:rsidR="00916D80" w:rsidRPr="00467FE6">
        <w:rPr>
          <w:rFonts w:ascii="Times New Roman" w:eastAsia="Times New Roman" w:hAnsi="Times New Roman" w:cs="Times New Roman"/>
          <w:sz w:val="24"/>
          <w:szCs w:val="24"/>
          <w:lang w:val="en-NZ"/>
        </w:rPr>
        <w:t>esults and Discussion</w:t>
      </w:r>
    </w:p>
    <w:p w14:paraId="47AD3CD0" w14:textId="77777777" w:rsidR="00916D80" w:rsidRPr="00467FE6" w:rsidRDefault="00916D80" w:rsidP="002E076A">
      <w:pPr>
        <w:tabs>
          <w:tab w:val="left" w:pos="567"/>
        </w:tabs>
        <w:spacing w:line="300" w:lineRule="auto"/>
        <w:jc w:val="both"/>
        <w:rPr>
          <w:sz w:val="12"/>
          <w:szCs w:val="12"/>
          <w:lang w:val="en-NZ"/>
        </w:rPr>
      </w:pPr>
    </w:p>
    <w:p w14:paraId="58F8263D" w14:textId="08519816" w:rsidR="00C030C2" w:rsidRPr="00467FE6" w:rsidRDefault="00C030C2" w:rsidP="002E076A">
      <w:pPr>
        <w:tabs>
          <w:tab w:val="left" w:pos="567"/>
        </w:tabs>
        <w:spacing w:line="300" w:lineRule="auto"/>
        <w:jc w:val="both"/>
        <w:rPr>
          <w:lang w:val="en-NZ"/>
        </w:rPr>
      </w:pPr>
      <w:r w:rsidRPr="00467FE6">
        <w:rPr>
          <w:lang w:val="en-NZ"/>
        </w:rPr>
        <w:t xml:space="preserve">With the exception of the model for life expectancy for both genders combined, </w:t>
      </w:r>
      <w:r w:rsidR="00967FC1" w:rsidRPr="00467FE6">
        <w:rPr>
          <w:lang w:val="en-NZ"/>
        </w:rPr>
        <w:t xml:space="preserve">the </w:t>
      </w:r>
      <w:r w:rsidRPr="00467FE6">
        <w:rPr>
          <w:lang w:val="en-NZ"/>
        </w:rPr>
        <w:t>Hausman test suggested that the fixed effect model</w:t>
      </w:r>
      <w:r w:rsidR="006C25B1" w:rsidRPr="00467FE6">
        <w:rPr>
          <w:lang w:val="en-NZ"/>
        </w:rPr>
        <w:t>s</w:t>
      </w:r>
      <w:r w:rsidRPr="00467FE6">
        <w:rPr>
          <w:lang w:val="en-NZ"/>
        </w:rPr>
        <w:t xml:space="preserve"> </w:t>
      </w:r>
      <w:r w:rsidR="0044110D" w:rsidRPr="00467FE6">
        <w:rPr>
          <w:lang w:val="en-NZ"/>
        </w:rPr>
        <w:t>i</w:t>
      </w:r>
      <w:r w:rsidRPr="00467FE6">
        <w:rPr>
          <w:lang w:val="en-NZ"/>
        </w:rPr>
        <w:t>s the appropriate specification</w:t>
      </w:r>
      <w:r w:rsidR="00967FC1" w:rsidRPr="00467FE6">
        <w:rPr>
          <w:lang w:val="en-NZ"/>
        </w:rPr>
        <w:t>.</w:t>
      </w:r>
      <w:r w:rsidR="00BB43DA" w:rsidRPr="00467FE6">
        <w:rPr>
          <w:rStyle w:val="FootnoteReference"/>
          <w:lang w:val="en-NZ"/>
        </w:rPr>
        <w:footnoteReference w:id="8"/>
      </w:r>
      <w:r w:rsidRPr="00467FE6">
        <w:rPr>
          <w:lang w:val="en-NZ"/>
        </w:rPr>
        <w:t xml:space="preserve"> However, for simplicity</w:t>
      </w:r>
      <w:r w:rsidR="0044110D" w:rsidRPr="00467FE6">
        <w:rPr>
          <w:lang w:val="en-NZ"/>
        </w:rPr>
        <w:t>,</w:t>
      </w:r>
      <w:r w:rsidRPr="00467FE6">
        <w:rPr>
          <w:lang w:val="en-NZ"/>
        </w:rPr>
        <w:t xml:space="preserve"> Table </w:t>
      </w:r>
      <w:r w:rsidR="00942F5A" w:rsidRPr="00467FE6">
        <w:rPr>
          <w:lang w:val="en-NZ"/>
        </w:rPr>
        <w:t>2</w:t>
      </w:r>
      <w:r w:rsidRPr="00467FE6">
        <w:rPr>
          <w:lang w:val="en-NZ"/>
        </w:rPr>
        <w:t xml:space="preserve"> presents the results of fixed effects models for all dependent variables (the random effects model for life expectancy</w:t>
      </w:r>
      <w:r w:rsidR="00A6373D" w:rsidRPr="00467FE6">
        <w:rPr>
          <w:lang w:val="en-NZ"/>
        </w:rPr>
        <w:t xml:space="preserve"> at birth</w:t>
      </w:r>
      <w:r w:rsidRPr="00467FE6">
        <w:rPr>
          <w:lang w:val="en-NZ"/>
        </w:rPr>
        <w:t xml:space="preserve"> for both genders combined is included in Table A1 in the appendix). </w:t>
      </w:r>
    </w:p>
    <w:p w14:paraId="341D78F8" w14:textId="77777777" w:rsidR="00C925C5" w:rsidRPr="00467FE6" w:rsidRDefault="00C925C5" w:rsidP="002E076A">
      <w:pPr>
        <w:tabs>
          <w:tab w:val="left" w:pos="567"/>
        </w:tabs>
        <w:spacing w:line="300" w:lineRule="auto"/>
        <w:jc w:val="both"/>
        <w:rPr>
          <w:lang w:val="en-NZ"/>
        </w:rPr>
      </w:pPr>
    </w:p>
    <w:p w14:paraId="458D8475" w14:textId="69B69EC7" w:rsidR="001A1E05" w:rsidRPr="00467FE6" w:rsidRDefault="00C030C2" w:rsidP="002E076A">
      <w:pPr>
        <w:tabs>
          <w:tab w:val="left" w:pos="567"/>
        </w:tabs>
        <w:spacing w:line="300" w:lineRule="auto"/>
        <w:ind w:firstLine="720"/>
        <w:jc w:val="both"/>
        <w:rPr>
          <w:lang w:val="en-NZ"/>
        </w:rPr>
      </w:pPr>
      <w:r w:rsidRPr="00467FE6">
        <w:rPr>
          <w:lang w:val="en-NZ"/>
        </w:rPr>
        <w:t xml:space="preserve">In all models, the percentage of solid fuel consumption </w:t>
      </w:r>
      <w:r w:rsidR="00967FC1" w:rsidRPr="00467FE6">
        <w:rPr>
          <w:lang w:val="en-NZ"/>
        </w:rPr>
        <w:t xml:space="preserve">is </w:t>
      </w:r>
      <w:r w:rsidRPr="00467FE6">
        <w:rPr>
          <w:lang w:val="en-NZ"/>
        </w:rPr>
        <w:t xml:space="preserve">statistically significant with the expected sign. Solid fuel consumption </w:t>
      </w:r>
      <w:r w:rsidR="00A24157" w:rsidRPr="00467FE6">
        <w:rPr>
          <w:lang w:val="en-NZ"/>
        </w:rPr>
        <w:t xml:space="preserve">is </w:t>
      </w:r>
      <w:r w:rsidRPr="00467FE6">
        <w:rPr>
          <w:lang w:val="en-NZ"/>
        </w:rPr>
        <w:t>significantly and positively associated with both infant and child mortality</w:t>
      </w:r>
      <w:r w:rsidR="00A24157" w:rsidRPr="00467FE6">
        <w:rPr>
          <w:lang w:val="en-NZ"/>
        </w:rPr>
        <w:t>.</w:t>
      </w:r>
      <w:r w:rsidRPr="00467FE6">
        <w:rPr>
          <w:lang w:val="en-NZ"/>
        </w:rPr>
        <w:t xml:space="preserve"> </w:t>
      </w:r>
      <w:r w:rsidR="00967FC1" w:rsidRPr="00467FE6">
        <w:rPr>
          <w:lang w:val="en-NZ"/>
        </w:rPr>
        <w:t xml:space="preserve">These </w:t>
      </w:r>
      <w:r w:rsidRPr="00467FE6">
        <w:rPr>
          <w:lang w:val="en-NZ"/>
        </w:rPr>
        <w:t>finding</w:t>
      </w:r>
      <w:r w:rsidR="00A24157" w:rsidRPr="00467FE6">
        <w:rPr>
          <w:lang w:val="en-NZ"/>
        </w:rPr>
        <w:t>s</w:t>
      </w:r>
      <w:r w:rsidRPr="00467FE6">
        <w:rPr>
          <w:lang w:val="en-NZ"/>
        </w:rPr>
        <w:t xml:space="preserve"> are consistent with</w:t>
      </w:r>
      <w:r w:rsidR="00A24157" w:rsidRPr="00467FE6">
        <w:rPr>
          <w:lang w:val="en-NZ"/>
        </w:rPr>
        <w:t xml:space="preserve"> the earlier results of</w:t>
      </w:r>
      <w:r w:rsidRPr="00467FE6">
        <w:rPr>
          <w:lang w:val="en-NZ"/>
        </w:rPr>
        <w:t xml:space="preserve"> </w:t>
      </w:r>
      <w:r w:rsidRPr="00467FE6">
        <w:rPr>
          <w:rFonts w:eastAsiaTheme="minorEastAsia"/>
        </w:rPr>
        <w:fldChar w:fldCharType="begin"/>
      </w:r>
      <w:r w:rsidR="00E23A86" w:rsidRPr="00467FE6">
        <w:rPr>
          <w:rFonts w:eastAsiaTheme="minorEastAsia"/>
        </w:rPr>
        <w:instrText xml:space="preserve"> ADDIN ZOTERO_ITEM CSL_CITATION {"citationID":"uEkuGQuD","properties":{"formattedCitation":"(Bloom et al., 2005)","plainCitation":"(Bloom et al., 2005)","dontUpdate":true,"noteIndex":0},"citationItems":[{"id":"XF3UMsM7/Hvu2hcCO","uris":["http://zotero.org/users/2699952/items/33676HB6"],"uri":["http://zotero.org/users/2699952/items/33676HB6"],"itemData":{"id":227,"type":"article-journal","title":"The demographic impact of biomass fuel use","container-title":"Energy for Sustainable Development","page":"40-48","volume":"9","issue":"3","source":"ScienceDirect","abstract":"Over 50% of the world's population still relies upon traditional biomass fuel to fulfill its energy needs. This paper examines the serious health, gender, and demographic consequences of traditional biomass fuel use. We hypothesize that exposure to indoor air pollution in the form of particulate smoke generated by burning biomass may lead to high levels of infant and child mortality from acute respiratory infections and through other mechanisms. Using national data to make crosscountry comparisons, we show that biomass fuel consumption is highly correlated with infant and child mortality rates, even after controlling for income, education, and other variables. While our analysis does not assess whether the relationship is causal, the empirical evidence suggests that traditional energy use patterns are associated with high mortality rates in developing countries that rely heavily on biomass fuels. High mortality rates may, in turn, lead to high levels of fertility because of both the “need” to replace children and risk aversion. The effect on fertility may be compounded by the utility derived from children's important labor contributions in gathering biomass fuel. Thus, the use of traditional biomass fuels may delay the demographic transition from patterns of high mortality-high fertility to patterns of low mortality-low fertility. These findings have important implications for the development of strategies to improve the quality of rural life and alleviate poverty in developing countries.","DOI":"10.1016/S0973-0826(08)60522-0","ISSN":"0973-0826","journalAbbreviation":"Energy for Sustainable Development","author":[{"family":"Bloom","given":"David E."},{"family":"Zaidi","given":"Anita K. M."},{"family":"Yeh","given":"Ethan"}],"issued":{"date-parts":[["2005",9]]}}}],"schema":"https://github.com/citation-style-language/schema/raw/master/csl-citation.json"} </w:instrText>
      </w:r>
      <w:r w:rsidRPr="00467FE6">
        <w:rPr>
          <w:rFonts w:eastAsiaTheme="minorEastAsia"/>
        </w:rPr>
        <w:fldChar w:fldCharType="separate"/>
      </w:r>
      <w:r w:rsidRPr="00467FE6">
        <w:rPr>
          <w:rFonts w:eastAsiaTheme="minorEastAsia"/>
        </w:rPr>
        <w:t>Bloom et al. (2005)</w:t>
      </w:r>
      <w:r w:rsidRPr="00467FE6">
        <w:rPr>
          <w:rFonts w:eastAsiaTheme="minorEastAsia"/>
        </w:rPr>
        <w:fldChar w:fldCharType="end"/>
      </w:r>
      <w:r w:rsidR="00A24157" w:rsidRPr="00467FE6">
        <w:rPr>
          <w:rFonts w:eastAsiaTheme="minorEastAsia"/>
        </w:rPr>
        <w:t>, albeit our results use panel rather than cross-sectional data</w:t>
      </w:r>
      <w:r w:rsidRPr="00467FE6">
        <w:rPr>
          <w:lang w:val="en-NZ"/>
        </w:rPr>
        <w:t xml:space="preserve">. A </w:t>
      </w:r>
      <w:r w:rsidR="00E956F3" w:rsidRPr="00467FE6">
        <w:rPr>
          <w:lang w:val="en-NZ"/>
        </w:rPr>
        <w:t>one-percentage</w:t>
      </w:r>
      <w:r w:rsidRPr="00467FE6">
        <w:rPr>
          <w:lang w:val="en-NZ"/>
        </w:rPr>
        <w:t xml:space="preserve"> point</w:t>
      </w:r>
      <w:r w:rsidR="00967FC1" w:rsidRPr="00467FE6">
        <w:rPr>
          <w:lang w:val="en-NZ"/>
        </w:rPr>
        <w:t xml:space="preserve"> higher</w:t>
      </w:r>
      <w:r w:rsidRPr="00467FE6">
        <w:rPr>
          <w:lang w:val="en-NZ"/>
        </w:rPr>
        <w:t xml:space="preserve"> </w:t>
      </w:r>
      <w:r w:rsidR="00A24157" w:rsidRPr="00467FE6">
        <w:rPr>
          <w:lang w:val="en-NZ"/>
        </w:rPr>
        <w:t>proportion of household</w:t>
      </w:r>
      <w:r w:rsidRPr="00467FE6">
        <w:rPr>
          <w:lang w:val="en-NZ"/>
        </w:rPr>
        <w:t xml:space="preserve"> solid fuel use at the national level </w:t>
      </w:r>
      <w:r w:rsidR="00A24157" w:rsidRPr="00467FE6">
        <w:rPr>
          <w:lang w:val="en-NZ"/>
        </w:rPr>
        <w:t xml:space="preserve">is </w:t>
      </w:r>
      <w:r w:rsidRPr="00467FE6">
        <w:rPr>
          <w:lang w:val="en-NZ"/>
        </w:rPr>
        <w:t xml:space="preserve">associated with </w:t>
      </w:r>
      <w:r w:rsidR="00A24157" w:rsidRPr="00467FE6">
        <w:rPr>
          <w:lang w:val="en-NZ"/>
        </w:rPr>
        <w:t xml:space="preserve">a </w:t>
      </w:r>
      <w:r w:rsidR="009E2FBB" w:rsidRPr="00467FE6">
        <w:rPr>
          <w:lang w:val="en-NZ"/>
        </w:rPr>
        <w:t>0.27 per thousand</w:t>
      </w:r>
      <w:r w:rsidRPr="00467FE6">
        <w:rPr>
          <w:lang w:val="en-NZ"/>
        </w:rPr>
        <w:t xml:space="preserve"> higher infant mortality rate and </w:t>
      </w:r>
      <w:r w:rsidR="00A24157" w:rsidRPr="00467FE6">
        <w:rPr>
          <w:lang w:val="en-NZ"/>
        </w:rPr>
        <w:t xml:space="preserve">a </w:t>
      </w:r>
      <w:r w:rsidRPr="00467FE6">
        <w:rPr>
          <w:lang w:val="en-NZ"/>
        </w:rPr>
        <w:t>0.53 per</w:t>
      </w:r>
      <w:r w:rsidR="009E2FBB" w:rsidRPr="00467FE6">
        <w:rPr>
          <w:lang w:val="en-NZ"/>
        </w:rPr>
        <w:t xml:space="preserve"> thousand</w:t>
      </w:r>
      <w:r w:rsidRPr="00467FE6">
        <w:rPr>
          <w:lang w:val="en-NZ"/>
        </w:rPr>
        <w:t xml:space="preserve"> higher child mortality rate.</w:t>
      </w:r>
      <w:r w:rsidR="006C25B1" w:rsidRPr="00467FE6">
        <w:rPr>
          <w:lang w:val="en-NZ"/>
        </w:rPr>
        <w:t xml:space="preserve"> </w:t>
      </w:r>
    </w:p>
    <w:p w14:paraId="1DF62C96" w14:textId="77777777" w:rsidR="00C925C5" w:rsidRPr="00467FE6" w:rsidRDefault="00C925C5" w:rsidP="002E076A">
      <w:pPr>
        <w:tabs>
          <w:tab w:val="left" w:pos="567"/>
        </w:tabs>
        <w:spacing w:line="300" w:lineRule="auto"/>
        <w:ind w:firstLine="720"/>
        <w:jc w:val="both"/>
        <w:rPr>
          <w:lang w:val="en-NZ"/>
        </w:rPr>
      </w:pPr>
    </w:p>
    <w:p w14:paraId="233F5885" w14:textId="3428F220" w:rsidR="00C030C2" w:rsidRPr="00467FE6" w:rsidRDefault="00467FE6" w:rsidP="002E076A">
      <w:pPr>
        <w:tabs>
          <w:tab w:val="left" w:pos="567"/>
        </w:tabs>
        <w:spacing w:line="300" w:lineRule="auto"/>
        <w:ind w:firstLine="720"/>
        <w:jc w:val="both"/>
        <w:rPr>
          <w:lang w:val="en-NZ"/>
        </w:rPr>
      </w:pPr>
      <w:r w:rsidRPr="00467FE6">
        <w:rPr>
          <w:lang w:val="en-NZ"/>
        </w:rPr>
        <w:t xml:space="preserve">Interestingly, female education has a negative association with child mortality, but male education is positively associated with both infant and child mortality. Our findings in this respect are completely the opposite to Bloom </w:t>
      </w:r>
      <w:r w:rsidR="00532B57">
        <w:rPr>
          <w:rFonts w:asciiTheme="majorBidi" w:eastAsiaTheme="minorEastAsia" w:hAnsiTheme="majorBidi" w:cstheme="majorBidi"/>
          <w:i/>
        </w:rPr>
        <w:t>et al.</w:t>
      </w:r>
      <w:r w:rsidR="00532B57" w:rsidRPr="00FF1F9E">
        <w:rPr>
          <w:rFonts w:asciiTheme="majorBidi" w:eastAsiaTheme="minorEastAsia" w:hAnsiTheme="majorBidi" w:cstheme="majorBidi"/>
        </w:rPr>
        <w:t xml:space="preserve"> </w:t>
      </w:r>
      <w:r w:rsidRPr="00467FE6">
        <w:rPr>
          <w:lang w:val="en-NZ"/>
        </w:rPr>
        <w:t xml:space="preserve"> (2005), as they found that female education was positively and male education negatively associated with infant and child mortality. Similarly, female education was positively and significantly associated with life expectancy, but surprisingly male education was negatively associated with life expectancy. Here again, our results are completely opposite to the findings of Bloom </w:t>
      </w:r>
      <w:r w:rsidR="00532B57">
        <w:rPr>
          <w:rFonts w:asciiTheme="majorBidi" w:eastAsiaTheme="minorEastAsia" w:hAnsiTheme="majorBidi" w:cstheme="majorBidi"/>
          <w:i/>
        </w:rPr>
        <w:t>et al.</w:t>
      </w:r>
      <w:r w:rsidR="00532B57" w:rsidRPr="00FF1F9E">
        <w:rPr>
          <w:rFonts w:asciiTheme="majorBidi" w:eastAsiaTheme="minorEastAsia" w:hAnsiTheme="majorBidi" w:cstheme="majorBidi"/>
        </w:rPr>
        <w:t xml:space="preserve"> </w:t>
      </w:r>
      <w:r w:rsidRPr="00467FE6">
        <w:rPr>
          <w:lang w:val="en-NZ"/>
        </w:rPr>
        <w:t>(2005). Higher female education (but not male education) is associated with lower solid fuel consumption (</w:t>
      </w:r>
      <w:proofErr w:type="spellStart"/>
      <w:r w:rsidRPr="00467FE6">
        <w:rPr>
          <w:lang w:val="en-NZ"/>
        </w:rPr>
        <w:t>Pundo</w:t>
      </w:r>
      <w:proofErr w:type="spellEnd"/>
      <w:r w:rsidRPr="00467FE6">
        <w:rPr>
          <w:lang w:val="en-NZ"/>
        </w:rPr>
        <w:t xml:space="preserve"> and Fraser 2006</w:t>
      </w:r>
      <w:r w:rsidR="00532B57">
        <w:rPr>
          <w:lang w:val="en-NZ"/>
        </w:rPr>
        <w:t>,</w:t>
      </w:r>
      <w:r w:rsidRPr="00467FE6">
        <w:rPr>
          <w:lang w:val="en-NZ"/>
        </w:rPr>
        <w:t xml:space="preserve"> Acharya </w:t>
      </w:r>
      <w:r w:rsidR="00532B57">
        <w:rPr>
          <w:rFonts w:asciiTheme="majorBidi" w:eastAsiaTheme="minorEastAsia" w:hAnsiTheme="majorBidi" w:cstheme="majorBidi"/>
          <w:i/>
        </w:rPr>
        <w:t>et al.</w:t>
      </w:r>
      <w:r w:rsidR="00532B57">
        <w:rPr>
          <w:rFonts w:asciiTheme="majorBidi" w:eastAsiaTheme="minorEastAsia" w:hAnsiTheme="majorBidi" w:cstheme="majorBidi"/>
        </w:rPr>
        <w:t xml:space="preserve"> </w:t>
      </w:r>
      <w:r w:rsidRPr="00467FE6">
        <w:rPr>
          <w:lang w:val="en-NZ"/>
        </w:rPr>
        <w:t>2014), which may explain these results. Alternatively, the endogeneity of solid fuel consumption may be causing these unexpected results</w:t>
      </w:r>
      <w:r w:rsidR="00967FC1" w:rsidRPr="00467FE6">
        <w:rPr>
          <w:lang w:val="en-NZ"/>
        </w:rPr>
        <w:t>.</w:t>
      </w:r>
      <w:r w:rsidR="00C030C2" w:rsidRPr="00467FE6">
        <w:rPr>
          <w:lang w:val="en-NZ"/>
        </w:rPr>
        <w:t xml:space="preserve"> </w:t>
      </w:r>
    </w:p>
    <w:p w14:paraId="7F6AB690" w14:textId="77777777" w:rsidR="00467FE6" w:rsidRPr="00467FE6" w:rsidRDefault="00467FE6" w:rsidP="002E076A">
      <w:pPr>
        <w:tabs>
          <w:tab w:val="left" w:pos="567"/>
        </w:tabs>
        <w:spacing w:line="300" w:lineRule="auto"/>
        <w:ind w:firstLine="720"/>
        <w:jc w:val="both"/>
        <w:rPr>
          <w:lang w:val="en-NZ"/>
        </w:rPr>
      </w:pPr>
    </w:p>
    <w:p w14:paraId="5033B9F0" w14:textId="21D326E6" w:rsidR="00C030C2" w:rsidRPr="00467FE6" w:rsidRDefault="00467FE6" w:rsidP="002E076A">
      <w:pPr>
        <w:tabs>
          <w:tab w:val="left" w:pos="567"/>
        </w:tabs>
        <w:spacing w:line="300" w:lineRule="auto"/>
        <w:ind w:firstLine="720"/>
        <w:jc w:val="both"/>
        <w:rPr>
          <w:rFonts w:eastAsiaTheme="minorEastAsia"/>
          <w:lang w:val="en-NZ"/>
        </w:rPr>
      </w:pPr>
      <w:r w:rsidRPr="00467FE6">
        <w:rPr>
          <w:lang w:val="en-NZ"/>
        </w:rPr>
        <w:t xml:space="preserve">As expected, per capita GDP and urbanization were both significantly negatively associated with infant and child mortality, and significantly positively associated with life expectancy.  These findings are consistent with the earlier cross-sectional analysis of Bloom et al. (2005). Higher income countries generally provide people with better access to higher quality medical facilities and have more robust health systems, and people in urban areas typically have better access to medical care. We also ran all fixed effect models with the 101 countries that have complete data on the instruments. The sign of the coefficients </w:t>
      </w:r>
      <w:proofErr w:type="gramStart"/>
      <w:r w:rsidRPr="00467FE6">
        <w:rPr>
          <w:lang w:val="en-NZ"/>
        </w:rPr>
        <w:t>are</w:t>
      </w:r>
      <w:proofErr w:type="gramEnd"/>
      <w:r w:rsidRPr="00467FE6">
        <w:rPr>
          <w:lang w:val="en-NZ"/>
        </w:rPr>
        <w:t xml:space="preserve"> the same </w:t>
      </w:r>
      <w:r w:rsidR="0042061B">
        <w:rPr>
          <w:lang w:val="en-NZ"/>
        </w:rPr>
        <w:t xml:space="preserve">with </w:t>
      </w:r>
      <w:r w:rsidRPr="00467FE6">
        <w:rPr>
          <w:lang w:val="en-NZ"/>
        </w:rPr>
        <w:t xml:space="preserve">these results presented in Table A3 in the </w:t>
      </w:r>
      <w:r w:rsidR="0042061B">
        <w:rPr>
          <w:lang w:val="en-NZ"/>
        </w:rPr>
        <w:t>a</w:t>
      </w:r>
      <w:r w:rsidRPr="00467FE6">
        <w:rPr>
          <w:lang w:val="en-NZ"/>
        </w:rPr>
        <w:t>ppendix</w:t>
      </w:r>
      <w:r w:rsidR="00226636" w:rsidRPr="00467FE6">
        <w:rPr>
          <w:rFonts w:eastAsiaTheme="minorEastAsia"/>
          <w:lang w:val="en-NZ"/>
        </w:rPr>
        <w:t>.</w:t>
      </w:r>
    </w:p>
    <w:p w14:paraId="667CC238" w14:textId="07118E24" w:rsidR="00FF1F9E" w:rsidRPr="00467FE6" w:rsidRDefault="00FF1F9E" w:rsidP="002E076A">
      <w:pPr>
        <w:tabs>
          <w:tab w:val="left" w:pos="567"/>
        </w:tabs>
        <w:spacing w:line="300" w:lineRule="auto"/>
      </w:pPr>
    </w:p>
    <w:p w14:paraId="4786B73F" w14:textId="2CBB5061" w:rsidR="00467FE6" w:rsidRPr="00467FE6" w:rsidRDefault="00467FE6" w:rsidP="002E076A">
      <w:pPr>
        <w:tabs>
          <w:tab w:val="left" w:pos="567"/>
        </w:tabs>
        <w:spacing w:line="300" w:lineRule="auto"/>
      </w:pPr>
    </w:p>
    <w:p w14:paraId="29076CDC" w14:textId="3B09A765" w:rsidR="00467FE6" w:rsidRPr="00467FE6" w:rsidRDefault="00467FE6" w:rsidP="002E076A">
      <w:pPr>
        <w:tabs>
          <w:tab w:val="left" w:pos="567"/>
        </w:tabs>
        <w:spacing w:line="300" w:lineRule="auto"/>
      </w:pPr>
    </w:p>
    <w:p w14:paraId="7C67B23E" w14:textId="77777777" w:rsidR="00467FE6" w:rsidRPr="00467FE6" w:rsidRDefault="00467FE6" w:rsidP="002E076A">
      <w:pPr>
        <w:tabs>
          <w:tab w:val="left" w:pos="567"/>
        </w:tabs>
        <w:spacing w:line="300" w:lineRule="auto"/>
      </w:pPr>
    </w:p>
    <w:p w14:paraId="695E9F94" w14:textId="77777777" w:rsidR="00FF1F9E" w:rsidRPr="00467FE6" w:rsidRDefault="00FF1F9E" w:rsidP="002E076A">
      <w:pPr>
        <w:tabs>
          <w:tab w:val="left" w:pos="567"/>
        </w:tabs>
        <w:spacing w:line="300" w:lineRule="auto"/>
      </w:pPr>
    </w:p>
    <w:p w14:paraId="7A506944" w14:textId="7C1411DA" w:rsidR="00FB7386" w:rsidRPr="00467FE6" w:rsidRDefault="008D36A3" w:rsidP="00916D80">
      <w:pPr>
        <w:tabs>
          <w:tab w:val="left" w:pos="567"/>
        </w:tabs>
        <w:jc w:val="center"/>
        <w:rPr>
          <w:b/>
          <w:sz w:val="22"/>
          <w:szCs w:val="22"/>
        </w:rPr>
      </w:pPr>
      <w:r w:rsidRPr="00467FE6">
        <w:rPr>
          <w:b/>
          <w:sz w:val="22"/>
          <w:szCs w:val="22"/>
        </w:rPr>
        <w:lastRenderedPageBreak/>
        <w:t xml:space="preserve">Table </w:t>
      </w:r>
      <w:r w:rsidR="00916D80" w:rsidRPr="00467FE6">
        <w:rPr>
          <w:b/>
          <w:sz w:val="22"/>
          <w:szCs w:val="22"/>
        </w:rPr>
        <w:t xml:space="preserve">2: </w:t>
      </w:r>
      <w:r w:rsidR="00FB7386" w:rsidRPr="00467FE6">
        <w:rPr>
          <w:b/>
          <w:sz w:val="22"/>
          <w:szCs w:val="22"/>
        </w:rPr>
        <w:t xml:space="preserve">Fixed </w:t>
      </w:r>
      <w:r w:rsidR="00916D80" w:rsidRPr="00467FE6">
        <w:rPr>
          <w:b/>
          <w:sz w:val="22"/>
          <w:szCs w:val="22"/>
        </w:rPr>
        <w:t>Effect Model Results</w:t>
      </w:r>
    </w:p>
    <w:p w14:paraId="28FDC97D" w14:textId="77777777" w:rsidR="00916D80" w:rsidRPr="00467FE6" w:rsidRDefault="00916D80" w:rsidP="00916D80">
      <w:pPr>
        <w:tabs>
          <w:tab w:val="left" w:pos="567"/>
        </w:tabs>
        <w:jc w:val="center"/>
        <w:rPr>
          <w:b/>
          <w:sz w:val="10"/>
          <w:szCs w:val="10"/>
        </w:rPr>
      </w:pPr>
    </w:p>
    <w:tbl>
      <w:tblPr>
        <w:tblW w:w="10350" w:type="dxa"/>
        <w:jc w:val="center"/>
        <w:tblLayout w:type="fixed"/>
        <w:tblCellMar>
          <w:left w:w="144" w:type="dxa"/>
          <w:right w:w="144" w:type="dxa"/>
        </w:tblCellMar>
        <w:tblLook w:val="0000" w:firstRow="0" w:lastRow="0" w:firstColumn="0" w:lastColumn="0" w:noHBand="0" w:noVBand="0"/>
      </w:tblPr>
      <w:tblGrid>
        <w:gridCol w:w="2610"/>
        <w:gridCol w:w="1548"/>
        <w:gridCol w:w="1548"/>
        <w:gridCol w:w="1548"/>
        <w:gridCol w:w="1548"/>
        <w:gridCol w:w="1548"/>
      </w:tblGrid>
      <w:tr w:rsidR="004D3F41" w:rsidRPr="00467FE6" w14:paraId="4EE42DD0" w14:textId="77777777" w:rsidTr="0044110D">
        <w:trPr>
          <w:trHeight w:val="786"/>
          <w:jc w:val="center"/>
        </w:trPr>
        <w:tc>
          <w:tcPr>
            <w:tcW w:w="2610" w:type="dxa"/>
            <w:tcBorders>
              <w:top w:val="single" w:sz="6" w:space="0" w:color="auto"/>
              <w:left w:val="nil"/>
              <w:bottom w:val="nil"/>
              <w:right w:val="nil"/>
            </w:tcBorders>
          </w:tcPr>
          <w:p w14:paraId="79E341E5" w14:textId="77777777" w:rsidR="00FB7386" w:rsidRPr="00467FE6" w:rsidRDefault="00FB7386" w:rsidP="002E076A">
            <w:pPr>
              <w:widowControl w:val="0"/>
              <w:tabs>
                <w:tab w:val="left" w:pos="567"/>
              </w:tabs>
              <w:autoSpaceDE w:val="0"/>
              <w:autoSpaceDN w:val="0"/>
              <w:adjustRightInd w:val="0"/>
              <w:rPr>
                <w:b/>
                <w:sz w:val="22"/>
                <w:szCs w:val="22"/>
              </w:rPr>
            </w:pPr>
          </w:p>
        </w:tc>
        <w:tc>
          <w:tcPr>
            <w:tcW w:w="1548" w:type="dxa"/>
            <w:tcBorders>
              <w:top w:val="single" w:sz="6" w:space="0" w:color="auto"/>
              <w:left w:val="nil"/>
              <w:bottom w:val="nil"/>
              <w:right w:val="nil"/>
            </w:tcBorders>
          </w:tcPr>
          <w:p w14:paraId="1E63F97C" w14:textId="2C4CF4E4" w:rsidR="00FB7386" w:rsidRPr="00467FE6" w:rsidRDefault="00FB7386" w:rsidP="00C30391">
            <w:pPr>
              <w:widowControl w:val="0"/>
              <w:tabs>
                <w:tab w:val="left" w:pos="567"/>
              </w:tabs>
              <w:autoSpaceDE w:val="0"/>
              <w:autoSpaceDN w:val="0"/>
              <w:adjustRightInd w:val="0"/>
              <w:jc w:val="center"/>
              <w:rPr>
                <w:bCs/>
                <w:sz w:val="22"/>
                <w:szCs w:val="22"/>
              </w:rPr>
            </w:pPr>
            <w:r w:rsidRPr="00467FE6">
              <w:rPr>
                <w:bCs/>
                <w:sz w:val="22"/>
                <w:szCs w:val="22"/>
              </w:rPr>
              <w:t xml:space="preserve">Infant </w:t>
            </w:r>
            <w:r w:rsidR="007A6DA4" w:rsidRPr="00467FE6">
              <w:rPr>
                <w:bCs/>
                <w:sz w:val="22"/>
                <w:szCs w:val="22"/>
              </w:rPr>
              <w:t>Mortality Rate</w:t>
            </w:r>
          </w:p>
        </w:tc>
        <w:tc>
          <w:tcPr>
            <w:tcW w:w="1548" w:type="dxa"/>
            <w:tcBorders>
              <w:top w:val="single" w:sz="6" w:space="0" w:color="auto"/>
              <w:left w:val="nil"/>
              <w:bottom w:val="nil"/>
              <w:right w:val="nil"/>
            </w:tcBorders>
          </w:tcPr>
          <w:p w14:paraId="7C66D74B" w14:textId="5C7BB3F4" w:rsidR="00FB7386" w:rsidRPr="00467FE6" w:rsidRDefault="00FB7386" w:rsidP="00C30391">
            <w:pPr>
              <w:widowControl w:val="0"/>
              <w:tabs>
                <w:tab w:val="left" w:pos="567"/>
              </w:tabs>
              <w:autoSpaceDE w:val="0"/>
              <w:autoSpaceDN w:val="0"/>
              <w:adjustRightInd w:val="0"/>
              <w:jc w:val="center"/>
              <w:rPr>
                <w:bCs/>
                <w:sz w:val="22"/>
                <w:szCs w:val="22"/>
              </w:rPr>
            </w:pPr>
            <w:r w:rsidRPr="00467FE6">
              <w:rPr>
                <w:bCs/>
                <w:sz w:val="22"/>
                <w:szCs w:val="22"/>
              </w:rPr>
              <w:t xml:space="preserve">Child </w:t>
            </w:r>
            <w:r w:rsidR="007A6DA4" w:rsidRPr="00467FE6">
              <w:rPr>
                <w:bCs/>
                <w:sz w:val="22"/>
                <w:szCs w:val="22"/>
              </w:rPr>
              <w:t>Mortality Rate</w:t>
            </w:r>
          </w:p>
        </w:tc>
        <w:tc>
          <w:tcPr>
            <w:tcW w:w="1548" w:type="dxa"/>
            <w:tcBorders>
              <w:top w:val="single" w:sz="6" w:space="0" w:color="auto"/>
              <w:left w:val="nil"/>
              <w:bottom w:val="nil"/>
              <w:right w:val="nil"/>
            </w:tcBorders>
          </w:tcPr>
          <w:p w14:paraId="23F3C373" w14:textId="7C0D6BAC" w:rsidR="007A6DA4" w:rsidRPr="00467FE6" w:rsidRDefault="00FB7386" w:rsidP="00C30391">
            <w:pPr>
              <w:widowControl w:val="0"/>
              <w:tabs>
                <w:tab w:val="left" w:pos="567"/>
              </w:tabs>
              <w:autoSpaceDE w:val="0"/>
              <w:autoSpaceDN w:val="0"/>
              <w:adjustRightInd w:val="0"/>
              <w:jc w:val="center"/>
              <w:rPr>
                <w:bCs/>
                <w:sz w:val="22"/>
                <w:szCs w:val="22"/>
              </w:rPr>
            </w:pPr>
            <w:r w:rsidRPr="00467FE6">
              <w:rPr>
                <w:bCs/>
                <w:sz w:val="22"/>
                <w:szCs w:val="22"/>
              </w:rPr>
              <w:t xml:space="preserve">Both </w:t>
            </w:r>
            <w:r w:rsidR="007A6DA4" w:rsidRPr="00467FE6">
              <w:rPr>
                <w:bCs/>
                <w:sz w:val="22"/>
                <w:szCs w:val="22"/>
              </w:rPr>
              <w:t>Sex</w:t>
            </w:r>
          </w:p>
          <w:p w14:paraId="105E62DE" w14:textId="5AD12135" w:rsidR="00FB7386" w:rsidRPr="00467FE6" w:rsidRDefault="00FB7386" w:rsidP="00C30391">
            <w:pPr>
              <w:widowControl w:val="0"/>
              <w:tabs>
                <w:tab w:val="left" w:pos="567"/>
              </w:tabs>
              <w:autoSpaceDE w:val="0"/>
              <w:autoSpaceDN w:val="0"/>
              <w:adjustRightInd w:val="0"/>
              <w:jc w:val="center"/>
              <w:rPr>
                <w:bCs/>
                <w:sz w:val="22"/>
                <w:szCs w:val="22"/>
              </w:rPr>
            </w:pPr>
            <w:r w:rsidRPr="00467FE6">
              <w:rPr>
                <w:bCs/>
                <w:sz w:val="22"/>
                <w:szCs w:val="22"/>
              </w:rPr>
              <w:t xml:space="preserve">Life </w:t>
            </w:r>
            <w:r w:rsidR="007A6DA4" w:rsidRPr="00467FE6">
              <w:rPr>
                <w:bCs/>
                <w:sz w:val="22"/>
                <w:szCs w:val="22"/>
              </w:rPr>
              <w:t>Expectancy</w:t>
            </w:r>
          </w:p>
        </w:tc>
        <w:tc>
          <w:tcPr>
            <w:tcW w:w="1548" w:type="dxa"/>
            <w:tcBorders>
              <w:top w:val="single" w:sz="6" w:space="0" w:color="auto"/>
              <w:left w:val="nil"/>
              <w:bottom w:val="nil"/>
              <w:right w:val="nil"/>
            </w:tcBorders>
          </w:tcPr>
          <w:p w14:paraId="17D0BA80" w14:textId="29E8A0E5" w:rsidR="007A6DA4" w:rsidRPr="00467FE6" w:rsidRDefault="00FB7386" w:rsidP="00C30391">
            <w:pPr>
              <w:widowControl w:val="0"/>
              <w:tabs>
                <w:tab w:val="left" w:pos="567"/>
              </w:tabs>
              <w:autoSpaceDE w:val="0"/>
              <w:autoSpaceDN w:val="0"/>
              <w:adjustRightInd w:val="0"/>
              <w:jc w:val="center"/>
              <w:rPr>
                <w:bCs/>
                <w:sz w:val="22"/>
                <w:szCs w:val="22"/>
              </w:rPr>
            </w:pPr>
            <w:r w:rsidRPr="00467FE6">
              <w:rPr>
                <w:bCs/>
                <w:sz w:val="22"/>
                <w:szCs w:val="22"/>
              </w:rPr>
              <w:t>Male</w:t>
            </w:r>
          </w:p>
          <w:p w14:paraId="100393A0" w14:textId="599DDA68" w:rsidR="00FB7386" w:rsidRPr="00467FE6" w:rsidRDefault="007A6DA4" w:rsidP="00C30391">
            <w:pPr>
              <w:widowControl w:val="0"/>
              <w:tabs>
                <w:tab w:val="left" w:pos="567"/>
              </w:tabs>
              <w:autoSpaceDE w:val="0"/>
              <w:autoSpaceDN w:val="0"/>
              <w:adjustRightInd w:val="0"/>
              <w:jc w:val="center"/>
              <w:rPr>
                <w:bCs/>
                <w:sz w:val="22"/>
                <w:szCs w:val="22"/>
              </w:rPr>
            </w:pPr>
            <w:r w:rsidRPr="00467FE6">
              <w:rPr>
                <w:bCs/>
                <w:sz w:val="22"/>
                <w:szCs w:val="22"/>
              </w:rPr>
              <w:t>Life Expectancy</w:t>
            </w:r>
          </w:p>
        </w:tc>
        <w:tc>
          <w:tcPr>
            <w:tcW w:w="1548" w:type="dxa"/>
            <w:tcBorders>
              <w:top w:val="single" w:sz="6" w:space="0" w:color="auto"/>
              <w:left w:val="nil"/>
              <w:bottom w:val="nil"/>
              <w:right w:val="nil"/>
            </w:tcBorders>
          </w:tcPr>
          <w:p w14:paraId="43E8296A" w14:textId="5C712AF6" w:rsidR="007A6DA4" w:rsidRPr="00467FE6" w:rsidRDefault="00FB7386" w:rsidP="00C30391">
            <w:pPr>
              <w:widowControl w:val="0"/>
              <w:tabs>
                <w:tab w:val="left" w:pos="567"/>
              </w:tabs>
              <w:autoSpaceDE w:val="0"/>
              <w:autoSpaceDN w:val="0"/>
              <w:adjustRightInd w:val="0"/>
              <w:jc w:val="center"/>
              <w:rPr>
                <w:bCs/>
                <w:sz w:val="22"/>
                <w:szCs w:val="22"/>
              </w:rPr>
            </w:pPr>
            <w:r w:rsidRPr="00467FE6">
              <w:rPr>
                <w:bCs/>
                <w:sz w:val="22"/>
                <w:szCs w:val="22"/>
              </w:rPr>
              <w:t>Female</w:t>
            </w:r>
          </w:p>
          <w:p w14:paraId="744324B5" w14:textId="3D8F777F" w:rsidR="00FB7386" w:rsidRPr="00467FE6" w:rsidRDefault="007A6DA4" w:rsidP="00C30391">
            <w:pPr>
              <w:widowControl w:val="0"/>
              <w:tabs>
                <w:tab w:val="left" w:pos="567"/>
              </w:tabs>
              <w:autoSpaceDE w:val="0"/>
              <w:autoSpaceDN w:val="0"/>
              <w:adjustRightInd w:val="0"/>
              <w:jc w:val="center"/>
              <w:rPr>
                <w:bCs/>
                <w:sz w:val="22"/>
                <w:szCs w:val="22"/>
              </w:rPr>
            </w:pPr>
            <w:r w:rsidRPr="00467FE6">
              <w:rPr>
                <w:bCs/>
                <w:sz w:val="22"/>
                <w:szCs w:val="22"/>
              </w:rPr>
              <w:t>Life Expectancy</w:t>
            </w:r>
          </w:p>
        </w:tc>
      </w:tr>
      <w:tr w:rsidR="004D3F41" w:rsidRPr="00467FE6" w14:paraId="698CB82A" w14:textId="77777777" w:rsidTr="0044110D">
        <w:trPr>
          <w:trHeight w:val="320"/>
          <w:jc w:val="center"/>
        </w:trPr>
        <w:tc>
          <w:tcPr>
            <w:tcW w:w="2610" w:type="dxa"/>
            <w:tcBorders>
              <w:top w:val="single" w:sz="6" w:space="0" w:color="auto"/>
              <w:left w:val="nil"/>
              <w:bottom w:val="nil"/>
              <w:right w:val="nil"/>
            </w:tcBorders>
          </w:tcPr>
          <w:p w14:paraId="22BE5A5C" w14:textId="6C2A8EA7" w:rsidR="00FB7386" w:rsidRPr="00467FE6" w:rsidRDefault="00FB7386" w:rsidP="00705B70">
            <w:pPr>
              <w:widowControl w:val="0"/>
              <w:tabs>
                <w:tab w:val="left" w:pos="567"/>
              </w:tabs>
              <w:autoSpaceDE w:val="0"/>
              <w:autoSpaceDN w:val="0"/>
              <w:adjustRightInd w:val="0"/>
              <w:spacing w:before="60"/>
              <w:rPr>
                <w:sz w:val="22"/>
                <w:szCs w:val="22"/>
              </w:rPr>
            </w:pPr>
            <w:r w:rsidRPr="00467FE6">
              <w:rPr>
                <w:sz w:val="22"/>
                <w:szCs w:val="22"/>
              </w:rPr>
              <w:t xml:space="preserve">Percent of </w:t>
            </w:r>
            <w:r w:rsidR="003F1DD4" w:rsidRPr="00467FE6">
              <w:rPr>
                <w:sz w:val="22"/>
                <w:szCs w:val="22"/>
              </w:rPr>
              <w:t>S</w:t>
            </w:r>
            <w:r w:rsidRPr="00467FE6">
              <w:rPr>
                <w:sz w:val="22"/>
                <w:szCs w:val="22"/>
              </w:rPr>
              <w:t xml:space="preserve">olid </w:t>
            </w:r>
            <w:r w:rsidR="003F1DD4" w:rsidRPr="00467FE6">
              <w:rPr>
                <w:sz w:val="22"/>
                <w:szCs w:val="22"/>
              </w:rPr>
              <w:t>F</w:t>
            </w:r>
            <w:r w:rsidRPr="00467FE6">
              <w:rPr>
                <w:sz w:val="22"/>
                <w:szCs w:val="22"/>
              </w:rPr>
              <w:t xml:space="preserve">uel </w:t>
            </w:r>
            <w:r w:rsidR="003F1DD4" w:rsidRPr="00467FE6">
              <w:rPr>
                <w:sz w:val="22"/>
                <w:szCs w:val="22"/>
              </w:rPr>
              <w:t>U</w:t>
            </w:r>
            <w:r w:rsidRPr="00467FE6">
              <w:rPr>
                <w:sz w:val="22"/>
                <w:szCs w:val="22"/>
              </w:rPr>
              <w:t>se</w:t>
            </w:r>
          </w:p>
        </w:tc>
        <w:tc>
          <w:tcPr>
            <w:tcW w:w="1548" w:type="dxa"/>
            <w:tcBorders>
              <w:top w:val="single" w:sz="6" w:space="0" w:color="auto"/>
              <w:left w:val="nil"/>
              <w:bottom w:val="nil"/>
              <w:right w:val="nil"/>
            </w:tcBorders>
          </w:tcPr>
          <w:p w14:paraId="7B9D2E12" w14:textId="77777777" w:rsidR="00FB7386" w:rsidRPr="00467FE6" w:rsidRDefault="00FB7386" w:rsidP="009F2AA5">
            <w:pPr>
              <w:widowControl w:val="0"/>
              <w:tabs>
                <w:tab w:val="decimal" w:pos="369"/>
              </w:tabs>
              <w:autoSpaceDE w:val="0"/>
              <w:autoSpaceDN w:val="0"/>
              <w:adjustRightInd w:val="0"/>
              <w:spacing w:before="60"/>
              <w:rPr>
                <w:sz w:val="22"/>
                <w:szCs w:val="22"/>
              </w:rPr>
            </w:pPr>
            <w:r w:rsidRPr="00467FE6">
              <w:rPr>
                <w:sz w:val="22"/>
                <w:szCs w:val="22"/>
              </w:rPr>
              <w:t>0.268</w:t>
            </w:r>
          </w:p>
        </w:tc>
        <w:tc>
          <w:tcPr>
            <w:tcW w:w="1548" w:type="dxa"/>
            <w:tcBorders>
              <w:top w:val="single" w:sz="6" w:space="0" w:color="auto"/>
              <w:left w:val="nil"/>
              <w:bottom w:val="nil"/>
              <w:right w:val="nil"/>
            </w:tcBorders>
          </w:tcPr>
          <w:p w14:paraId="57FD60A6" w14:textId="77777777" w:rsidR="00FB7386" w:rsidRPr="00467FE6" w:rsidRDefault="00FB7386" w:rsidP="009F2AA5">
            <w:pPr>
              <w:widowControl w:val="0"/>
              <w:tabs>
                <w:tab w:val="decimal" w:pos="520"/>
              </w:tabs>
              <w:autoSpaceDE w:val="0"/>
              <w:autoSpaceDN w:val="0"/>
              <w:adjustRightInd w:val="0"/>
              <w:spacing w:before="60"/>
              <w:rPr>
                <w:sz w:val="22"/>
                <w:szCs w:val="22"/>
              </w:rPr>
            </w:pPr>
            <w:r w:rsidRPr="00467FE6">
              <w:rPr>
                <w:sz w:val="22"/>
                <w:szCs w:val="22"/>
              </w:rPr>
              <w:t>0.534</w:t>
            </w:r>
          </w:p>
        </w:tc>
        <w:tc>
          <w:tcPr>
            <w:tcW w:w="1548" w:type="dxa"/>
            <w:tcBorders>
              <w:top w:val="single" w:sz="6" w:space="0" w:color="auto"/>
              <w:left w:val="nil"/>
              <w:bottom w:val="nil"/>
              <w:right w:val="nil"/>
            </w:tcBorders>
          </w:tcPr>
          <w:p w14:paraId="2E71A0BD" w14:textId="77777777" w:rsidR="00FB7386" w:rsidRPr="00467FE6" w:rsidRDefault="00FB7386" w:rsidP="009F2AA5">
            <w:pPr>
              <w:widowControl w:val="0"/>
              <w:tabs>
                <w:tab w:val="decimal" w:pos="387"/>
              </w:tabs>
              <w:autoSpaceDE w:val="0"/>
              <w:autoSpaceDN w:val="0"/>
              <w:adjustRightInd w:val="0"/>
              <w:spacing w:before="60"/>
              <w:rPr>
                <w:sz w:val="22"/>
                <w:szCs w:val="22"/>
              </w:rPr>
            </w:pPr>
            <w:r w:rsidRPr="00467FE6">
              <w:rPr>
                <w:sz w:val="22"/>
                <w:szCs w:val="22"/>
              </w:rPr>
              <w:t>-0.044</w:t>
            </w:r>
          </w:p>
        </w:tc>
        <w:tc>
          <w:tcPr>
            <w:tcW w:w="1548" w:type="dxa"/>
            <w:tcBorders>
              <w:top w:val="single" w:sz="6" w:space="0" w:color="auto"/>
              <w:left w:val="nil"/>
              <w:bottom w:val="nil"/>
              <w:right w:val="nil"/>
            </w:tcBorders>
          </w:tcPr>
          <w:p w14:paraId="583043BB" w14:textId="77777777" w:rsidR="00FB7386" w:rsidRPr="00467FE6" w:rsidRDefault="00FB7386" w:rsidP="009F2AA5">
            <w:pPr>
              <w:widowControl w:val="0"/>
              <w:tabs>
                <w:tab w:val="decimal" w:pos="397"/>
              </w:tabs>
              <w:autoSpaceDE w:val="0"/>
              <w:autoSpaceDN w:val="0"/>
              <w:adjustRightInd w:val="0"/>
              <w:spacing w:before="60"/>
              <w:rPr>
                <w:sz w:val="22"/>
                <w:szCs w:val="22"/>
              </w:rPr>
            </w:pPr>
            <w:r w:rsidRPr="00467FE6">
              <w:rPr>
                <w:sz w:val="22"/>
                <w:szCs w:val="22"/>
              </w:rPr>
              <w:t>-0.051</w:t>
            </w:r>
          </w:p>
        </w:tc>
        <w:tc>
          <w:tcPr>
            <w:tcW w:w="1548" w:type="dxa"/>
            <w:tcBorders>
              <w:top w:val="single" w:sz="6" w:space="0" w:color="auto"/>
              <w:left w:val="nil"/>
              <w:bottom w:val="nil"/>
              <w:right w:val="nil"/>
            </w:tcBorders>
          </w:tcPr>
          <w:p w14:paraId="4EA34B4D" w14:textId="77777777" w:rsidR="00FB7386" w:rsidRPr="00467FE6" w:rsidRDefault="00FB7386" w:rsidP="0066381E">
            <w:pPr>
              <w:widowControl w:val="0"/>
              <w:tabs>
                <w:tab w:val="decimal" w:pos="548"/>
              </w:tabs>
              <w:autoSpaceDE w:val="0"/>
              <w:autoSpaceDN w:val="0"/>
              <w:adjustRightInd w:val="0"/>
              <w:spacing w:before="60"/>
              <w:rPr>
                <w:sz w:val="22"/>
                <w:szCs w:val="22"/>
              </w:rPr>
            </w:pPr>
            <w:r w:rsidRPr="00467FE6">
              <w:rPr>
                <w:sz w:val="22"/>
                <w:szCs w:val="22"/>
              </w:rPr>
              <w:t>-0.059</w:t>
            </w:r>
          </w:p>
        </w:tc>
      </w:tr>
      <w:tr w:rsidR="004D3F41" w:rsidRPr="00467FE6" w14:paraId="312B3BB4" w14:textId="77777777" w:rsidTr="0044110D">
        <w:trPr>
          <w:trHeight w:val="414"/>
          <w:jc w:val="center"/>
        </w:trPr>
        <w:tc>
          <w:tcPr>
            <w:tcW w:w="2610" w:type="dxa"/>
            <w:tcBorders>
              <w:top w:val="nil"/>
              <w:left w:val="nil"/>
              <w:bottom w:val="nil"/>
              <w:right w:val="nil"/>
            </w:tcBorders>
          </w:tcPr>
          <w:p w14:paraId="56821260" w14:textId="77777777" w:rsidR="00FB7386" w:rsidRPr="00467FE6" w:rsidRDefault="00FB7386" w:rsidP="002E076A">
            <w:pPr>
              <w:widowControl w:val="0"/>
              <w:tabs>
                <w:tab w:val="left" w:pos="567"/>
              </w:tabs>
              <w:autoSpaceDE w:val="0"/>
              <w:autoSpaceDN w:val="0"/>
              <w:adjustRightInd w:val="0"/>
              <w:rPr>
                <w:sz w:val="22"/>
                <w:szCs w:val="22"/>
              </w:rPr>
            </w:pPr>
          </w:p>
        </w:tc>
        <w:tc>
          <w:tcPr>
            <w:tcW w:w="1548" w:type="dxa"/>
            <w:tcBorders>
              <w:top w:val="nil"/>
              <w:left w:val="nil"/>
              <w:bottom w:val="nil"/>
              <w:right w:val="nil"/>
            </w:tcBorders>
          </w:tcPr>
          <w:p w14:paraId="5707D506" w14:textId="77777777" w:rsidR="00FB7386" w:rsidRPr="00467FE6" w:rsidRDefault="00FB7386" w:rsidP="009F2AA5">
            <w:pPr>
              <w:widowControl w:val="0"/>
              <w:tabs>
                <w:tab w:val="decimal" w:pos="369"/>
              </w:tabs>
              <w:autoSpaceDE w:val="0"/>
              <w:autoSpaceDN w:val="0"/>
              <w:adjustRightInd w:val="0"/>
              <w:rPr>
                <w:sz w:val="22"/>
                <w:szCs w:val="22"/>
              </w:rPr>
            </w:pPr>
            <w:r w:rsidRPr="00467FE6">
              <w:rPr>
                <w:sz w:val="22"/>
                <w:szCs w:val="22"/>
              </w:rPr>
              <w:t>(</w:t>
            </w:r>
            <w:proofErr w:type="gramStart"/>
            <w:r w:rsidRPr="00467FE6">
              <w:rPr>
                <w:sz w:val="22"/>
                <w:szCs w:val="22"/>
              </w:rPr>
              <w:t>0.019)*</w:t>
            </w:r>
            <w:proofErr w:type="gramEnd"/>
            <w:r w:rsidRPr="00467FE6">
              <w:rPr>
                <w:sz w:val="22"/>
                <w:szCs w:val="22"/>
              </w:rPr>
              <w:t>*</w:t>
            </w:r>
          </w:p>
        </w:tc>
        <w:tc>
          <w:tcPr>
            <w:tcW w:w="1548" w:type="dxa"/>
            <w:tcBorders>
              <w:top w:val="nil"/>
              <w:left w:val="nil"/>
              <w:bottom w:val="nil"/>
              <w:right w:val="nil"/>
            </w:tcBorders>
          </w:tcPr>
          <w:p w14:paraId="62843373" w14:textId="77777777" w:rsidR="00FB7386" w:rsidRPr="00467FE6" w:rsidRDefault="00FB7386" w:rsidP="009F2AA5">
            <w:pPr>
              <w:widowControl w:val="0"/>
              <w:tabs>
                <w:tab w:val="decimal" w:pos="520"/>
              </w:tabs>
              <w:autoSpaceDE w:val="0"/>
              <w:autoSpaceDN w:val="0"/>
              <w:adjustRightInd w:val="0"/>
              <w:rPr>
                <w:sz w:val="22"/>
                <w:szCs w:val="22"/>
              </w:rPr>
            </w:pPr>
            <w:r w:rsidRPr="00467FE6">
              <w:rPr>
                <w:sz w:val="22"/>
                <w:szCs w:val="22"/>
              </w:rPr>
              <w:t>(0.038)**</w:t>
            </w:r>
          </w:p>
        </w:tc>
        <w:tc>
          <w:tcPr>
            <w:tcW w:w="1548" w:type="dxa"/>
            <w:tcBorders>
              <w:top w:val="nil"/>
              <w:left w:val="nil"/>
              <w:bottom w:val="nil"/>
              <w:right w:val="nil"/>
            </w:tcBorders>
          </w:tcPr>
          <w:p w14:paraId="04B6AEAE" w14:textId="77777777" w:rsidR="00FB7386" w:rsidRPr="00467FE6" w:rsidRDefault="00FB7386" w:rsidP="009F2AA5">
            <w:pPr>
              <w:widowControl w:val="0"/>
              <w:tabs>
                <w:tab w:val="decimal" w:pos="387"/>
              </w:tabs>
              <w:autoSpaceDE w:val="0"/>
              <w:autoSpaceDN w:val="0"/>
              <w:adjustRightInd w:val="0"/>
              <w:rPr>
                <w:sz w:val="22"/>
                <w:szCs w:val="22"/>
              </w:rPr>
            </w:pPr>
            <w:r w:rsidRPr="00467FE6">
              <w:rPr>
                <w:sz w:val="22"/>
                <w:szCs w:val="22"/>
              </w:rPr>
              <w:t>(</w:t>
            </w:r>
            <w:proofErr w:type="gramStart"/>
            <w:r w:rsidRPr="00467FE6">
              <w:rPr>
                <w:sz w:val="22"/>
                <w:szCs w:val="22"/>
              </w:rPr>
              <w:t>0.004)*</w:t>
            </w:r>
            <w:proofErr w:type="gramEnd"/>
            <w:r w:rsidRPr="00467FE6">
              <w:rPr>
                <w:sz w:val="22"/>
                <w:szCs w:val="22"/>
              </w:rPr>
              <w:t>*</w:t>
            </w:r>
          </w:p>
        </w:tc>
        <w:tc>
          <w:tcPr>
            <w:tcW w:w="1548" w:type="dxa"/>
            <w:tcBorders>
              <w:top w:val="nil"/>
              <w:left w:val="nil"/>
              <w:bottom w:val="nil"/>
              <w:right w:val="nil"/>
            </w:tcBorders>
          </w:tcPr>
          <w:p w14:paraId="6F57EBE6" w14:textId="77777777" w:rsidR="00FB7386" w:rsidRPr="00467FE6" w:rsidRDefault="00FB7386" w:rsidP="009F2AA5">
            <w:pPr>
              <w:widowControl w:val="0"/>
              <w:tabs>
                <w:tab w:val="decimal" w:pos="397"/>
              </w:tabs>
              <w:autoSpaceDE w:val="0"/>
              <w:autoSpaceDN w:val="0"/>
              <w:adjustRightInd w:val="0"/>
              <w:rPr>
                <w:sz w:val="22"/>
                <w:szCs w:val="22"/>
              </w:rPr>
            </w:pPr>
            <w:r w:rsidRPr="00467FE6">
              <w:rPr>
                <w:sz w:val="22"/>
                <w:szCs w:val="22"/>
              </w:rPr>
              <w:t>(0.004)**</w:t>
            </w:r>
          </w:p>
        </w:tc>
        <w:tc>
          <w:tcPr>
            <w:tcW w:w="1548" w:type="dxa"/>
            <w:tcBorders>
              <w:top w:val="nil"/>
              <w:left w:val="nil"/>
              <w:bottom w:val="nil"/>
              <w:right w:val="nil"/>
            </w:tcBorders>
          </w:tcPr>
          <w:p w14:paraId="1B01DA95" w14:textId="77777777" w:rsidR="00FB7386" w:rsidRPr="00467FE6" w:rsidRDefault="00FB7386" w:rsidP="0066381E">
            <w:pPr>
              <w:widowControl w:val="0"/>
              <w:tabs>
                <w:tab w:val="decimal" w:pos="548"/>
              </w:tabs>
              <w:autoSpaceDE w:val="0"/>
              <w:autoSpaceDN w:val="0"/>
              <w:adjustRightInd w:val="0"/>
              <w:rPr>
                <w:sz w:val="22"/>
                <w:szCs w:val="22"/>
              </w:rPr>
            </w:pPr>
            <w:r w:rsidRPr="00467FE6">
              <w:rPr>
                <w:sz w:val="22"/>
                <w:szCs w:val="22"/>
              </w:rPr>
              <w:t>(0.005)**</w:t>
            </w:r>
          </w:p>
        </w:tc>
      </w:tr>
      <w:tr w:rsidR="004D3F41" w:rsidRPr="00467FE6" w14:paraId="0F7F65B6" w14:textId="77777777" w:rsidTr="000B1CA9">
        <w:trPr>
          <w:trHeight w:val="303"/>
          <w:jc w:val="center"/>
        </w:trPr>
        <w:tc>
          <w:tcPr>
            <w:tcW w:w="2610" w:type="dxa"/>
            <w:tcBorders>
              <w:top w:val="nil"/>
              <w:left w:val="nil"/>
              <w:bottom w:val="nil"/>
              <w:right w:val="nil"/>
            </w:tcBorders>
          </w:tcPr>
          <w:p w14:paraId="629E3D5C" w14:textId="602D794D" w:rsidR="00FB7386" w:rsidRPr="00467FE6" w:rsidRDefault="00FB7386" w:rsidP="002E076A">
            <w:pPr>
              <w:widowControl w:val="0"/>
              <w:tabs>
                <w:tab w:val="left" w:pos="567"/>
              </w:tabs>
              <w:autoSpaceDE w:val="0"/>
              <w:autoSpaceDN w:val="0"/>
              <w:adjustRightInd w:val="0"/>
              <w:rPr>
                <w:sz w:val="22"/>
                <w:szCs w:val="22"/>
              </w:rPr>
            </w:pPr>
            <w:r w:rsidRPr="00467FE6">
              <w:rPr>
                <w:sz w:val="22"/>
                <w:szCs w:val="22"/>
              </w:rPr>
              <w:t xml:space="preserve">Female </w:t>
            </w:r>
            <w:r w:rsidR="000B1CA9" w:rsidRPr="00467FE6">
              <w:rPr>
                <w:sz w:val="22"/>
                <w:szCs w:val="22"/>
              </w:rPr>
              <w:t>P</w:t>
            </w:r>
            <w:r w:rsidRPr="00467FE6">
              <w:rPr>
                <w:sz w:val="22"/>
                <w:szCs w:val="22"/>
              </w:rPr>
              <w:t xml:space="preserve">rimary </w:t>
            </w:r>
            <w:r w:rsidR="000B1CA9" w:rsidRPr="00467FE6">
              <w:rPr>
                <w:sz w:val="22"/>
                <w:szCs w:val="22"/>
              </w:rPr>
              <w:t>S</w:t>
            </w:r>
            <w:r w:rsidRPr="00467FE6">
              <w:rPr>
                <w:sz w:val="22"/>
                <w:szCs w:val="22"/>
              </w:rPr>
              <w:t>ch</w:t>
            </w:r>
            <w:r w:rsidR="000B1CA9" w:rsidRPr="00467FE6">
              <w:rPr>
                <w:sz w:val="22"/>
                <w:szCs w:val="22"/>
              </w:rPr>
              <w:t>ool</w:t>
            </w:r>
          </w:p>
        </w:tc>
        <w:tc>
          <w:tcPr>
            <w:tcW w:w="1548" w:type="dxa"/>
            <w:tcBorders>
              <w:top w:val="nil"/>
              <w:left w:val="nil"/>
              <w:bottom w:val="nil"/>
              <w:right w:val="nil"/>
            </w:tcBorders>
          </w:tcPr>
          <w:p w14:paraId="6BA4CB82" w14:textId="77777777" w:rsidR="00FB7386" w:rsidRPr="00467FE6" w:rsidRDefault="00FB7386" w:rsidP="009F2AA5">
            <w:pPr>
              <w:widowControl w:val="0"/>
              <w:tabs>
                <w:tab w:val="decimal" w:pos="369"/>
              </w:tabs>
              <w:autoSpaceDE w:val="0"/>
              <w:autoSpaceDN w:val="0"/>
              <w:adjustRightInd w:val="0"/>
              <w:rPr>
                <w:sz w:val="22"/>
                <w:szCs w:val="22"/>
              </w:rPr>
            </w:pPr>
            <w:r w:rsidRPr="00467FE6">
              <w:rPr>
                <w:sz w:val="22"/>
                <w:szCs w:val="22"/>
              </w:rPr>
              <w:t>-0.324</w:t>
            </w:r>
          </w:p>
        </w:tc>
        <w:tc>
          <w:tcPr>
            <w:tcW w:w="1548" w:type="dxa"/>
            <w:tcBorders>
              <w:top w:val="nil"/>
              <w:left w:val="nil"/>
              <w:bottom w:val="nil"/>
              <w:right w:val="nil"/>
            </w:tcBorders>
          </w:tcPr>
          <w:p w14:paraId="2C20394E" w14:textId="77777777" w:rsidR="00FB7386" w:rsidRPr="00467FE6" w:rsidRDefault="00FB7386" w:rsidP="009F2AA5">
            <w:pPr>
              <w:widowControl w:val="0"/>
              <w:tabs>
                <w:tab w:val="decimal" w:pos="520"/>
              </w:tabs>
              <w:autoSpaceDE w:val="0"/>
              <w:autoSpaceDN w:val="0"/>
              <w:adjustRightInd w:val="0"/>
              <w:rPr>
                <w:sz w:val="22"/>
                <w:szCs w:val="22"/>
              </w:rPr>
            </w:pPr>
            <w:r w:rsidRPr="00467FE6">
              <w:rPr>
                <w:sz w:val="22"/>
                <w:szCs w:val="22"/>
              </w:rPr>
              <w:t>-0.601</w:t>
            </w:r>
          </w:p>
        </w:tc>
        <w:tc>
          <w:tcPr>
            <w:tcW w:w="1548" w:type="dxa"/>
            <w:tcBorders>
              <w:top w:val="nil"/>
              <w:left w:val="nil"/>
              <w:bottom w:val="nil"/>
              <w:right w:val="nil"/>
            </w:tcBorders>
          </w:tcPr>
          <w:p w14:paraId="6B434192" w14:textId="77777777" w:rsidR="00FB7386" w:rsidRPr="00467FE6" w:rsidRDefault="00FB7386" w:rsidP="009F2AA5">
            <w:pPr>
              <w:widowControl w:val="0"/>
              <w:tabs>
                <w:tab w:val="decimal" w:pos="387"/>
              </w:tabs>
              <w:autoSpaceDE w:val="0"/>
              <w:autoSpaceDN w:val="0"/>
              <w:adjustRightInd w:val="0"/>
              <w:rPr>
                <w:sz w:val="22"/>
                <w:szCs w:val="22"/>
              </w:rPr>
            </w:pPr>
            <w:r w:rsidRPr="00467FE6">
              <w:rPr>
                <w:sz w:val="22"/>
                <w:szCs w:val="22"/>
              </w:rPr>
              <w:t>0.056</w:t>
            </w:r>
          </w:p>
        </w:tc>
        <w:tc>
          <w:tcPr>
            <w:tcW w:w="1548" w:type="dxa"/>
            <w:tcBorders>
              <w:top w:val="nil"/>
              <w:left w:val="nil"/>
              <w:bottom w:val="nil"/>
              <w:right w:val="nil"/>
            </w:tcBorders>
          </w:tcPr>
          <w:p w14:paraId="0E376EE2" w14:textId="77777777" w:rsidR="00FB7386" w:rsidRPr="00467FE6" w:rsidRDefault="00FB7386" w:rsidP="009F2AA5">
            <w:pPr>
              <w:widowControl w:val="0"/>
              <w:tabs>
                <w:tab w:val="decimal" w:pos="397"/>
              </w:tabs>
              <w:autoSpaceDE w:val="0"/>
              <w:autoSpaceDN w:val="0"/>
              <w:adjustRightInd w:val="0"/>
              <w:rPr>
                <w:sz w:val="22"/>
                <w:szCs w:val="22"/>
              </w:rPr>
            </w:pPr>
            <w:r w:rsidRPr="00467FE6">
              <w:rPr>
                <w:sz w:val="22"/>
                <w:szCs w:val="22"/>
              </w:rPr>
              <w:t>0.038</w:t>
            </w:r>
          </w:p>
        </w:tc>
        <w:tc>
          <w:tcPr>
            <w:tcW w:w="1548" w:type="dxa"/>
            <w:tcBorders>
              <w:top w:val="nil"/>
              <w:left w:val="nil"/>
              <w:bottom w:val="nil"/>
              <w:right w:val="nil"/>
            </w:tcBorders>
          </w:tcPr>
          <w:p w14:paraId="7FA59CDA" w14:textId="77777777" w:rsidR="00FB7386" w:rsidRPr="00467FE6" w:rsidRDefault="00FB7386" w:rsidP="0066381E">
            <w:pPr>
              <w:widowControl w:val="0"/>
              <w:tabs>
                <w:tab w:val="decimal" w:pos="548"/>
              </w:tabs>
              <w:autoSpaceDE w:val="0"/>
              <w:autoSpaceDN w:val="0"/>
              <w:adjustRightInd w:val="0"/>
              <w:rPr>
                <w:sz w:val="22"/>
                <w:szCs w:val="22"/>
              </w:rPr>
            </w:pPr>
            <w:r w:rsidRPr="00467FE6">
              <w:rPr>
                <w:sz w:val="22"/>
                <w:szCs w:val="22"/>
              </w:rPr>
              <w:t>0.038</w:t>
            </w:r>
          </w:p>
        </w:tc>
      </w:tr>
      <w:tr w:rsidR="004D3F41" w:rsidRPr="00467FE6" w14:paraId="6E82A798" w14:textId="77777777" w:rsidTr="0044110D">
        <w:trPr>
          <w:trHeight w:val="429"/>
          <w:jc w:val="center"/>
        </w:trPr>
        <w:tc>
          <w:tcPr>
            <w:tcW w:w="2610" w:type="dxa"/>
            <w:tcBorders>
              <w:top w:val="nil"/>
              <w:left w:val="nil"/>
              <w:bottom w:val="nil"/>
              <w:right w:val="nil"/>
            </w:tcBorders>
          </w:tcPr>
          <w:p w14:paraId="256DBD2D" w14:textId="0F5168E7" w:rsidR="00FB7386" w:rsidRPr="00467FE6" w:rsidRDefault="000B1CA9" w:rsidP="002E076A">
            <w:pPr>
              <w:widowControl w:val="0"/>
              <w:tabs>
                <w:tab w:val="left" w:pos="567"/>
              </w:tabs>
              <w:autoSpaceDE w:val="0"/>
              <w:autoSpaceDN w:val="0"/>
              <w:adjustRightInd w:val="0"/>
              <w:rPr>
                <w:sz w:val="22"/>
                <w:szCs w:val="22"/>
              </w:rPr>
            </w:pPr>
            <w:r w:rsidRPr="00467FE6">
              <w:rPr>
                <w:sz w:val="22"/>
                <w:szCs w:val="22"/>
              </w:rPr>
              <w:t>Enrolment</w:t>
            </w:r>
          </w:p>
        </w:tc>
        <w:tc>
          <w:tcPr>
            <w:tcW w:w="1548" w:type="dxa"/>
            <w:tcBorders>
              <w:top w:val="nil"/>
              <w:left w:val="nil"/>
              <w:bottom w:val="nil"/>
              <w:right w:val="nil"/>
            </w:tcBorders>
          </w:tcPr>
          <w:p w14:paraId="7DFF3AD0" w14:textId="77777777" w:rsidR="00FB7386" w:rsidRPr="00467FE6" w:rsidRDefault="00FB7386" w:rsidP="009F2AA5">
            <w:pPr>
              <w:widowControl w:val="0"/>
              <w:tabs>
                <w:tab w:val="decimal" w:pos="369"/>
              </w:tabs>
              <w:autoSpaceDE w:val="0"/>
              <w:autoSpaceDN w:val="0"/>
              <w:adjustRightInd w:val="0"/>
              <w:rPr>
                <w:sz w:val="22"/>
                <w:szCs w:val="22"/>
              </w:rPr>
            </w:pPr>
            <w:r w:rsidRPr="00467FE6">
              <w:rPr>
                <w:sz w:val="22"/>
                <w:szCs w:val="22"/>
              </w:rPr>
              <w:t>(</w:t>
            </w:r>
            <w:proofErr w:type="gramStart"/>
            <w:r w:rsidRPr="00467FE6">
              <w:rPr>
                <w:sz w:val="22"/>
                <w:szCs w:val="22"/>
              </w:rPr>
              <w:t>0.030)*</w:t>
            </w:r>
            <w:proofErr w:type="gramEnd"/>
            <w:r w:rsidRPr="00467FE6">
              <w:rPr>
                <w:sz w:val="22"/>
                <w:szCs w:val="22"/>
              </w:rPr>
              <w:t>*</w:t>
            </w:r>
          </w:p>
        </w:tc>
        <w:tc>
          <w:tcPr>
            <w:tcW w:w="1548" w:type="dxa"/>
            <w:tcBorders>
              <w:top w:val="nil"/>
              <w:left w:val="nil"/>
              <w:bottom w:val="nil"/>
              <w:right w:val="nil"/>
            </w:tcBorders>
          </w:tcPr>
          <w:p w14:paraId="43804B1A" w14:textId="77777777" w:rsidR="00FB7386" w:rsidRPr="00467FE6" w:rsidRDefault="00FB7386" w:rsidP="009F2AA5">
            <w:pPr>
              <w:widowControl w:val="0"/>
              <w:tabs>
                <w:tab w:val="decimal" w:pos="520"/>
              </w:tabs>
              <w:autoSpaceDE w:val="0"/>
              <w:autoSpaceDN w:val="0"/>
              <w:adjustRightInd w:val="0"/>
              <w:rPr>
                <w:sz w:val="22"/>
                <w:szCs w:val="22"/>
              </w:rPr>
            </w:pPr>
            <w:r w:rsidRPr="00467FE6">
              <w:rPr>
                <w:sz w:val="22"/>
                <w:szCs w:val="22"/>
              </w:rPr>
              <w:t>(0.061)**</w:t>
            </w:r>
          </w:p>
        </w:tc>
        <w:tc>
          <w:tcPr>
            <w:tcW w:w="1548" w:type="dxa"/>
            <w:tcBorders>
              <w:top w:val="nil"/>
              <w:left w:val="nil"/>
              <w:bottom w:val="nil"/>
              <w:right w:val="nil"/>
            </w:tcBorders>
          </w:tcPr>
          <w:p w14:paraId="2BCE02EE" w14:textId="77777777" w:rsidR="00FB7386" w:rsidRPr="00467FE6" w:rsidRDefault="00FB7386" w:rsidP="009F2AA5">
            <w:pPr>
              <w:widowControl w:val="0"/>
              <w:tabs>
                <w:tab w:val="decimal" w:pos="387"/>
              </w:tabs>
              <w:autoSpaceDE w:val="0"/>
              <w:autoSpaceDN w:val="0"/>
              <w:adjustRightInd w:val="0"/>
              <w:rPr>
                <w:sz w:val="22"/>
                <w:szCs w:val="22"/>
              </w:rPr>
            </w:pPr>
            <w:r w:rsidRPr="00467FE6">
              <w:rPr>
                <w:sz w:val="22"/>
                <w:szCs w:val="22"/>
              </w:rPr>
              <w:t>(</w:t>
            </w:r>
            <w:proofErr w:type="gramStart"/>
            <w:r w:rsidRPr="00467FE6">
              <w:rPr>
                <w:sz w:val="22"/>
                <w:szCs w:val="22"/>
              </w:rPr>
              <w:t>0.007)*</w:t>
            </w:r>
            <w:proofErr w:type="gramEnd"/>
            <w:r w:rsidRPr="00467FE6">
              <w:rPr>
                <w:sz w:val="22"/>
                <w:szCs w:val="22"/>
              </w:rPr>
              <w:t>*</w:t>
            </w:r>
          </w:p>
        </w:tc>
        <w:tc>
          <w:tcPr>
            <w:tcW w:w="1548" w:type="dxa"/>
            <w:tcBorders>
              <w:top w:val="nil"/>
              <w:left w:val="nil"/>
              <w:bottom w:val="nil"/>
              <w:right w:val="nil"/>
            </w:tcBorders>
          </w:tcPr>
          <w:p w14:paraId="1953402D" w14:textId="77777777" w:rsidR="00FB7386" w:rsidRPr="00467FE6" w:rsidRDefault="00FB7386" w:rsidP="009F2AA5">
            <w:pPr>
              <w:widowControl w:val="0"/>
              <w:tabs>
                <w:tab w:val="decimal" w:pos="397"/>
              </w:tabs>
              <w:autoSpaceDE w:val="0"/>
              <w:autoSpaceDN w:val="0"/>
              <w:adjustRightInd w:val="0"/>
              <w:rPr>
                <w:sz w:val="22"/>
                <w:szCs w:val="22"/>
              </w:rPr>
            </w:pPr>
            <w:r w:rsidRPr="00467FE6">
              <w:rPr>
                <w:sz w:val="22"/>
                <w:szCs w:val="22"/>
              </w:rPr>
              <w:t>(0.007)**</w:t>
            </w:r>
          </w:p>
        </w:tc>
        <w:tc>
          <w:tcPr>
            <w:tcW w:w="1548" w:type="dxa"/>
            <w:tcBorders>
              <w:top w:val="nil"/>
              <w:left w:val="nil"/>
              <w:bottom w:val="nil"/>
              <w:right w:val="nil"/>
            </w:tcBorders>
          </w:tcPr>
          <w:p w14:paraId="29D1BE6A" w14:textId="77777777" w:rsidR="00FB7386" w:rsidRPr="00467FE6" w:rsidRDefault="00FB7386" w:rsidP="0066381E">
            <w:pPr>
              <w:widowControl w:val="0"/>
              <w:tabs>
                <w:tab w:val="decimal" w:pos="548"/>
              </w:tabs>
              <w:autoSpaceDE w:val="0"/>
              <w:autoSpaceDN w:val="0"/>
              <w:adjustRightInd w:val="0"/>
              <w:rPr>
                <w:sz w:val="22"/>
                <w:szCs w:val="22"/>
              </w:rPr>
            </w:pPr>
            <w:r w:rsidRPr="00467FE6">
              <w:rPr>
                <w:sz w:val="22"/>
                <w:szCs w:val="22"/>
              </w:rPr>
              <w:t>(0.008)**</w:t>
            </w:r>
          </w:p>
        </w:tc>
      </w:tr>
      <w:tr w:rsidR="004D3F41" w:rsidRPr="00467FE6" w14:paraId="4DB372E2" w14:textId="77777777" w:rsidTr="00355AEB">
        <w:trPr>
          <w:trHeight w:val="217"/>
          <w:jc w:val="center"/>
        </w:trPr>
        <w:tc>
          <w:tcPr>
            <w:tcW w:w="2610" w:type="dxa"/>
            <w:tcBorders>
              <w:top w:val="nil"/>
              <w:left w:val="nil"/>
              <w:bottom w:val="nil"/>
              <w:right w:val="nil"/>
            </w:tcBorders>
          </w:tcPr>
          <w:p w14:paraId="2564702D" w14:textId="7A3F0D63" w:rsidR="00FB7386" w:rsidRPr="00467FE6" w:rsidRDefault="00FB7386" w:rsidP="002E076A">
            <w:pPr>
              <w:widowControl w:val="0"/>
              <w:tabs>
                <w:tab w:val="left" w:pos="567"/>
              </w:tabs>
              <w:autoSpaceDE w:val="0"/>
              <w:autoSpaceDN w:val="0"/>
              <w:adjustRightInd w:val="0"/>
              <w:rPr>
                <w:sz w:val="22"/>
                <w:szCs w:val="22"/>
              </w:rPr>
            </w:pPr>
            <w:r w:rsidRPr="00467FE6">
              <w:rPr>
                <w:sz w:val="22"/>
                <w:szCs w:val="22"/>
              </w:rPr>
              <w:t xml:space="preserve">Male </w:t>
            </w:r>
            <w:r w:rsidR="000B1CA9" w:rsidRPr="00467FE6">
              <w:rPr>
                <w:sz w:val="22"/>
                <w:szCs w:val="22"/>
              </w:rPr>
              <w:t>P</w:t>
            </w:r>
            <w:r w:rsidRPr="00467FE6">
              <w:rPr>
                <w:sz w:val="22"/>
                <w:szCs w:val="22"/>
              </w:rPr>
              <w:t xml:space="preserve">rimary </w:t>
            </w:r>
            <w:r w:rsidR="00355AEB" w:rsidRPr="00467FE6">
              <w:rPr>
                <w:sz w:val="22"/>
                <w:szCs w:val="22"/>
              </w:rPr>
              <w:t>School</w:t>
            </w:r>
          </w:p>
        </w:tc>
        <w:tc>
          <w:tcPr>
            <w:tcW w:w="1548" w:type="dxa"/>
            <w:tcBorders>
              <w:top w:val="nil"/>
              <w:left w:val="nil"/>
              <w:bottom w:val="nil"/>
              <w:right w:val="nil"/>
            </w:tcBorders>
          </w:tcPr>
          <w:p w14:paraId="19302EDD" w14:textId="77777777" w:rsidR="00FB7386" w:rsidRPr="00467FE6" w:rsidRDefault="00FB7386" w:rsidP="009F2AA5">
            <w:pPr>
              <w:widowControl w:val="0"/>
              <w:tabs>
                <w:tab w:val="decimal" w:pos="369"/>
              </w:tabs>
              <w:autoSpaceDE w:val="0"/>
              <w:autoSpaceDN w:val="0"/>
              <w:adjustRightInd w:val="0"/>
              <w:rPr>
                <w:sz w:val="22"/>
                <w:szCs w:val="22"/>
              </w:rPr>
            </w:pPr>
            <w:r w:rsidRPr="00467FE6">
              <w:rPr>
                <w:sz w:val="22"/>
                <w:szCs w:val="22"/>
              </w:rPr>
              <w:t>0.296</w:t>
            </w:r>
          </w:p>
        </w:tc>
        <w:tc>
          <w:tcPr>
            <w:tcW w:w="1548" w:type="dxa"/>
            <w:tcBorders>
              <w:top w:val="nil"/>
              <w:left w:val="nil"/>
              <w:bottom w:val="nil"/>
              <w:right w:val="nil"/>
            </w:tcBorders>
          </w:tcPr>
          <w:p w14:paraId="688296D2" w14:textId="77777777" w:rsidR="00FB7386" w:rsidRPr="00467FE6" w:rsidRDefault="00FB7386" w:rsidP="009F2AA5">
            <w:pPr>
              <w:widowControl w:val="0"/>
              <w:tabs>
                <w:tab w:val="decimal" w:pos="520"/>
              </w:tabs>
              <w:autoSpaceDE w:val="0"/>
              <w:autoSpaceDN w:val="0"/>
              <w:adjustRightInd w:val="0"/>
              <w:rPr>
                <w:sz w:val="22"/>
                <w:szCs w:val="22"/>
              </w:rPr>
            </w:pPr>
            <w:r w:rsidRPr="00467FE6">
              <w:rPr>
                <w:sz w:val="22"/>
                <w:szCs w:val="22"/>
              </w:rPr>
              <w:t>0.548</w:t>
            </w:r>
          </w:p>
        </w:tc>
        <w:tc>
          <w:tcPr>
            <w:tcW w:w="1548" w:type="dxa"/>
            <w:tcBorders>
              <w:top w:val="nil"/>
              <w:left w:val="nil"/>
              <w:bottom w:val="nil"/>
              <w:right w:val="nil"/>
            </w:tcBorders>
          </w:tcPr>
          <w:p w14:paraId="74E0DB84" w14:textId="77777777" w:rsidR="00FB7386" w:rsidRPr="00467FE6" w:rsidRDefault="00FB7386" w:rsidP="009F2AA5">
            <w:pPr>
              <w:widowControl w:val="0"/>
              <w:tabs>
                <w:tab w:val="decimal" w:pos="387"/>
              </w:tabs>
              <w:autoSpaceDE w:val="0"/>
              <w:autoSpaceDN w:val="0"/>
              <w:adjustRightInd w:val="0"/>
              <w:rPr>
                <w:sz w:val="22"/>
                <w:szCs w:val="22"/>
              </w:rPr>
            </w:pPr>
            <w:r w:rsidRPr="00467FE6">
              <w:rPr>
                <w:sz w:val="22"/>
                <w:szCs w:val="22"/>
              </w:rPr>
              <w:t>-0.053</w:t>
            </w:r>
          </w:p>
        </w:tc>
        <w:tc>
          <w:tcPr>
            <w:tcW w:w="1548" w:type="dxa"/>
            <w:tcBorders>
              <w:top w:val="nil"/>
              <w:left w:val="nil"/>
              <w:bottom w:val="nil"/>
              <w:right w:val="nil"/>
            </w:tcBorders>
          </w:tcPr>
          <w:p w14:paraId="71524000" w14:textId="77777777" w:rsidR="00FB7386" w:rsidRPr="00467FE6" w:rsidRDefault="00FB7386" w:rsidP="009F2AA5">
            <w:pPr>
              <w:widowControl w:val="0"/>
              <w:tabs>
                <w:tab w:val="decimal" w:pos="397"/>
              </w:tabs>
              <w:autoSpaceDE w:val="0"/>
              <w:autoSpaceDN w:val="0"/>
              <w:adjustRightInd w:val="0"/>
              <w:rPr>
                <w:sz w:val="22"/>
                <w:szCs w:val="22"/>
              </w:rPr>
            </w:pPr>
            <w:r w:rsidRPr="00467FE6">
              <w:rPr>
                <w:sz w:val="22"/>
                <w:szCs w:val="22"/>
              </w:rPr>
              <w:t>-0.034</w:t>
            </w:r>
          </w:p>
        </w:tc>
        <w:tc>
          <w:tcPr>
            <w:tcW w:w="1548" w:type="dxa"/>
            <w:tcBorders>
              <w:top w:val="nil"/>
              <w:left w:val="nil"/>
              <w:bottom w:val="nil"/>
              <w:right w:val="nil"/>
            </w:tcBorders>
          </w:tcPr>
          <w:p w14:paraId="7B6E3350" w14:textId="77777777" w:rsidR="00FB7386" w:rsidRPr="00467FE6" w:rsidRDefault="00FB7386" w:rsidP="0066381E">
            <w:pPr>
              <w:widowControl w:val="0"/>
              <w:tabs>
                <w:tab w:val="decimal" w:pos="548"/>
              </w:tabs>
              <w:autoSpaceDE w:val="0"/>
              <w:autoSpaceDN w:val="0"/>
              <w:adjustRightInd w:val="0"/>
              <w:rPr>
                <w:sz w:val="22"/>
                <w:szCs w:val="22"/>
              </w:rPr>
            </w:pPr>
            <w:r w:rsidRPr="00467FE6">
              <w:rPr>
                <w:sz w:val="22"/>
                <w:szCs w:val="22"/>
              </w:rPr>
              <w:t>-0.034</w:t>
            </w:r>
          </w:p>
        </w:tc>
      </w:tr>
      <w:tr w:rsidR="004D3F41" w:rsidRPr="00467FE6" w14:paraId="2AE90BEC" w14:textId="77777777" w:rsidTr="0044110D">
        <w:trPr>
          <w:trHeight w:val="429"/>
          <w:jc w:val="center"/>
        </w:trPr>
        <w:tc>
          <w:tcPr>
            <w:tcW w:w="2610" w:type="dxa"/>
            <w:tcBorders>
              <w:top w:val="nil"/>
              <w:left w:val="nil"/>
              <w:bottom w:val="nil"/>
              <w:right w:val="nil"/>
            </w:tcBorders>
          </w:tcPr>
          <w:p w14:paraId="784B1473" w14:textId="787F4F86" w:rsidR="00FB7386" w:rsidRPr="00467FE6" w:rsidRDefault="00355AEB" w:rsidP="002E076A">
            <w:pPr>
              <w:widowControl w:val="0"/>
              <w:tabs>
                <w:tab w:val="left" w:pos="567"/>
              </w:tabs>
              <w:autoSpaceDE w:val="0"/>
              <w:autoSpaceDN w:val="0"/>
              <w:adjustRightInd w:val="0"/>
              <w:rPr>
                <w:sz w:val="22"/>
                <w:szCs w:val="22"/>
              </w:rPr>
            </w:pPr>
            <w:r w:rsidRPr="00467FE6">
              <w:rPr>
                <w:sz w:val="22"/>
                <w:szCs w:val="22"/>
              </w:rPr>
              <w:t>Enrolment</w:t>
            </w:r>
          </w:p>
        </w:tc>
        <w:tc>
          <w:tcPr>
            <w:tcW w:w="1548" w:type="dxa"/>
            <w:tcBorders>
              <w:top w:val="nil"/>
              <w:left w:val="nil"/>
              <w:bottom w:val="nil"/>
              <w:right w:val="nil"/>
            </w:tcBorders>
          </w:tcPr>
          <w:p w14:paraId="735C8380" w14:textId="77777777" w:rsidR="00FB7386" w:rsidRPr="00467FE6" w:rsidRDefault="00FB7386" w:rsidP="009F2AA5">
            <w:pPr>
              <w:widowControl w:val="0"/>
              <w:tabs>
                <w:tab w:val="decimal" w:pos="369"/>
              </w:tabs>
              <w:autoSpaceDE w:val="0"/>
              <w:autoSpaceDN w:val="0"/>
              <w:adjustRightInd w:val="0"/>
              <w:rPr>
                <w:sz w:val="22"/>
                <w:szCs w:val="22"/>
              </w:rPr>
            </w:pPr>
            <w:r w:rsidRPr="00467FE6">
              <w:rPr>
                <w:sz w:val="22"/>
                <w:szCs w:val="22"/>
              </w:rPr>
              <w:t>(</w:t>
            </w:r>
            <w:proofErr w:type="gramStart"/>
            <w:r w:rsidRPr="00467FE6">
              <w:rPr>
                <w:sz w:val="22"/>
                <w:szCs w:val="22"/>
              </w:rPr>
              <w:t>0.029)*</w:t>
            </w:r>
            <w:proofErr w:type="gramEnd"/>
            <w:r w:rsidRPr="00467FE6">
              <w:rPr>
                <w:sz w:val="22"/>
                <w:szCs w:val="22"/>
              </w:rPr>
              <w:t>*</w:t>
            </w:r>
          </w:p>
        </w:tc>
        <w:tc>
          <w:tcPr>
            <w:tcW w:w="1548" w:type="dxa"/>
            <w:tcBorders>
              <w:top w:val="nil"/>
              <w:left w:val="nil"/>
              <w:bottom w:val="nil"/>
              <w:right w:val="nil"/>
            </w:tcBorders>
          </w:tcPr>
          <w:p w14:paraId="3F2DABED" w14:textId="77777777" w:rsidR="00FB7386" w:rsidRPr="00467FE6" w:rsidRDefault="00FB7386" w:rsidP="009F2AA5">
            <w:pPr>
              <w:widowControl w:val="0"/>
              <w:tabs>
                <w:tab w:val="decimal" w:pos="520"/>
              </w:tabs>
              <w:autoSpaceDE w:val="0"/>
              <w:autoSpaceDN w:val="0"/>
              <w:adjustRightInd w:val="0"/>
              <w:rPr>
                <w:sz w:val="22"/>
                <w:szCs w:val="22"/>
              </w:rPr>
            </w:pPr>
            <w:r w:rsidRPr="00467FE6">
              <w:rPr>
                <w:sz w:val="22"/>
                <w:szCs w:val="22"/>
              </w:rPr>
              <w:t>(0.060)**</w:t>
            </w:r>
          </w:p>
        </w:tc>
        <w:tc>
          <w:tcPr>
            <w:tcW w:w="1548" w:type="dxa"/>
            <w:tcBorders>
              <w:top w:val="nil"/>
              <w:left w:val="nil"/>
              <w:bottom w:val="nil"/>
              <w:right w:val="nil"/>
            </w:tcBorders>
          </w:tcPr>
          <w:p w14:paraId="562988A0" w14:textId="77777777" w:rsidR="00FB7386" w:rsidRPr="00467FE6" w:rsidRDefault="00FB7386" w:rsidP="009F2AA5">
            <w:pPr>
              <w:widowControl w:val="0"/>
              <w:tabs>
                <w:tab w:val="decimal" w:pos="387"/>
              </w:tabs>
              <w:autoSpaceDE w:val="0"/>
              <w:autoSpaceDN w:val="0"/>
              <w:adjustRightInd w:val="0"/>
              <w:rPr>
                <w:sz w:val="22"/>
                <w:szCs w:val="22"/>
              </w:rPr>
            </w:pPr>
            <w:r w:rsidRPr="00467FE6">
              <w:rPr>
                <w:sz w:val="22"/>
                <w:szCs w:val="22"/>
              </w:rPr>
              <w:t>(</w:t>
            </w:r>
            <w:proofErr w:type="gramStart"/>
            <w:r w:rsidRPr="00467FE6">
              <w:rPr>
                <w:sz w:val="22"/>
                <w:szCs w:val="22"/>
              </w:rPr>
              <w:t>0.007)*</w:t>
            </w:r>
            <w:proofErr w:type="gramEnd"/>
            <w:r w:rsidRPr="00467FE6">
              <w:rPr>
                <w:sz w:val="22"/>
                <w:szCs w:val="22"/>
              </w:rPr>
              <w:t>*</w:t>
            </w:r>
          </w:p>
        </w:tc>
        <w:tc>
          <w:tcPr>
            <w:tcW w:w="1548" w:type="dxa"/>
            <w:tcBorders>
              <w:top w:val="nil"/>
              <w:left w:val="nil"/>
              <w:bottom w:val="nil"/>
              <w:right w:val="nil"/>
            </w:tcBorders>
          </w:tcPr>
          <w:p w14:paraId="126B40B0" w14:textId="77777777" w:rsidR="00FB7386" w:rsidRPr="00467FE6" w:rsidRDefault="00FB7386" w:rsidP="009F2AA5">
            <w:pPr>
              <w:widowControl w:val="0"/>
              <w:tabs>
                <w:tab w:val="decimal" w:pos="397"/>
              </w:tabs>
              <w:autoSpaceDE w:val="0"/>
              <w:autoSpaceDN w:val="0"/>
              <w:adjustRightInd w:val="0"/>
              <w:rPr>
                <w:sz w:val="22"/>
                <w:szCs w:val="22"/>
              </w:rPr>
            </w:pPr>
            <w:r w:rsidRPr="00467FE6">
              <w:rPr>
                <w:sz w:val="22"/>
                <w:szCs w:val="22"/>
              </w:rPr>
              <w:t>(0.007)**</w:t>
            </w:r>
          </w:p>
        </w:tc>
        <w:tc>
          <w:tcPr>
            <w:tcW w:w="1548" w:type="dxa"/>
            <w:tcBorders>
              <w:top w:val="nil"/>
              <w:left w:val="nil"/>
              <w:bottom w:val="nil"/>
              <w:right w:val="nil"/>
            </w:tcBorders>
          </w:tcPr>
          <w:p w14:paraId="379D5C41" w14:textId="77777777" w:rsidR="00FB7386" w:rsidRPr="00467FE6" w:rsidRDefault="00FB7386" w:rsidP="0066381E">
            <w:pPr>
              <w:widowControl w:val="0"/>
              <w:tabs>
                <w:tab w:val="decimal" w:pos="548"/>
              </w:tabs>
              <w:autoSpaceDE w:val="0"/>
              <w:autoSpaceDN w:val="0"/>
              <w:adjustRightInd w:val="0"/>
              <w:rPr>
                <w:sz w:val="22"/>
                <w:szCs w:val="22"/>
              </w:rPr>
            </w:pPr>
            <w:r w:rsidRPr="00467FE6">
              <w:rPr>
                <w:sz w:val="22"/>
                <w:szCs w:val="22"/>
              </w:rPr>
              <w:t>(0.007)**</w:t>
            </w:r>
          </w:p>
        </w:tc>
      </w:tr>
      <w:tr w:rsidR="004D3F41" w:rsidRPr="00467FE6" w14:paraId="37099662" w14:textId="77777777" w:rsidTr="007029BF">
        <w:trPr>
          <w:trHeight w:val="273"/>
          <w:jc w:val="center"/>
        </w:trPr>
        <w:tc>
          <w:tcPr>
            <w:tcW w:w="2610" w:type="dxa"/>
            <w:tcBorders>
              <w:top w:val="nil"/>
              <w:left w:val="nil"/>
              <w:bottom w:val="nil"/>
              <w:right w:val="nil"/>
            </w:tcBorders>
          </w:tcPr>
          <w:p w14:paraId="497B1C33" w14:textId="09F63CC7" w:rsidR="00FB7386" w:rsidRPr="00467FE6" w:rsidRDefault="00FB7386" w:rsidP="002E076A">
            <w:pPr>
              <w:widowControl w:val="0"/>
              <w:tabs>
                <w:tab w:val="left" w:pos="567"/>
              </w:tabs>
              <w:autoSpaceDE w:val="0"/>
              <w:autoSpaceDN w:val="0"/>
              <w:adjustRightInd w:val="0"/>
              <w:rPr>
                <w:sz w:val="22"/>
                <w:szCs w:val="22"/>
              </w:rPr>
            </w:pPr>
            <w:r w:rsidRPr="00467FE6">
              <w:rPr>
                <w:sz w:val="22"/>
                <w:szCs w:val="22"/>
              </w:rPr>
              <w:t xml:space="preserve">Log of GDP </w:t>
            </w:r>
            <w:r w:rsidR="000348E6">
              <w:rPr>
                <w:sz w:val="22"/>
                <w:szCs w:val="22"/>
              </w:rPr>
              <w:t>P</w:t>
            </w:r>
            <w:r w:rsidRPr="00467FE6">
              <w:rPr>
                <w:sz w:val="22"/>
                <w:szCs w:val="22"/>
              </w:rPr>
              <w:t xml:space="preserve">er </w:t>
            </w:r>
            <w:r w:rsidR="000348E6">
              <w:rPr>
                <w:sz w:val="22"/>
                <w:szCs w:val="22"/>
              </w:rPr>
              <w:t>C</w:t>
            </w:r>
            <w:r w:rsidRPr="00467FE6">
              <w:rPr>
                <w:sz w:val="22"/>
                <w:szCs w:val="22"/>
              </w:rPr>
              <w:t>apita</w:t>
            </w:r>
          </w:p>
        </w:tc>
        <w:tc>
          <w:tcPr>
            <w:tcW w:w="1548" w:type="dxa"/>
            <w:tcBorders>
              <w:top w:val="nil"/>
              <w:left w:val="nil"/>
              <w:bottom w:val="nil"/>
              <w:right w:val="nil"/>
            </w:tcBorders>
          </w:tcPr>
          <w:p w14:paraId="12F5A49A" w14:textId="77777777" w:rsidR="00FB7386" w:rsidRPr="00467FE6" w:rsidRDefault="00FB7386" w:rsidP="009F2AA5">
            <w:pPr>
              <w:widowControl w:val="0"/>
              <w:tabs>
                <w:tab w:val="decimal" w:pos="369"/>
              </w:tabs>
              <w:autoSpaceDE w:val="0"/>
              <w:autoSpaceDN w:val="0"/>
              <w:adjustRightInd w:val="0"/>
              <w:rPr>
                <w:sz w:val="22"/>
                <w:szCs w:val="22"/>
              </w:rPr>
            </w:pPr>
            <w:r w:rsidRPr="00467FE6">
              <w:rPr>
                <w:sz w:val="22"/>
                <w:szCs w:val="22"/>
              </w:rPr>
              <w:t>-5.490</w:t>
            </w:r>
          </w:p>
        </w:tc>
        <w:tc>
          <w:tcPr>
            <w:tcW w:w="1548" w:type="dxa"/>
            <w:tcBorders>
              <w:top w:val="nil"/>
              <w:left w:val="nil"/>
              <w:bottom w:val="nil"/>
              <w:right w:val="nil"/>
            </w:tcBorders>
          </w:tcPr>
          <w:p w14:paraId="74B853C7" w14:textId="77777777" w:rsidR="00FB7386" w:rsidRPr="00467FE6" w:rsidRDefault="00FB7386" w:rsidP="009F2AA5">
            <w:pPr>
              <w:widowControl w:val="0"/>
              <w:tabs>
                <w:tab w:val="decimal" w:pos="520"/>
              </w:tabs>
              <w:autoSpaceDE w:val="0"/>
              <w:autoSpaceDN w:val="0"/>
              <w:adjustRightInd w:val="0"/>
              <w:rPr>
                <w:sz w:val="22"/>
                <w:szCs w:val="22"/>
              </w:rPr>
            </w:pPr>
            <w:r w:rsidRPr="00467FE6">
              <w:rPr>
                <w:sz w:val="22"/>
                <w:szCs w:val="22"/>
              </w:rPr>
              <w:t>-7.771</w:t>
            </w:r>
          </w:p>
        </w:tc>
        <w:tc>
          <w:tcPr>
            <w:tcW w:w="1548" w:type="dxa"/>
            <w:tcBorders>
              <w:top w:val="nil"/>
              <w:left w:val="nil"/>
              <w:bottom w:val="nil"/>
              <w:right w:val="nil"/>
            </w:tcBorders>
          </w:tcPr>
          <w:p w14:paraId="5E72DD19" w14:textId="77777777" w:rsidR="00FB7386" w:rsidRPr="00467FE6" w:rsidRDefault="00FB7386" w:rsidP="009F2AA5">
            <w:pPr>
              <w:widowControl w:val="0"/>
              <w:tabs>
                <w:tab w:val="decimal" w:pos="387"/>
              </w:tabs>
              <w:autoSpaceDE w:val="0"/>
              <w:autoSpaceDN w:val="0"/>
              <w:adjustRightInd w:val="0"/>
              <w:rPr>
                <w:sz w:val="22"/>
                <w:szCs w:val="22"/>
              </w:rPr>
            </w:pPr>
            <w:r w:rsidRPr="00467FE6">
              <w:rPr>
                <w:sz w:val="22"/>
                <w:szCs w:val="22"/>
              </w:rPr>
              <w:t>0.115</w:t>
            </w:r>
          </w:p>
        </w:tc>
        <w:tc>
          <w:tcPr>
            <w:tcW w:w="1548" w:type="dxa"/>
            <w:tcBorders>
              <w:top w:val="nil"/>
              <w:left w:val="nil"/>
              <w:bottom w:val="nil"/>
              <w:right w:val="nil"/>
            </w:tcBorders>
          </w:tcPr>
          <w:p w14:paraId="7798DFD2" w14:textId="77777777" w:rsidR="00FB7386" w:rsidRPr="00467FE6" w:rsidRDefault="00FB7386" w:rsidP="009F2AA5">
            <w:pPr>
              <w:widowControl w:val="0"/>
              <w:tabs>
                <w:tab w:val="decimal" w:pos="397"/>
              </w:tabs>
              <w:autoSpaceDE w:val="0"/>
              <w:autoSpaceDN w:val="0"/>
              <w:adjustRightInd w:val="0"/>
              <w:rPr>
                <w:sz w:val="22"/>
                <w:szCs w:val="22"/>
              </w:rPr>
            </w:pPr>
            <w:r w:rsidRPr="00467FE6">
              <w:rPr>
                <w:sz w:val="22"/>
                <w:szCs w:val="22"/>
              </w:rPr>
              <w:t>0.261</w:t>
            </w:r>
          </w:p>
        </w:tc>
        <w:tc>
          <w:tcPr>
            <w:tcW w:w="1548" w:type="dxa"/>
            <w:tcBorders>
              <w:top w:val="nil"/>
              <w:left w:val="nil"/>
              <w:bottom w:val="nil"/>
              <w:right w:val="nil"/>
            </w:tcBorders>
          </w:tcPr>
          <w:p w14:paraId="3ECF7007" w14:textId="77777777" w:rsidR="00FB7386" w:rsidRPr="00467FE6" w:rsidRDefault="00FB7386" w:rsidP="0066381E">
            <w:pPr>
              <w:widowControl w:val="0"/>
              <w:tabs>
                <w:tab w:val="decimal" w:pos="548"/>
              </w:tabs>
              <w:autoSpaceDE w:val="0"/>
              <w:autoSpaceDN w:val="0"/>
              <w:adjustRightInd w:val="0"/>
              <w:rPr>
                <w:sz w:val="22"/>
                <w:szCs w:val="22"/>
              </w:rPr>
            </w:pPr>
            <w:r w:rsidRPr="00467FE6">
              <w:rPr>
                <w:sz w:val="22"/>
                <w:szCs w:val="22"/>
              </w:rPr>
              <w:t>0.179</w:t>
            </w:r>
          </w:p>
        </w:tc>
      </w:tr>
      <w:tr w:rsidR="004D3F41" w:rsidRPr="00467FE6" w14:paraId="24682B7D" w14:textId="77777777" w:rsidTr="0044110D">
        <w:trPr>
          <w:trHeight w:val="414"/>
          <w:jc w:val="center"/>
        </w:trPr>
        <w:tc>
          <w:tcPr>
            <w:tcW w:w="2610" w:type="dxa"/>
            <w:tcBorders>
              <w:top w:val="nil"/>
              <w:left w:val="nil"/>
              <w:bottom w:val="nil"/>
              <w:right w:val="nil"/>
            </w:tcBorders>
          </w:tcPr>
          <w:p w14:paraId="05DAFF47" w14:textId="77777777" w:rsidR="00FB7386" w:rsidRPr="00467FE6" w:rsidRDefault="00FB7386" w:rsidP="002E076A">
            <w:pPr>
              <w:widowControl w:val="0"/>
              <w:tabs>
                <w:tab w:val="left" w:pos="567"/>
              </w:tabs>
              <w:autoSpaceDE w:val="0"/>
              <w:autoSpaceDN w:val="0"/>
              <w:adjustRightInd w:val="0"/>
              <w:rPr>
                <w:sz w:val="22"/>
                <w:szCs w:val="22"/>
              </w:rPr>
            </w:pPr>
          </w:p>
        </w:tc>
        <w:tc>
          <w:tcPr>
            <w:tcW w:w="1548" w:type="dxa"/>
            <w:tcBorders>
              <w:top w:val="nil"/>
              <w:left w:val="nil"/>
              <w:bottom w:val="nil"/>
              <w:right w:val="nil"/>
            </w:tcBorders>
          </w:tcPr>
          <w:p w14:paraId="3D7FF9D2" w14:textId="77777777" w:rsidR="00FB7386" w:rsidRPr="00467FE6" w:rsidRDefault="00FB7386" w:rsidP="009F2AA5">
            <w:pPr>
              <w:widowControl w:val="0"/>
              <w:tabs>
                <w:tab w:val="decimal" w:pos="369"/>
              </w:tabs>
              <w:autoSpaceDE w:val="0"/>
              <w:autoSpaceDN w:val="0"/>
              <w:adjustRightInd w:val="0"/>
              <w:rPr>
                <w:sz w:val="22"/>
                <w:szCs w:val="22"/>
              </w:rPr>
            </w:pPr>
            <w:r w:rsidRPr="00467FE6">
              <w:rPr>
                <w:sz w:val="22"/>
                <w:szCs w:val="22"/>
              </w:rPr>
              <w:t>(</w:t>
            </w:r>
            <w:proofErr w:type="gramStart"/>
            <w:r w:rsidRPr="00467FE6">
              <w:rPr>
                <w:sz w:val="22"/>
                <w:szCs w:val="22"/>
              </w:rPr>
              <w:t>0.474)*</w:t>
            </w:r>
            <w:proofErr w:type="gramEnd"/>
            <w:r w:rsidRPr="00467FE6">
              <w:rPr>
                <w:sz w:val="22"/>
                <w:szCs w:val="22"/>
              </w:rPr>
              <w:t>*</w:t>
            </w:r>
          </w:p>
        </w:tc>
        <w:tc>
          <w:tcPr>
            <w:tcW w:w="1548" w:type="dxa"/>
            <w:tcBorders>
              <w:top w:val="nil"/>
              <w:left w:val="nil"/>
              <w:bottom w:val="nil"/>
              <w:right w:val="nil"/>
            </w:tcBorders>
          </w:tcPr>
          <w:p w14:paraId="719FBB83" w14:textId="77777777" w:rsidR="00FB7386" w:rsidRPr="00467FE6" w:rsidRDefault="00FB7386" w:rsidP="009F2AA5">
            <w:pPr>
              <w:widowControl w:val="0"/>
              <w:tabs>
                <w:tab w:val="decimal" w:pos="520"/>
              </w:tabs>
              <w:autoSpaceDE w:val="0"/>
              <w:autoSpaceDN w:val="0"/>
              <w:adjustRightInd w:val="0"/>
              <w:rPr>
                <w:sz w:val="22"/>
                <w:szCs w:val="22"/>
              </w:rPr>
            </w:pPr>
            <w:r w:rsidRPr="00467FE6">
              <w:rPr>
                <w:sz w:val="22"/>
                <w:szCs w:val="22"/>
              </w:rPr>
              <w:t>(0.971)**</w:t>
            </w:r>
          </w:p>
        </w:tc>
        <w:tc>
          <w:tcPr>
            <w:tcW w:w="1548" w:type="dxa"/>
            <w:tcBorders>
              <w:top w:val="nil"/>
              <w:left w:val="nil"/>
              <w:bottom w:val="nil"/>
              <w:right w:val="nil"/>
            </w:tcBorders>
          </w:tcPr>
          <w:p w14:paraId="17E982B5" w14:textId="77777777" w:rsidR="00FB7386" w:rsidRPr="00467FE6" w:rsidRDefault="00FB7386" w:rsidP="009F2AA5">
            <w:pPr>
              <w:widowControl w:val="0"/>
              <w:tabs>
                <w:tab w:val="decimal" w:pos="387"/>
              </w:tabs>
              <w:autoSpaceDE w:val="0"/>
              <w:autoSpaceDN w:val="0"/>
              <w:adjustRightInd w:val="0"/>
              <w:rPr>
                <w:sz w:val="22"/>
                <w:szCs w:val="22"/>
              </w:rPr>
            </w:pPr>
            <w:r w:rsidRPr="00467FE6">
              <w:rPr>
                <w:sz w:val="22"/>
                <w:szCs w:val="22"/>
              </w:rPr>
              <w:t>(0.116)</w:t>
            </w:r>
          </w:p>
        </w:tc>
        <w:tc>
          <w:tcPr>
            <w:tcW w:w="1548" w:type="dxa"/>
            <w:tcBorders>
              <w:top w:val="nil"/>
              <w:left w:val="nil"/>
              <w:bottom w:val="nil"/>
              <w:right w:val="nil"/>
            </w:tcBorders>
          </w:tcPr>
          <w:p w14:paraId="744825CE" w14:textId="77777777" w:rsidR="00FB7386" w:rsidRPr="00467FE6" w:rsidRDefault="00FB7386" w:rsidP="009F2AA5">
            <w:pPr>
              <w:widowControl w:val="0"/>
              <w:tabs>
                <w:tab w:val="decimal" w:pos="397"/>
              </w:tabs>
              <w:autoSpaceDE w:val="0"/>
              <w:autoSpaceDN w:val="0"/>
              <w:adjustRightInd w:val="0"/>
              <w:rPr>
                <w:sz w:val="22"/>
                <w:szCs w:val="22"/>
              </w:rPr>
            </w:pPr>
            <w:r w:rsidRPr="00467FE6">
              <w:rPr>
                <w:sz w:val="22"/>
                <w:szCs w:val="22"/>
              </w:rPr>
              <w:t>(0.113)*</w:t>
            </w:r>
          </w:p>
        </w:tc>
        <w:tc>
          <w:tcPr>
            <w:tcW w:w="1548" w:type="dxa"/>
            <w:tcBorders>
              <w:top w:val="nil"/>
              <w:left w:val="nil"/>
              <w:bottom w:val="nil"/>
              <w:right w:val="nil"/>
            </w:tcBorders>
          </w:tcPr>
          <w:p w14:paraId="0EDF37B1" w14:textId="77777777" w:rsidR="00FB7386" w:rsidRPr="00467FE6" w:rsidRDefault="00FB7386" w:rsidP="0066381E">
            <w:pPr>
              <w:widowControl w:val="0"/>
              <w:tabs>
                <w:tab w:val="decimal" w:pos="548"/>
              </w:tabs>
              <w:autoSpaceDE w:val="0"/>
              <w:autoSpaceDN w:val="0"/>
              <w:adjustRightInd w:val="0"/>
              <w:rPr>
                <w:sz w:val="22"/>
                <w:szCs w:val="22"/>
              </w:rPr>
            </w:pPr>
            <w:r w:rsidRPr="00467FE6">
              <w:rPr>
                <w:sz w:val="22"/>
                <w:szCs w:val="22"/>
              </w:rPr>
              <w:t>(0.122)</w:t>
            </w:r>
          </w:p>
        </w:tc>
      </w:tr>
      <w:tr w:rsidR="004D3F41" w:rsidRPr="00467FE6" w14:paraId="65AE2857" w14:textId="77777777" w:rsidTr="007029BF">
        <w:trPr>
          <w:trHeight w:val="285"/>
          <w:jc w:val="center"/>
        </w:trPr>
        <w:tc>
          <w:tcPr>
            <w:tcW w:w="2610" w:type="dxa"/>
            <w:tcBorders>
              <w:top w:val="nil"/>
              <w:left w:val="nil"/>
              <w:bottom w:val="nil"/>
              <w:right w:val="nil"/>
            </w:tcBorders>
          </w:tcPr>
          <w:p w14:paraId="4B591800" w14:textId="4B549368" w:rsidR="00FB7386" w:rsidRPr="00467FE6" w:rsidRDefault="00FB7386" w:rsidP="002E076A">
            <w:pPr>
              <w:widowControl w:val="0"/>
              <w:tabs>
                <w:tab w:val="left" w:pos="567"/>
              </w:tabs>
              <w:autoSpaceDE w:val="0"/>
              <w:autoSpaceDN w:val="0"/>
              <w:adjustRightInd w:val="0"/>
              <w:rPr>
                <w:sz w:val="22"/>
                <w:szCs w:val="22"/>
              </w:rPr>
            </w:pPr>
            <w:r w:rsidRPr="00467FE6">
              <w:rPr>
                <w:sz w:val="22"/>
                <w:szCs w:val="22"/>
              </w:rPr>
              <w:t>Urban</w:t>
            </w:r>
            <w:r w:rsidR="00CE438C" w:rsidRPr="00467FE6">
              <w:rPr>
                <w:sz w:val="22"/>
                <w:szCs w:val="22"/>
              </w:rPr>
              <w:t xml:space="preserve"> Percent </w:t>
            </w:r>
            <w:r w:rsidRPr="00467FE6">
              <w:rPr>
                <w:sz w:val="22"/>
                <w:szCs w:val="22"/>
              </w:rPr>
              <w:t xml:space="preserve">of </w:t>
            </w:r>
          </w:p>
        </w:tc>
        <w:tc>
          <w:tcPr>
            <w:tcW w:w="1548" w:type="dxa"/>
            <w:tcBorders>
              <w:top w:val="nil"/>
              <w:left w:val="nil"/>
              <w:bottom w:val="nil"/>
              <w:right w:val="nil"/>
            </w:tcBorders>
          </w:tcPr>
          <w:p w14:paraId="33FA9DAE" w14:textId="77777777" w:rsidR="00FB7386" w:rsidRPr="00467FE6" w:rsidRDefault="00FB7386" w:rsidP="009F2AA5">
            <w:pPr>
              <w:widowControl w:val="0"/>
              <w:tabs>
                <w:tab w:val="decimal" w:pos="369"/>
              </w:tabs>
              <w:autoSpaceDE w:val="0"/>
              <w:autoSpaceDN w:val="0"/>
              <w:adjustRightInd w:val="0"/>
              <w:rPr>
                <w:sz w:val="22"/>
                <w:szCs w:val="22"/>
              </w:rPr>
            </w:pPr>
            <w:r w:rsidRPr="00467FE6">
              <w:rPr>
                <w:sz w:val="22"/>
                <w:szCs w:val="22"/>
              </w:rPr>
              <w:t>-0.560</w:t>
            </w:r>
          </w:p>
        </w:tc>
        <w:tc>
          <w:tcPr>
            <w:tcW w:w="1548" w:type="dxa"/>
            <w:tcBorders>
              <w:top w:val="nil"/>
              <w:left w:val="nil"/>
              <w:bottom w:val="nil"/>
              <w:right w:val="nil"/>
            </w:tcBorders>
          </w:tcPr>
          <w:p w14:paraId="307FE258" w14:textId="77777777" w:rsidR="00FB7386" w:rsidRPr="00467FE6" w:rsidRDefault="00FB7386" w:rsidP="009F2AA5">
            <w:pPr>
              <w:widowControl w:val="0"/>
              <w:tabs>
                <w:tab w:val="decimal" w:pos="520"/>
              </w:tabs>
              <w:autoSpaceDE w:val="0"/>
              <w:autoSpaceDN w:val="0"/>
              <w:adjustRightInd w:val="0"/>
              <w:rPr>
                <w:sz w:val="22"/>
                <w:szCs w:val="22"/>
              </w:rPr>
            </w:pPr>
            <w:r w:rsidRPr="00467FE6">
              <w:rPr>
                <w:sz w:val="22"/>
                <w:szCs w:val="22"/>
              </w:rPr>
              <w:t>-0.850</w:t>
            </w:r>
          </w:p>
        </w:tc>
        <w:tc>
          <w:tcPr>
            <w:tcW w:w="1548" w:type="dxa"/>
            <w:tcBorders>
              <w:top w:val="nil"/>
              <w:left w:val="nil"/>
              <w:bottom w:val="nil"/>
              <w:right w:val="nil"/>
            </w:tcBorders>
          </w:tcPr>
          <w:p w14:paraId="351B2468" w14:textId="77777777" w:rsidR="00FB7386" w:rsidRPr="00467FE6" w:rsidRDefault="00FB7386" w:rsidP="009F2AA5">
            <w:pPr>
              <w:widowControl w:val="0"/>
              <w:tabs>
                <w:tab w:val="decimal" w:pos="387"/>
              </w:tabs>
              <w:autoSpaceDE w:val="0"/>
              <w:autoSpaceDN w:val="0"/>
              <w:adjustRightInd w:val="0"/>
              <w:rPr>
                <w:sz w:val="22"/>
                <w:szCs w:val="22"/>
              </w:rPr>
            </w:pPr>
            <w:r w:rsidRPr="00467FE6">
              <w:rPr>
                <w:sz w:val="22"/>
                <w:szCs w:val="22"/>
              </w:rPr>
              <w:t>0.068</w:t>
            </w:r>
          </w:p>
        </w:tc>
        <w:tc>
          <w:tcPr>
            <w:tcW w:w="1548" w:type="dxa"/>
            <w:tcBorders>
              <w:top w:val="nil"/>
              <w:left w:val="nil"/>
              <w:bottom w:val="nil"/>
              <w:right w:val="nil"/>
            </w:tcBorders>
          </w:tcPr>
          <w:p w14:paraId="6D508CD6" w14:textId="77777777" w:rsidR="00FB7386" w:rsidRPr="00467FE6" w:rsidRDefault="00FB7386" w:rsidP="009F2AA5">
            <w:pPr>
              <w:widowControl w:val="0"/>
              <w:tabs>
                <w:tab w:val="decimal" w:pos="397"/>
              </w:tabs>
              <w:autoSpaceDE w:val="0"/>
              <w:autoSpaceDN w:val="0"/>
              <w:adjustRightInd w:val="0"/>
              <w:rPr>
                <w:sz w:val="22"/>
                <w:szCs w:val="22"/>
              </w:rPr>
            </w:pPr>
            <w:r w:rsidRPr="00467FE6">
              <w:rPr>
                <w:sz w:val="22"/>
                <w:szCs w:val="22"/>
              </w:rPr>
              <w:t>0.073</w:t>
            </w:r>
          </w:p>
        </w:tc>
        <w:tc>
          <w:tcPr>
            <w:tcW w:w="1548" w:type="dxa"/>
            <w:tcBorders>
              <w:top w:val="nil"/>
              <w:left w:val="nil"/>
              <w:bottom w:val="nil"/>
              <w:right w:val="nil"/>
            </w:tcBorders>
          </w:tcPr>
          <w:p w14:paraId="4637CC87" w14:textId="77777777" w:rsidR="00FB7386" w:rsidRPr="00467FE6" w:rsidRDefault="00FB7386" w:rsidP="0066381E">
            <w:pPr>
              <w:widowControl w:val="0"/>
              <w:tabs>
                <w:tab w:val="decimal" w:pos="548"/>
              </w:tabs>
              <w:autoSpaceDE w:val="0"/>
              <w:autoSpaceDN w:val="0"/>
              <w:adjustRightInd w:val="0"/>
              <w:rPr>
                <w:sz w:val="22"/>
                <w:szCs w:val="22"/>
              </w:rPr>
            </w:pPr>
            <w:r w:rsidRPr="00467FE6">
              <w:rPr>
                <w:sz w:val="22"/>
                <w:szCs w:val="22"/>
              </w:rPr>
              <w:t>0.106</w:t>
            </w:r>
          </w:p>
        </w:tc>
      </w:tr>
      <w:tr w:rsidR="004D3F41" w:rsidRPr="00467FE6" w14:paraId="285503B7" w14:textId="77777777" w:rsidTr="0044110D">
        <w:trPr>
          <w:trHeight w:val="293"/>
          <w:jc w:val="center"/>
        </w:trPr>
        <w:tc>
          <w:tcPr>
            <w:tcW w:w="2610" w:type="dxa"/>
            <w:tcBorders>
              <w:top w:val="nil"/>
              <w:left w:val="nil"/>
              <w:bottom w:val="nil"/>
              <w:right w:val="nil"/>
            </w:tcBorders>
          </w:tcPr>
          <w:p w14:paraId="654E6E84" w14:textId="24ED8E66" w:rsidR="00FB7386" w:rsidRPr="00467FE6" w:rsidRDefault="00CE438C" w:rsidP="002E076A">
            <w:pPr>
              <w:widowControl w:val="0"/>
              <w:tabs>
                <w:tab w:val="left" w:pos="567"/>
              </w:tabs>
              <w:autoSpaceDE w:val="0"/>
              <w:autoSpaceDN w:val="0"/>
              <w:adjustRightInd w:val="0"/>
              <w:rPr>
                <w:sz w:val="22"/>
                <w:szCs w:val="22"/>
              </w:rPr>
            </w:pPr>
            <w:r w:rsidRPr="00467FE6">
              <w:rPr>
                <w:sz w:val="22"/>
                <w:szCs w:val="22"/>
              </w:rPr>
              <w:t>Population</w:t>
            </w:r>
          </w:p>
        </w:tc>
        <w:tc>
          <w:tcPr>
            <w:tcW w:w="1548" w:type="dxa"/>
            <w:tcBorders>
              <w:top w:val="nil"/>
              <w:left w:val="nil"/>
              <w:bottom w:val="nil"/>
              <w:right w:val="nil"/>
            </w:tcBorders>
          </w:tcPr>
          <w:p w14:paraId="0CF2A0C9" w14:textId="77777777" w:rsidR="00FB7386" w:rsidRPr="00467FE6" w:rsidRDefault="00FB7386" w:rsidP="009F2AA5">
            <w:pPr>
              <w:widowControl w:val="0"/>
              <w:tabs>
                <w:tab w:val="decimal" w:pos="369"/>
              </w:tabs>
              <w:autoSpaceDE w:val="0"/>
              <w:autoSpaceDN w:val="0"/>
              <w:adjustRightInd w:val="0"/>
              <w:rPr>
                <w:sz w:val="22"/>
                <w:szCs w:val="22"/>
              </w:rPr>
            </w:pPr>
            <w:r w:rsidRPr="00467FE6">
              <w:rPr>
                <w:sz w:val="22"/>
                <w:szCs w:val="22"/>
              </w:rPr>
              <w:t>(</w:t>
            </w:r>
            <w:proofErr w:type="gramStart"/>
            <w:r w:rsidRPr="00467FE6">
              <w:rPr>
                <w:sz w:val="22"/>
                <w:szCs w:val="22"/>
              </w:rPr>
              <w:t>0.067)*</w:t>
            </w:r>
            <w:proofErr w:type="gramEnd"/>
            <w:r w:rsidRPr="00467FE6">
              <w:rPr>
                <w:sz w:val="22"/>
                <w:szCs w:val="22"/>
              </w:rPr>
              <w:t>*</w:t>
            </w:r>
          </w:p>
        </w:tc>
        <w:tc>
          <w:tcPr>
            <w:tcW w:w="1548" w:type="dxa"/>
            <w:tcBorders>
              <w:top w:val="nil"/>
              <w:left w:val="nil"/>
              <w:bottom w:val="nil"/>
              <w:right w:val="nil"/>
            </w:tcBorders>
          </w:tcPr>
          <w:p w14:paraId="530F08E6" w14:textId="77777777" w:rsidR="00FB7386" w:rsidRPr="00467FE6" w:rsidRDefault="00FB7386" w:rsidP="009F2AA5">
            <w:pPr>
              <w:widowControl w:val="0"/>
              <w:tabs>
                <w:tab w:val="decimal" w:pos="520"/>
              </w:tabs>
              <w:autoSpaceDE w:val="0"/>
              <w:autoSpaceDN w:val="0"/>
              <w:adjustRightInd w:val="0"/>
              <w:rPr>
                <w:sz w:val="22"/>
                <w:szCs w:val="22"/>
              </w:rPr>
            </w:pPr>
            <w:r w:rsidRPr="00467FE6">
              <w:rPr>
                <w:sz w:val="22"/>
                <w:szCs w:val="22"/>
              </w:rPr>
              <w:t>(0.137)**</w:t>
            </w:r>
          </w:p>
        </w:tc>
        <w:tc>
          <w:tcPr>
            <w:tcW w:w="1548" w:type="dxa"/>
            <w:tcBorders>
              <w:top w:val="nil"/>
              <w:left w:val="nil"/>
              <w:bottom w:val="nil"/>
              <w:right w:val="nil"/>
            </w:tcBorders>
          </w:tcPr>
          <w:p w14:paraId="02D53D25" w14:textId="77777777" w:rsidR="00FB7386" w:rsidRPr="00467FE6" w:rsidRDefault="00FB7386" w:rsidP="009F2AA5">
            <w:pPr>
              <w:widowControl w:val="0"/>
              <w:tabs>
                <w:tab w:val="decimal" w:pos="387"/>
              </w:tabs>
              <w:autoSpaceDE w:val="0"/>
              <w:autoSpaceDN w:val="0"/>
              <w:adjustRightInd w:val="0"/>
              <w:rPr>
                <w:sz w:val="22"/>
                <w:szCs w:val="22"/>
              </w:rPr>
            </w:pPr>
            <w:r w:rsidRPr="00467FE6">
              <w:rPr>
                <w:sz w:val="22"/>
                <w:szCs w:val="22"/>
              </w:rPr>
              <w:t>(</w:t>
            </w:r>
            <w:proofErr w:type="gramStart"/>
            <w:r w:rsidRPr="00467FE6">
              <w:rPr>
                <w:sz w:val="22"/>
                <w:szCs w:val="22"/>
              </w:rPr>
              <w:t>0.017)*</w:t>
            </w:r>
            <w:proofErr w:type="gramEnd"/>
            <w:r w:rsidRPr="00467FE6">
              <w:rPr>
                <w:sz w:val="22"/>
                <w:szCs w:val="22"/>
              </w:rPr>
              <w:t>*</w:t>
            </w:r>
          </w:p>
        </w:tc>
        <w:tc>
          <w:tcPr>
            <w:tcW w:w="1548" w:type="dxa"/>
            <w:tcBorders>
              <w:top w:val="nil"/>
              <w:left w:val="nil"/>
              <w:bottom w:val="nil"/>
              <w:right w:val="nil"/>
            </w:tcBorders>
          </w:tcPr>
          <w:p w14:paraId="499762E6" w14:textId="77777777" w:rsidR="00FB7386" w:rsidRPr="00467FE6" w:rsidRDefault="00FB7386" w:rsidP="009F2AA5">
            <w:pPr>
              <w:widowControl w:val="0"/>
              <w:tabs>
                <w:tab w:val="decimal" w:pos="397"/>
              </w:tabs>
              <w:autoSpaceDE w:val="0"/>
              <w:autoSpaceDN w:val="0"/>
              <w:adjustRightInd w:val="0"/>
              <w:rPr>
                <w:sz w:val="22"/>
                <w:szCs w:val="22"/>
              </w:rPr>
            </w:pPr>
            <w:r w:rsidRPr="00467FE6">
              <w:rPr>
                <w:sz w:val="22"/>
                <w:szCs w:val="22"/>
              </w:rPr>
              <w:t>(0.016)**</w:t>
            </w:r>
          </w:p>
        </w:tc>
        <w:tc>
          <w:tcPr>
            <w:tcW w:w="1548" w:type="dxa"/>
            <w:tcBorders>
              <w:top w:val="nil"/>
              <w:left w:val="nil"/>
              <w:bottom w:val="nil"/>
              <w:right w:val="nil"/>
            </w:tcBorders>
          </w:tcPr>
          <w:p w14:paraId="2EE7E708" w14:textId="77777777" w:rsidR="0044110D" w:rsidRPr="00467FE6" w:rsidRDefault="00FB7386" w:rsidP="0066381E">
            <w:pPr>
              <w:widowControl w:val="0"/>
              <w:tabs>
                <w:tab w:val="decimal" w:pos="548"/>
              </w:tabs>
              <w:autoSpaceDE w:val="0"/>
              <w:autoSpaceDN w:val="0"/>
              <w:adjustRightInd w:val="0"/>
              <w:rPr>
                <w:sz w:val="22"/>
                <w:szCs w:val="22"/>
              </w:rPr>
            </w:pPr>
            <w:r w:rsidRPr="00467FE6">
              <w:rPr>
                <w:sz w:val="22"/>
                <w:szCs w:val="22"/>
              </w:rPr>
              <w:t>(0.018)**</w:t>
            </w:r>
          </w:p>
          <w:p w14:paraId="4FB9DCB6" w14:textId="0291D012" w:rsidR="007029BF" w:rsidRPr="00467FE6" w:rsidRDefault="007029BF" w:rsidP="0066381E">
            <w:pPr>
              <w:widowControl w:val="0"/>
              <w:tabs>
                <w:tab w:val="decimal" w:pos="548"/>
              </w:tabs>
              <w:autoSpaceDE w:val="0"/>
              <w:autoSpaceDN w:val="0"/>
              <w:adjustRightInd w:val="0"/>
              <w:rPr>
                <w:sz w:val="22"/>
                <w:szCs w:val="22"/>
              </w:rPr>
            </w:pPr>
          </w:p>
        </w:tc>
      </w:tr>
      <w:tr w:rsidR="004D3F41" w:rsidRPr="00467FE6" w14:paraId="4CA4DFDA" w14:textId="77777777" w:rsidTr="007029BF">
        <w:trPr>
          <w:trHeight w:val="199"/>
          <w:jc w:val="center"/>
        </w:trPr>
        <w:tc>
          <w:tcPr>
            <w:tcW w:w="2610" w:type="dxa"/>
            <w:tcBorders>
              <w:top w:val="nil"/>
              <w:left w:val="nil"/>
              <w:bottom w:val="nil"/>
              <w:right w:val="nil"/>
            </w:tcBorders>
          </w:tcPr>
          <w:p w14:paraId="607C55E6" w14:textId="3A05C730" w:rsidR="00FB7386" w:rsidRPr="00467FE6" w:rsidRDefault="00FB7386" w:rsidP="002E076A">
            <w:pPr>
              <w:widowControl w:val="0"/>
              <w:tabs>
                <w:tab w:val="left" w:pos="567"/>
              </w:tabs>
              <w:autoSpaceDE w:val="0"/>
              <w:autoSpaceDN w:val="0"/>
              <w:adjustRightInd w:val="0"/>
              <w:rPr>
                <w:sz w:val="22"/>
                <w:szCs w:val="22"/>
              </w:rPr>
            </w:pPr>
            <w:r w:rsidRPr="00467FE6">
              <w:rPr>
                <w:sz w:val="22"/>
                <w:szCs w:val="22"/>
              </w:rPr>
              <w:t>cons</w:t>
            </w:r>
          </w:p>
        </w:tc>
        <w:tc>
          <w:tcPr>
            <w:tcW w:w="1548" w:type="dxa"/>
            <w:tcBorders>
              <w:top w:val="nil"/>
              <w:left w:val="nil"/>
              <w:bottom w:val="nil"/>
              <w:right w:val="nil"/>
            </w:tcBorders>
          </w:tcPr>
          <w:p w14:paraId="1CF85144" w14:textId="77777777" w:rsidR="00FB7386" w:rsidRPr="00467FE6" w:rsidRDefault="00FB7386" w:rsidP="009F2AA5">
            <w:pPr>
              <w:widowControl w:val="0"/>
              <w:tabs>
                <w:tab w:val="decimal" w:pos="369"/>
              </w:tabs>
              <w:autoSpaceDE w:val="0"/>
              <w:autoSpaceDN w:val="0"/>
              <w:adjustRightInd w:val="0"/>
              <w:rPr>
                <w:sz w:val="22"/>
                <w:szCs w:val="22"/>
              </w:rPr>
            </w:pPr>
            <w:r w:rsidRPr="00467FE6">
              <w:rPr>
                <w:sz w:val="22"/>
                <w:szCs w:val="22"/>
              </w:rPr>
              <w:t>108.760</w:t>
            </w:r>
          </w:p>
        </w:tc>
        <w:tc>
          <w:tcPr>
            <w:tcW w:w="1548" w:type="dxa"/>
            <w:tcBorders>
              <w:top w:val="nil"/>
              <w:left w:val="nil"/>
              <w:bottom w:val="nil"/>
              <w:right w:val="nil"/>
            </w:tcBorders>
          </w:tcPr>
          <w:p w14:paraId="7D526914" w14:textId="77777777" w:rsidR="00FB7386" w:rsidRPr="00467FE6" w:rsidRDefault="00FB7386" w:rsidP="009F2AA5">
            <w:pPr>
              <w:widowControl w:val="0"/>
              <w:tabs>
                <w:tab w:val="decimal" w:pos="520"/>
              </w:tabs>
              <w:autoSpaceDE w:val="0"/>
              <w:autoSpaceDN w:val="0"/>
              <w:adjustRightInd w:val="0"/>
              <w:rPr>
                <w:sz w:val="22"/>
                <w:szCs w:val="22"/>
              </w:rPr>
            </w:pPr>
            <w:r w:rsidRPr="00467FE6">
              <w:rPr>
                <w:sz w:val="22"/>
                <w:szCs w:val="22"/>
              </w:rPr>
              <w:t>157.606</w:t>
            </w:r>
          </w:p>
        </w:tc>
        <w:tc>
          <w:tcPr>
            <w:tcW w:w="1548" w:type="dxa"/>
            <w:tcBorders>
              <w:top w:val="nil"/>
              <w:left w:val="nil"/>
              <w:bottom w:val="nil"/>
              <w:right w:val="nil"/>
            </w:tcBorders>
          </w:tcPr>
          <w:p w14:paraId="5D961A20" w14:textId="77777777" w:rsidR="00FB7386" w:rsidRPr="00467FE6" w:rsidRDefault="00FB7386" w:rsidP="009F2AA5">
            <w:pPr>
              <w:widowControl w:val="0"/>
              <w:tabs>
                <w:tab w:val="decimal" w:pos="387"/>
              </w:tabs>
              <w:autoSpaceDE w:val="0"/>
              <w:autoSpaceDN w:val="0"/>
              <w:adjustRightInd w:val="0"/>
              <w:rPr>
                <w:sz w:val="22"/>
                <w:szCs w:val="22"/>
              </w:rPr>
            </w:pPr>
            <w:r w:rsidRPr="00467FE6">
              <w:rPr>
                <w:sz w:val="22"/>
                <w:szCs w:val="22"/>
              </w:rPr>
              <w:t>62.528</w:t>
            </w:r>
          </w:p>
        </w:tc>
        <w:tc>
          <w:tcPr>
            <w:tcW w:w="1548" w:type="dxa"/>
            <w:tcBorders>
              <w:top w:val="nil"/>
              <w:left w:val="nil"/>
              <w:bottom w:val="nil"/>
              <w:right w:val="nil"/>
            </w:tcBorders>
          </w:tcPr>
          <w:p w14:paraId="62753330" w14:textId="77777777" w:rsidR="00FB7386" w:rsidRPr="00467FE6" w:rsidRDefault="00FB7386" w:rsidP="009F2AA5">
            <w:pPr>
              <w:widowControl w:val="0"/>
              <w:tabs>
                <w:tab w:val="decimal" w:pos="397"/>
              </w:tabs>
              <w:autoSpaceDE w:val="0"/>
              <w:autoSpaceDN w:val="0"/>
              <w:adjustRightInd w:val="0"/>
              <w:rPr>
                <w:sz w:val="22"/>
                <w:szCs w:val="22"/>
              </w:rPr>
            </w:pPr>
            <w:r w:rsidRPr="00467FE6">
              <w:rPr>
                <w:sz w:val="22"/>
                <w:szCs w:val="22"/>
              </w:rPr>
              <w:t>58.853</w:t>
            </w:r>
          </w:p>
        </w:tc>
        <w:tc>
          <w:tcPr>
            <w:tcW w:w="1548" w:type="dxa"/>
            <w:tcBorders>
              <w:top w:val="nil"/>
              <w:left w:val="nil"/>
              <w:bottom w:val="nil"/>
              <w:right w:val="nil"/>
            </w:tcBorders>
          </w:tcPr>
          <w:p w14:paraId="4539920D" w14:textId="77777777" w:rsidR="00FB7386" w:rsidRPr="00467FE6" w:rsidRDefault="00FB7386" w:rsidP="0066381E">
            <w:pPr>
              <w:widowControl w:val="0"/>
              <w:tabs>
                <w:tab w:val="decimal" w:pos="548"/>
              </w:tabs>
              <w:autoSpaceDE w:val="0"/>
              <w:autoSpaceDN w:val="0"/>
              <w:adjustRightInd w:val="0"/>
              <w:rPr>
                <w:sz w:val="22"/>
                <w:szCs w:val="22"/>
              </w:rPr>
            </w:pPr>
            <w:r w:rsidRPr="00467FE6">
              <w:rPr>
                <w:sz w:val="22"/>
                <w:szCs w:val="22"/>
              </w:rPr>
              <w:t>62.701</w:t>
            </w:r>
          </w:p>
        </w:tc>
      </w:tr>
      <w:tr w:rsidR="004D3F41" w:rsidRPr="00467FE6" w14:paraId="3BE4D10D" w14:textId="77777777" w:rsidTr="0044110D">
        <w:trPr>
          <w:trHeight w:val="429"/>
          <w:jc w:val="center"/>
        </w:trPr>
        <w:tc>
          <w:tcPr>
            <w:tcW w:w="2610" w:type="dxa"/>
            <w:tcBorders>
              <w:top w:val="nil"/>
              <w:left w:val="nil"/>
              <w:bottom w:val="nil"/>
              <w:right w:val="nil"/>
            </w:tcBorders>
          </w:tcPr>
          <w:p w14:paraId="6C2C93F2" w14:textId="77777777" w:rsidR="00FB7386" w:rsidRPr="00467FE6" w:rsidRDefault="00FB7386" w:rsidP="002E076A">
            <w:pPr>
              <w:widowControl w:val="0"/>
              <w:tabs>
                <w:tab w:val="left" w:pos="567"/>
              </w:tabs>
              <w:autoSpaceDE w:val="0"/>
              <w:autoSpaceDN w:val="0"/>
              <w:adjustRightInd w:val="0"/>
              <w:rPr>
                <w:sz w:val="22"/>
                <w:szCs w:val="22"/>
              </w:rPr>
            </w:pPr>
          </w:p>
        </w:tc>
        <w:tc>
          <w:tcPr>
            <w:tcW w:w="1548" w:type="dxa"/>
            <w:tcBorders>
              <w:top w:val="nil"/>
              <w:left w:val="nil"/>
              <w:bottom w:val="nil"/>
              <w:right w:val="nil"/>
            </w:tcBorders>
          </w:tcPr>
          <w:p w14:paraId="05349E62" w14:textId="77777777" w:rsidR="00FB7386" w:rsidRPr="00467FE6" w:rsidRDefault="00FB7386" w:rsidP="009F2AA5">
            <w:pPr>
              <w:widowControl w:val="0"/>
              <w:tabs>
                <w:tab w:val="decimal" w:pos="369"/>
              </w:tabs>
              <w:autoSpaceDE w:val="0"/>
              <w:autoSpaceDN w:val="0"/>
              <w:adjustRightInd w:val="0"/>
              <w:rPr>
                <w:sz w:val="22"/>
                <w:szCs w:val="22"/>
              </w:rPr>
            </w:pPr>
            <w:r w:rsidRPr="00467FE6">
              <w:rPr>
                <w:sz w:val="22"/>
                <w:szCs w:val="22"/>
              </w:rPr>
              <w:t>(</w:t>
            </w:r>
            <w:proofErr w:type="gramStart"/>
            <w:r w:rsidRPr="00467FE6">
              <w:rPr>
                <w:sz w:val="22"/>
                <w:szCs w:val="22"/>
              </w:rPr>
              <w:t>5.068)*</w:t>
            </w:r>
            <w:proofErr w:type="gramEnd"/>
            <w:r w:rsidRPr="00467FE6">
              <w:rPr>
                <w:sz w:val="22"/>
                <w:szCs w:val="22"/>
              </w:rPr>
              <w:t>*</w:t>
            </w:r>
          </w:p>
        </w:tc>
        <w:tc>
          <w:tcPr>
            <w:tcW w:w="1548" w:type="dxa"/>
            <w:tcBorders>
              <w:top w:val="nil"/>
              <w:left w:val="nil"/>
              <w:bottom w:val="nil"/>
              <w:right w:val="nil"/>
            </w:tcBorders>
          </w:tcPr>
          <w:p w14:paraId="4EACC5A1" w14:textId="77777777" w:rsidR="00FB7386" w:rsidRPr="00467FE6" w:rsidRDefault="00FB7386" w:rsidP="009F2AA5">
            <w:pPr>
              <w:widowControl w:val="0"/>
              <w:tabs>
                <w:tab w:val="decimal" w:pos="520"/>
              </w:tabs>
              <w:autoSpaceDE w:val="0"/>
              <w:autoSpaceDN w:val="0"/>
              <w:adjustRightInd w:val="0"/>
              <w:rPr>
                <w:sz w:val="22"/>
                <w:szCs w:val="22"/>
              </w:rPr>
            </w:pPr>
            <w:r w:rsidRPr="00467FE6">
              <w:rPr>
                <w:sz w:val="22"/>
                <w:szCs w:val="22"/>
              </w:rPr>
              <w:t>(10.375)**</w:t>
            </w:r>
          </w:p>
        </w:tc>
        <w:tc>
          <w:tcPr>
            <w:tcW w:w="1548" w:type="dxa"/>
            <w:tcBorders>
              <w:top w:val="nil"/>
              <w:left w:val="nil"/>
              <w:bottom w:val="nil"/>
              <w:right w:val="nil"/>
            </w:tcBorders>
          </w:tcPr>
          <w:p w14:paraId="55269BE3" w14:textId="77777777" w:rsidR="00FB7386" w:rsidRPr="00467FE6" w:rsidRDefault="00FB7386" w:rsidP="009F2AA5">
            <w:pPr>
              <w:widowControl w:val="0"/>
              <w:tabs>
                <w:tab w:val="decimal" w:pos="387"/>
              </w:tabs>
              <w:autoSpaceDE w:val="0"/>
              <w:autoSpaceDN w:val="0"/>
              <w:adjustRightInd w:val="0"/>
              <w:rPr>
                <w:sz w:val="22"/>
                <w:szCs w:val="22"/>
              </w:rPr>
            </w:pPr>
            <w:r w:rsidRPr="00467FE6">
              <w:rPr>
                <w:sz w:val="22"/>
                <w:szCs w:val="22"/>
              </w:rPr>
              <w:t>(</w:t>
            </w:r>
            <w:proofErr w:type="gramStart"/>
            <w:r w:rsidRPr="00467FE6">
              <w:rPr>
                <w:sz w:val="22"/>
                <w:szCs w:val="22"/>
              </w:rPr>
              <w:t>1.229)*</w:t>
            </w:r>
            <w:proofErr w:type="gramEnd"/>
            <w:r w:rsidRPr="00467FE6">
              <w:rPr>
                <w:sz w:val="22"/>
                <w:szCs w:val="22"/>
              </w:rPr>
              <w:t>*</w:t>
            </w:r>
          </w:p>
        </w:tc>
        <w:tc>
          <w:tcPr>
            <w:tcW w:w="1548" w:type="dxa"/>
            <w:tcBorders>
              <w:top w:val="nil"/>
              <w:left w:val="nil"/>
              <w:bottom w:val="nil"/>
              <w:right w:val="nil"/>
            </w:tcBorders>
          </w:tcPr>
          <w:p w14:paraId="45372A9B" w14:textId="77777777" w:rsidR="00FB7386" w:rsidRPr="00467FE6" w:rsidRDefault="00FB7386" w:rsidP="009F2AA5">
            <w:pPr>
              <w:widowControl w:val="0"/>
              <w:tabs>
                <w:tab w:val="decimal" w:pos="397"/>
              </w:tabs>
              <w:autoSpaceDE w:val="0"/>
              <w:autoSpaceDN w:val="0"/>
              <w:adjustRightInd w:val="0"/>
              <w:rPr>
                <w:sz w:val="22"/>
                <w:szCs w:val="22"/>
              </w:rPr>
            </w:pPr>
            <w:r w:rsidRPr="00467FE6">
              <w:rPr>
                <w:sz w:val="22"/>
                <w:szCs w:val="22"/>
              </w:rPr>
              <w:t>(1.203)**</w:t>
            </w:r>
          </w:p>
        </w:tc>
        <w:tc>
          <w:tcPr>
            <w:tcW w:w="1548" w:type="dxa"/>
            <w:tcBorders>
              <w:top w:val="nil"/>
              <w:left w:val="nil"/>
              <w:bottom w:val="nil"/>
              <w:right w:val="nil"/>
            </w:tcBorders>
          </w:tcPr>
          <w:p w14:paraId="706A5FA9" w14:textId="77777777" w:rsidR="00FB7386" w:rsidRPr="00467FE6" w:rsidRDefault="00FB7386" w:rsidP="0066381E">
            <w:pPr>
              <w:widowControl w:val="0"/>
              <w:tabs>
                <w:tab w:val="decimal" w:pos="548"/>
              </w:tabs>
              <w:autoSpaceDE w:val="0"/>
              <w:autoSpaceDN w:val="0"/>
              <w:adjustRightInd w:val="0"/>
              <w:rPr>
                <w:sz w:val="22"/>
                <w:szCs w:val="22"/>
              </w:rPr>
            </w:pPr>
            <w:r w:rsidRPr="00467FE6">
              <w:rPr>
                <w:sz w:val="22"/>
                <w:szCs w:val="22"/>
              </w:rPr>
              <w:t>(1.292)**</w:t>
            </w:r>
          </w:p>
        </w:tc>
      </w:tr>
      <w:tr w:rsidR="004D3F41" w:rsidRPr="00467FE6" w14:paraId="77FBC2CC" w14:textId="77777777" w:rsidTr="0044110D">
        <w:trPr>
          <w:trHeight w:val="429"/>
          <w:jc w:val="center"/>
        </w:trPr>
        <w:tc>
          <w:tcPr>
            <w:tcW w:w="2610" w:type="dxa"/>
            <w:tcBorders>
              <w:top w:val="nil"/>
              <w:left w:val="nil"/>
              <w:right w:val="nil"/>
            </w:tcBorders>
          </w:tcPr>
          <w:p w14:paraId="5434C6E6" w14:textId="77777777" w:rsidR="00FB7386" w:rsidRPr="00467FE6" w:rsidRDefault="00FB7386" w:rsidP="002E076A">
            <w:pPr>
              <w:widowControl w:val="0"/>
              <w:tabs>
                <w:tab w:val="left" w:pos="567"/>
              </w:tabs>
              <w:autoSpaceDE w:val="0"/>
              <w:autoSpaceDN w:val="0"/>
              <w:adjustRightInd w:val="0"/>
              <w:rPr>
                <w:sz w:val="22"/>
                <w:szCs w:val="22"/>
              </w:rPr>
            </w:pPr>
            <w:r w:rsidRPr="00467FE6">
              <w:rPr>
                <w:sz w:val="22"/>
                <w:szCs w:val="22"/>
              </w:rPr>
              <w:t>R</w:t>
            </w:r>
            <w:r w:rsidRPr="00467FE6">
              <w:rPr>
                <w:sz w:val="22"/>
                <w:szCs w:val="22"/>
                <w:vertAlign w:val="superscript"/>
              </w:rPr>
              <w:t>2</w:t>
            </w:r>
          </w:p>
        </w:tc>
        <w:tc>
          <w:tcPr>
            <w:tcW w:w="1548" w:type="dxa"/>
            <w:tcBorders>
              <w:top w:val="nil"/>
              <w:left w:val="nil"/>
              <w:right w:val="nil"/>
            </w:tcBorders>
          </w:tcPr>
          <w:p w14:paraId="07BF43F8" w14:textId="77777777" w:rsidR="00FB7386" w:rsidRPr="00467FE6" w:rsidRDefault="00FB7386" w:rsidP="009F2AA5">
            <w:pPr>
              <w:widowControl w:val="0"/>
              <w:tabs>
                <w:tab w:val="decimal" w:pos="369"/>
              </w:tabs>
              <w:autoSpaceDE w:val="0"/>
              <w:autoSpaceDN w:val="0"/>
              <w:adjustRightInd w:val="0"/>
              <w:rPr>
                <w:sz w:val="22"/>
                <w:szCs w:val="22"/>
              </w:rPr>
            </w:pPr>
            <w:r w:rsidRPr="00467FE6">
              <w:rPr>
                <w:sz w:val="22"/>
                <w:szCs w:val="22"/>
              </w:rPr>
              <w:t>0.59</w:t>
            </w:r>
          </w:p>
        </w:tc>
        <w:tc>
          <w:tcPr>
            <w:tcW w:w="1548" w:type="dxa"/>
            <w:tcBorders>
              <w:top w:val="nil"/>
              <w:left w:val="nil"/>
              <w:right w:val="nil"/>
            </w:tcBorders>
          </w:tcPr>
          <w:p w14:paraId="4F9F2F79" w14:textId="77777777" w:rsidR="00FB7386" w:rsidRPr="00467FE6" w:rsidRDefault="00FB7386" w:rsidP="009F2AA5">
            <w:pPr>
              <w:widowControl w:val="0"/>
              <w:tabs>
                <w:tab w:val="decimal" w:pos="520"/>
              </w:tabs>
              <w:autoSpaceDE w:val="0"/>
              <w:autoSpaceDN w:val="0"/>
              <w:adjustRightInd w:val="0"/>
              <w:rPr>
                <w:sz w:val="22"/>
                <w:szCs w:val="22"/>
              </w:rPr>
            </w:pPr>
            <w:r w:rsidRPr="00467FE6">
              <w:rPr>
                <w:sz w:val="22"/>
                <w:szCs w:val="22"/>
              </w:rPr>
              <w:t>0.49</w:t>
            </w:r>
          </w:p>
        </w:tc>
        <w:tc>
          <w:tcPr>
            <w:tcW w:w="1548" w:type="dxa"/>
            <w:tcBorders>
              <w:top w:val="nil"/>
              <w:left w:val="nil"/>
              <w:right w:val="nil"/>
            </w:tcBorders>
          </w:tcPr>
          <w:p w14:paraId="28ED1F82" w14:textId="77777777" w:rsidR="00FB7386" w:rsidRPr="00467FE6" w:rsidRDefault="00FB7386" w:rsidP="009F2AA5">
            <w:pPr>
              <w:widowControl w:val="0"/>
              <w:tabs>
                <w:tab w:val="decimal" w:pos="387"/>
              </w:tabs>
              <w:autoSpaceDE w:val="0"/>
              <w:autoSpaceDN w:val="0"/>
              <w:adjustRightInd w:val="0"/>
              <w:rPr>
                <w:sz w:val="22"/>
                <w:szCs w:val="22"/>
              </w:rPr>
            </w:pPr>
            <w:r w:rsidRPr="00467FE6">
              <w:rPr>
                <w:sz w:val="22"/>
                <w:szCs w:val="22"/>
              </w:rPr>
              <w:t>0.66</w:t>
            </w:r>
          </w:p>
        </w:tc>
        <w:tc>
          <w:tcPr>
            <w:tcW w:w="1548" w:type="dxa"/>
            <w:tcBorders>
              <w:top w:val="nil"/>
              <w:left w:val="nil"/>
              <w:right w:val="nil"/>
            </w:tcBorders>
          </w:tcPr>
          <w:p w14:paraId="2BDE7CF1" w14:textId="77777777" w:rsidR="00FB7386" w:rsidRPr="00467FE6" w:rsidRDefault="00FB7386" w:rsidP="009F2AA5">
            <w:pPr>
              <w:widowControl w:val="0"/>
              <w:tabs>
                <w:tab w:val="decimal" w:pos="397"/>
              </w:tabs>
              <w:autoSpaceDE w:val="0"/>
              <w:autoSpaceDN w:val="0"/>
              <w:adjustRightInd w:val="0"/>
              <w:rPr>
                <w:sz w:val="22"/>
                <w:szCs w:val="22"/>
              </w:rPr>
            </w:pPr>
            <w:r w:rsidRPr="00467FE6">
              <w:rPr>
                <w:sz w:val="22"/>
                <w:szCs w:val="22"/>
              </w:rPr>
              <w:t>0.69</w:t>
            </w:r>
          </w:p>
        </w:tc>
        <w:tc>
          <w:tcPr>
            <w:tcW w:w="1548" w:type="dxa"/>
            <w:tcBorders>
              <w:top w:val="nil"/>
              <w:left w:val="nil"/>
              <w:right w:val="nil"/>
            </w:tcBorders>
          </w:tcPr>
          <w:p w14:paraId="116C04AB" w14:textId="77777777" w:rsidR="00FB7386" w:rsidRPr="00467FE6" w:rsidRDefault="00FB7386" w:rsidP="0066381E">
            <w:pPr>
              <w:widowControl w:val="0"/>
              <w:tabs>
                <w:tab w:val="decimal" w:pos="548"/>
              </w:tabs>
              <w:autoSpaceDE w:val="0"/>
              <w:autoSpaceDN w:val="0"/>
              <w:adjustRightInd w:val="0"/>
              <w:rPr>
                <w:sz w:val="22"/>
                <w:szCs w:val="22"/>
              </w:rPr>
            </w:pPr>
            <w:r w:rsidRPr="00467FE6">
              <w:rPr>
                <w:sz w:val="22"/>
                <w:szCs w:val="22"/>
              </w:rPr>
              <w:t>0.66</w:t>
            </w:r>
          </w:p>
        </w:tc>
      </w:tr>
      <w:tr w:rsidR="004D3F41" w:rsidRPr="00467FE6" w14:paraId="7E910EB0" w14:textId="77777777" w:rsidTr="0044110D">
        <w:trPr>
          <w:trHeight w:val="429"/>
          <w:jc w:val="center"/>
        </w:trPr>
        <w:tc>
          <w:tcPr>
            <w:tcW w:w="2610" w:type="dxa"/>
            <w:tcBorders>
              <w:top w:val="nil"/>
              <w:left w:val="nil"/>
              <w:bottom w:val="nil"/>
              <w:right w:val="nil"/>
            </w:tcBorders>
          </w:tcPr>
          <w:p w14:paraId="106D1289" w14:textId="77777777" w:rsidR="00FB7386" w:rsidRPr="00467FE6" w:rsidRDefault="00FB7386" w:rsidP="002E076A">
            <w:pPr>
              <w:widowControl w:val="0"/>
              <w:tabs>
                <w:tab w:val="left" w:pos="567"/>
              </w:tabs>
              <w:autoSpaceDE w:val="0"/>
              <w:autoSpaceDN w:val="0"/>
              <w:adjustRightInd w:val="0"/>
              <w:rPr>
                <w:sz w:val="22"/>
                <w:szCs w:val="22"/>
              </w:rPr>
            </w:pPr>
            <w:r w:rsidRPr="00467FE6">
              <w:rPr>
                <w:sz w:val="22"/>
                <w:szCs w:val="22"/>
              </w:rPr>
              <w:t>N</w:t>
            </w:r>
          </w:p>
        </w:tc>
        <w:tc>
          <w:tcPr>
            <w:tcW w:w="1548" w:type="dxa"/>
            <w:tcBorders>
              <w:top w:val="nil"/>
              <w:left w:val="nil"/>
              <w:bottom w:val="nil"/>
              <w:right w:val="nil"/>
            </w:tcBorders>
          </w:tcPr>
          <w:p w14:paraId="436CC026" w14:textId="77777777" w:rsidR="00FB7386" w:rsidRPr="00467FE6" w:rsidRDefault="00FB7386" w:rsidP="000A02E0">
            <w:pPr>
              <w:widowControl w:val="0"/>
              <w:tabs>
                <w:tab w:val="decimal" w:pos="674"/>
              </w:tabs>
              <w:autoSpaceDE w:val="0"/>
              <w:autoSpaceDN w:val="0"/>
              <w:adjustRightInd w:val="0"/>
              <w:rPr>
                <w:sz w:val="22"/>
                <w:szCs w:val="22"/>
              </w:rPr>
            </w:pPr>
            <w:r w:rsidRPr="00467FE6">
              <w:rPr>
                <w:sz w:val="22"/>
                <w:szCs w:val="22"/>
              </w:rPr>
              <w:t>2,007</w:t>
            </w:r>
          </w:p>
        </w:tc>
        <w:tc>
          <w:tcPr>
            <w:tcW w:w="1548" w:type="dxa"/>
            <w:tcBorders>
              <w:top w:val="nil"/>
              <w:left w:val="nil"/>
              <w:bottom w:val="nil"/>
              <w:right w:val="nil"/>
            </w:tcBorders>
          </w:tcPr>
          <w:p w14:paraId="3E145C5A" w14:textId="77777777" w:rsidR="00FB7386" w:rsidRPr="00467FE6" w:rsidRDefault="00FB7386" w:rsidP="000A02E0">
            <w:pPr>
              <w:widowControl w:val="0"/>
              <w:autoSpaceDE w:val="0"/>
              <w:autoSpaceDN w:val="0"/>
              <w:adjustRightInd w:val="0"/>
              <w:jc w:val="center"/>
              <w:rPr>
                <w:sz w:val="22"/>
                <w:szCs w:val="22"/>
              </w:rPr>
            </w:pPr>
            <w:r w:rsidRPr="00467FE6">
              <w:rPr>
                <w:sz w:val="22"/>
                <w:szCs w:val="22"/>
              </w:rPr>
              <w:t>2,007</w:t>
            </w:r>
          </w:p>
        </w:tc>
        <w:tc>
          <w:tcPr>
            <w:tcW w:w="1548" w:type="dxa"/>
            <w:tcBorders>
              <w:top w:val="nil"/>
              <w:left w:val="nil"/>
              <w:bottom w:val="nil"/>
              <w:right w:val="nil"/>
            </w:tcBorders>
          </w:tcPr>
          <w:p w14:paraId="2E27CDC6" w14:textId="77777777" w:rsidR="00FB7386" w:rsidRPr="00467FE6" w:rsidRDefault="00FB7386" w:rsidP="000A02E0">
            <w:pPr>
              <w:widowControl w:val="0"/>
              <w:tabs>
                <w:tab w:val="decimal" w:pos="674"/>
              </w:tabs>
              <w:autoSpaceDE w:val="0"/>
              <w:autoSpaceDN w:val="0"/>
              <w:adjustRightInd w:val="0"/>
              <w:rPr>
                <w:sz w:val="22"/>
                <w:szCs w:val="22"/>
              </w:rPr>
            </w:pPr>
            <w:r w:rsidRPr="00467FE6">
              <w:rPr>
                <w:sz w:val="22"/>
                <w:szCs w:val="22"/>
              </w:rPr>
              <w:t>1,950</w:t>
            </w:r>
          </w:p>
        </w:tc>
        <w:tc>
          <w:tcPr>
            <w:tcW w:w="1548" w:type="dxa"/>
            <w:tcBorders>
              <w:top w:val="nil"/>
              <w:left w:val="nil"/>
              <w:bottom w:val="nil"/>
              <w:right w:val="nil"/>
            </w:tcBorders>
          </w:tcPr>
          <w:p w14:paraId="480E000B" w14:textId="77777777" w:rsidR="00FB7386" w:rsidRPr="00467FE6" w:rsidRDefault="00FB7386" w:rsidP="000A02E0">
            <w:pPr>
              <w:widowControl w:val="0"/>
              <w:tabs>
                <w:tab w:val="decimal" w:pos="822"/>
              </w:tabs>
              <w:autoSpaceDE w:val="0"/>
              <w:autoSpaceDN w:val="0"/>
              <w:adjustRightInd w:val="0"/>
              <w:jc w:val="both"/>
              <w:rPr>
                <w:sz w:val="22"/>
                <w:szCs w:val="22"/>
              </w:rPr>
            </w:pPr>
            <w:r w:rsidRPr="00467FE6">
              <w:rPr>
                <w:sz w:val="22"/>
                <w:szCs w:val="22"/>
              </w:rPr>
              <w:t>1,950</w:t>
            </w:r>
          </w:p>
        </w:tc>
        <w:tc>
          <w:tcPr>
            <w:tcW w:w="1548" w:type="dxa"/>
            <w:tcBorders>
              <w:top w:val="nil"/>
              <w:left w:val="nil"/>
              <w:bottom w:val="nil"/>
              <w:right w:val="nil"/>
            </w:tcBorders>
          </w:tcPr>
          <w:p w14:paraId="5C247B0A" w14:textId="77777777" w:rsidR="00FB7386" w:rsidRPr="00467FE6" w:rsidRDefault="00FB7386" w:rsidP="000A02E0">
            <w:pPr>
              <w:widowControl w:val="0"/>
              <w:tabs>
                <w:tab w:val="decimal" w:pos="831"/>
              </w:tabs>
              <w:autoSpaceDE w:val="0"/>
              <w:autoSpaceDN w:val="0"/>
              <w:adjustRightInd w:val="0"/>
              <w:rPr>
                <w:sz w:val="22"/>
                <w:szCs w:val="22"/>
              </w:rPr>
            </w:pPr>
            <w:r w:rsidRPr="00467FE6">
              <w:rPr>
                <w:sz w:val="22"/>
                <w:szCs w:val="22"/>
              </w:rPr>
              <w:t>1,950</w:t>
            </w:r>
          </w:p>
        </w:tc>
      </w:tr>
      <w:tr w:rsidR="004D3F41" w:rsidRPr="00467FE6" w14:paraId="00DD1BC9" w14:textId="77777777" w:rsidTr="0044110D">
        <w:trPr>
          <w:trHeight w:val="429"/>
          <w:jc w:val="center"/>
        </w:trPr>
        <w:tc>
          <w:tcPr>
            <w:tcW w:w="2610" w:type="dxa"/>
            <w:tcBorders>
              <w:top w:val="nil"/>
              <w:left w:val="nil"/>
              <w:bottom w:val="single" w:sz="4" w:space="0" w:color="auto"/>
              <w:right w:val="nil"/>
            </w:tcBorders>
          </w:tcPr>
          <w:p w14:paraId="5E4C8E38" w14:textId="7C2CB7C8" w:rsidR="00C6613A" w:rsidRPr="00467FE6" w:rsidRDefault="00C6613A" w:rsidP="002E076A">
            <w:pPr>
              <w:widowControl w:val="0"/>
              <w:tabs>
                <w:tab w:val="left" w:pos="567"/>
              </w:tabs>
              <w:autoSpaceDE w:val="0"/>
              <w:autoSpaceDN w:val="0"/>
              <w:adjustRightInd w:val="0"/>
              <w:rPr>
                <w:sz w:val="22"/>
                <w:szCs w:val="22"/>
              </w:rPr>
            </w:pPr>
            <w:r w:rsidRPr="00467FE6">
              <w:rPr>
                <w:sz w:val="22"/>
                <w:szCs w:val="22"/>
              </w:rPr>
              <w:t xml:space="preserve">Number of </w:t>
            </w:r>
            <w:r w:rsidR="000A02E0">
              <w:rPr>
                <w:sz w:val="22"/>
                <w:szCs w:val="22"/>
              </w:rPr>
              <w:t>C</w:t>
            </w:r>
            <w:r w:rsidRPr="00467FE6">
              <w:rPr>
                <w:sz w:val="22"/>
                <w:szCs w:val="22"/>
              </w:rPr>
              <w:t>ountries</w:t>
            </w:r>
          </w:p>
        </w:tc>
        <w:tc>
          <w:tcPr>
            <w:tcW w:w="1548" w:type="dxa"/>
            <w:tcBorders>
              <w:top w:val="nil"/>
              <w:left w:val="nil"/>
              <w:bottom w:val="single" w:sz="4" w:space="0" w:color="auto"/>
              <w:right w:val="nil"/>
            </w:tcBorders>
          </w:tcPr>
          <w:p w14:paraId="39F8F334" w14:textId="4B7638CE" w:rsidR="00C6613A" w:rsidRPr="00467FE6" w:rsidRDefault="00C6613A" w:rsidP="000A02E0">
            <w:pPr>
              <w:widowControl w:val="0"/>
              <w:tabs>
                <w:tab w:val="decimal" w:pos="674"/>
              </w:tabs>
              <w:autoSpaceDE w:val="0"/>
              <w:autoSpaceDN w:val="0"/>
              <w:adjustRightInd w:val="0"/>
              <w:rPr>
                <w:sz w:val="22"/>
                <w:szCs w:val="22"/>
              </w:rPr>
            </w:pPr>
            <w:r w:rsidRPr="00467FE6">
              <w:rPr>
                <w:sz w:val="22"/>
                <w:szCs w:val="22"/>
              </w:rPr>
              <w:t>157</w:t>
            </w:r>
          </w:p>
        </w:tc>
        <w:tc>
          <w:tcPr>
            <w:tcW w:w="1548" w:type="dxa"/>
            <w:tcBorders>
              <w:top w:val="nil"/>
              <w:left w:val="nil"/>
              <w:bottom w:val="single" w:sz="4" w:space="0" w:color="auto"/>
              <w:right w:val="nil"/>
            </w:tcBorders>
          </w:tcPr>
          <w:p w14:paraId="1E96EB35" w14:textId="35786CC7" w:rsidR="00C6613A" w:rsidRPr="00467FE6" w:rsidRDefault="00C6613A" w:rsidP="000A02E0">
            <w:pPr>
              <w:widowControl w:val="0"/>
              <w:autoSpaceDE w:val="0"/>
              <w:autoSpaceDN w:val="0"/>
              <w:adjustRightInd w:val="0"/>
              <w:jc w:val="center"/>
              <w:rPr>
                <w:sz w:val="22"/>
                <w:szCs w:val="22"/>
              </w:rPr>
            </w:pPr>
            <w:r w:rsidRPr="00467FE6">
              <w:rPr>
                <w:sz w:val="22"/>
                <w:szCs w:val="22"/>
              </w:rPr>
              <w:t>157</w:t>
            </w:r>
          </w:p>
        </w:tc>
        <w:tc>
          <w:tcPr>
            <w:tcW w:w="1548" w:type="dxa"/>
            <w:tcBorders>
              <w:top w:val="nil"/>
              <w:left w:val="nil"/>
              <w:bottom w:val="single" w:sz="4" w:space="0" w:color="auto"/>
              <w:right w:val="nil"/>
            </w:tcBorders>
          </w:tcPr>
          <w:p w14:paraId="1ECA1783" w14:textId="2CD6026C" w:rsidR="00C6613A" w:rsidRPr="00467FE6" w:rsidRDefault="00C6613A" w:rsidP="000A02E0">
            <w:pPr>
              <w:widowControl w:val="0"/>
              <w:tabs>
                <w:tab w:val="decimal" w:pos="674"/>
              </w:tabs>
              <w:autoSpaceDE w:val="0"/>
              <w:autoSpaceDN w:val="0"/>
              <w:adjustRightInd w:val="0"/>
              <w:rPr>
                <w:sz w:val="22"/>
                <w:szCs w:val="22"/>
              </w:rPr>
            </w:pPr>
            <w:r w:rsidRPr="00467FE6">
              <w:rPr>
                <w:sz w:val="22"/>
                <w:szCs w:val="22"/>
              </w:rPr>
              <w:t>157</w:t>
            </w:r>
          </w:p>
        </w:tc>
        <w:tc>
          <w:tcPr>
            <w:tcW w:w="1548" w:type="dxa"/>
            <w:tcBorders>
              <w:top w:val="nil"/>
              <w:left w:val="nil"/>
              <w:bottom w:val="single" w:sz="4" w:space="0" w:color="auto"/>
              <w:right w:val="nil"/>
            </w:tcBorders>
          </w:tcPr>
          <w:p w14:paraId="49F4CC77" w14:textId="0F6F6729" w:rsidR="00C6613A" w:rsidRPr="00467FE6" w:rsidRDefault="00C6613A" w:rsidP="000A02E0">
            <w:pPr>
              <w:widowControl w:val="0"/>
              <w:tabs>
                <w:tab w:val="decimal" w:pos="822"/>
              </w:tabs>
              <w:autoSpaceDE w:val="0"/>
              <w:autoSpaceDN w:val="0"/>
              <w:adjustRightInd w:val="0"/>
              <w:jc w:val="both"/>
              <w:rPr>
                <w:sz w:val="22"/>
                <w:szCs w:val="22"/>
              </w:rPr>
            </w:pPr>
            <w:r w:rsidRPr="00467FE6">
              <w:rPr>
                <w:sz w:val="22"/>
                <w:szCs w:val="22"/>
              </w:rPr>
              <w:t>157</w:t>
            </w:r>
          </w:p>
        </w:tc>
        <w:tc>
          <w:tcPr>
            <w:tcW w:w="1548" w:type="dxa"/>
            <w:tcBorders>
              <w:top w:val="nil"/>
              <w:left w:val="nil"/>
              <w:bottom w:val="single" w:sz="4" w:space="0" w:color="auto"/>
              <w:right w:val="nil"/>
            </w:tcBorders>
          </w:tcPr>
          <w:p w14:paraId="4F54BCD5" w14:textId="4472064D" w:rsidR="00C6613A" w:rsidRPr="00467FE6" w:rsidRDefault="00C6613A" w:rsidP="000A02E0">
            <w:pPr>
              <w:widowControl w:val="0"/>
              <w:tabs>
                <w:tab w:val="decimal" w:pos="831"/>
              </w:tabs>
              <w:autoSpaceDE w:val="0"/>
              <w:autoSpaceDN w:val="0"/>
              <w:adjustRightInd w:val="0"/>
              <w:rPr>
                <w:sz w:val="22"/>
                <w:szCs w:val="22"/>
              </w:rPr>
            </w:pPr>
            <w:r w:rsidRPr="00467FE6">
              <w:rPr>
                <w:sz w:val="22"/>
                <w:szCs w:val="22"/>
              </w:rPr>
              <w:t>157</w:t>
            </w:r>
          </w:p>
        </w:tc>
      </w:tr>
    </w:tbl>
    <w:p w14:paraId="1DED70E6" w14:textId="77777777" w:rsidR="00FB7386" w:rsidRPr="00467FE6" w:rsidRDefault="00FB7386" w:rsidP="00CE438C">
      <w:pPr>
        <w:widowControl w:val="0"/>
        <w:autoSpaceDE w:val="0"/>
        <w:autoSpaceDN w:val="0"/>
        <w:adjustRightInd w:val="0"/>
        <w:ind w:left="-567"/>
        <w:rPr>
          <w:sz w:val="22"/>
          <w:szCs w:val="22"/>
        </w:rPr>
      </w:pPr>
      <w:r w:rsidRPr="00467FE6">
        <w:rPr>
          <w:sz w:val="22"/>
          <w:szCs w:val="22"/>
        </w:rPr>
        <w:t>* p&lt;0.1; ** p&lt;0.05; *** p&lt;0.01</w:t>
      </w:r>
    </w:p>
    <w:p w14:paraId="3910DDE1" w14:textId="475A02BA" w:rsidR="00FB7386" w:rsidRPr="00467FE6" w:rsidRDefault="00FB7386" w:rsidP="00CE438C">
      <w:pPr>
        <w:widowControl w:val="0"/>
        <w:autoSpaceDE w:val="0"/>
        <w:autoSpaceDN w:val="0"/>
        <w:adjustRightInd w:val="0"/>
        <w:ind w:left="-567"/>
        <w:rPr>
          <w:sz w:val="22"/>
          <w:szCs w:val="22"/>
        </w:rPr>
      </w:pPr>
      <w:r w:rsidRPr="00467FE6">
        <w:rPr>
          <w:sz w:val="22"/>
          <w:szCs w:val="22"/>
        </w:rPr>
        <w:t>Country level clustered standard errors are in parentheses</w:t>
      </w:r>
      <w:r w:rsidR="00C727D2" w:rsidRPr="00467FE6">
        <w:rPr>
          <w:sz w:val="22"/>
          <w:szCs w:val="22"/>
        </w:rPr>
        <w:t>.</w:t>
      </w:r>
    </w:p>
    <w:p w14:paraId="6327791A" w14:textId="77777777" w:rsidR="00C727D2" w:rsidRPr="00467FE6" w:rsidRDefault="00C727D2" w:rsidP="002E076A">
      <w:pPr>
        <w:widowControl w:val="0"/>
        <w:tabs>
          <w:tab w:val="left" w:pos="567"/>
        </w:tabs>
        <w:autoSpaceDE w:val="0"/>
        <w:autoSpaceDN w:val="0"/>
        <w:adjustRightInd w:val="0"/>
        <w:rPr>
          <w:sz w:val="22"/>
          <w:szCs w:val="22"/>
        </w:rPr>
      </w:pPr>
    </w:p>
    <w:p w14:paraId="36783439" w14:textId="77777777" w:rsidR="00532B57" w:rsidRDefault="00532B57" w:rsidP="002E076A">
      <w:pPr>
        <w:tabs>
          <w:tab w:val="left" w:pos="567"/>
        </w:tabs>
        <w:spacing w:line="300" w:lineRule="auto"/>
        <w:ind w:firstLine="720"/>
        <w:jc w:val="both"/>
        <w:rPr>
          <w:lang w:val="en-NZ"/>
        </w:rPr>
      </w:pPr>
    </w:p>
    <w:p w14:paraId="46260D8A" w14:textId="4CBE2AAE" w:rsidR="00532B57" w:rsidRDefault="00467FE6" w:rsidP="002E076A">
      <w:pPr>
        <w:tabs>
          <w:tab w:val="left" w:pos="567"/>
        </w:tabs>
        <w:spacing w:line="300" w:lineRule="auto"/>
        <w:ind w:firstLine="720"/>
        <w:jc w:val="both"/>
        <w:rPr>
          <w:lang w:val="en-NZ"/>
        </w:rPr>
      </w:pPr>
      <w:r w:rsidRPr="00467FE6">
        <w:rPr>
          <w:lang w:val="en-NZ"/>
        </w:rPr>
        <w:t xml:space="preserve">As previously noted, the proportion of household solid fuel use is likely to be endogenous. We applied the Anderson-Rubin Wald and Stock-Wright Lagrange multiplier S-statistic test to confirm this in our models. Our first two exogenous variables (percentage of land that is forested and the log of natural gas, LNG, and LPG production) are statistically significant predictors of the endogenous variable (percentage of solid fuel consumption), as can be seen in Table 3, which presents the first-stage estimation from the IV regression, it satisfies the relevance restriction. </w:t>
      </w:r>
    </w:p>
    <w:p w14:paraId="4FEEB61A" w14:textId="77777777" w:rsidR="00532B57" w:rsidRDefault="00532B57" w:rsidP="002E076A">
      <w:pPr>
        <w:tabs>
          <w:tab w:val="left" w:pos="567"/>
        </w:tabs>
        <w:spacing w:line="300" w:lineRule="auto"/>
        <w:ind w:firstLine="720"/>
        <w:jc w:val="both"/>
        <w:rPr>
          <w:lang w:val="en-NZ"/>
        </w:rPr>
      </w:pPr>
    </w:p>
    <w:p w14:paraId="4DEAE8BA" w14:textId="569C7EED" w:rsidR="00055FF2" w:rsidRPr="00467FE6" w:rsidRDefault="00467FE6" w:rsidP="002E076A">
      <w:pPr>
        <w:tabs>
          <w:tab w:val="left" w:pos="567"/>
        </w:tabs>
        <w:spacing w:line="300" w:lineRule="auto"/>
        <w:ind w:firstLine="720"/>
        <w:jc w:val="both"/>
        <w:rPr>
          <w:lang w:val="en-NZ"/>
        </w:rPr>
      </w:pPr>
      <w:r w:rsidRPr="00467FE6">
        <w:rPr>
          <w:lang w:val="en-NZ"/>
        </w:rPr>
        <w:t>We also tested for under-identification (Anderson canonical Correlation Lagrange multiplier statistics), over-identification test (</w:t>
      </w:r>
      <w:proofErr w:type="spellStart"/>
      <w:r w:rsidRPr="00467FE6">
        <w:rPr>
          <w:lang w:val="en-NZ"/>
        </w:rPr>
        <w:t>Sargan</w:t>
      </w:r>
      <w:proofErr w:type="spellEnd"/>
      <w:r w:rsidRPr="00467FE6">
        <w:rPr>
          <w:lang w:val="en-NZ"/>
        </w:rPr>
        <w:t xml:space="preserve"> test), and weak identification (Cragg-Donald Wald F-statistic). The results of these tests are included in Table A2 in the appendix. We further ran these tests using individual instruments to check each instrument’s suitability and validity in all five models, and these results are presented in Table A2a in the appendix. The results of these tests confirmed that that our instruments are strong and valid. Both the relevance and exclusion restrictions are therefore satisfied and our estimators are consistent (Alva </w:t>
      </w:r>
      <w:r w:rsidR="00532B57">
        <w:rPr>
          <w:rFonts w:asciiTheme="majorBidi" w:eastAsiaTheme="minorEastAsia" w:hAnsiTheme="majorBidi" w:cstheme="majorBidi"/>
          <w:i/>
        </w:rPr>
        <w:t>et al.</w:t>
      </w:r>
      <w:r w:rsidR="00532B57" w:rsidRPr="00FF1F9E">
        <w:rPr>
          <w:rFonts w:asciiTheme="majorBidi" w:eastAsiaTheme="minorEastAsia" w:hAnsiTheme="majorBidi" w:cstheme="majorBidi"/>
        </w:rPr>
        <w:t xml:space="preserve"> </w:t>
      </w:r>
      <w:r w:rsidRPr="00467FE6">
        <w:rPr>
          <w:lang w:val="en-NZ"/>
        </w:rPr>
        <w:t>2014</w:t>
      </w:r>
      <w:r w:rsidR="00532B57">
        <w:rPr>
          <w:lang w:val="en-NZ"/>
        </w:rPr>
        <w:t>,</w:t>
      </w:r>
      <w:r w:rsidRPr="00467FE6">
        <w:rPr>
          <w:lang w:val="en-NZ"/>
        </w:rPr>
        <w:t xml:space="preserve"> </w:t>
      </w:r>
      <w:proofErr w:type="spellStart"/>
      <w:r w:rsidRPr="00467FE6">
        <w:rPr>
          <w:lang w:val="en-NZ"/>
        </w:rPr>
        <w:t>Behncke</w:t>
      </w:r>
      <w:proofErr w:type="spellEnd"/>
      <w:r w:rsidRPr="00467FE6">
        <w:rPr>
          <w:lang w:val="en-NZ"/>
        </w:rPr>
        <w:t xml:space="preserve"> 2012). Moreover, the tests results support our instrumental variable approach and demonstrate the suitability of our chosen instruments</w:t>
      </w:r>
      <w:r w:rsidR="00D7239C" w:rsidRPr="00467FE6">
        <w:rPr>
          <w:lang w:val="en-NZ"/>
        </w:rPr>
        <w:t>.</w:t>
      </w:r>
      <w:r w:rsidR="00055FF2" w:rsidRPr="00467FE6">
        <w:rPr>
          <w:lang w:val="en-NZ"/>
        </w:rPr>
        <w:t xml:space="preserve"> </w:t>
      </w:r>
    </w:p>
    <w:p w14:paraId="1E81C393" w14:textId="77777777" w:rsidR="00BE6227" w:rsidRDefault="008D36A3" w:rsidP="00F1625A">
      <w:pPr>
        <w:widowControl w:val="0"/>
        <w:tabs>
          <w:tab w:val="left" w:pos="567"/>
        </w:tabs>
        <w:autoSpaceDE w:val="0"/>
        <w:autoSpaceDN w:val="0"/>
        <w:adjustRightInd w:val="0"/>
        <w:jc w:val="center"/>
        <w:rPr>
          <w:b/>
          <w:sz w:val="22"/>
          <w:szCs w:val="22"/>
        </w:rPr>
      </w:pPr>
      <w:r w:rsidRPr="00467FE6">
        <w:rPr>
          <w:b/>
          <w:sz w:val="22"/>
          <w:szCs w:val="22"/>
        </w:rPr>
        <w:lastRenderedPageBreak/>
        <w:t xml:space="preserve">Table </w:t>
      </w:r>
      <w:r w:rsidR="00F1625A" w:rsidRPr="00467FE6">
        <w:rPr>
          <w:b/>
          <w:sz w:val="22"/>
          <w:szCs w:val="22"/>
        </w:rPr>
        <w:t xml:space="preserve">3: </w:t>
      </w:r>
      <w:r w:rsidR="00FB7386" w:rsidRPr="00467FE6">
        <w:rPr>
          <w:b/>
          <w:sz w:val="22"/>
          <w:szCs w:val="22"/>
        </w:rPr>
        <w:t xml:space="preserve">First </w:t>
      </w:r>
      <w:r w:rsidR="00F1625A" w:rsidRPr="00467FE6">
        <w:rPr>
          <w:b/>
          <w:sz w:val="22"/>
          <w:szCs w:val="22"/>
        </w:rPr>
        <w:t xml:space="preserve">Stage Instrumental Variable Regression Results </w:t>
      </w:r>
    </w:p>
    <w:p w14:paraId="6D98FDAC" w14:textId="655239D6" w:rsidR="00FB7386" w:rsidRPr="00467FE6" w:rsidRDefault="00F1625A" w:rsidP="00F1625A">
      <w:pPr>
        <w:widowControl w:val="0"/>
        <w:tabs>
          <w:tab w:val="left" w:pos="567"/>
        </w:tabs>
        <w:autoSpaceDE w:val="0"/>
        <w:autoSpaceDN w:val="0"/>
        <w:adjustRightInd w:val="0"/>
        <w:jc w:val="center"/>
        <w:rPr>
          <w:b/>
          <w:sz w:val="22"/>
          <w:szCs w:val="22"/>
        </w:rPr>
      </w:pPr>
      <w:r w:rsidRPr="00467FE6">
        <w:rPr>
          <w:b/>
          <w:sz w:val="22"/>
          <w:szCs w:val="22"/>
        </w:rPr>
        <w:t>for All Five Models</w:t>
      </w:r>
    </w:p>
    <w:p w14:paraId="4F28DD6A" w14:textId="77777777" w:rsidR="00D4754F" w:rsidRPr="00467FE6" w:rsidRDefault="00D4754F" w:rsidP="00F1625A">
      <w:pPr>
        <w:widowControl w:val="0"/>
        <w:tabs>
          <w:tab w:val="left" w:pos="567"/>
        </w:tabs>
        <w:autoSpaceDE w:val="0"/>
        <w:autoSpaceDN w:val="0"/>
        <w:adjustRightInd w:val="0"/>
        <w:jc w:val="center"/>
        <w:rPr>
          <w:b/>
          <w:sz w:val="6"/>
          <w:szCs w:val="6"/>
        </w:rPr>
      </w:pPr>
    </w:p>
    <w:tbl>
      <w:tblPr>
        <w:tblW w:w="9072" w:type="dxa"/>
        <w:tblLook w:val="04A0" w:firstRow="1" w:lastRow="0" w:firstColumn="1" w:lastColumn="0" w:noHBand="0" w:noVBand="1"/>
      </w:tblPr>
      <w:tblGrid>
        <w:gridCol w:w="4995"/>
        <w:gridCol w:w="4077"/>
      </w:tblGrid>
      <w:tr w:rsidR="004D3F41" w:rsidRPr="00467FE6" w14:paraId="36405447" w14:textId="77777777" w:rsidTr="00F1625A">
        <w:trPr>
          <w:trHeight w:val="726"/>
        </w:trPr>
        <w:tc>
          <w:tcPr>
            <w:tcW w:w="4995" w:type="dxa"/>
            <w:tcBorders>
              <w:top w:val="single" w:sz="4" w:space="0" w:color="auto"/>
              <w:bottom w:val="single" w:sz="4" w:space="0" w:color="auto"/>
            </w:tcBorders>
            <w:shd w:val="clear" w:color="auto" w:fill="auto"/>
            <w:noWrap/>
            <w:vAlign w:val="center"/>
            <w:hideMark/>
          </w:tcPr>
          <w:p w14:paraId="0D8FA8D6" w14:textId="2E49B96B" w:rsidR="00A44C4F" w:rsidRPr="00467FE6" w:rsidRDefault="00FB7386" w:rsidP="00A44C4F">
            <w:pPr>
              <w:tabs>
                <w:tab w:val="left" w:pos="567"/>
              </w:tabs>
              <w:ind w:left="599"/>
              <w:jc w:val="center"/>
              <w:rPr>
                <w:bCs/>
                <w:sz w:val="22"/>
                <w:szCs w:val="22"/>
                <w:lang w:val="en-NZ" w:eastAsia="zh-CN"/>
              </w:rPr>
            </w:pPr>
            <w:r w:rsidRPr="00467FE6">
              <w:rPr>
                <w:bCs/>
                <w:sz w:val="22"/>
                <w:szCs w:val="22"/>
                <w:lang w:val="en-NZ" w:eastAsia="zh-CN"/>
              </w:rPr>
              <w:t>Percentage of</w:t>
            </w:r>
          </w:p>
          <w:p w14:paraId="2148996F" w14:textId="5B4CD9BB" w:rsidR="00FB7386" w:rsidRPr="00467FE6" w:rsidRDefault="000532BA" w:rsidP="00A44C4F">
            <w:pPr>
              <w:tabs>
                <w:tab w:val="left" w:pos="567"/>
              </w:tabs>
              <w:ind w:left="599"/>
              <w:jc w:val="center"/>
              <w:rPr>
                <w:bCs/>
                <w:sz w:val="22"/>
                <w:szCs w:val="22"/>
                <w:lang w:val="en-NZ" w:eastAsia="zh-CN"/>
              </w:rPr>
            </w:pPr>
            <w:r w:rsidRPr="00467FE6">
              <w:rPr>
                <w:bCs/>
                <w:sz w:val="22"/>
                <w:szCs w:val="22"/>
                <w:lang w:val="en-NZ" w:eastAsia="zh-CN"/>
              </w:rPr>
              <w:t>S</w:t>
            </w:r>
            <w:r w:rsidR="00FB7386" w:rsidRPr="00467FE6">
              <w:rPr>
                <w:bCs/>
                <w:sz w:val="22"/>
                <w:szCs w:val="22"/>
                <w:lang w:val="en-NZ" w:eastAsia="zh-CN"/>
              </w:rPr>
              <w:t>olid</w:t>
            </w:r>
            <w:r w:rsidR="00DF0D0D" w:rsidRPr="00467FE6">
              <w:rPr>
                <w:bCs/>
                <w:sz w:val="22"/>
                <w:szCs w:val="22"/>
                <w:lang w:val="en-NZ" w:eastAsia="zh-CN"/>
              </w:rPr>
              <w:t xml:space="preserve"> F</w:t>
            </w:r>
            <w:r w:rsidR="00FB7386" w:rsidRPr="00467FE6">
              <w:rPr>
                <w:bCs/>
                <w:sz w:val="22"/>
                <w:szCs w:val="22"/>
                <w:lang w:val="en-NZ" w:eastAsia="zh-CN"/>
              </w:rPr>
              <w:t xml:space="preserve">uel </w:t>
            </w:r>
            <w:r w:rsidR="00DF0D0D" w:rsidRPr="00467FE6">
              <w:rPr>
                <w:bCs/>
                <w:sz w:val="22"/>
                <w:szCs w:val="22"/>
                <w:lang w:val="en-NZ" w:eastAsia="zh-CN"/>
              </w:rPr>
              <w:t>C</w:t>
            </w:r>
            <w:r w:rsidR="00FB7386" w:rsidRPr="00467FE6">
              <w:rPr>
                <w:bCs/>
                <w:sz w:val="22"/>
                <w:szCs w:val="22"/>
                <w:lang w:val="en-NZ" w:eastAsia="zh-CN"/>
              </w:rPr>
              <w:t>onsumption</w:t>
            </w:r>
          </w:p>
        </w:tc>
        <w:tc>
          <w:tcPr>
            <w:tcW w:w="4077" w:type="dxa"/>
            <w:tcBorders>
              <w:top w:val="single" w:sz="4" w:space="0" w:color="auto"/>
              <w:bottom w:val="single" w:sz="4" w:space="0" w:color="auto"/>
            </w:tcBorders>
            <w:shd w:val="clear" w:color="auto" w:fill="auto"/>
            <w:noWrap/>
            <w:vAlign w:val="center"/>
            <w:hideMark/>
          </w:tcPr>
          <w:p w14:paraId="79330B2A" w14:textId="77777777" w:rsidR="00FB7386" w:rsidRPr="00467FE6" w:rsidRDefault="00FB7386" w:rsidP="00DF177C">
            <w:pPr>
              <w:tabs>
                <w:tab w:val="left" w:pos="567"/>
              </w:tabs>
              <w:jc w:val="center"/>
              <w:rPr>
                <w:bCs/>
                <w:sz w:val="22"/>
                <w:szCs w:val="22"/>
                <w:lang w:val="en-NZ" w:eastAsia="zh-CN"/>
              </w:rPr>
            </w:pPr>
            <w:r w:rsidRPr="00467FE6">
              <w:rPr>
                <w:bCs/>
                <w:sz w:val="22"/>
                <w:szCs w:val="22"/>
                <w:lang w:val="en-NZ" w:eastAsia="zh-CN"/>
              </w:rPr>
              <w:t>Coefficients</w:t>
            </w:r>
          </w:p>
        </w:tc>
      </w:tr>
      <w:tr w:rsidR="004D3F41" w:rsidRPr="00467FE6" w14:paraId="1376BE40" w14:textId="77777777" w:rsidTr="00F1625A">
        <w:trPr>
          <w:trHeight w:val="726"/>
        </w:trPr>
        <w:tc>
          <w:tcPr>
            <w:tcW w:w="4995" w:type="dxa"/>
            <w:tcBorders>
              <w:top w:val="single" w:sz="4" w:space="0" w:color="auto"/>
            </w:tcBorders>
            <w:shd w:val="clear" w:color="auto" w:fill="auto"/>
            <w:noWrap/>
            <w:vAlign w:val="center"/>
            <w:hideMark/>
          </w:tcPr>
          <w:p w14:paraId="5CEDF1BF" w14:textId="4EAB8C65" w:rsidR="00FB7386" w:rsidRPr="00467FE6" w:rsidRDefault="00FB7386" w:rsidP="007F6E63">
            <w:pPr>
              <w:tabs>
                <w:tab w:val="left" w:pos="567"/>
              </w:tabs>
              <w:ind w:left="599"/>
              <w:rPr>
                <w:sz w:val="22"/>
                <w:szCs w:val="22"/>
                <w:lang w:val="en-NZ" w:eastAsia="zh-CN"/>
              </w:rPr>
            </w:pPr>
            <w:r w:rsidRPr="00467FE6">
              <w:rPr>
                <w:sz w:val="22"/>
                <w:szCs w:val="22"/>
                <w:lang w:val="en-NZ" w:eastAsia="zh-CN"/>
              </w:rPr>
              <w:t xml:space="preserve">Percentage </w:t>
            </w:r>
            <w:r w:rsidR="00F67B66" w:rsidRPr="00467FE6">
              <w:rPr>
                <w:sz w:val="22"/>
                <w:szCs w:val="22"/>
                <w:lang w:val="en-NZ" w:eastAsia="zh-CN"/>
              </w:rPr>
              <w:t>of Forest Land of Total Land</w:t>
            </w:r>
          </w:p>
        </w:tc>
        <w:tc>
          <w:tcPr>
            <w:tcW w:w="4077" w:type="dxa"/>
            <w:tcBorders>
              <w:top w:val="single" w:sz="4" w:space="0" w:color="auto"/>
            </w:tcBorders>
            <w:shd w:val="clear" w:color="auto" w:fill="auto"/>
            <w:vAlign w:val="center"/>
            <w:hideMark/>
          </w:tcPr>
          <w:p w14:paraId="2F6010F1" w14:textId="77777777" w:rsidR="00FB7386" w:rsidRPr="00467FE6" w:rsidRDefault="00FB7386" w:rsidP="00A167E6">
            <w:pPr>
              <w:tabs>
                <w:tab w:val="decimal" w:pos="1704"/>
              </w:tabs>
              <w:rPr>
                <w:sz w:val="22"/>
                <w:szCs w:val="22"/>
                <w:lang w:val="en-NZ" w:eastAsia="zh-CN"/>
              </w:rPr>
            </w:pPr>
            <w:r w:rsidRPr="00467FE6">
              <w:rPr>
                <w:sz w:val="22"/>
                <w:szCs w:val="22"/>
                <w:lang w:val="en-NZ" w:eastAsia="zh-CN"/>
              </w:rPr>
              <w:t>1.092</w:t>
            </w:r>
            <w:r w:rsidRPr="00467FE6">
              <w:rPr>
                <w:sz w:val="22"/>
                <w:szCs w:val="22"/>
                <w:lang w:val="en-NZ" w:eastAsia="zh-CN"/>
              </w:rPr>
              <w:br/>
              <w:t xml:space="preserve">  </w:t>
            </w:r>
            <w:proofErr w:type="gramStart"/>
            <w:r w:rsidRPr="00467FE6">
              <w:rPr>
                <w:sz w:val="22"/>
                <w:szCs w:val="22"/>
                <w:lang w:val="en-NZ" w:eastAsia="zh-CN"/>
              </w:rPr>
              <w:t xml:space="preserve">   (</w:t>
            </w:r>
            <w:proofErr w:type="gramEnd"/>
            <w:r w:rsidRPr="00467FE6">
              <w:rPr>
                <w:sz w:val="22"/>
                <w:szCs w:val="22"/>
                <w:lang w:val="en-NZ" w:eastAsia="zh-CN"/>
              </w:rPr>
              <w:t>0.102)***</w:t>
            </w:r>
          </w:p>
        </w:tc>
      </w:tr>
      <w:tr w:rsidR="004D3F41" w:rsidRPr="00467FE6" w14:paraId="785307D0" w14:textId="77777777" w:rsidTr="00F1625A">
        <w:trPr>
          <w:trHeight w:val="726"/>
        </w:trPr>
        <w:tc>
          <w:tcPr>
            <w:tcW w:w="4995" w:type="dxa"/>
            <w:shd w:val="clear" w:color="auto" w:fill="auto"/>
            <w:noWrap/>
            <w:vAlign w:val="center"/>
            <w:hideMark/>
          </w:tcPr>
          <w:p w14:paraId="4D6D68C7" w14:textId="7CE8923E" w:rsidR="00FB7386" w:rsidRPr="00467FE6" w:rsidRDefault="00FB7386" w:rsidP="007F6E63">
            <w:pPr>
              <w:tabs>
                <w:tab w:val="left" w:pos="567"/>
              </w:tabs>
              <w:ind w:left="599"/>
              <w:rPr>
                <w:sz w:val="22"/>
                <w:szCs w:val="22"/>
                <w:lang w:val="en-NZ" w:eastAsia="zh-CN"/>
              </w:rPr>
            </w:pPr>
            <w:r w:rsidRPr="00467FE6">
              <w:rPr>
                <w:sz w:val="22"/>
                <w:szCs w:val="22"/>
                <w:lang w:val="en-NZ" w:eastAsia="zh-CN"/>
              </w:rPr>
              <w:t xml:space="preserve">Log </w:t>
            </w:r>
            <w:r w:rsidR="00F67B66" w:rsidRPr="00467FE6">
              <w:rPr>
                <w:sz w:val="22"/>
                <w:szCs w:val="22"/>
                <w:lang w:val="en-NZ" w:eastAsia="zh-CN"/>
              </w:rPr>
              <w:t xml:space="preserve">of </w:t>
            </w:r>
            <w:r w:rsidRPr="00467FE6">
              <w:rPr>
                <w:sz w:val="22"/>
                <w:szCs w:val="22"/>
                <w:lang w:val="en-NZ" w:eastAsia="zh-CN"/>
              </w:rPr>
              <w:t xml:space="preserve">Natural </w:t>
            </w:r>
            <w:r w:rsidR="00F67B66" w:rsidRPr="00467FE6">
              <w:rPr>
                <w:sz w:val="22"/>
                <w:szCs w:val="22"/>
                <w:lang w:val="en-NZ" w:eastAsia="zh-CN"/>
              </w:rPr>
              <w:t xml:space="preserve">Gas, </w:t>
            </w:r>
            <w:r w:rsidRPr="00467FE6">
              <w:rPr>
                <w:sz w:val="22"/>
                <w:szCs w:val="22"/>
                <w:lang w:val="en-NZ" w:eastAsia="zh-CN"/>
              </w:rPr>
              <w:t>LNG</w:t>
            </w:r>
            <w:r w:rsidR="00F67B66" w:rsidRPr="00467FE6">
              <w:rPr>
                <w:sz w:val="22"/>
                <w:szCs w:val="22"/>
                <w:lang w:val="en-NZ" w:eastAsia="zh-CN"/>
              </w:rPr>
              <w:t xml:space="preserve">, </w:t>
            </w:r>
            <w:r w:rsidRPr="00467FE6">
              <w:rPr>
                <w:sz w:val="22"/>
                <w:szCs w:val="22"/>
                <w:lang w:val="en-NZ" w:eastAsia="zh-CN"/>
              </w:rPr>
              <w:t xml:space="preserve">LPG </w:t>
            </w:r>
            <w:r w:rsidR="00F67B66" w:rsidRPr="00467FE6">
              <w:rPr>
                <w:sz w:val="22"/>
                <w:szCs w:val="22"/>
                <w:lang w:val="en-NZ" w:eastAsia="zh-CN"/>
              </w:rPr>
              <w:t>Production</w:t>
            </w:r>
          </w:p>
        </w:tc>
        <w:tc>
          <w:tcPr>
            <w:tcW w:w="4077" w:type="dxa"/>
            <w:shd w:val="clear" w:color="auto" w:fill="auto"/>
            <w:vAlign w:val="center"/>
            <w:hideMark/>
          </w:tcPr>
          <w:p w14:paraId="795977BA" w14:textId="77777777" w:rsidR="00FB7386" w:rsidRPr="00467FE6" w:rsidRDefault="00FB7386" w:rsidP="00A167E6">
            <w:pPr>
              <w:tabs>
                <w:tab w:val="decimal" w:pos="1704"/>
              </w:tabs>
              <w:rPr>
                <w:sz w:val="22"/>
                <w:szCs w:val="22"/>
                <w:lang w:val="en-NZ" w:eastAsia="zh-CN"/>
              </w:rPr>
            </w:pPr>
            <w:r w:rsidRPr="00467FE6">
              <w:rPr>
                <w:sz w:val="22"/>
                <w:szCs w:val="22"/>
                <w:lang w:val="en-NZ" w:eastAsia="zh-CN"/>
              </w:rPr>
              <w:t>-0.456</w:t>
            </w:r>
            <w:r w:rsidRPr="00467FE6">
              <w:rPr>
                <w:sz w:val="22"/>
                <w:szCs w:val="22"/>
                <w:lang w:val="en-NZ" w:eastAsia="zh-CN"/>
              </w:rPr>
              <w:br/>
              <w:t xml:space="preserve">    (0.084)***</w:t>
            </w:r>
          </w:p>
        </w:tc>
      </w:tr>
      <w:tr w:rsidR="004D3F41" w:rsidRPr="00467FE6" w14:paraId="100DE1D3" w14:textId="77777777" w:rsidTr="00F1625A">
        <w:trPr>
          <w:trHeight w:val="726"/>
        </w:trPr>
        <w:tc>
          <w:tcPr>
            <w:tcW w:w="4995" w:type="dxa"/>
            <w:shd w:val="clear" w:color="auto" w:fill="auto"/>
            <w:noWrap/>
            <w:vAlign w:val="center"/>
            <w:hideMark/>
          </w:tcPr>
          <w:p w14:paraId="245FB079" w14:textId="37A1EE61" w:rsidR="00FB7386" w:rsidRPr="00467FE6" w:rsidRDefault="00FB7386" w:rsidP="007F6E63">
            <w:pPr>
              <w:tabs>
                <w:tab w:val="left" w:pos="567"/>
              </w:tabs>
              <w:ind w:left="599"/>
              <w:rPr>
                <w:sz w:val="22"/>
                <w:szCs w:val="22"/>
                <w:lang w:val="en-NZ" w:eastAsia="zh-CN"/>
              </w:rPr>
            </w:pPr>
            <w:r w:rsidRPr="00467FE6">
              <w:rPr>
                <w:sz w:val="22"/>
                <w:szCs w:val="22"/>
                <w:lang w:val="en-NZ" w:eastAsia="zh-CN"/>
              </w:rPr>
              <w:t xml:space="preserve">Log </w:t>
            </w:r>
            <w:r w:rsidR="00F67B66" w:rsidRPr="00467FE6">
              <w:rPr>
                <w:sz w:val="22"/>
                <w:szCs w:val="22"/>
                <w:lang w:val="en-NZ" w:eastAsia="zh-CN"/>
              </w:rPr>
              <w:t>of Fuel Oil and Crude Oil Production</w:t>
            </w:r>
          </w:p>
        </w:tc>
        <w:tc>
          <w:tcPr>
            <w:tcW w:w="4077" w:type="dxa"/>
            <w:shd w:val="clear" w:color="auto" w:fill="auto"/>
            <w:vAlign w:val="center"/>
            <w:hideMark/>
          </w:tcPr>
          <w:p w14:paraId="0601D9D1" w14:textId="77777777" w:rsidR="00FB7386" w:rsidRPr="00467FE6" w:rsidRDefault="00FB7386" w:rsidP="00A167E6">
            <w:pPr>
              <w:tabs>
                <w:tab w:val="decimal" w:pos="1704"/>
              </w:tabs>
              <w:rPr>
                <w:sz w:val="22"/>
                <w:szCs w:val="22"/>
                <w:lang w:val="en-NZ" w:eastAsia="zh-CN"/>
              </w:rPr>
            </w:pPr>
            <w:r w:rsidRPr="00467FE6">
              <w:rPr>
                <w:sz w:val="22"/>
                <w:szCs w:val="22"/>
                <w:lang w:val="en-NZ" w:eastAsia="zh-CN"/>
              </w:rPr>
              <w:t>-0.334</w:t>
            </w:r>
            <w:r w:rsidRPr="00467FE6">
              <w:rPr>
                <w:sz w:val="22"/>
                <w:szCs w:val="22"/>
                <w:lang w:val="en-NZ" w:eastAsia="zh-CN"/>
              </w:rPr>
              <w:br/>
              <w:t xml:space="preserve">  (0.259)</w:t>
            </w:r>
          </w:p>
        </w:tc>
      </w:tr>
      <w:tr w:rsidR="004D3F41" w:rsidRPr="00467FE6" w14:paraId="167AFBB0" w14:textId="77777777" w:rsidTr="00F1625A">
        <w:trPr>
          <w:trHeight w:val="726"/>
        </w:trPr>
        <w:tc>
          <w:tcPr>
            <w:tcW w:w="4995" w:type="dxa"/>
            <w:shd w:val="clear" w:color="auto" w:fill="auto"/>
            <w:noWrap/>
            <w:vAlign w:val="center"/>
            <w:hideMark/>
          </w:tcPr>
          <w:p w14:paraId="7F9D0648" w14:textId="27817958" w:rsidR="00FB7386" w:rsidRPr="00467FE6" w:rsidRDefault="00FB7386" w:rsidP="007F6E63">
            <w:pPr>
              <w:tabs>
                <w:tab w:val="left" w:pos="567"/>
              </w:tabs>
              <w:ind w:left="599"/>
              <w:rPr>
                <w:sz w:val="22"/>
                <w:szCs w:val="22"/>
                <w:lang w:val="en-NZ" w:eastAsia="zh-CN"/>
              </w:rPr>
            </w:pPr>
            <w:r w:rsidRPr="00467FE6">
              <w:rPr>
                <w:sz w:val="22"/>
                <w:szCs w:val="22"/>
              </w:rPr>
              <w:t xml:space="preserve">Female </w:t>
            </w:r>
            <w:r w:rsidR="00F67B66" w:rsidRPr="00467FE6">
              <w:rPr>
                <w:sz w:val="22"/>
                <w:szCs w:val="22"/>
              </w:rPr>
              <w:t>Primary School Enrolment</w:t>
            </w:r>
          </w:p>
        </w:tc>
        <w:tc>
          <w:tcPr>
            <w:tcW w:w="4077" w:type="dxa"/>
            <w:shd w:val="clear" w:color="auto" w:fill="auto"/>
            <w:vAlign w:val="center"/>
            <w:hideMark/>
          </w:tcPr>
          <w:p w14:paraId="460705EC" w14:textId="77777777" w:rsidR="00FB7386" w:rsidRPr="00467FE6" w:rsidRDefault="00FB7386" w:rsidP="00A167E6">
            <w:pPr>
              <w:tabs>
                <w:tab w:val="decimal" w:pos="1704"/>
              </w:tabs>
              <w:rPr>
                <w:sz w:val="22"/>
                <w:szCs w:val="22"/>
                <w:lang w:val="en-NZ" w:eastAsia="zh-CN"/>
              </w:rPr>
            </w:pPr>
            <w:r w:rsidRPr="00467FE6">
              <w:rPr>
                <w:sz w:val="22"/>
                <w:szCs w:val="22"/>
                <w:lang w:val="en-NZ" w:eastAsia="zh-CN"/>
              </w:rPr>
              <w:t>0.006</w:t>
            </w:r>
            <w:r w:rsidRPr="00467FE6">
              <w:rPr>
                <w:sz w:val="22"/>
                <w:szCs w:val="22"/>
                <w:lang w:val="en-NZ" w:eastAsia="zh-CN"/>
              </w:rPr>
              <w:br/>
              <w:t>(0.029)</w:t>
            </w:r>
          </w:p>
        </w:tc>
      </w:tr>
      <w:tr w:rsidR="004D3F41" w:rsidRPr="00467FE6" w14:paraId="232A5B99" w14:textId="77777777" w:rsidTr="00F1625A">
        <w:trPr>
          <w:trHeight w:val="726"/>
        </w:trPr>
        <w:tc>
          <w:tcPr>
            <w:tcW w:w="4995" w:type="dxa"/>
            <w:shd w:val="clear" w:color="auto" w:fill="auto"/>
            <w:noWrap/>
            <w:vAlign w:val="center"/>
            <w:hideMark/>
          </w:tcPr>
          <w:p w14:paraId="07165752" w14:textId="39056B1E" w:rsidR="00FB7386" w:rsidRPr="00467FE6" w:rsidRDefault="00FB7386" w:rsidP="007F6E63">
            <w:pPr>
              <w:tabs>
                <w:tab w:val="left" w:pos="567"/>
              </w:tabs>
              <w:ind w:left="599"/>
              <w:rPr>
                <w:sz w:val="22"/>
                <w:szCs w:val="22"/>
                <w:lang w:val="en-NZ" w:eastAsia="zh-CN"/>
              </w:rPr>
            </w:pPr>
            <w:r w:rsidRPr="00467FE6">
              <w:rPr>
                <w:sz w:val="22"/>
                <w:szCs w:val="22"/>
              </w:rPr>
              <w:t xml:space="preserve">Male </w:t>
            </w:r>
            <w:r w:rsidR="00F67B66" w:rsidRPr="00467FE6">
              <w:rPr>
                <w:sz w:val="22"/>
                <w:szCs w:val="22"/>
              </w:rPr>
              <w:t>Primary School Enrolment</w:t>
            </w:r>
          </w:p>
        </w:tc>
        <w:tc>
          <w:tcPr>
            <w:tcW w:w="4077" w:type="dxa"/>
            <w:shd w:val="clear" w:color="auto" w:fill="auto"/>
            <w:vAlign w:val="center"/>
            <w:hideMark/>
          </w:tcPr>
          <w:p w14:paraId="7F20AA18" w14:textId="77777777" w:rsidR="00FB7386" w:rsidRPr="00467FE6" w:rsidRDefault="00FB7386" w:rsidP="00A167E6">
            <w:pPr>
              <w:tabs>
                <w:tab w:val="decimal" w:pos="1704"/>
              </w:tabs>
              <w:rPr>
                <w:sz w:val="22"/>
                <w:szCs w:val="22"/>
                <w:lang w:val="en-NZ" w:eastAsia="zh-CN"/>
              </w:rPr>
            </w:pPr>
            <w:r w:rsidRPr="00467FE6">
              <w:rPr>
                <w:sz w:val="22"/>
                <w:szCs w:val="22"/>
                <w:lang w:val="en-NZ" w:eastAsia="zh-CN"/>
              </w:rPr>
              <w:t>-0.011</w:t>
            </w:r>
            <w:r w:rsidRPr="00467FE6">
              <w:rPr>
                <w:sz w:val="22"/>
                <w:szCs w:val="22"/>
                <w:lang w:val="en-NZ" w:eastAsia="zh-CN"/>
              </w:rPr>
              <w:br/>
              <w:t>(0.029)</w:t>
            </w:r>
          </w:p>
        </w:tc>
      </w:tr>
      <w:tr w:rsidR="004D3F41" w:rsidRPr="00467FE6" w14:paraId="3B3C3409" w14:textId="77777777" w:rsidTr="00F1625A">
        <w:trPr>
          <w:trHeight w:val="726"/>
        </w:trPr>
        <w:tc>
          <w:tcPr>
            <w:tcW w:w="4995" w:type="dxa"/>
            <w:shd w:val="clear" w:color="auto" w:fill="auto"/>
            <w:noWrap/>
            <w:vAlign w:val="center"/>
            <w:hideMark/>
          </w:tcPr>
          <w:p w14:paraId="2B08C03E" w14:textId="1DBD7FB9" w:rsidR="00FB7386" w:rsidRPr="00467FE6" w:rsidRDefault="00FB7386" w:rsidP="007F6E63">
            <w:pPr>
              <w:tabs>
                <w:tab w:val="left" w:pos="567"/>
              </w:tabs>
              <w:ind w:left="599"/>
              <w:rPr>
                <w:sz w:val="22"/>
                <w:szCs w:val="22"/>
                <w:lang w:val="en-NZ" w:eastAsia="zh-CN"/>
              </w:rPr>
            </w:pPr>
            <w:r w:rsidRPr="00467FE6">
              <w:rPr>
                <w:sz w:val="22"/>
                <w:szCs w:val="22"/>
              </w:rPr>
              <w:t xml:space="preserve">Log </w:t>
            </w:r>
            <w:r w:rsidR="00F67B66" w:rsidRPr="00467FE6">
              <w:rPr>
                <w:sz w:val="22"/>
                <w:szCs w:val="22"/>
              </w:rPr>
              <w:t xml:space="preserve">pf </w:t>
            </w:r>
            <w:r w:rsidRPr="00467FE6">
              <w:rPr>
                <w:sz w:val="22"/>
                <w:szCs w:val="22"/>
              </w:rPr>
              <w:t xml:space="preserve">GDP </w:t>
            </w:r>
            <w:r w:rsidR="00F67B66" w:rsidRPr="00467FE6">
              <w:rPr>
                <w:sz w:val="22"/>
                <w:szCs w:val="22"/>
              </w:rPr>
              <w:t>Per Capita</w:t>
            </w:r>
          </w:p>
        </w:tc>
        <w:tc>
          <w:tcPr>
            <w:tcW w:w="4077" w:type="dxa"/>
            <w:shd w:val="clear" w:color="auto" w:fill="auto"/>
            <w:vAlign w:val="center"/>
            <w:hideMark/>
          </w:tcPr>
          <w:p w14:paraId="09C3E531" w14:textId="77777777" w:rsidR="00FB7386" w:rsidRPr="00467FE6" w:rsidRDefault="00FB7386" w:rsidP="00A167E6">
            <w:pPr>
              <w:tabs>
                <w:tab w:val="decimal" w:pos="1704"/>
              </w:tabs>
              <w:rPr>
                <w:sz w:val="22"/>
                <w:szCs w:val="22"/>
                <w:lang w:val="en-NZ" w:eastAsia="zh-CN"/>
              </w:rPr>
            </w:pPr>
            <w:r w:rsidRPr="00467FE6">
              <w:rPr>
                <w:sz w:val="22"/>
                <w:szCs w:val="22"/>
                <w:lang w:val="en-NZ" w:eastAsia="zh-CN"/>
              </w:rPr>
              <w:t>-1.767</w:t>
            </w:r>
            <w:r w:rsidRPr="00467FE6">
              <w:rPr>
                <w:sz w:val="22"/>
                <w:szCs w:val="22"/>
                <w:lang w:val="en-NZ" w:eastAsia="zh-CN"/>
              </w:rPr>
              <w:br/>
              <w:t xml:space="preserve">     (0.370)***</w:t>
            </w:r>
          </w:p>
        </w:tc>
      </w:tr>
      <w:tr w:rsidR="004D3F41" w:rsidRPr="00467FE6" w14:paraId="252C6AAF" w14:textId="77777777" w:rsidTr="00F1625A">
        <w:trPr>
          <w:trHeight w:val="726"/>
        </w:trPr>
        <w:tc>
          <w:tcPr>
            <w:tcW w:w="4995" w:type="dxa"/>
            <w:shd w:val="clear" w:color="auto" w:fill="auto"/>
            <w:noWrap/>
            <w:vAlign w:val="center"/>
            <w:hideMark/>
          </w:tcPr>
          <w:p w14:paraId="0FA50FB2" w14:textId="4B38F608" w:rsidR="00FB7386" w:rsidRPr="00467FE6" w:rsidRDefault="00FB7386" w:rsidP="007F6E63">
            <w:pPr>
              <w:tabs>
                <w:tab w:val="left" w:pos="567"/>
              </w:tabs>
              <w:ind w:left="599"/>
              <w:rPr>
                <w:sz w:val="22"/>
                <w:szCs w:val="22"/>
                <w:lang w:val="en-NZ" w:eastAsia="zh-CN"/>
              </w:rPr>
            </w:pPr>
            <w:r w:rsidRPr="00467FE6">
              <w:rPr>
                <w:sz w:val="22"/>
                <w:szCs w:val="22"/>
              </w:rPr>
              <w:t xml:space="preserve">Urban </w:t>
            </w:r>
            <w:r w:rsidR="00F67B66" w:rsidRPr="00467FE6">
              <w:rPr>
                <w:sz w:val="22"/>
                <w:szCs w:val="22"/>
              </w:rPr>
              <w:t>Percent of Population</w:t>
            </w:r>
          </w:p>
        </w:tc>
        <w:tc>
          <w:tcPr>
            <w:tcW w:w="4077" w:type="dxa"/>
            <w:shd w:val="clear" w:color="auto" w:fill="auto"/>
            <w:vAlign w:val="center"/>
            <w:hideMark/>
          </w:tcPr>
          <w:p w14:paraId="4A57CBA6" w14:textId="77777777" w:rsidR="00FB7386" w:rsidRPr="00467FE6" w:rsidRDefault="00FB7386" w:rsidP="00A167E6">
            <w:pPr>
              <w:tabs>
                <w:tab w:val="decimal" w:pos="1704"/>
              </w:tabs>
              <w:rPr>
                <w:sz w:val="22"/>
                <w:szCs w:val="22"/>
                <w:lang w:val="en-NZ" w:eastAsia="zh-CN"/>
              </w:rPr>
            </w:pPr>
            <w:r w:rsidRPr="00467FE6">
              <w:rPr>
                <w:sz w:val="22"/>
                <w:szCs w:val="22"/>
                <w:lang w:val="en-NZ" w:eastAsia="zh-CN"/>
              </w:rPr>
              <w:t>-0.449</w:t>
            </w:r>
            <w:r w:rsidRPr="00467FE6">
              <w:rPr>
                <w:sz w:val="22"/>
                <w:szCs w:val="22"/>
                <w:lang w:val="en-NZ" w:eastAsia="zh-CN"/>
              </w:rPr>
              <w:br/>
              <w:t xml:space="preserve">     (0.059)***</w:t>
            </w:r>
          </w:p>
        </w:tc>
      </w:tr>
      <w:tr w:rsidR="004D3F41" w:rsidRPr="00467FE6" w14:paraId="67A70A30" w14:textId="77777777" w:rsidTr="00F1625A">
        <w:trPr>
          <w:trHeight w:val="395"/>
        </w:trPr>
        <w:tc>
          <w:tcPr>
            <w:tcW w:w="4995" w:type="dxa"/>
            <w:shd w:val="clear" w:color="auto" w:fill="auto"/>
            <w:noWrap/>
            <w:vAlign w:val="center"/>
          </w:tcPr>
          <w:p w14:paraId="34058B13" w14:textId="77777777" w:rsidR="00FB7386" w:rsidRPr="00467FE6" w:rsidRDefault="00FB7386" w:rsidP="007F6E63">
            <w:pPr>
              <w:tabs>
                <w:tab w:val="left" w:pos="567"/>
              </w:tabs>
              <w:ind w:left="599"/>
              <w:rPr>
                <w:sz w:val="22"/>
                <w:szCs w:val="22"/>
                <w:lang w:val="en-NZ" w:eastAsia="zh-CN"/>
              </w:rPr>
            </w:pPr>
            <w:r w:rsidRPr="00467FE6">
              <w:rPr>
                <w:sz w:val="22"/>
                <w:szCs w:val="22"/>
                <w:lang w:val="en-NZ" w:eastAsia="zh-CN"/>
              </w:rPr>
              <w:t>N</w:t>
            </w:r>
          </w:p>
        </w:tc>
        <w:tc>
          <w:tcPr>
            <w:tcW w:w="4077" w:type="dxa"/>
            <w:shd w:val="clear" w:color="auto" w:fill="auto"/>
            <w:vAlign w:val="center"/>
          </w:tcPr>
          <w:p w14:paraId="53B52707" w14:textId="77777777" w:rsidR="00FB7386" w:rsidRPr="00467FE6" w:rsidRDefault="00FB7386" w:rsidP="00A167E6">
            <w:pPr>
              <w:jc w:val="center"/>
              <w:rPr>
                <w:sz w:val="22"/>
                <w:szCs w:val="22"/>
                <w:lang w:val="en-NZ" w:eastAsia="zh-CN"/>
              </w:rPr>
            </w:pPr>
            <w:r w:rsidRPr="00467FE6">
              <w:rPr>
                <w:sz w:val="22"/>
                <w:szCs w:val="22"/>
                <w:lang w:val="en-NZ" w:eastAsia="zh-CN"/>
              </w:rPr>
              <w:t>1232</w:t>
            </w:r>
          </w:p>
        </w:tc>
      </w:tr>
      <w:tr w:rsidR="004D3F41" w:rsidRPr="00467FE6" w14:paraId="112D0F0D" w14:textId="77777777" w:rsidTr="00F1625A">
        <w:trPr>
          <w:trHeight w:val="383"/>
        </w:trPr>
        <w:tc>
          <w:tcPr>
            <w:tcW w:w="4995" w:type="dxa"/>
            <w:tcBorders>
              <w:bottom w:val="single" w:sz="4" w:space="0" w:color="auto"/>
            </w:tcBorders>
            <w:shd w:val="clear" w:color="auto" w:fill="auto"/>
            <w:noWrap/>
            <w:vAlign w:val="center"/>
          </w:tcPr>
          <w:p w14:paraId="0E3EBAB1" w14:textId="47E016F1" w:rsidR="00FB7386" w:rsidRPr="00467FE6" w:rsidRDefault="00FB7386" w:rsidP="007F6E63">
            <w:pPr>
              <w:tabs>
                <w:tab w:val="left" w:pos="567"/>
              </w:tabs>
              <w:ind w:left="599"/>
              <w:rPr>
                <w:sz w:val="22"/>
                <w:szCs w:val="22"/>
                <w:lang w:val="en-NZ" w:eastAsia="zh-CN"/>
              </w:rPr>
            </w:pPr>
            <w:r w:rsidRPr="00467FE6">
              <w:rPr>
                <w:sz w:val="22"/>
                <w:szCs w:val="22"/>
                <w:lang w:val="en-NZ" w:eastAsia="zh-CN"/>
              </w:rPr>
              <w:t xml:space="preserve">Number of </w:t>
            </w:r>
            <w:r w:rsidR="00A167E6">
              <w:rPr>
                <w:sz w:val="22"/>
                <w:szCs w:val="22"/>
                <w:lang w:val="en-NZ" w:eastAsia="zh-CN"/>
              </w:rPr>
              <w:t>C</w:t>
            </w:r>
            <w:r w:rsidRPr="00467FE6">
              <w:rPr>
                <w:sz w:val="22"/>
                <w:szCs w:val="22"/>
                <w:lang w:val="en-NZ" w:eastAsia="zh-CN"/>
              </w:rPr>
              <w:t>ountries</w:t>
            </w:r>
          </w:p>
        </w:tc>
        <w:tc>
          <w:tcPr>
            <w:tcW w:w="4077" w:type="dxa"/>
            <w:tcBorders>
              <w:bottom w:val="single" w:sz="4" w:space="0" w:color="auto"/>
            </w:tcBorders>
            <w:shd w:val="clear" w:color="auto" w:fill="auto"/>
            <w:vAlign w:val="center"/>
          </w:tcPr>
          <w:p w14:paraId="178CD751" w14:textId="77777777" w:rsidR="00FB7386" w:rsidRPr="00467FE6" w:rsidRDefault="00FB7386" w:rsidP="00A167E6">
            <w:pPr>
              <w:jc w:val="center"/>
              <w:rPr>
                <w:sz w:val="22"/>
                <w:szCs w:val="22"/>
                <w:lang w:val="en-NZ" w:eastAsia="zh-CN"/>
              </w:rPr>
            </w:pPr>
            <w:r w:rsidRPr="00467FE6">
              <w:rPr>
                <w:sz w:val="22"/>
                <w:szCs w:val="22"/>
                <w:lang w:val="en-NZ" w:eastAsia="zh-CN"/>
              </w:rPr>
              <w:t>101</w:t>
            </w:r>
          </w:p>
        </w:tc>
      </w:tr>
    </w:tbl>
    <w:p w14:paraId="08A72A49" w14:textId="77777777" w:rsidR="00FB7386" w:rsidRPr="00467FE6" w:rsidRDefault="00FB7386" w:rsidP="007F6E63">
      <w:pPr>
        <w:tabs>
          <w:tab w:val="left" w:pos="567"/>
        </w:tabs>
        <w:ind w:left="709"/>
        <w:rPr>
          <w:sz w:val="22"/>
          <w:szCs w:val="22"/>
        </w:rPr>
      </w:pPr>
      <w:r w:rsidRPr="00467FE6">
        <w:rPr>
          <w:sz w:val="22"/>
          <w:szCs w:val="22"/>
        </w:rPr>
        <w:t>* p&lt;0.1; ** p&lt;0.05; *** p&lt;0.01</w:t>
      </w:r>
    </w:p>
    <w:p w14:paraId="580048AA" w14:textId="0EA44D92" w:rsidR="00FB7386" w:rsidRPr="00467FE6" w:rsidRDefault="00FB7386" w:rsidP="007F6E63">
      <w:pPr>
        <w:widowControl w:val="0"/>
        <w:tabs>
          <w:tab w:val="left" w:pos="567"/>
        </w:tabs>
        <w:autoSpaceDE w:val="0"/>
        <w:autoSpaceDN w:val="0"/>
        <w:adjustRightInd w:val="0"/>
        <w:ind w:left="709"/>
        <w:rPr>
          <w:sz w:val="22"/>
          <w:szCs w:val="22"/>
        </w:rPr>
      </w:pPr>
      <w:r w:rsidRPr="00467FE6">
        <w:rPr>
          <w:sz w:val="22"/>
          <w:szCs w:val="22"/>
        </w:rPr>
        <w:t>Country level clustered standard errors are in parentheses</w:t>
      </w:r>
      <w:r w:rsidR="007F6E63" w:rsidRPr="00467FE6">
        <w:rPr>
          <w:sz w:val="22"/>
          <w:szCs w:val="22"/>
        </w:rPr>
        <w:t>.</w:t>
      </w:r>
    </w:p>
    <w:p w14:paraId="01654BFE" w14:textId="6987E9F5" w:rsidR="00FB7386" w:rsidRPr="00467FE6" w:rsidRDefault="00FB7386" w:rsidP="002E076A">
      <w:pPr>
        <w:tabs>
          <w:tab w:val="left" w:pos="567"/>
        </w:tabs>
        <w:spacing w:line="300" w:lineRule="auto"/>
      </w:pPr>
    </w:p>
    <w:p w14:paraId="1E275D55" w14:textId="77777777" w:rsidR="007F6E63" w:rsidRPr="00467FE6" w:rsidRDefault="007F6E63" w:rsidP="002E076A">
      <w:pPr>
        <w:tabs>
          <w:tab w:val="left" w:pos="567"/>
        </w:tabs>
        <w:spacing w:line="300" w:lineRule="auto"/>
      </w:pPr>
    </w:p>
    <w:p w14:paraId="10DD81E8" w14:textId="65F6FEA3" w:rsidR="00D364F9" w:rsidRPr="00467FE6" w:rsidRDefault="00467FE6" w:rsidP="002E076A">
      <w:pPr>
        <w:tabs>
          <w:tab w:val="left" w:pos="567"/>
        </w:tabs>
        <w:spacing w:line="300" w:lineRule="auto"/>
        <w:ind w:firstLine="720"/>
        <w:jc w:val="both"/>
        <w:rPr>
          <w:rFonts w:eastAsiaTheme="minorEastAsia"/>
          <w:lang w:val="en-NZ"/>
        </w:rPr>
      </w:pPr>
      <w:r w:rsidRPr="00467FE6">
        <w:rPr>
          <w:lang w:val="en-NZ"/>
        </w:rPr>
        <w:t>Finally, Table 4 presents the IV model (two stage least square) results. Although the sample size reduces from 157 countries to 101 countries (due to the unavailability of data on the instruments for some countries), the results support our hypothesis that solid fuel consumption causes increases child and infant mortality and decreases in life expectancy at birth. The coefficients in the IV regression are larger than in the fixed effect models (Table 2), which suggests that we may also be reducing the measurement error in the solid fuel consumption variable. Our results imply that a one-percentage point increase in the proportion of household solid fuel consumption leads to a statistically significant decrease in infant mortality of 1.30 per thousand and a statistically significant decrease in child mortality of 2.44 per thousand.  To get a sense of the size of these effects, the difference between the mean upper-middle income country and the mean poor country in proportion of solid fuel use is 28.89 percentage points. Ceteris paribus, this difference causes the infant mortality rate in poor countries to be higher by 37.56 infants per thousand, and the child mortality rate in poor countries to be higher by 70.49 children per thousand, compared with upper-middle income countries</w:t>
      </w:r>
      <w:r w:rsidR="00B77FB7" w:rsidRPr="00467FE6">
        <w:t>.</w:t>
      </w:r>
      <w:r w:rsidR="00C030C2" w:rsidRPr="00467FE6">
        <w:rPr>
          <w:rFonts w:eastAsiaTheme="minorEastAsia"/>
          <w:lang w:val="en-NZ"/>
        </w:rPr>
        <w:t xml:space="preserve"> </w:t>
      </w:r>
    </w:p>
    <w:p w14:paraId="44C7A950" w14:textId="77777777" w:rsidR="00BE6227" w:rsidRDefault="00BE6227" w:rsidP="007F6E63">
      <w:pPr>
        <w:widowControl w:val="0"/>
        <w:tabs>
          <w:tab w:val="left" w:pos="567"/>
        </w:tabs>
        <w:autoSpaceDE w:val="0"/>
        <w:autoSpaceDN w:val="0"/>
        <w:adjustRightInd w:val="0"/>
        <w:jc w:val="center"/>
        <w:rPr>
          <w:b/>
          <w:sz w:val="22"/>
          <w:szCs w:val="22"/>
        </w:rPr>
      </w:pPr>
    </w:p>
    <w:p w14:paraId="660F242F" w14:textId="3AB73D8D" w:rsidR="00497625" w:rsidRPr="00467FE6" w:rsidRDefault="008D36A3" w:rsidP="007F6E63">
      <w:pPr>
        <w:widowControl w:val="0"/>
        <w:tabs>
          <w:tab w:val="left" w:pos="567"/>
        </w:tabs>
        <w:autoSpaceDE w:val="0"/>
        <w:autoSpaceDN w:val="0"/>
        <w:adjustRightInd w:val="0"/>
        <w:jc w:val="center"/>
        <w:rPr>
          <w:b/>
          <w:sz w:val="22"/>
          <w:szCs w:val="22"/>
        </w:rPr>
      </w:pPr>
      <w:r w:rsidRPr="00467FE6">
        <w:rPr>
          <w:b/>
          <w:sz w:val="22"/>
          <w:szCs w:val="22"/>
        </w:rPr>
        <w:lastRenderedPageBreak/>
        <w:t xml:space="preserve">Table </w:t>
      </w:r>
      <w:r w:rsidR="007F6E63" w:rsidRPr="00467FE6">
        <w:rPr>
          <w:b/>
          <w:sz w:val="22"/>
          <w:szCs w:val="22"/>
        </w:rPr>
        <w:t xml:space="preserve">4: </w:t>
      </w:r>
      <w:r w:rsidR="00497625" w:rsidRPr="00467FE6">
        <w:rPr>
          <w:b/>
          <w:sz w:val="22"/>
          <w:szCs w:val="22"/>
        </w:rPr>
        <w:t xml:space="preserve">Instrumental </w:t>
      </w:r>
      <w:r w:rsidR="007F6E63" w:rsidRPr="00467FE6">
        <w:rPr>
          <w:b/>
          <w:sz w:val="22"/>
          <w:szCs w:val="22"/>
        </w:rPr>
        <w:t>Variable Regression Results</w:t>
      </w:r>
    </w:p>
    <w:p w14:paraId="33D1734A" w14:textId="77777777" w:rsidR="007F6E63" w:rsidRPr="00467FE6" w:rsidRDefault="007F6E63" w:rsidP="007F6E63">
      <w:pPr>
        <w:widowControl w:val="0"/>
        <w:tabs>
          <w:tab w:val="left" w:pos="567"/>
        </w:tabs>
        <w:autoSpaceDE w:val="0"/>
        <w:autoSpaceDN w:val="0"/>
        <w:adjustRightInd w:val="0"/>
        <w:jc w:val="center"/>
        <w:rPr>
          <w:b/>
          <w:sz w:val="10"/>
          <w:szCs w:val="10"/>
        </w:rPr>
      </w:pPr>
    </w:p>
    <w:tbl>
      <w:tblPr>
        <w:tblW w:w="10074" w:type="dxa"/>
        <w:jc w:val="center"/>
        <w:tblLayout w:type="fixed"/>
        <w:tblCellMar>
          <w:left w:w="144" w:type="dxa"/>
          <w:right w:w="144" w:type="dxa"/>
        </w:tblCellMar>
        <w:tblLook w:val="0000" w:firstRow="0" w:lastRow="0" w:firstColumn="0" w:lastColumn="0" w:noHBand="0" w:noVBand="0"/>
      </w:tblPr>
      <w:tblGrid>
        <w:gridCol w:w="2430"/>
        <w:gridCol w:w="1503"/>
        <w:gridCol w:w="1517"/>
        <w:gridCol w:w="1579"/>
        <w:gridCol w:w="1303"/>
        <w:gridCol w:w="128"/>
        <w:gridCol w:w="1486"/>
        <w:gridCol w:w="128"/>
      </w:tblGrid>
      <w:tr w:rsidR="004D3F41" w:rsidRPr="00467FE6" w14:paraId="0055FA7F" w14:textId="77777777" w:rsidTr="00D55152">
        <w:trPr>
          <w:trHeight w:val="746"/>
          <w:jc w:val="center"/>
        </w:trPr>
        <w:tc>
          <w:tcPr>
            <w:tcW w:w="2430" w:type="dxa"/>
            <w:tcBorders>
              <w:top w:val="single" w:sz="6" w:space="0" w:color="auto"/>
              <w:left w:val="nil"/>
              <w:bottom w:val="nil"/>
              <w:right w:val="nil"/>
            </w:tcBorders>
          </w:tcPr>
          <w:p w14:paraId="6DEC0A25" w14:textId="77777777" w:rsidR="00497625" w:rsidRPr="00467FE6" w:rsidRDefault="00497625" w:rsidP="00DF177C">
            <w:pPr>
              <w:widowControl w:val="0"/>
              <w:tabs>
                <w:tab w:val="left" w:pos="567"/>
              </w:tabs>
              <w:autoSpaceDE w:val="0"/>
              <w:autoSpaceDN w:val="0"/>
              <w:adjustRightInd w:val="0"/>
              <w:spacing w:before="200"/>
              <w:jc w:val="center"/>
              <w:rPr>
                <w:bCs/>
                <w:sz w:val="22"/>
                <w:szCs w:val="22"/>
              </w:rPr>
            </w:pPr>
            <w:r w:rsidRPr="00467FE6">
              <w:rPr>
                <w:bCs/>
                <w:sz w:val="22"/>
                <w:szCs w:val="22"/>
              </w:rPr>
              <w:t>Models</w:t>
            </w:r>
          </w:p>
        </w:tc>
        <w:tc>
          <w:tcPr>
            <w:tcW w:w="1503" w:type="dxa"/>
            <w:tcBorders>
              <w:top w:val="single" w:sz="6" w:space="0" w:color="auto"/>
              <w:left w:val="nil"/>
              <w:bottom w:val="nil"/>
              <w:right w:val="nil"/>
            </w:tcBorders>
          </w:tcPr>
          <w:p w14:paraId="134E1CF0" w14:textId="7CCC62A6" w:rsidR="00497625" w:rsidRPr="00467FE6" w:rsidRDefault="00497625" w:rsidP="002E076A">
            <w:pPr>
              <w:widowControl w:val="0"/>
              <w:tabs>
                <w:tab w:val="left" w:pos="567"/>
              </w:tabs>
              <w:autoSpaceDE w:val="0"/>
              <w:autoSpaceDN w:val="0"/>
              <w:adjustRightInd w:val="0"/>
              <w:jc w:val="center"/>
              <w:rPr>
                <w:bCs/>
                <w:sz w:val="22"/>
                <w:szCs w:val="22"/>
              </w:rPr>
            </w:pPr>
            <w:r w:rsidRPr="00467FE6">
              <w:rPr>
                <w:bCs/>
                <w:sz w:val="22"/>
                <w:szCs w:val="22"/>
              </w:rPr>
              <w:t xml:space="preserve">Infant </w:t>
            </w:r>
            <w:r w:rsidR="007F6E63" w:rsidRPr="00467FE6">
              <w:rPr>
                <w:bCs/>
                <w:sz w:val="22"/>
                <w:szCs w:val="22"/>
              </w:rPr>
              <w:t>Mortality Rate</w:t>
            </w:r>
          </w:p>
        </w:tc>
        <w:tc>
          <w:tcPr>
            <w:tcW w:w="1517" w:type="dxa"/>
            <w:tcBorders>
              <w:top w:val="single" w:sz="6" w:space="0" w:color="auto"/>
              <w:left w:val="nil"/>
              <w:bottom w:val="nil"/>
              <w:right w:val="nil"/>
            </w:tcBorders>
          </w:tcPr>
          <w:p w14:paraId="36B8E174" w14:textId="395B16D3" w:rsidR="00497625" w:rsidRPr="00467FE6" w:rsidRDefault="00497625" w:rsidP="002E076A">
            <w:pPr>
              <w:widowControl w:val="0"/>
              <w:tabs>
                <w:tab w:val="left" w:pos="567"/>
              </w:tabs>
              <w:autoSpaceDE w:val="0"/>
              <w:autoSpaceDN w:val="0"/>
              <w:adjustRightInd w:val="0"/>
              <w:jc w:val="center"/>
              <w:rPr>
                <w:bCs/>
                <w:sz w:val="22"/>
                <w:szCs w:val="22"/>
              </w:rPr>
            </w:pPr>
            <w:r w:rsidRPr="00467FE6">
              <w:rPr>
                <w:bCs/>
                <w:sz w:val="22"/>
                <w:szCs w:val="22"/>
              </w:rPr>
              <w:t xml:space="preserve">Child </w:t>
            </w:r>
            <w:r w:rsidR="007F6E63" w:rsidRPr="00467FE6">
              <w:rPr>
                <w:bCs/>
                <w:sz w:val="22"/>
                <w:szCs w:val="22"/>
              </w:rPr>
              <w:t>Mortality Rate</w:t>
            </w:r>
          </w:p>
        </w:tc>
        <w:tc>
          <w:tcPr>
            <w:tcW w:w="1579" w:type="dxa"/>
            <w:tcBorders>
              <w:top w:val="single" w:sz="6" w:space="0" w:color="auto"/>
              <w:left w:val="nil"/>
              <w:bottom w:val="nil"/>
              <w:right w:val="nil"/>
            </w:tcBorders>
          </w:tcPr>
          <w:p w14:paraId="29A92D50" w14:textId="77777777" w:rsidR="00DF177C" w:rsidRPr="00467FE6" w:rsidRDefault="00497625" w:rsidP="002E076A">
            <w:pPr>
              <w:widowControl w:val="0"/>
              <w:tabs>
                <w:tab w:val="left" w:pos="567"/>
              </w:tabs>
              <w:autoSpaceDE w:val="0"/>
              <w:autoSpaceDN w:val="0"/>
              <w:adjustRightInd w:val="0"/>
              <w:jc w:val="center"/>
              <w:rPr>
                <w:bCs/>
                <w:sz w:val="22"/>
                <w:szCs w:val="22"/>
              </w:rPr>
            </w:pPr>
            <w:r w:rsidRPr="00467FE6">
              <w:rPr>
                <w:bCs/>
                <w:sz w:val="22"/>
                <w:szCs w:val="22"/>
              </w:rPr>
              <w:t xml:space="preserve">Both </w:t>
            </w:r>
            <w:r w:rsidR="007F6E63" w:rsidRPr="00467FE6">
              <w:rPr>
                <w:bCs/>
                <w:sz w:val="22"/>
                <w:szCs w:val="22"/>
              </w:rPr>
              <w:t xml:space="preserve">Sex </w:t>
            </w:r>
          </w:p>
          <w:p w14:paraId="6DADF6CE" w14:textId="6E9D7548" w:rsidR="00497625" w:rsidRPr="00467FE6" w:rsidRDefault="00497625" w:rsidP="002E076A">
            <w:pPr>
              <w:widowControl w:val="0"/>
              <w:tabs>
                <w:tab w:val="left" w:pos="567"/>
              </w:tabs>
              <w:autoSpaceDE w:val="0"/>
              <w:autoSpaceDN w:val="0"/>
              <w:adjustRightInd w:val="0"/>
              <w:jc w:val="center"/>
              <w:rPr>
                <w:bCs/>
                <w:sz w:val="22"/>
                <w:szCs w:val="22"/>
              </w:rPr>
            </w:pPr>
            <w:r w:rsidRPr="00467FE6">
              <w:rPr>
                <w:bCs/>
                <w:sz w:val="22"/>
                <w:szCs w:val="22"/>
              </w:rPr>
              <w:t xml:space="preserve">Life </w:t>
            </w:r>
            <w:r w:rsidR="007F6E63" w:rsidRPr="00467FE6">
              <w:rPr>
                <w:bCs/>
                <w:sz w:val="22"/>
                <w:szCs w:val="22"/>
              </w:rPr>
              <w:t>Expectancy</w:t>
            </w:r>
          </w:p>
        </w:tc>
        <w:tc>
          <w:tcPr>
            <w:tcW w:w="1431" w:type="dxa"/>
            <w:gridSpan w:val="2"/>
            <w:tcBorders>
              <w:top w:val="single" w:sz="6" w:space="0" w:color="auto"/>
              <w:left w:val="nil"/>
              <w:bottom w:val="nil"/>
              <w:right w:val="nil"/>
            </w:tcBorders>
          </w:tcPr>
          <w:p w14:paraId="51C185B1" w14:textId="77777777" w:rsidR="00DF177C" w:rsidRPr="00467FE6" w:rsidRDefault="00497625" w:rsidP="002E076A">
            <w:pPr>
              <w:widowControl w:val="0"/>
              <w:tabs>
                <w:tab w:val="left" w:pos="567"/>
              </w:tabs>
              <w:autoSpaceDE w:val="0"/>
              <w:autoSpaceDN w:val="0"/>
              <w:adjustRightInd w:val="0"/>
              <w:jc w:val="center"/>
              <w:rPr>
                <w:bCs/>
                <w:sz w:val="22"/>
                <w:szCs w:val="22"/>
              </w:rPr>
            </w:pPr>
            <w:r w:rsidRPr="00467FE6">
              <w:rPr>
                <w:bCs/>
                <w:sz w:val="22"/>
                <w:szCs w:val="22"/>
              </w:rPr>
              <w:t xml:space="preserve">Male </w:t>
            </w:r>
          </w:p>
          <w:p w14:paraId="45E22A9B" w14:textId="5A3C2E1A" w:rsidR="00497625" w:rsidRPr="00467FE6" w:rsidRDefault="007F6E63" w:rsidP="002E076A">
            <w:pPr>
              <w:widowControl w:val="0"/>
              <w:tabs>
                <w:tab w:val="left" w:pos="567"/>
              </w:tabs>
              <w:autoSpaceDE w:val="0"/>
              <w:autoSpaceDN w:val="0"/>
              <w:adjustRightInd w:val="0"/>
              <w:jc w:val="center"/>
              <w:rPr>
                <w:bCs/>
                <w:sz w:val="22"/>
                <w:szCs w:val="22"/>
              </w:rPr>
            </w:pPr>
            <w:r w:rsidRPr="00467FE6">
              <w:rPr>
                <w:bCs/>
                <w:sz w:val="22"/>
                <w:szCs w:val="22"/>
              </w:rPr>
              <w:t>Life Expectancy</w:t>
            </w:r>
          </w:p>
        </w:tc>
        <w:tc>
          <w:tcPr>
            <w:tcW w:w="1614" w:type="dxa"/>
            <w:gridSpan w:val="2"/>
            <w:tcBorders>
              <w:top w:val="single" w:sz="6" w:space="0" w:color="auto"/>
              <w:left w:val="nil"/>
              <w:bottom w:val="nil"/>
              <w:right w:val="nil"/>
            </w:tcBorders>
          </w:tcPr>
          <w:p w14:paraId="1F041E3F" w14:textId="77777777" w:rsidR="00DF177C" w:rsidRPr="00467FE6" w:rsidRDefault="00497625" w:rsidP="002E076A">
            <w:pPr>
              <w:widowControl w:val="0"/>
              <w:tabs>
                <w:tab w:val="left" w:pos="567"/>
              </w:tabs>
              <w:autoSpaceDE w:val="0"/>
              <w:autoSpaceDN w:val="0"/>
              <w:adjustRightInd w:val="0"/>
              <w:jc w:val="center"/>
              <w:rPr>
                <w:bCs/>
                <w:sz w:val="22"/>
                <w:szCs w:val="22"/>
              </w:rPr>
            </w:pPr>
            <w:r w:rsidRPr="00467FE6">
              <w:rPr>
                <w:bCs/>
                <w:sz w:val="22"/>
                <w:szCs w:val="22"/>
              </w:rPr>
              <w:t xml:space="preserve">Female </w:t>
            </w:r>
          </w:p>
          <w:p w14:paraId="10895A32" w14:textId="0832C6DF" w:rsidR="00497625" w:rsidRPr="00467FE6" w:rsidRDefault="007F6E63" w:rsidP="002E076A">
            <w:pPr>
              <w:widowControl w:val="0"/>
              <w:tabs>
                <w:tab w:val="left" w:pos="567"/>
              </w:tabs>
              <w:autoSpaceDE w:val="0"/>
              <w:autoSpaceDN w:val="0"/>
              <w:adjustRightInd w:val="0"/>
              <w:jc w:val="center"/>
              <w:rPr>
                <w:bCs/>
                <w:sz w:val="22"/>
                <w:szCs w:val="22"/>
              </w:rPr>
            </w:pPr>
            <w:r w:rsidRPr="00467FE6">
              <w:rPr>
                <w:bCs/>
                <w:sz w:val="22"/>
                <w:szCs w:val="22"/>
              </w:rPr>
              <w:t>Life Expectancy</w:t>
            </w:r>
          </w:p>
        </w:tc>
      </w:tr>
      <w:tr w:rsidR="004D3F41" w:rsidRPr="00467FE6" w14:paraId="0221AB8A" w14:textId="77777777" w:rsidTr="00A44C4F">
        <w:trPr>
          <w:gridAfter w:val="1"/>
          <w:wAfter w:w="128" w:type="dxa"/>
          <w:trHeight w:val="304"/>
          <w:jc w:val="center"/>
        </w:trPr>
        <w:tc>
          <w:tcPr>
            <w:tcW w:w="2430" w:type="dxa"/>
            <w:tcBorders>
              <w:top w:val="single" w:sz="6" w:space="0" w:color="auto"/>
              <w:left w:val="nil"/>
              <w:bottom w:val="nil"/>
              <w:right w:val="nil"/>
            </w:tcBorders>
          </w:tcPr>
          <w:p w14:paraId="799894AD" w14:textId="70A9ED46" w:rsidR="002148F8" w:rsidRPr="00467FE6" w:rsidRDefault="002148F8" w:rsidP="00D4754F">
            <w:pPr>
              <w:widowControl w:val="0"/>
              <w:tabs>
                <w:tab w:val="left" w:pos="567"/>
              </w:tabs>
              <w:autoSpaceDE w:val="0"/>
              <w:autoSpaceDN w:val="0"/>
              <w:adjustRightInd w:val="0"/>
              <w:spacing w:before="60"/>
              <w:rPr>
                <w:sz w:val="22"/>
                <w:szCs w:val="22"/>
              </w:rPr>
            </w:pPr>
            <w:r w:rsidRPr="00467FE6">
              <w:rPr>
                <w:sz w:val="22"/>
                <w:szCs w:val="22"/>
              </w:rPr>
              <w:t xml:space="preserve">Percent </w:t>
            </w:r>
            <w:proofErr w:type="spellStart"/>
            <w:r w:rsidR="00DF177C" w:rsidRPr="00467FE6">
              <w:rPr>
                <w:sz w:val="22"/>
                <w:szCs w:val="22"/>
              </w:rPr>
              <w:t>f</w:t>
            </w:r>
            <w:proofErr w:type="spellEnd"/>
            <w:r w:rsidR="00DF177C" w:rsidRPr="00467FE6">
              <w:rPr>
                <w:sz w:val="22"/>
                <w:szCs w:val="22"/>
              </w:rPr>
              <w:t xml:space="preserve"> Solid Fuel</w:t>
            </w:r>
          </w:p>
        </w:tc>
        <w:tc>
          <w:tcPr>
            <w:tcW w:w="1503" w:type="dxa"/>
            <w:tcBorders>
              <w:top w:val="single" w:sz="6" w:space="0" w:color="auto"/>
              <w:left w:val="nil"/>
              <w:bottom w:val="nil"/>
              <w:right w:val="nil"/>
            </w:tcBorders>
          </w:tcPr>
          <w:p w14:paraId="6D8CB59E" w14:textId="7F9FE21A" w:rsidR="002148F8" w:rsidRPr="00467FE6" w:rsidRDefault="002148F8" w:rsidP="00DF177C">
            <w:pPr>
              <w:widowControl w:val="0"/>
              <w:tabs>
                <w:tab w:val="decimal" w:pos="549"/>
              </w:tabs>
              <w:autoSpaceDE w:val="0"/>
              <w:autoSpaceDN w:val="0"/>
              <w:adjustRightInd w:val="0"/>
              <w:spacing w:before="60"/>
              <w:rPr>
                <w:sz w:val="22"/>
                <w:szCs w:val="22"/>
              </w:rPr>
            </w:pPr>
            <w:r w:rsidRPr="00467FE6">
              <w:rPr>
                <w:sz w:val="22"/>
                <w:szCs w:val="22"/>
              </w:rPr>
              <w:t>1.298</w:t>
            </w:r>
          </w:p>
        </w:tc>
        <w:tc>
          <w:tcPr>
            <w:tcW w:w="1517" w:type="dxa"/>
            <w:tcBorders>
              <w:top w:val="single" w:sz="6" w:space="0" w:color="auto"/>
              <w:left w:val="nil"/>
              <w:bottom w:val="nil"/>
              <w:right w:val="nil"/>
            </w:tcBorders>
          </w:tcPr>
          <w:p w14:paraId="4A206981" w14:textId="4C564FBF" w:rsidR="002148F8" w:rsidRPr="00467FE6" w:rsidRDefault="002148F8" w:rsidP="00DF177C">
            <w:pPr>
              <w:widowControl w:val="0"/>
              <w:tabs>
                <w:tab w:val="decimal" w:pos="456"/>
              </w:tabs>
              <w:autoSpaceDE w:val="0"/>
              <w:autoSpaceDN w:val="0"/>
              <w:adjustRightInd w:val="0"/>
              <w:spacing w:before="60"/>
              <w:rPr>
                <w:sz w:val="22"/>
                <w:szCs w:val="22"/>
              </w:rPr>
            </w:pPr>
            <w:r w:rsidRPr="00467FE6">
              <w:rPr>
                <w:sz w:val="22"/>
                <w:szCs w:val="22"/>
              </w:rPr>
              <w:t>2.435</w:t>
            </w:r>
          </w:p>
        </w:tc>
        <w:tc>
          <w:tcPr>
            <w:tcW w:w="1579" w:type="dxa"/>
            <w:tcBorders>
              <w:top w:val="single" w:sz="6" w:space="0" w:color="auto"/>
              <w:left w:val="nil"/>
              <w:bottom w:val="nil"/>
              <w:right w:val="nil"/>
            </w:tcBorders>
          </w:tcPr>
          <w:p w14:paraId="587C647C" w14:textId="3B7E0FDF" w:rsidR="002148F8" w:rsidRPr="00467FE6" w:rsidRDefault="002148F8" w:rsidP="00DF177C">
            <w:pPr>
              <w:widowControl w:val="0"/>
              <w:tabs>
                <w:tab w:val="decimal" w:pos="506"/>
              </w:tabs>
              <w:autoSpaceDE w:val="0"/>
              <w:autoSpaceDN w:val="0"/>
              <w:adjustRightInd w:val="0"/>
              <w:spacing w:before="60"/>
              <w:rPr>
                <w:sz w:val="22"/>
                <w:szCs w:val="22"/>
              </w:rPr>
            </w:pPr>
            <w:r w:rsidRPr="00467FE6">
              <w:rPr>
                <w:sz w:val="22"/>
                <w:szCs w:val="22"/>
              </w:rPr>
              <w:t>-0.102</w:t>
            </w:r>
          </w:p>
        </w:tc>
        <w:tc>
          <w:tcPr>
            <w:tcW w:w="1303" w:type="dxa"/>
            <w:tcBorders>
              <w:top w:val="single" w:sz="6" w:space="0" w:color="auto"/>
              <w:left w:val="nil"/>
              <w:bottom w:val="nil"/>
              <w:right w:val="nil"/>
            </w:tcBorders>
          </w:tcPr>
          <w:p w14:paraId="3727D518" w14:textId="4F07700D" w:rsidR="002148F8" w:rsidRPr="00467FE6" w:rsidRDefault="002148F8" w:rsidP="00DF177C">
            <w:pPr>
              <w:widowControl w:val="0"/>
              <w:tabs>
                <w:tab w:val="decimal" w:pos="485"/>
              </w:tabs>
              <w:autoSpaceDE w:val="0"/>
              <w:autoSpaceDN w:val="0"/>
              <w:adjustRightInd w:val="0"/>
              <w:spacing w:before="60"/>
              <w:rPr>
                <w:sz w:val="22"/>
                <w:szCs w:val="22"/>
              </w:rPr>
            </w:pPr>
            <w:r w:rsidRPr="00467FE6">
              <w:rPr>
                <w:sz w:val="22"/>
                <w:szCs w:val="22"/>
              </w:rPr>
              <w:t>-0.132</w:t>
            </w:r>
          </w:p>
        </w:tc>
        <w:tc>
          <w:tcPr>
            <w:tcW w:w="1614" w:type="dxa"/>
            <w:gridSpan w:val="2"/>
            <w:tcBorders>
              <w:top w:val="single" w:sz="6" w:space="0" w:color="auto"/>
              <w:left w:val="nil"/>
              <w:bottom w:val="nil"/>
              <w:right w:val="nil"/>
            </w:tcBorders>
          </w:tcPr>
          <w:p w14:paraId="0E26D0B7" w14:textId="3CC46CD0" w:rsidR="002148F8" w:rsidRPr="00467FE6" w:rsidRDefault="002148F8" w:rsidP="00DF177C">
            <w:pPr>
              <w:widowControl w:val="0"/>
              <w:tabs>
                <w:tab w:val="decimal" w:pos="592"/>
              </w:tabs>
              <w:autoSpaceDE w:val="0"/>
              <w:autoSpaceDN w:val="0"/>
              <w:adjustRightInd w:val="0"/>
              <w:spacing w:before="60"/>
              <w:rPr>
                <w:sz w:val="22"/>
                <w:szCs w:val="22"/>
              </w:rPr>
            </w:pPr>
            <w:r w:rsidRPr="00467FE6">
              <w:rPr>
                <w:sz w:val="22"/>
                <w:szCs w:val="22"/>
              </w:rPr>
              <w:t>-0.171</w:t>
            </w:r>
          </w:p>
        </w:tc>
      </w:tr>
      <w:tr w:rsidR="004D3F41" w:rsidRPr="00467FE6" w14:paraId="380C0D5D" w14:textId="77777777" w:rsidTr="00D55152">
        <w:trPr>
          <w:gridAfter w:val="1"/>
          <w:wAfter w:w="128" w:type="dxa"/>
          <w:trHeight w:val="424"/>
          <w:jc w:val="center"/>
        </w:trPr>
        <w:tc>
          <w:tcPr>
            <w:tcW w:w="2430" w:type="dxa"/>
            <w:tcBorders>
              <w:top w:val="nil"/>
              <w:left w:val="nil"/>
              <w:bottom w:val="nil"/>
              <w:right w:val="nil"/>
            </w:tcBorders>
          </w:tcPr>
          <w:p w14:paraId="60BE834E" w14:textId="62036A45" w:rsidR="002148F8" w:rsidRPr="00467FE6" w:rsidRDefault="00DF177C" w:rsidP="002E076A">
            <w:pPr>
              <w:widowControl w:val="0"/>
              <w:tabs>
                <w:tab w:val="left" w:pos="567"/>
              </w:tabs>
              <w:autoSpaceDE w:val="0"/>
              <w:autoSpaceDN w:val="0"/>
              <w:adjustRightInd w:val="0"/>
              <w:rPr>
                <w:sz w:val="22"/>
                <w:szCs w:val="22"/>
              </w:rPr>
            </w:pPr>
            <w:r w:rsidRPr="00467FE6">
              <w:rPr>
                <w:sz w:val="22"/>
                <w:szCs w:val="22"/>
              </w:rPr>
              <w:t>Use</w:t>
            </w:r>
          </w:p>
        </w:tc>
        <w:tc>
          <w:tcPr>
            <w:tcW w:w="1503" w:type="dxa"/>
            <w:tcBorders>
              <w:top w:val="nil"/>
              <w:left w:val="nil"/>
              <w:bottom w:val="nil"/>
              <w:right w:val="nil"/>
            </w:tcBorders>
          </w:tcPr>
          <w:p w14:paraId="07C02DB2" w14:textId="4F0C7244" w:rsidR="002148F8" w:rsidRPr="00467FE6" w:rsidRDefault="002148F8" w:rsidP="00DF177C">
            <w:pPr>
              <w:widowControl w:val="0"/>
              <w:tabs>
                <w:tab w:val="decimal" w:pos="549"/>
              </w:tabs>
              <w:autoSpaceDE w:val="0"/>
              <w:autoSpaceDN w:val="0"/>
              <w:adjustRightInd w:val="0"/>
              <w:rPr>
                <w:sz w:val="22"/>
                <w:szCs w:val="22"/>
              </w:rPr>
            </w:pPr>
            <w:r w:rsidRPr="00467FE6">
              <w:rPr>
                <w:sz w:val="22"/>
                <w:szCs w:val="22"/>
              </w:rPr>
              <w:t>(0.092)**</w:t>
            </w:r>
          </w:p>
        </w:tc>
        <w:tc>
          <w:tcPr>
            <w:tcW w:w="1517" w:type="dxa"/>
            <w:tcBorders>
              <w:top w:val="nil"/>
              <w:left w:val="nil"/>
              <w:bottom w:val="nil"/>
              <w:right w:val="nil"/>
            </w:tcBorders>
          </w:tcPr>
          <w:p w14:paraId="72A5AE6C" w14:textId="2B761AFB" w:rsidR="002148F8" w:rsidRPr="00467FE6" w:rsidRDefault="002148F8" w:rsidP="00DF177C">
            <w:pPr>
              <w:widowControl w:val="0"/>
              <w:tabs>
                <w:tab w:val="decimal" w:pos="456"/>
              </w:tabs>
              <w:autoSpaceDE w:val="0"/>
              <w:autoSpaceDN w:val="0"/>
              <w:adjustRightInd w:val="0"/>
              <w:rPr>
                <w:sz w:val="22"/>
                <w:szCs w:val="22"/>
              </w:rPr>
            </w:pPr>
            <w:r w:rsidRPr="00467FE6">
              <w:rPr>
                <w:sz w:val="22"/>
                <w:szCs w:val="22"/>
              </w:rPr>
              <w:t>(0.167)**</w:t>
            </w:r>
          </w:p>
        </w:tc>
        <w:tc>
          <w:tcPr>
            <w:tcW w:w="1579" w:type="dxa"/>
            <w:tcBorders>
              <w:top w:val="nil"/>
              <w:left w:val="nil"/>
              <w:bottom w:val="nil"/>
              <w:right w:val="nil"/>
            </w:tcBorders>
          </w:tcPr>
          <w:p w14:paraId="59215E3E" w14:textId="30B45FF5" w:rsidR="002148F8" w:rsidRPr="00467FE6" w:rsidRDefault="002148F8" w:rsidP="00DF177C">
            <w:pPr>
              <w:widowControl w:val="0"/>
              <w:tabs>
                <w:tab w:val="decimal" w:pos="506"/>
              </w:tabs>
              <w:autoSpaceDE w:val="0"/>
              <w:autoSpaceDN w:val="0"/>
              <w:adjustRightInd w:val="0"/>
              <w:rPr>
                <w:sz w:val="22"/>
                <w:szCs w:val="22"/>
              </w:rPr>
            </w:pPr>
            <w:r w:rsidRPr="00467FE6">
              <w:rPr>
                <w:sz w:val="22"/>
                <w:szCs w:val="22"/>
              </w:rPr>
              <w:t>(0.018)**</w:t>
            </w:r>
          </w:p>
        </w:tc>
        <w:tc>
          <w:tcPr>
            <w:tcW w:w="1303" w:type="dxa"/>
            <w:tcBorders>
              <w:top w:val="nil"/>
              <w:left w:val="nil"/>
              <w:bottom w:val="nil"/>
              <w:right w:val="nil"/>
            </w:tcBorders>
          </w:tcPr>
          <w:p w14:paraId="702957D9" w14:textId="1DD7B398" w:rsidR="002148F8" w:rsidRPr="00467FE6" w:rsidRDefault="002148F8" w:rsidP="00DF177C">
            <w:pPr>
              <w:widowControl w:val="0"/>
              <w:tabs>
                <w:tab w:val="decimal" w:pos="485"/>
              </w:tabs>
              <w:autoSpaceDE w:val="0"/>
              <w:autoSpaceDN w:val="0"/>
              <w:adjustRightInd w:val="0"/>
              <w:rPr>
                <w:sz w:val="22"/>
                <w:szCs w:val="22"/>
              </w:rPr>
            </w:pPr>
            <w:r w:rsidRPr="00467FE6">
              <w:rPr>
                <w:sz w:val="22"/>
                <w:szCs w:val="22"/>
              </w:rPr>
              <w:t>(0.020)**</w:t>
            </w:r>
          </w:p>
        </w:tc>
        <w:tc>
          <w:tcPr>
            <w:tcW w:w="1614" w:type="dxa"/>
            <w:gridSpan w:val="2"/>
            <w:tcBorders>
              <w:top w:val="nil"/>
              <w:left w:val="nil"/>
              <w:bottom w:val="nil"/>
              <w:right w:val="nil"/>
            </w:tcBorders>
          </w:tcPr>
          <w:p w14:paraId="7D1C0C2D" w14:textId="793B7235" w:rsidR="002148F8" w:rsidRPr="00467FE6" w:rsidRDefault="002148F8" w:rsidP="00DF177C">
            <w:pPr>
              <w:widowControl w:val="0"/>
              <w:tabs>
                <w:tab w:val="decimal" w:pos="592"/>
              </w:tabs>
              <w:autoSpaceDE w:val="0"/>
              <w:autoSpaceDN w:val="0"/>
              <w:adjustRightInd w:val="0"/>
              <w:rPr>
                <w:sz w:val="22"/>
                <w:szCs w:val="22"/>
              </w:rPr>
            </w:pPr>
            <w:r w:rsidRPr="00467FE6">
              <w:rPr>
                <w:sz w:val="22"/>
                <w:szCs w:val="22"/>
              </w:rPr>
              <w:t>(0.021)**</w:t>
            </w:r>
          </w:p>
        </w:tc>
      </w:tr>
      <w:tr w:rsidR="004D3F41" w:rsidRPr="00467FE6" w14:paraId="6AEDBBA9" w14:textId="77777777" w:rsidTr="00A44C4F">
        <w:trPr>
          <w:gridAfter w:val="1"/>
          <w:wAfter w:w="128" w:type="dxa"/>
          <w:trHeight w:val="131"/>
          <w:jc w:val="center"/>
        </w:trPr>
        <w:tc>
          <w:tcPr>
            <w:tcW w:w="2430" w:type="dxa"/>
            <w:tcBorders>
              <w:top w:val="nil"/>
              <w:left w:val="nil"/>
              <w:bottom w:val="nil"/>
              <w:right w:val="nil"/>
            </w:tcBorders>
          </w:tcPr>
          <w:p w14:paraId="41697BBB" w14:textId="518E5132" w:rsidR="002148F8" w:rsidRPr="00467FE6" w:rsidRDefault="002148F8" w:rsidP="002E076A">
            <w:pPr>
              <w:widowControl w:val="0"/>
              <w:tabs>
                <w:tab w:val="left" w:pos="567"/>
              </w:tabs>
              <w:autoSpaceDE w:val="0"/>
              <w:autoSpaceDN w:val="0"/>
              <w:adjustRightInd w:val="0"/>
              <w:rPr>
                <w:sz w:val="22"/>
                <w:szCs w:val="22"/>
              </w:rPr>
            </w:pPr>
            <w:r w:rsidRPr="00467FE6">
              <w:rPr>
                <w:sz w:val="22"/>
                <w:szCs w:val="22"/>
              </w:rPr>
              <w:t xml:space="preserve">Female </w:t>
            </w:r>
            <w:r w:rsidR="00DF177C" w:rsidRPr="00467FE6">
              <w:rPr>
                <w:sz w:val="22"/>
                <w:szCs w:val="22"/>
              </w:rPr>
              <w:t xml:space="preserve">Primary School </w:t>
            </w:r>
          </w:p>
        </w:tc>
        <w:tc>
          <w:tcPr>
            <w:tcW w:w="1503" w:type="dxa"/>
            <w:tcBorders>
              <w:top w:val="nil"/>
              <w:left w:val="nil"/>
              <w:bottom w:val="nil"/>
              <w:right w:val="nil"/>
            </w:tcBorders>
          </w:tcPr>
          <w:p w14:paraId="06BC91B3" w14:textId="2D5974A2" w:rsidR="002148F8" w:rsidRPr="00467FE6" w:rsidRDefault="002148F8" w:rsidP="00DF177C">
            <w:pPr>
              <w:widowControl w:val="0"/>
              <w:tabs>
                <w:tab w:val="decimal" w:pos="549"/>
              </w:tabs>
              <w:autoSpaceDE w:val="0"/>
              <w:autoSpaceDN w:val="0"/>
              <w:adjustRightInd w:val="0"/>
              <w:rPr>
                <w:sz w:val="22"/>
                <w:szCs w:val="22"/>
              </w:rPr>
            </w:pPr>
            <w:r w:rsidRPr="00467FE6">
              <w:rPr>
                <w:sz w:val="22"/>
                <w:szCs w:val="22"/>
              </w:rPr>
              <w:t>-0.046</w:t>
            </w:r>
          </w:p>
        </w:tc>
        <w:tc>
          <w:tcPr>
            <w:tcW w:w="1517" w:type="dxa"/>
            <w:tcBorders>
              <w:top w:val="nil"/>
              <w:left w:val="nil"/>
              <w:bottom w:val="nil"/>
              <w:right w:val="nil"/>
            </w:tcBorders>
          </w:tcPr>
          <w:p w14:paraId="0B2E2E90" w14:textId="2A1C24CE" w:rsidR="002148F8" w:rsidRPr="00467FE6" w:rsidRDefault="002148F8" w:rsidP="00DF177C">
            <w:pPr>
              <w:widowControl w:val="0"/>
              <w:tabs>
                <w:tab w:val="decimal" w:pos="456"/>
              </w:tabs>
              <w:autoSpaceDE w:val="0"/>
              <w:autoSpaceDN w:val="0"/>
              <w:adjustRightInd w:val="0"/>
              <w:rPr>
                <w:sz w:val="22"/>
                <w:szCs w:val="22"/>
              </w:rPr>
            </w:pPr>
            <w:r w:rsidRPr="00467FE6">
              <w:rPr>
                <w:sz w:val="22"/>
                <w:szCs w:val="22"/>
              </w:rPr>
              <w:t>-0.078</w:t>
            </w:r>
          </w:p>
        </w:tc>
        <w:tc>
          <w:tcPr>
            <w:tcW w:w="1579" w:type="dxa"/>
            <w:tcBorders>
              <w:top w:val="nil"/>
              <w:left w:val="nil"/>
              <w:bottom w:val="nil"/>
              <w:right w:val="nil"/>
            </w:tcBorders>
          </w:tcPr>
          <w:p w14:paraId="05BCF613" w14:textId="27CBB421" w:rsidR="002148F8" w:rsidRPr="00467FE6" w:rsidRDefault="002148F8" w:rsidP="00DF177C">
            <w:pPr>
              <w:widowControl w:val="0"/>
              <w:tabs>
                <w:tab w:val="decimal" w:pos="506"/>
              </w:tabs>
              <w:autoSpaceDE w:val="0"/>
              <w:autoSpaceDN w:val="0"/>
              <w:adjustRightInd w:val="0"/>
              <w:rPr>
                <w:sz w:val="22"/>
                <w:szCs w:val="22"/>
              </w:rPr>
            </w:pPr>
            <w:r w:rsidRPr="00467FE6">
              <w:rPr>
                <w:sz w:val="22"/>
                <w:szCs w:val="22"/>
              </w:rPr>
              <w:t>0.031</w:t>
            </w:r>
          </w:p>
        </w:tc>
        <w:tc>
          <w:tcPr>
            <w:tcW w:w="1303" w:type="dxa"/>
            <w:tcBorders>
              <w:top w:val="nil"/>
              <w:left w:val="nil"/>
              <w:bottom w:val="nil"/>
              <w:right w:val="nil"/>
            </w:tcBorders>
          </w:tcPr>
          <w:p w14:paraId="3D38ED60" w14:textId="7F555AD4" w:rsidR="002148F8" w:rsidRPr="00467FE6" w:rsidRDefault="002148F8" w:rsidP="00DF177C">
            <w:pPr>
              <w:widowControl w:val="0"/>
              <w:tabs>
                <w:tab w:val="decimal" w:pos="485"/>
              </w:tabs>
              <w:autoSpaceDE w:val="0"/>
              <w:autoSpaceDN w:val="0"/>
              <w:adjustRightInd w:val="0"/>
              <w:rPr>
                <w:sz w:val="22"/>
                <w:szCs w:val="22"/>
              </w:rPr>
            </w:pPr>
            <w:r w:rsidRPr="00467FE6">
              <w:rPr>
                <w:sz w:val="22"/>
                <w:szCs w:val="22"/>
              </w:rPr>
              <w:t>-0.009</w:t>
            </w:r>
          </w:p>
        </w:tc>
        <w:tc>
          <w:tcPr>
            <w:tcW w:w="1614" w:type="dxa"/>
            <w:gridSpan w:val="2"/>
            <w:tcBorders>
              <w:top w:val="nil"/>
              <w:left w:val="nil"/>
              <w:bottom w:val="nil"/>
              <w:right w:val="nil"/>
            </w:tcBorders>
          </w:tcPr>
          <w:p w14:paraId="4BF757BD" w14:textId="41F2BDC4" w:rsidR="002148F8" w:rsidRPr="00467FE6" w:rsidRDefault="002148F8" w:rsidP="00DF177C">
            <w:pPr>
              <w:widowControl w:val="0"/>
              <w:tabs>
                <w:tab w:val="decimal" w:pos="592"/>
              </w:tabs>
              <w:autoSpaceDE w:val="0"/>
              <w:autoSpaceDN w:val="0"/>
              <w:adjustRightInd w:val="0"/>
              <w:rPr>
                <w:sz w:val="22"/>
                <w:szCs w:val="22"/>
              </w:rPr>
            </w:pPr>
            <w:r w:rsidRPr="00467FE6">
              <w:rPr>
                <w:sz w:val="22"/>
                <w:szCs w:val="22"/>
              </w:rPr>
              <w:t>-0.005</w:t>
            </w:r>
          </w:p>
        </w:tc>
      </w:tr>
      <w:tr w:rsidR="004D3F41" w:rsidRPr="00467FE6" w14:paraId="6C55510E" w14:textId="77777777" w:rsidTr="00D55152">
        <w:trPr>
          <w:gridAfter w:val="1"/>
          <w:wAfter w:w="128" w:type="dxa"/>
          <w:trHeight w:val="424"/>
          <w:jc w:val="center"/>
        </w:trPr>
        <w:tc>
          <w:tcPr>
            <w:tcW w:w="2430" w:type="dxa"/>
            <w:tcBorders>
              <w:top w:val="nil"/>
              <w:left w:val="nil"/>
              <w:bottom w:val="nil"/>
              <w:right w:val="nil"/>
            </w:tcBorders>
          </w:tcPr>
          <w:p w14:paraId="3D451F9B" w14:textId="498287A1" w:rsidR="002148F8" w:rsidRPr="00467FE6" w:rsidRDefault="00A44C4F" w:rsidP="002E076A">
            <w:pPr>
              <w:widowControl w:val="0"/>
              <w:tabs>
                <w:tab w:val="left" w:pos="567"/>
              </w:tabs>
              <w:autoSpaceDE w:val="0"/>
              <w:autoSpaceDN w:val="0"/>
              <w:adjustRightInd w:val="0"/>
              <w:rPr>
                <w:sz w:val="22"/>
                <w:szCs w:val="22"/>
              </w:rPr>
            </w:pPr>
            <w:r w:rsidRPr="00467FE6">
              <w:rPr>
                <w:sz w:val="22"/>
                <w:szCs w:val="22"/>
              </w:rPr>
              <w:t>Enrolment</w:t>
            </w:r>
          </w:p>
        </w:tc>
        <w:tc>
          <w:tcPr>
            <w:tcW w:w="1503" w:type="dxa"/>
            <w:tcBorders>
              <w:top w:val="nil"/>
              <w:left w:val="nil"/>
              <w:bottom w:val="nil"/>
              <w:right w:val="nil"/>
            </w:tcBorders>
          </w:tcPr>
          <w:p w14:paraId="1FDA55A7" w14:textId="3C3D05B7" w:rsidR="002148F8" w:rsidRPr="00467FE6" w:rsidRDefault="002148F8" w:rsidP="00DF177C">
            <w:pPr>
              <w:widowControl w:val="0"/>
              <w:tabs>
                <w:tab w:val="decimal" w:pos="549"/>
              </w:tabs>
              <w:autoSpaceDE w:val="0"/>
              <w:autoSpaceDN w:val="0"/>
              <w:adjustRightInd w:val="0"/>
              <w:rPr>
                <w:sz w:val="22"/>
                <w:szCs w:val="22"/>
              </w:rPr>
            </w:pPr>
            <w:r w:rsidRPr="00467FE6">
              <w:rPr>
                <w:sz w:val="22"/>
                <w:szCs w:val="22"/>
              </w:rPr>
              <w:t>(0.037)</w:t>
            </w:r>
          </w:p>
        </w:tc>
        <w:tc>
          <w:tcPr>
            <w:tcW w:w="1517" w:type="dxa"/>
            <w:tcBorders>
              <w:top w:val="nil"/>
              <w:left w:val="nil"/>
              <w:bottom w:val="nil"/>
              <w:right w:val="nil"/>
            </w:tcBorders>
          </w:tcPr>
          <w:p w14:paraId="1614A111" w14:textId="04A4AE64" w:rsidR="002148F8" w:rsidRPr="00467FE6" w:rsidRDefault="002148F8" w:rsidP="00DF177C">
            <w:pPr>
              <w:widowControl w:val="0"/>
              <w:tabs>
                <w:tab w:val="decimal" w:pos="456"/>
              </w:tabs>
              <w:autoSpaceDE w:val="0"/>
              <w:autoSpaceDN w:val="0"/>
              <w:adjustRightInd w:val="0"/>
              <w:rPr>
                <w:sz w:val="22"/>
                <w:szCs w:val="22"/>
              </w:rPr>
            </w:pPr>
            <w:r w:rsidRPr="00467FE6">
              <w:rPr>
                <w:sz w:val="22"/>
                <w:szCs w:val="22"/>
              </w:rPr>
              <w:t>(0.067)</w:t>
            </w:r>
          </w:p>
        </w:tc>
        <w:tc>
          <w:tcPr>
            <w:tcW w:w="1579" w:type="dxa"/>
            <w:tcBorders>
              <w:top w:val="nil"/>
              <w:left w:val="nil"/>
              <w:bottom w:val="nil"/>
              <w:right w:val="nil"/>
            </w:tcBorders>
          </w:tcPr>
          <w:p w14:paraId="3073C1E6" w14:textId="1B2ACAB1" w:rsidR="002148F8" w:rsidRPr="00467FE6" w:rsidRDefault="002148F8" w:rsidP="00DF177C">
            <w:pPr>
              <w:widowControl w:val="0"/>
              <w:tabs>
                <w:tab w:val="decimal" w:pos="506"/>
              </w:tabs>
              <w:autoSpaceDE w:val="0"/>
              <w:autoSpaceDN w:val="0"/>
              <w:adjustRightInd w:val="0"/>
              <w:rPr>
                <w:sz w:val="22"/>
                <w:szCs w:val="22"/>
              </w:rPr>
            </w:pPr>
            <w:r w:rsidRPr="00467FE6">
              <w:rPr>
                <w:sz w:val="22"/>
                <w:szCs w:val="22"/>
              </w:rPr>
              <w:t>(0.007)**</w:t>
            </w:r>
          </w:p>
        </w:tc>
        <w:tc>
          <w:tcPr>
            <w:tcW w:w="1303" w:type="dxa"/>
            <w:tcBorders>
              <w:top w:val="nil"/>
              <w:left w:val="nil"/>
              <w:bottom w:val="nil"/>
              <w:right w:val="nil"/>
            </w:tcBorders>
          </w:tcPr>
          <w:p w14:paraId="63E25B49" w14:textId="0F689D8F" w:rsidR="002148F8" w:rsidRPr="00467FE6" w:rsidRDefault="002148F8" w:rsidP="00DF177C">
            <w:pPr>
              <w:widowControl w:val="0"/>
              <w:tabs>
                <w:tab w:val="decimal" w:pos="485"/>
              </w:tabs>
              <w:autoSpaceDE w:val="0"/>
              <w:autoSpaceDN w:val="0"/>
              <w:adjustRightInd w:val="0"/>
              <w:rPr>
                <w:sz w:val="22"/>
                <w:szCs w:val="22"/>
              </w:rPr>
            </w:pPr>
            <w:r w:rsidRPr="00467FE6">
              <w:rPr>
                <w:sz w:val="22"/>
                <w:szCs w:val="22"/>
              </w:rPr>
              <w:t>0.008)</w:t>
            </w:r>
          </w:p>
        </w:tc>
        <w:tc>
          <w:tcPr>
            <w:tcW w:w="1614" w:type="dxa"/>
            <w:gridSpan w:val="2"/>
            <w:tcBorders>
              <w:top w:val="nil"/>
              <w:left w:val="nil"/>
              <w:bottom w:val="nil"/>
              <w:right w:val="nil"/>
            </w:tcBorders>
          </w:tcPr>
          <w:p w14:paraId="7DD4EB57" w14:textId="2A356E5C" w:rsidR="002148F8" w:rsidRPr="00467FE6" w:rsidRDefault="002148F8" w:rsidP="00DF177C">
            <w:pPr>
              <w:widowControl w:val="0"/>
              <w:tabs>
                <w:tab w:val="decimal" w:pos="592"/>
              </w:tabs>
              <w:autoSpaceDE w:val="0"/>
              <w:autoSpaceDN w:val="0"/>
              <w:adjustRightInd w:val="0"/>
              <w:rPr>
                <w:sz w:val="22"/>
                <w:szCs w:val="22"/>
              </w:rPr>
            </w:pPr>
            <w:r w:rsidRPr="00467FE6">
              <w:rPr>
                <w:sz w:val="22"/>
                <w:szCs w:val="22"/>
              </w:rPr>
              <w:t>(0.008)</w:t>
            </w:r>
          </w:p>
        </w:tc>
      </w:tr>
      <w:tr w:rsidR="004D3F41" w:rsidRPr="00467FE6" w14:paraId="72F049FA" w14:textId="77777777" w:rsidTr="00A44C4F">
        <w:trPr>
          <w:gridAfter w:val="1"/>
          <w:wAfter w:w="128" w:type="dxa"/>
          <w:trHeight w:val="169"/>
          <w:jc w:val="center"/>
        </w:trPr>
        <w:tc>
          <w:tcPr>
            <w:tcW w:w="2430" w:type="dxa"/>
            <w:tcBorders>
              <w:top w:val="nil"/>
              <w:left w:val="nil"/>
              <w:bottom w:val="nil"/>
              <w:right w:val="nil"/>
            </w:tcBorders>
          </w:tcPr>
          <w:p w14:paraId="20136805" w14:textId="676FF7E5" w:rsidR="002148F8" w:rsidRPr="00467FE6" w:rsidRDefault="002148F8" w:rsidP="002E076A">
            <w:pPr>
              <w:widowControl w:val="0"/>
              <w:tabs>
                <w:tab w:val="left" w:pos="567"/>
              </w:tabs>
              <w:autoSpaceDE w:val="0"/>
              <w:autoSpaceDN w:val="0"/>
              <w:adjustRightInd w:val="0"/>
              <w:rPr>
                <w:sz w:val="22"/>
                <w:szCs w:val="22"/>
              </w:rPr>
            </w:pPr>
            <w:r w:rsidRPr="00467FE6">
              <w:rPr>
                <w:sz w:val="22"/>
                <w:szCs w:val="22"/>
              </w:rPr>
              <w:t xml:space="preserve">Male </w:t>
            </w:r>
            <w:r w:rsidR="00DF177C" w:rsidRPr="00467FE6">
              <w:rPr>
                <w:sz w:val="22"/>
                <w:szCs w:val="22"/>
              </w:rPr>
              <w:t xml:space="preserve">Primary School </w:t>
            </w:r>
          </w:p>
        </w:tc>
        <w:tc>
          <w:tcPr>
            <w:tcW w:w="1503" w:type="dxa"/>
            <w:tcBorders>
              <w:top w:val="nil"/>
              <w:left w:val="nil"/>
              <w:bottom w:val="nil"/>
              <w:right w:val="nil"/>
            </w:tcBorders>
          </w:tcPr>
          <w:p w14:paraId="238A4AE1" w14:textId="0E7EA3C4" w:rsidR="002148F8" w:rsidRPr="00467FE6" w:rsidRDefault="002148F8" w:rsidP="00DF177C">
            <w:pPr>
              <w:widowControl w:val="0"/>
              <w:tabs>
                <w:tab w:val="decimal" w:pos="549"/>
              </w:tabs>
              <w:autoSpaceDE w:val="0"/>
              <w:autoSpaceDN w:val="0"/>
              <w:adjustRightInd w:val="0"/>
              <w:rPr>
                <w:sz w:val="22"/>
                <w:szCs w:val="22"/>
              </w:rPr>
            </w:pPr>
            <w:r w:rsidRPr="00467FE6">
              <w:rPr>
                <w:sz w:val="22"/>
                <w:szCs w:val="22"/>
              </w:rPr>
              <w:t>0.037</w:t>
            </w:r>
          </w:p>
        </w:tc>
        <w:tc>
          <w:tcPr>
            <w:tcW w:w="1517" w:type="dxa"/>
            <w:tcBorders>
              <w:top w:val="nil"/>
              <w:left w:val="nil"/>
              <w:bottom w:val="nil"/>
              <w:right w:val="nil"/>
            </w:tcBorders>
          </w:tcPr>
          <w:p w14:paraId="0B676306" w14:textId="381F2482" w:rsidR="002148F8" w:rsidRPr="00467FE6" w:rsidRDefault="002148F8" w:rsidP="00DF177C">
            <w:pPr>
              <w:widowControl w:val="0"/>
              <w:tabs>
                <w:tab w:val="decimal" w:pos="456"/>
              </w:tabs>
              <w:autoSpaceDE w:val="0"/>
              <w:autoSpaceDN w:val="0"/>
              <w:adjustRightInd w:val="0"/>
              <w:rPr>
                <w:sz w:val="22"/>
                <w:szCs w:val="22"/>
              </w:rPr>
            </w:pPr>
            <w:r w:rsidRPr="00467FE6">
              <w:rPr>
                <w:sz w:val="22"/>
                <w:szCs w:val="22"/>
              </w:rPr>
              <w:t>0.062</w:t>
            </w:r>
          </w:p>
        </w:tc>
        <w:tc>
          <w:tcPr>
            <w:tcW w:w="1579" w:type="dxa"/>
            <w:tcBorders>
              <w:top w:val="nil"/>
              <w:left w:val="nil"/>
              <w:bottom w:val="nil"/>
              <w:right w:val="nil"/>
            </w:tcBorders>
          </w:tcPr>
          <w:p w14:paraId="184E8305" w14:textId="2C202699" w:rsidR="002148F8" w:rsidRPr="00467FE6" w:rsidRDefault="002148F8" w:rsidP="00DF177C">
            <w:pPr>
              <w:widowControl w:val="0"/>
              <w:tabs>
                <w:tab w:val="decimal" w:pos="506"/>
              </w:tabs>
              <w:autoSpaceDE w:val="0"/>
              <w:autoSpaceDN w:val="0"/>
              <w:adjustRightInd w:val="0"/>
              <w:rPr>
                <w:sz w:val="22"/>
                <w:szCs w:val="22"/>
              </w:rPr>
            </w:pPr>
            <w:r w:rsidRPr="00467FE6">
              <w:rPr>
                <w:sz w:val="22"/>
                <w:szCs w:val="22"/>
              </w:rPr>
              <w:t>-0.028</w:t>
            </w:r>
          </w:p>
        </w:tc>
        <w:tc>
          <w:tcPr>
            <w:tcW w:w="1303" w:type="dxa"/>
            <w:tcBorders>
              <w:top w:val="nil"/>
              <w:left w:val="nil"/>
              <w:bottom w:val="nil"/>
              <w:right w:val="nil"/>
            </w:tcBorders>
          </w:tcPr>
          <w:p w14:paraId="1705263E" w14:textId="028A7B0E" w:rsidR="002148F8" w:rsidRPr="00467FE6" w:rsidRDefault="002148F8" w:rsidP="00DF177C">
            <w:pPr>
              <w:widowControl w:val="0"/>
              <w:tabs>
                <w:tab w:val="decimal" w:pos="485"/>
              </w:tabs>
              <w:autoSpaceDE w:val="0"/>
              <w:autoSpaceDN w:val="0"/>
              <w:adjustRightInd w:val="0"/>
              <w:rPr>
                <w:sz w:val="22"/>
                <w:szCs w:val="22"/>
              </w:rPr>
            </w:pPr>
            <w:r w:rsidRPr="00467FE6">
              <w:rPr>
                <w:sz w:val="22"/>
                <w:szCs w:val="22"/>
              </w:rPr>
              <w:t>0.011</w:t>
            </w:r>
          </w:p>
        </w:tc>
        <w:tc>
          <w:tcPr>
            <w:tcW w:w="1614" w:type="dxa"/>
            <w:gridSpan w:val="2"/>
            <w:tcBorders>
              <w:top w:val="nil"/>
              <w:left w:val="nil"/>
              <w:bottom w:val="nil"/>
              <w:right w:val="nil"/>
            </w:tcBorders>
          </w:tcPr>
          <w:p w14:paraId="3B98E0AE" w14:textId="24062176" w:rsidR="002148F8" w:rsidRPr="00467FE6" w:rsidRDefault="002148F8" w:rsidP="00DF177C">
            <w:pPr>
              <w:widowControl w:val="0"/>
              <w:tabs>
                <w:tab w:val="decimal" w:pos="592"/>
              </w:tabs>
              <w:autoSpaceDE w:val="0"/>
              <w:autoSpaceDN w:val="0"/>
              <w:adjustRightInd w:val="0"/>
              <w:rPr>
                <w:sz w:val="22"/>
                <w:szCs w:val="22"/>
              </w:rPr>
            </w:pPr>
            <w:r w:rsidRPr="00467FE6">
              <w:rPr>
                <w:sz w:val="22"/>
                <w:szCs w:val="22"/>
              </w:rPr>
              <w:t>0.008</w:t>
            </w:r>
          </w:p>
        </w:tc>
      </w:tr>
      <w:tr w:rsidR="004D3F41" w:rsidRPr="00467FE6" w14:paraId="4DD11388" w14:textId="77777777" w:rsidTr="00D55152">
        <w:trPr>
          <w:gridAfter w:val="1"/>
          <w:wAfter w:w="128" w:type="dxa"/>
          <w:trHeight w:val="424"/>
          <w:jc w:val="center"/>
        </w:trPr>
        <w:tc>
          <w:tcPr>
            <w:tcW w:w="2430" w:type="dxa"/>
            <w:tcBorders>
              <w:top w:val="nil"/>
              <w:left w:val="nil"/>
              <w:bottom w:val="nil"/>
              <w:right w:val="nil"/>
            </w:tcBorders>
          </w:tcPr>
          <w:p w14:paraId="0752E2B3" w14:textId="605A621E" w:rsidR="002148F8" w:rsidRPr="00467FE6" w:rsidRDefault="00A44C4F" w:rsidP="002E076A">
            <w:pPr>
              <w:widowControl w:val="0"/>
              <w:tabs>
                <w:tab w:val="left" w:pos="567"/>
              </w:tabs>
              <w:autoSpaceDE w:val="0"/>
              <w:autoSpaceDN w:val="0"/>
              <w:adjustRightInd w:val="0"/>
              <w:rPr>
                <w:sz w:val="22"/>
                <w:szCs w:val="22"/>
              </w:rPr>
            </w:pPr>
            <w:r w:rsidRPr="00467FE6">
              <w:rPr>
                <w:sz w:val="22"/>
                <w:szCs w:val="22"/>
              </w:rPr>
              <w:t>Enrolment</w:t>
            </w:r>
          </w:p>
        </w:tc>
        <w:tc>
          <w:tcPr>
            <w:tcW w:w="1503" w:type="dxa"/>
            <w:tcBorders>
              <w:top w:val="nil"/>
              <w:left w:val="nil"/>
              <w:bottom w:val="nil"/>
              <w:right w:val="nil"/>
            </w:tcBorders>
          </w:tcPr>
          <w:p w14:paraId="11CFAFA4" w14:textId="67F8EC53" w:rsidR="002148F8" w:rsidRPr="00467FE6" w:rsidRDefault="002148F8" w:rsidP="00DF177C">
            <w:pPr>
              <w:widowControl w:val="0"/>
              <w:tabs>
                <w:tab w:val="decimal" w:pos="549"/>
              </w:tabs>
              <w:autoSpaceDE w:val="0"/>
              <w:autoSpaceDN w:val="0"/>
              <w:adjustRightInd w:val="0"/>
              <w:rPr>
                <w:sz w:val="22"/>
                <w:szCs w:val="22"/>
              </w:rPr>
            </w:pPr>
            <w:r w:rsidRPr="00467FE6">
              <w:rPr>
                <w:sz w:val="22"/>
                <w:szCs w:val="22"/>
              </w:rPr>
              <w:t>(0.036)</w:t>
            </w:r>
          </w:p>
        </w:tc>
        <w:tc>
          <w:tcPr>
            <w:tcW w:w="1517" w:type="dxa"/>
            <w:tcBorders>
              <w:top w:val="nil"/>
              <w:left w:val="nil"/>
              <w:bottom w:val="nil"/>
              <w:right w:val="nil"/>
            </w:tcBorders>
          </w:tcPr>
          <w:p w14:paraId="6791EC69" w14:textId="3574BE71" w:rsidR="002148F8" w:rsidRPr="00467FE6" w:rsidRDefault="002148F8" w:rsidP="00DF177C">
            <w:pPr>
              <w:widowControl w:val="0"/>
              <w:tabs>
                <w:tab w:val="decimal" w:pos="456"/>
              </w:tabs>
              <w:autoSpaceDE w:val="0"/>
              <w:autoSpaceDN w:val="0"/>
              <w:adjustRightInd w:val="0"/>
              <w:rPr>
                <w:sz w:val="22"/>
                <w:szCs w:val="22"/>
              </w:rPr>
            </w:pPr>
            <w:r w:rsidRPr="00467FE6">
              <w:rPr>
                <w:sz w:val="22"/>
                <w:szCs w:val="22"/>
              </w:rPr>
              <w:t>(0.065)</w:t>
            </w:r>
          </w:p>
        </w:tc>
        <w:tc>
          <w:tcPr>
            <w:tcW w:w="1579" w:type="dxa"/>
            <w:tcBorders>
              <w:top w:val="nil"/>
              <w:left w:val="nil"/>
              <w:bottom w:val="nil"/>
              <w:right w:val="nil"/>
            </w:tcBorders>
          </w:tcPr>
          <w:p w14:paraId="64275D12" w14:textId="4807FBE2" w:rsidR="002148F8" w:rsidRPr="00467FE6" w:rsidRDefault="002148F8" w:rsidP="00DF177C">
            <w:pPr>
              <w:widowControl w:val="0"/>
              <w:tabs>
                <w:tab w:val="decimal" w:pos="506"/>
              </w:tabs>
              <w:autoSpaceDE w:val="0"/>
              <w:autoSpaceDN w:val="0"/>
              <w:adjustRightInd w:val="0"/>
              <w:rPr>
                <w:sz w:val="22"/>
                <w:szCs w:val="22"/>
              </w:rPr>
            </w:pPr>
            <w:r w:rsidRPr="00467FE6">
              <w:rPr>
                <w:sz w:val="22"/>
                <w:szCs w:val="22"/>
              </w:rPr>
              <w:t>(0.007)**</w:t>
            </w:r>
          </w:p>
        </w:tc>
        <w:tc>
          <w:tcPr>
            <w:tcW w:w="1303" w:type="dxa"/>
            <w:tcBorders>
              <w:top w:val="nil"/>
              <w:left w:val="nil"/>
              <w:bottom w:val="nil"/>
              <w:right w:val="nil"/>
            </w:tcBorders>
          </w:tcPr>
          <w:p w14:paraId="552A6F14" w14:textId="23FD252C" w:rsidR="002148F8" w:rsidRPr="00467FE6" w:rsidRDefault="002148F8" w:rsidP="00DF177C">
            <w:pPr>
              <w:widowControl w:val="0"/>
              <w:tabs>
                <w:tab w:val="decimal" w:pos="485"/>
              </w:tabs>
              <w:autoSpaceDE w:val="0"/>
              <w:autoSpaceDN w:val="0"/>
              <w:adjustRightInd w:val="0"/>
              <w:rPr>
                <w:sz w:val="22"/>
                <w:szCs w:val="22"/>
              </w:rPr>
            </w:pPr>
            <w:r w:rsidRPr="00467FE6">
              <w:rPr>
                <w:sz w:val="22"/>
                <w:szCs w:val="22"/>
              </w:rPr>
              <w:t>(0.008)</w:t>
            </w:r>
          </w:p>
        </w:tc>
        <w:tc>
          <w:tcPr>
            <w:tcW w:w="1614" w:type="dxa"/>
            <w:gridSpan w:val="2"/>
            <w:tcBorders>
              <w:top w:val="nil"/>
              <w:left w:val="nil"/>
              <w:bottom w:val="nil"/>
              <w:right w:val="nil"/>
            </w:tcBorders>
          </w:tcPr>
          <w:p w14:paraId="57F42F8D" w14:textId="0F614C06" w:rsidR="002148F8" w:rsidRPr="00467FE6" w:rsidRDefault="002148F8" w:rsidP="00DF177C">
            <w:pPr>
              <w:widowControl w:val="0"/>
              <w:tabs>
                <w:tab w:val="decimal" w:pos="592"/>
              </w:tabs>
              <w:autoSpaceDE w:val="0"/>
              <w:autoSpaceDN w:val="0"/>
              <w:adjustRightInd w:val="0"/>
              <w:rPr>
                <w:sz w:val="22"/>
                <w:szCs w:val="22"/>
              </w:rPr>
            </w:pPr>
            <w:r w:rsidRPr="00467FE6">
              <w:rPr>
                <w:sz w:val="22"/>
                <w:szCs w:val="22"/>
              </w:rPr>
              <w:t>(0.008)</w:t>
            </w:r>
          </w:p>
        </w:tc>
      </w:tr>
      <w:tr w:rsidR="004D3F41" w:rsidRPr="00467FE6" w14:paraId="3EE873FA" w14:textId="77777777" w:rsidTr="00A44C4F">
        <w:trPr>
          <w:gridAfter w:val="1"/>
          <w:wAfter w:w="128" w:type="dxa"/>
          <w:trHeight w:val="137"/>
          <w:jc w:val="center"/>
        </w:trPr>
        <w:tc>
          <w:tcPr>
            <w:tcW w:w="2430" w:type="dxa"/>
            <w:tcBorders>
              <w:top w:val="nil"/>
              <w:left w:val="nil"/>
              <w:bottom w:val="nil"/>
              <w:right w:val="nil"/>
            </w:tcBorders>
          </w:tcPr>
          <w:p w14:paraId="68E7240B" w14:textId="29C479CE" w:rsidR="002148F8" w:rsidRPr="00467FE6" w:rsidRDefault="002148F8" w:rsidP="002E076A">
            <w:pPr>
              <w:widowControl w:val="0"/>
              <w:tabs>
                <w:tab w:val="left" w:pos="567"/>
              </w:tabs>
              <w:autoSpaceDE w:val="0"/>
              <w:autoSpaceDN w:val="0"/>
              <w:adjustRightInd w:val="0"/>
              <w:rPr>
                <w:sz w:val="22"/>
                <w:szCs w:val="22"/>
              </w:rPr>
            </w:pPr>
            <w:r w:rsidRPr="00467FE6">
              <w:rPr>
                <w:sz w:val="22"/>
                <w:szCs w:val="22"/>
              </w:rPr>
              <w:t xml:space="preserve">Log </w:t>
            </w:r>
            <w:r w:rsidR="00DF177C" w:rsidRPr="00467FE6">
              <w:rPr>
                <w:sz w:val="22"/>
                <w:szCs w:val="22"/>
              </w:rPr>
              <w:t xml:space="preserve">of </w:t>
            </w:r>
            <w:r w:rsidRPr="00467FE6">
              <w:rPr>
                <w:sz w:val="22"/>
                <w:szCs w:val="22"/>
              </w:rPr>
              <w:t xml:space="preserve">GDP </w:t>
            </w:r>
            <w:r w:rsidR="00DF177C" w:rsidRPr="00467FE6">
              <w:rPr>
                <w:sz w:val="22"/>
                <w:szCs w:val="22"/>
              </w:rPr>
              <w:t>Per Capita</w:t>
            </w:r>
          </w:p>
        </w:tc>
        <w:tc>
          <w:tcPr>
            <w:tcW w:w="1503" w:type="dxa"/>
            <w:tcBorders>
              <w:top w:val="nil"/>
              <w:left w:val="nil"/>
              <w:bottom w:val="nil"/>
              <w:right w:val="nil"/>
            </w:tcBorders>
          </w:tcPr>
          <w:p w14:paraId="065E9975" w14:textId="13835AB8" w:rsidR="002148F8" w:rsidRPr="00467FE6" w:rsidRDefault="002148F8" w:rsidP="00DF177C">
            <w:pPr>
              <w:widowControl w:val="0"/>
              <w:tabs>
                <w:tab w:val="decimal" w:pos="549"/>
              </w:tabs>
              <w:autoSpaceDE w:val="0"/>
              <w:autoSpaceDN w:val="0"/>
              <w:adjustRightInd w:val="0"/>
              <w:rPr>
                <w:sz w:val="22"/>
                <w:szCs w:val="22"/>
              </w:rPr>
            </w:pPr>
            <w:r w:rsidRPr="00467FE6">
              <w:rPr>
                <w:sz w:val="22"/>
                <w:szCs w:val="22"/>
              </w:rPr>
              <w:t>-4.510</w:t>
            </w:r>
          </w:p>
        </w:tc>
        <w:tc>
          <w:tcPr>
            <w:tcW w:w="1517" w:type="dxa"/>
            <w:tcBorders>
              <w:top w:val="nil"/>
              <w:left w:val="nil"/>
              <w:bottom w:val="nil"/>
              <w:right w:val="nil"/>
            </w:tcBorders>
          </w:tcPr>
          <w:p w14:paraId="7631E0B6" w14:textId="663921DF" w:rsidR="002148F8" w:rsidRPr="00467FE6" w:rsidRDefault="002148F8" w:rsidP="00DF177C">
            <w:pPr>
              <w:widowControl w:val="0"/>
              <w:tabs>
                <w:tab w:val="decimal" w:pos="456"/>
              </w:tabs>
              <w:autoSpaceDE w:val="0"/>
              <w:autoSpaceDN w:val="0"/>
              <w:adjustRightInd w:val="0"/>
              <w:rPr>
                <w:sz w:val="22"/>
                <w:szCs w:val="22"/>
              </w:rPr>
            </w:pPr>
            <w:r w:rsidRPr="00467FE6">
              <w:rPr>
                <w:sz w:val="22"/>
                <w:szCs w:val="22"/>
              </w:rPr>
              <w:t>-5.766</w:t>
            </w:r>
          </w:p>
        </w:tc>
        <w:tc>
          <w:tcPr>
            <w:tcW w:w="1579" w:type="dxa"/>
            <w:tcBorders>
              <w:top w:val="nil"/>
              <w:left w:val="nil"/>
              <w:bottom w:val="nil"/>
              <w:right w:val="nil"/>
            </w:tcBorders>
          </w:tcPr>
          <w:p w14:paraId="7286A3B2" w14:textId="6A79C0C7" w:rsidR="002148F8" w:rsidRPr="00467FE6" w:rsidRDefault="002148F8" w:rsidP="00DF177C">
            <w:pPr>
              <w:widowControl w:val="0"/>
              <w:tabs>
                <w:tab w:val="decimal" w:pos="506"/>
              </w:tabs>
              <w:autoSpaceDE w:val="0"/>
              <w:autoSpaceDN w:val="0"/>
              <w:adjustRightInd w:val="0"/>
              <w:rPr>
                <w:sz w:val="22"/>
                <w:szCs w:val="22"/>
              </w:rPr>
            </w:pPr>
            <w:r w:rsidRPr="00467FE6">
              <w:rPr>
                <w:sz w:val="22"/>
                <w:szCs w:val="22"/>
              </w:rPr>
              <w:t>0.217</w:t>
            </w:r>
          </w:p>
        </w:tc>
        <w:tc>
          <w:tcPr>
            <w:tcW w:w="1303" w:type="dxa"/>
            <w:tcBorders>
              <w:top w:val="nil"/>
              <w:left w:val="nil"/>
              <w:bottom w:val="nil"/>
              <w:right w:val="nil"/>
            </w:tcBorders>
          </w:tcPr>
          <w:p w14:paraId="3242CDFD" w14:textId="0C4C9C33" w:rsidR="002148F8" w:rsidRPr="00467FE6" w:rsidRDefault="002148F8" w:rsidP="00DF177C">
            <w:pPr>
              <w:widowControl w:val="0"/>
              <w:tabs>
                <w:tab w:val="decimal" w:pos="485"/>
              </w:tabs>
              <w:autoSpaceDE w:val="0"/>
              <w:autoSpaceDN w:val="0"/>
              <w:adjustRightInd w:val="0"/>
              <w:rPr>
                <w:sz w:val="22"/>
                <w:szCs w:val="22"/>
              </w:rPr>
            </w:pPr>
            <w:r w:rsidRPr="00467FE6">
              <w:rPr>
                <w:sz w:val="22"/>
                <w:szCs w:val="22"/>
              </w:rPr>
              <w:t>0.351</w:t>
            </w:r>
          </w:p>
        </w:tc>
        <w:tc>
          <w:tcPr>
            <w:tcW w:w="1614" w:type="dxa"/>
            <w:gridSpan w:val="2"/>
            <w:tcBorders>
              <w:top w:val="nil"/>
              <w:left w:val="nil"/>
              <w:bottom w:val="nil"/>
              <w:right w:val="nil"/>
            </w:tcBorders>
          </w:tcPr>
          <w:p w14:paraId="47E53328" w14:textId="10D0B7AD" w:rsidR="002148F8" w:rsidRPr="00467FE6" w:rsidRDefault="002148F8" w:rsidP="00DF177C">
            <w:pPr>
              <w:widowControl w:val="0"/>
              <w:tabs>
                <w:tab w:val="decimal" w:pos="592"/>
              </w:tabs>
              <w:autoSpaceDE w:val="0"/>
              <w:autoSpaceDN w:val="0"/>
              <w:adjustRightInd w:val="0"/>
              <w:rPr>
                <w:sz w:val="22"/>
                <w:szCs w:val="22"/>
              </w:rPr>
            </w:pPr>
            <w:r w:rsidRPr="00467FE6">
              <w:rPr>
                <w:sz w:val="22"/>
                <w:szCs w:val="22"/>
              </w:rPr>
              <w:t>0.257</w:t>
            </w:r>
          </w:p>
        </w:tc>
      </w:tr>
      <w:tr w:rsidR="004D3F41" w:rsidRPr="00467FE6" w14:paraId="40C5130D" w14:textId="77777777" w:rsidTr="00D55152">
        <w:trPr>
          <w:gridAfter w:val="1"/>
          <w:wAfter w:w="128" w:type="dxa"/>
          <w:trHeight w:val="447"/>
          <w:jc w:val="center"/>
        </w:trPr>
        <w:tc>
          <w:tcPr>
            <w:tcW w:w="2430" w:type="dxa"/>
            <w:tcBorders>
              <w:top w:val="nil"/>
              <w:left w:val="nil"/>
              <w:bottom w:val="nil"/>
              <w:right w:val="nil"/>
            </w:tcBorders>
          </w:tcPr>
          <w:p w14:paraId="76B60D9E" w14:textId="77777777" w:rsidR="002148F8" w:rsidRPr="00467FE6" w:rsidRDefault="002148F8" w:rsidP="002E076A">
            <w:pPr>
              <w:widowControl w:val="0"/>
              <w:tabs>
                <w:tab w:val="left" w:pos="567"/>
              </w:tabs>
              <w:autoSpaceDE w:val="0"/>
              <w:autoSpaceDN w:val="0"/>
              <w:adjustRightInd w:val="0"/>
              <w:rPr>
                <w:sz w:val="22"/>
                <w:szCs w:val="22"/>
              </w:rPr>
            </w:pPr>
          </w:p>
        </w:tc>
        <w:tc>
          <w:tcPr>
            <w:tcW w:w="1503" w:type="dxa"/>
            <w:tcBorders>
              <w:top w:val="nil"/>
              <w:left w:val="nil"/>
              <w:bottom w:val="nil"/>
              <w:right w:val="nil"/>
            </w:tcBorders>
          </w:tcPr>
          <w:p w14:paraId="41355165" w14:textId="0BA1E560" w:rsidR="002148F8" w:rsidRPr="00467FE6" w:rsidRDefault="002148F8" w:rsidP="00DF177C">
            <w:pPr>
              <w:widowControl w:val="0"/>
              <w:tabs>
                <w:tab w:val="decimal" w:pos="549"/>
              </w:tabs>
              <w:autoSpaceDE w:val="0"/>
              <w:autoSpaceDN w:val="0"/>
              <w:adjustRightInd w:val="0"/>
              <w:rPr>
                <w:sz w:val="22"/>
                <w:szCs w:val="22"/>
              </w:rPr>
            </w:pPr>
            <w:r w:rsidRPr="00467FE6">
              <w:rPr>
                <w:sz w:val="22"/>
                <w:szCs w:val="22"/>
              </w:rPr>
              <w:t>(0.506)**</w:t>
            </w:r>
          </w:p>
        </w:tc>
        <w:tc>
          <w:tcPr>
            <w:tcW w:w="1517" w:type="dxa"/>
            <w:tcBorders>
              <w:top w:val="nil"/>
              <w:left w:val="nil"/>
              <w:bottom w:val="nil"/>
              <w:right w:val="nil"/>
            </w:tcBorders>
          </w:tcPr>
          <w:p w14:paraId="35807838" w14:textId="7BC7E059" w:rsidR="002148F8" w:rsidRPr="00467FE6" w:rsidRDefault="002148F8" w:rsidP="00DF177C">
            <w:pPr>
              <w:widowControl w:val="0"/>
              <w:tabs>
                <w:tab w:val="decimal" w:pos="456"/>
              </w:tabs>
              <w:autoSpaceDE w:val="0"/>
              <w:autoSpaceDN w:val="0"/>
              <w:adjustRightInd w:val="0"/>
              <w:rPr>
                <w:sz w:val="22"/>
                <w:szCs w:val="22"/>
              </w:rPr>
            </w:pPr>
            <w:r w:rsidRPr="00467FE6">
              <w:rPr>
                <w:sz w:val="22"/>
                <w:szCs w:val="22"/>
              </w:rPr>
              <w:t>(0.914)**</w:t>
            </w:r>
          </w:p>
        </w:tc>
        <w:tc>
          <w:tcPr>
            <w:tcW w:w="1579" w:type="dxa"/>
            <w:tcBorders>
              <w:top w:val="nil"/>
              <w:left w:val="nil"/>
              <w:bottom w:val="nil"/>
              <w:right w:val="nil"/>
            </w:tcBorders>
          </w:tcPr>
          <w:p w14:paraId="1C90BEBC" w14:textId="3B8F057C" w:rsidR="002148F8" w:rsidRPr="00467FE6" w:rsidRDefault="002148F8" w:rsidP="00DF177C">
            <w:pPr>
              <w:widowControl w:val="0"/>
              <w:tabs>
                <w:tab w:val="decimal" w:pos="506"/>
              </w:tabs>
              <w:autoSpaceDE w:val="0"/>
              <w:autoSpaceDN w:val="0"/>
              <w:adjustRightInd w:val="0"/>
              <w:rPr>
                <w:sz w:val="22"/>
                <w:szCs w:val="22"/>
              </w:rPr>
            </w:pPr>
            <w:r w:rsidRPr="00467FE6">
              <w:rPr>
                <w:sz w:val="22"/>
                <w:szCs w:val="22"/>
              </w:rPr>
              <w:t>(0.099)*</w:t>
            </w:r>
          </w:p>
        </w:tc>
        <w:tc>
          <w:tcPr>
            <w:tcW w:w="1303" w:type="dxa"/>
            <w:tcBorders>
              <w:top w:val="nil"/>
              <w:left w:val="nil"/>
              <w:bottom w:val="nil"/>
              <w:right w:val="nil"/>
            </w:tcBorders>
          </w:tcPr>
          <w:p w14:paraId="77F1E339" w14:textId="33996845" w:rsidR="002148F8" w:rsidRPr="00467FE6" w:rsidRDefault="002148F8" w:rsidP="00DF177C">
            <w:pPr>
              <w:widowControl w:val="0"/>
              <w:tabs>
                <w:tab w:val="decimal" w:pos="485"/>
              </w:tabs>
              <w:autoSpaceDE w:val="0"/>
              <w:autoSpaceDN w:val="0"/>
              <w:adjustRightInd w:val="0"/>
              <w:rPr>
                <w:sz w:val="22"/>
                <w:szCs w:val="22"/>
              </w:rPr>
            </w:pPr>
            <w:r w:rsidRPr="00467FE6">
              <w:rPr>
                <w:sz w:val="22"/>
                <w:szCs w:val="22"/>
              </w:rPr>
              <w:t>(0.109)**</w:t>
            </w:r>
          </w:p>
        </w:tc>
        <w:tc>
          <w:tcPr>
            <w:tcW w:w="1614" w:type="dxa"/>
            <w:gridSpan w:val="2"/>
            <w:tcBorders>
              <w:top w:val="nil"/>
              <w:left w:val="nil"/>
              <w:bottom w:val="nil"/>
              <w:right w:val="nil"/>
            </w:tcBorders>
          </w:tcPr>
          <w:p w14:paraId="15A6F300" w14:textId="3E6D0B2E" w:rsidR="002148F8" w:rsidRPr="00467FE6" w:rsidRDefault="002148F8" w:rsidP="00DF177C">
            <w:pPr>
              <w:widowControl w:val="0"/>
              <w:tabs>
                <w:tab w:val="decimal" w:pos="592"/>
              </w:tabs>
              <w:autoSpaceDE w:val="0"/>
              <w:autoSpaceDN w:val="0"/>
              <w:adjustRightInd w:val="0"/>
              <w:rPr>
                <w:sz w:val="22"/>
                <w:szCs w:val="22"/>
              </w:rPr>
            </w:pPr>
            <w:r w:rsidRPr="00467FE6">
              <w:rPr>
                <w:sz w:val="22"/>
                <w:szCs w:val="22"/>
              </w:rPr>
              <w:t>(0.113)*</w:t>
            </w:r>
          </w:p>
        </w:tc>
      </w:tr>
      <w:tr w:rsidR="004D3F41" w:rsidRPr="00467FE6" w14:paraId="6679EE44" w14:textId="77777777" w:rsidTr="00A44C4F">
        <w:trPr>
          <w:gridAfter w:val="1"/>
          <w:wAfter w:w="128" w:type="dxa"/>
          <w:trHeight w:val="203"/>
          <w:jc w:val="center"/>
        </w:trPr>
        <w:tc>
          <w:tcPr>
            <w:tcW w:w="2430" w:type="dxa"/>
            <w:tcBorders>
              <w:top w:val="nil"/>
              <w:left w:val="nil"/>
              <w:bottom w:val="nil"/>
              <w:right w:val="nil"/>
            </w:tcBorders>
          </w:tcPr>
          <w:p w14:paraId="6378C192" w14:textId="15F682C6" w:rsidR="002148F8" w:rsidRPr="00467FE6" w:rsidRDefault="002148F8" w:rsidP="002E076A">
            <w:pPr>
              <w:widowControl w:val="0"/>
              <w:tabs>
                <w:tab w:val="left" w:pos="567"/>
              </w:tabs>
              <w:autoSpaceDE w:val="0"/>
              <w:autoSpaceDN w:val="0"/>
              <w:adjustRightInd w:val="0"/>
              <w:rPr>
                <w:sz w:val="22"/>
                <w:szCs w:val="22"/>
              </w:rPr>
            </w:pPr>
            <w:r w:rsidRPr="00467FE6">
              <w:rPr>
                <w:sz w:val="22"/>
                <w:szCs w:val="22"/>
              </w:rPr>
              <w:t>Urban</w:t>
            </w:r>
            <w:r w:rsidR="00A44C4F" w:rsidRPr="00467FE6">
              <w:rPr>
                <w:sz w:val="22"/>
                <w:szCs w:val="22"/>
              </w:rPr>
              <w:t xml:space="preserve"> Percent </w:t>
            </w:r>
            <w:r w:rsidR="00DF177C" w:rsidRPr="00467FE6">
              <w:rPr>
                <w:sz w:val="22"/>
                <w:szCs w:val="22"/>
              </w:rPr>
              <w:t>of</w:t>
            </w:r>
          </w:p>
        </w:tc>
        <w:tc>
          <w:tcPr>
            <w:tcW w:w="1503" w:type="dxa"/>
            <w:tcBorders>
              <w:top w:val="nil"/>
              <w:left w:val="nil"/>
              <w:bottom w:val="nil"/>
              <w:right w:val="nil"/>
            </w:tcBorders>
          </w:tcPr>
          <w:p w14:paraId="2AA6F4CD" w14:textId="1AC58A4F" w:rsidR="002148F8" w:rsidRPr="00467FE6" w:rsidRDefault="002148F8" w:rsidP="00DF177C">
            <w:pPr>
              <w:widowControl w:val="0"/>
              <w:tabs>
                <w:tab w:val="decimal" w:pos="549"/>
              </w:tabs>
              <w:autoSpaceDE w:val="0"/>
              <w:autoSpaceDN w:val="0"/>
              <w:adjustRightInd w:val="0"/>
              <w:rPr>
                <w:sz w:val="22"/>
                <w:szCs w:val="22"/>
              </w:rPr>
            </w:pPr>
            <w:r w:rsidRPr="00467FE6">
              <w:rPr>
                <w:sz w:val="22"/>
                <w:szCs w:val="22"/>
              </w:rPr>
              <w:t>0.042</w:t>
            </w:r>
          </w:p>
        </w:tc>
        <w:tc>
          <w:tcPr>
            <w:tcW w:w="1517" w:type="dxa"/>
            <w:tcBorders>
              <w:top w:val="nil"/>
              <w:left w:val="nil"/>
              <w:bottom w:val="nil"/>
              <w:right w:val="nil"/>
            </w:tcBorders>
          </w:tcPr>
          <w:p w14:paraId="620A327D" w14:textId="6BA872AB" w:rsidR="002148F8" w:rsidRPr="00467FE6" w:rsidRDefault="002148F8" w:rsidP="00DF177C">
            <w:pPr>
              <w:widowControl w:val="0"/>
              <w:tabs>
                <w:tab w:val="decimal" w:pos="456"/>
              </w:tabs>
              <w:autoSpaceDE w:val="0"/>
              <w:autoSpaceDN w:val="0"/>
              <w:adjustRightInd w:val="0"/>
              <w:rPr>
                <w:sz w:val="22"/>
                <w:szCs w:val="22"/>
              </w:rPr>
            </w:pPr>
            <w:r w:rsidRPr="00467FE6">
              <w:rPr>
                <w:sz w:val="22"/>
                <w:szCs w:val="22"/>
              </w:rPr>
              <w:t>0.111</w:t>
            </w:r>
          </w:p>
        </w:tc>
        <w:tc>
          <w:tcPr>
            <w:tcW w:w="1579" w:type="dxa"/>
            <w:tcBorders>
              <w:top w:val="nil"/>
              <w:left w:val="nil"/>
              <w:bottom w:val="nil"/>
              <w:right w:val="nil"/>
            </w:tcBorders>
          </w:tcPr>
          <w:p w14:paraId="3C3FD355" w14:textId="24EB284C" w:rsidR="002148F8" w:rsidRPr="00467FE6" w:rsidRDefault="002148F8" w:rsidP="00DF177C">
            <w:pPr>
              <w:widowControl w:val="0"/>
              <w:tabs>
                <w:tab w:val="decimal" w:pos="506"/>
              </w:tabs>
              <w:autoSpaceDE w:val="0"/>
              <w:autoSpaceDN w:val="0"/>
              <w:adjustRightInd w:val="0"/>
              <w:rPr>
                <w:sz w:val="22"/>
                <w:szCs w:val="22"/>
              </w:rPr>
            </w:pPr>
            <w:r w:rsidRPr="00467FE6">
              <w:rPr>
                <w:sz w:val="22"/>
                <w:szCs w:val="22"/>
              </w:rPr>
              <w:t>0.019</w:t>
            </w:r>
          </w:p>
        </w:tc>
        <w:tc>
          <w:tcPr>
            <w:tcW w:w="1303" w:type="dxa"/>
            <w:tcBorders>
              <w:top w:val="nil"/>
              <w:left w:val="nil"/>
              <w:bottom w:val="nil"/>
              <w:right w:val="nil"/>
            </w:tcBorders>
          </w:tcPr>
          <w:p w14:paraId="779B2942" w14:textId="7C1F0A37" w:rsidR="002148F8" w:rsidRPr="00467FE6" w:rsidRDefault="002148F8" w:rsidP="00DF177C">
            <w:pPr>
              <w:widowControl w:val="0"/>
              <w:tabs>
                <w:tab w:val="decimal" w:pos="485"/>
              </w:tabs>
              <w:autoSpaceDE w:val="0"/>
              <w:autoSpaceDN w:val="0"/>
              <w:adjustRightInd w:val="0"/>
              <w:rPr>
                <w:sz w:val="22"/>
                <w:szCs w:val="22"/>
              </w:rPr>
            </w:pPr>
            <w:r w:rsidRPr="00467FE6">
              <w:rPr>
                <w:sz w:val="22"/>
                <w:szCs w:val="22"/>
              </w:rPr>
              <w:t>0.037</w:t>
            </w:r>
          </w:p>
        </w:tc>
        <w:tc>
          <w:tcPr>
            <w:tcW w:w="1614" w:type="dxa"/>
            <w:gridSpan w:val="2"/>
            <w:tcBorders>
              <w:top w:val="nil"/>
              <w:left w:val="nil"/>
              <w:bottom w:val="nil"/>
              <w:right w:val="nil"/>
            </w:tcBorders>
          </w:tcPr>
          <w:p w14:paraId="168AD0D3" w14:textId="6C674C56" w:rsidR="002148F8" w:rsidRPr="00467FE6" w:rsidRDefault="002148F8" w:rsidP="00DF177C">
            <w:pPr>
              <w:widowControl w:val="0"/>
              <w:tabs>
                <w:tab w:val="decimal" w:pos="592"/>
              </w:tabs>
              <w:autoSpaceDE w:val="0"/>
              <w:autoSpaceDN w:val="0"/>
              <w:adjustRightInd w:val="0"/>
              <w:rPr>
                <w:sz w:val="22"/>
                <w:szCs w:val="22"/>
              </w:rPr>
            </w:pPr>
            <w:r w:rsidRPr="00467FE6">
              <w:rPr>
                <w:sz w:val="22"/>
                <w:szCs w:val="22"/>
              </w:rPr>
              <w:t>0.050</w:t>
            </w:r>
          </w:p>
        </w:tc>
      </w:tr>
      <w:tr w:rsidR="004D3F41" w:rsidRPr="00467FE6" w14:paraId="42163DF8" w14:textId="77777777" w:rsidTr="00D55152">
        <w:trPr>
          <w:gridAfter w:val="1"/>
          <w:wAfter w:w="128" w:type="dxa"/>
          <w:trHeight w:val="467"/>
          <w:jc w:val="center"/>
        </w:trPr>
        <w:tc>
          <w:tcPr>
            <w:tcW w:w="2430" w:type="dxa"/>
            <w:tcBorders>
              <w:top w:val="nil"/>
              <w:left w:val="nil"/>
              <w:bottom w:val="nil"/>
              <w:right w:val="nil"/>
            </w:tcBorders>
          </w:tcPr>
          <w:p w14:paraId="6EB688B5" w14:textId="6C9F68F8" w:rsidR="002148F8" w:rsidRPr="00467FE6" w:rsidRDefault="00DF177C" w:rsidP="002E076A">
            <w:pPr>
              <w:widowControl w:val="0"/>
              <w:tabs>
                <w:tab w:val="left" w:pos="567"/>
              </w:tabs>
              <w:autoSpaceDE w:val="0"/>
              <w:autoSpaceDN w:val="0"/>
              <w:adjustRightInd w:val="0"/>
              <w:rPr>
                <w:sz w:val="22"/>
                <w:szCs w:val="22"/>
              </w:rPr>
            </w:pPr>
            <w:r w:rsidRPr="00467FE6">
              <w:rPr>
                <w:sz w:val="22"/>
                <w:szCs w:val="22"/>
              </w:rPr>
              <w:t>Population Enrolment</w:t>
            </w:r>
          </w:p>
        </w:tc>
        <w:tc>
          <w:tcPr>
            <w:tcW w:w="1503" w:type="dxa"/>
            <w:tcBorders>
              <w:top w:val="nil"/>
              <w:left w:val="nil"/>
              <w:bottom w:val="nil"/>
              <w:right w:val="nil"/>
            </w:tcBorders>
          </w:tcPr>
          <w:p w14:paraId="6BA77812" w14:textId="5FC7263A" w:rsidR="002148F8" w:rsidRPr="00467FE6" w:rsidRDefault="002148F8" w:rsidP="00DF177C">
            <w:pPr>
              <w:widowControl w:val="0"/>
              <w:tabs>
                <w:tab w:val="decimal" w:pos="549"/>
              </w:tabs>
              <w:autoSpaceDE w:val="0"/>
              <w:autoSpaceDN w:val="0"/>
              <w:adjustRightInd w:val="0"/>
              <w:rPr>
                <w:sz w:val="22"/>
                <w:szCs w:val="22"/>
              </w:rPr>
            </w:pPr>
            <w:r w:rsidRPr="00467FE6">
              <w:rPr>
                <w:sz w:val="22"/>
                <w:szCs w:val="22"/>
              </w:rPr>
              <w:t>(0.084)</w:t>
            </w:r>
          </w:p>
        </w:tc>
        <w:tc>
          <w:tcPr>
            <w:tcW w:w="1517" w:type="dxa"/>
            <w:tcBorders>
              <w:top w:val="nil"/>
              <w:left w:val="nil"/>
              <w:bottom w:val="nil"/>
              <w:right w:val="nil"/>
            </w:tcBorders>
          </w:tcPr>
          <w:p w14:paraId="12B62F2C" w14:textId="390952E5" w:rsidR="002148F8" w:rsidRPr="00467FE6" w:rsidRDefault="002148F8" w:rsidP="00DF177C">
            <w:pPr>
              <w:widowControl w:val="0"/>
              <w:tabs>
                <w:tab w:val="decimal" w:pos="456"/>
              </w:tabs>
              <w:autoSpaceDE w:val="0"/>
              <w:autoSpaceDN w:val="0"/>
              <w:adjustRightInd w:val="0"/>
              <w:rPr>
                <w:sz w:val="22"/>
                <w:szCs w:val="22"/>
              </w:rPr>
            </w:pPr>
            <w:r w:rsidRPr="00467FE6">
              <w:rPr>
                <w:sz w:val="22"/>
                <w:szCs w:val="22"/>
              </w:rPr>
              <w:t>(0.151)</w:t>
            </w:r>
          </w:p>
        </w:tc>
        <w:tc>
          <w:tcPr>
            <w:tcW w:w="1579" w:type="dxa"/>
            <w:tcBorders>
              <w:top w:val="nil"/>
              <w:left w:val="nil"/>
              <w:bottom w:val="nil"/>
              <w:right w:val="nil"/>
            </w:tcBorders>
          </w:tcPr>
          <w:p w14:paraId="723C5C5C" w14:textId="52545240" w:rsidR="002148F8" w:rsidRPr="00467FE6" w:rsidRDefault="002148F8" w:rsidP="00DF177C">
            <w:pPr>
              <w:widowControl w:val="0"/>
              <w:tabs>
                <w:tab w:val="decimal" w:pos="506"/>
              </w:tabs>
              <w:autoSpaceDE w:val="0"/>
              <w:autoSpaceDN w:val="0"/>
              <w:adjustRightInd w:val="0"/>
              <w:rPr>
                <w:sz w:val="22"/>
                <w:szCs w:val="22"/>
              </w:rPr>
            </w:pPr>
            <w:r w:rsidRPr="00467FE6">
              <w:rPr>
                <w:sz w:val="22"/>
                <w:szCs w:val="22"/>
              </w:rPr>
              <w:t>(0.016)</w:t>
            </w:r>
          </w:p>
        </w:tc>
        <w:tc>
          <w:tcPr>
            <w:tcW w:w="1303" w:type="dxa"/>
            <w:tcBorders>
              <w:top w:val="nil"/>
              <w:left w:val="nil"/>
              <w:bottom w:val="nil"/>
              <w:right w:val="nil"/>
            </w:tcBorders>
          </w:tcPr>
          <w:p w14:paraId="10B02A2A" w14:textId="5CB290E2" w:rsidR="002148F8" w:rsidRPr="00467FE6" w:rsidRDefault="002148F8" w:rsidP="00DF177C">
            <w:pPr>
              <w:widowControl w:val="0"/>
              <w:tabs>
                <w:tab w:val="decimal" w:pos="485"/>
              </w:tabs>
              <w:autoSpaceDE w:val="0"/>
              <w:autoSpaceDN w:val="0"/>
              <w:adjustRightInd w:val="0"/>
              <w:rPr>
                <w:sz w:val="22"/>
                <w:szCs w:val="22"/>
              </w:rPr>
            </w:pPr>
            <w:r w:rsidRPr="00467FE6">
              <w:rPr>
                <w:sz w:val="22"/>
                <w:szCs w:val="22"/>
              </w:rPr>
              <w:t>(0.018)*</w:t>
            </w:r>
          </w:p>
        </w:tc>
        <w:tc>
          <w:tcPr>
            <w:tcW w:w="1614" w:type="dxa"/>
            <w:gridSpan w:val="2"/>
            <w:tcBorders>
              <w:top w:val="nil"/>
              <w:left w:val="nil"/>
              <w:bottom w:val="nil"/>
              <w:right w:val="nil"/>
            </w:tcBorders>
          </w:tcPr>
          <w:p w14:paraId="514E40BC" w14:textId="7A741094" w:rsidR="002148F8" w:rsidRPr="00467FE6" w:rsidRDefault="002148F8" w:rsidP="00DF177C">
            <w:pPr>
              <w:widowControl w:val="0"/>
              <w:tabs>
                <w:tab w:val="decimal" w:pos="592"/>
              </w:tabs>
              <w:autoSpaceDE w:val="0"/>
              <w:autoSpaceDN w:val="0"/>
              <w:adjustRightInd w:val="0"/>
              <w:rPr>
                <w:sz w:val="22"/>
                <w:szCs w:val="22"/>
              </w:rPr>
            </w:pPr>
            <w:r w:rsidRPr="00467FE6">
              <w:rPr>
                <w:sz w:val="22"/>
                <w:szCs w:val="22"/>
              </w:rPr>
              <w:t>(0.019)**</w:t>
            </w:r>
          </w:p>
        </w:tc>
      </w:tr>
      <w:tr w:rsidR="004D3F41" w:rsidRPr="00467FE6" w14:paraId="5C3C1AA8" w14:textId="77777777" w:rsidTr="00D55152">
        <w:trPr>
          <w:gridAfter w:val="1"/>
          <w:wAfter w:w="128" w:type="dxa"/>
          <w:trHeight w:val="467"/>
          <w:jc w:val="center"/>
        </w:trPr>
        <w:tc>
          <w:tcPr>
            <w:tcW w:w="2430" w:type="dxa"/>
            <w:tcBorders>
              <w:top w:val="nil"/>
              <w:left w:val="nil"/>
              <w:bottom w:val="nil"/>
              <w:right w:val="nil"/>
            </w:tcBorders>
          </w:tcPr>
          <w:p w14:paraId="6A542C7B" w14:textId="77777777" w:rsidR="002148F8" w:rsidRPr="00467FE6" w:rsidRDefault="002148F8" w:rsidP="002E076A">
            <w:pPr>
              <w:widowControl w:val="0"/>
              <w:tabs>
                <w:tab w:val="left" w:pos="567"/>
              </w:tabs>
              <w:autoSpaceDE w:val="0"/>
              <w:autoSpaceDN w:val="0"/>
              <w:adjustRightInd w:val="0"/>
              <w:rPr>
                <w:sz w:val="22"/>
                <w:szCs w:val="22"/>
              </w:rPr>
            </w:pPr>
            <w:r w:rsidRPr="00467FE6">
              <w:rPr>
                <w:sz w:val="22"/>
                <w:szCs w:val="22"/>
              </w:rPr>
              <w:t>R</w:t>
            </w:r>
            <w:r w:rsidRPr="00467FE6">
              <w:rPr>
                <w:sz w:val="22"/>
                <w:szCs w:val="22"/>
                <w:vertAlign w:val="superscript"/>
              </w:rPr>
              <w:t>2</w:t>
            </w:r>
          </w:p>
        </w:tc>
        <w:tc>
          <w:tcPr>
            <w:tcW w:w="1503" w:type="dxa"/>
            <w:tcBorders>
              <w:top w:val="nil"/>
              <w:left w:val="nil"/>
              <w:bottom w:val="nil"/>
              <w:right w:val="nil"/>
            </w:tcBorders>
          </w:tcPr>
          <w:p w14:paraId="3A3B5F46" w14:textId="3F07FF60" w:rsidR="002148F8" w:rsidRPr="00467FE6" w:rsidRDefault="002148F8" w:rsidP="00DF177C">
            <w:pPr>
              <w:widowControl w:val="0"/>
              <w:tabs>
                <w:tab w:val="decimal" w:pos="549"/>
              </w:tabs>
              <w:autoSpaceDE w:val="0"/>
              <w:autoSpaceDN w:val="0"/>
              <w:adjustRightInd w:val="0"/>
              <w:rPr>
                <w:sz w:val="22"/>
                <w:szCs w:val="22"/>
              </w:rPr>
            </w:pPr>
            <w:r w:rsidRPr="00467FE6">
              <w:rPr>
                <w:sz w:val="22"/>
                <w:szCs w:val="22"/>
              </w:rPr>
              <w:t>0.58</w:t>
            </w:r>
          </w:p>
        </w:tc>
        <w:tc>
          <w:tcPr>
            <w:tcW w:w="1517" w:type="dxa"/>
            <w:tcBorders>
              <w:top w:val="nil"/>
              <w:left w:val="nil"/>
              <w:bottom w:val="nil"/>
              <w:right w:val="nil"/>
            </w:tcBorders>
          </w:tcPr>
          <w:p w14:paraId="12C2CC2F" w14:textId="22547A1D" w:rsidR="002148F8" w:rsidRPr="00467FE6" w:rsidRDefault="002148F8" w:rsidP="00DF177C">
            <w:pPr>
              <w:widowControl w:val="0"/>
              <w:tabs>
                <w:tab w:val="decimal" w:pos="456"/>
              </w:tabs>
              <w:autoSpaceDE w:val="0"/>
              <w:autoSpaceDN w:val="0"/>
              <w:adjustRightInd w:val="0"/>
              <w:rPr>
                <w:sz w:val="22"/>
                <w:szCs w:val="22"/>
              </w:rPr>
            </w:pPr>
            <w:r w:rsidRPr="00467FE6">
              <w:rPr>
                <w:sz w:val="22"/>
                <w:szCs w:val="22"/>
              </w:rPr>
              <w:t>0.49</w:t>
            </w:r>
          </w:p>
        </w:tc>
        <w:tc>
          <w:tcPr>
            <w:tcW w:w="1579" w:type="dxa"/>
            <w:tcBorders>
              <w:top w:val="nil"/>
              <w:left w:val="nil"/>
              <w:bottom w:val="nil"/>
              <w:right w:val="nil"/>
            </w:tcBorders>
          </w:tcPr>
          <w:p w14:paraId="561FF30D" w14:textId="54911B0A" w:rsidR="002148F8" w:rsidRPr="00467FE6" w:rsidRDefault="002148F8" w:rsidP="00DF177C">
            <w:pPr>
              <w:widowControl w:val="0"/>
              <w:tabs>
                <w:tab w:val="decimal" w:pos="506"/>
              </w:tabs>
              <w:autoSpaceDE w:val="0"/>
              <w:autoSpaceDN w:val="0"/>
              <w:adjustRightInd w:val="0"/>
              <w:rPr>
                <w:sz w:val="22"/>
                <w:szCs w:val="22"/>
              </w:rPr>
            </w:pPr>
            <w:r w:rsidRPr="00467FE6">
              <w:rPr>
                <w:sz w:val="22"/>
                <w:szCs w:val="22"/>
              </w:rPr>
              <w:t>0.75</w:t>
            </w:r>
          </w:p>
        </w:tc>
        <w:tc>
          <w:tcPr>
            <w:tcW w:w="1303" w:type="dxa"/>
            <w:tcBorders>
              <w:top w:val="nil"/>
              <w:left w:val="nil"/>
              <w:bottom w:val="nil"/>
              <w:right w:val="nil"/>
            </w:tcBorders>
          </w:tcPr>
          <w:p w14:paraId="22BC1A9B" w14:textId="3E6B047B" w:rsidR="002148F8" w:rsidRPr="00467FE6" w:rsidRDefault="002148F8" w:rsidP="00DF177C">
            <w:pPr>
              <w:widowControl w:val="0"/>
              <w:tabs>
                <w:tab w:val="decimal" w:pos="485"/>
              </w:tabs>
              <w:autoSpaceDE w:val="0"/>
              <w:autoSpaceDN w:val="0"/>
              <w:adjustRightInd w:val="0"/>
              <w:rPr>
                <w:sz w:val="22"/>
                <w:szCs w:val="22"/>
              </w:rPr>
            </w:pPr>
            <w:r w:rsidRPr="00467FE6">
              <w:rPr>
                <w:sz w:val="22"/>
                <w:szCs w:val="22"/>
              </w:rPr>
              <w:t>0.75</w:t>
            </w:r>
          </w:p>
        </w:tc>
        <w:tc>
          <w:tcPr>
            <w:tcW w:w="1614" w:type="dxa"/>
            <w:gridSpan w:val="2"/>
            <w:tcBorders>
              <w:top w:val="nil"/>
              <w:left w:val="nil"/>
              <w:bottom w:val="nil"/>
              <w:right w:val="nil"/>
            </w:tcBorders>
          </w:tcPr>
          <w:p w14:paraId="255580D4" w14:textId="18C6A243" w:rsidR="002148F8" w:rsidRPr="00467FE6" w:rsidRDefault="002148F8" w:rsidP="00DF177C">
            <w:pPr>
              <w:widowControl w:val="0"/>
              <w:tabs>
                <w:tab w:val="decimal" w:pos="592"/>
              </w:tabs>
              <w:autoSpaceDE w:val="0"/>
              <w:autoSpaceDN w:val="0"/>
              <w:adjustRightInd w:val="0"/>
              <w:rPr>
                <w:sz w:val="22"/>
                <w:szCs w:val="22"/>
              </w:rPr>
            </w:pPr>
            <w:r w:rsidRPr="00467FE6">
              <w:rPr>
                <w:sz w:val="22"/>
                <w:szCs w:val="22"/>
              </w:rPr>
              <w:t>0.73</w:t>
            </w:r>
          </w:p>
        </w:tc>
      </w:tr>
      <w:tr w:rsidR="004D3F41" w:rsidRPr="00467FE6" w14:paraId="0D7C366C" w14:textId="77777777" w:rsidTr="00D55152">
        <w:trPr>
          <w:gridAfter w:val="1"/>
          <w:wAfter w:w="128" w:type="dxa"/>
          <w:trHeight w:val="467"/>
          <w:jc w:val="center"/>
        </w:trPr>
        <w:tc>
          <w:tcPr>
            <w:tcW w:w="2430" w:type="dxa"/>
            <w:tcBorders>
              <w:top w:val="nil"/>
              <w:left w:val="nil"/>
              <w:bottom w:val="nil"/>
              <w:right w:val="nil"/>
            </w:tcBorders>
          </w:tcPr>
          <w:p w14:paraId="08D7907A" w14:textId="77777777" w:rsidR="00497625" w:rsidRPr="00467FE6" w:rsidRDefault="00497625" w:rsidP="002E076A">
            <w:pPr>
              <w:widowControl w:val="0"/>
              <w:tabs>
                <w:tab w:val="left" w:pos="567"/>
              </w:tabs>
              <w:autoSpaceDE w:val="0"/>
              <w:autoSpaceDN w:val="0"/>
              <w:adjustRightInd w:val="0"/>
              <w:rPr>
                <w:sz w:val="22"/>
                <w:szCs w:val="22"/>
              </w:rPr>
            </w:pPr>
            <w:r w:rsidRPr="00467FE6">
              <w:rPr>
                <w:sz w:val="22"/>
                <w:szCs w:val="22"/>
              </w:rPr>
              <w:t>N</w:t>
            </w:r>
          </w:p>
        </w:tc>
        <w:tc>
          <w:tcPr>
            <w:tcW w:w="1503" w:type="dxa"/>
            <w:tcBorders>
              <w:top w:val="nil"/>
              <w:left w:val="nil"/>
              <w:bottom w:val="nil"/>
              <w:right w:val="nil"/>
            </w:tcBorders>
          </w:tcPr>
          <w:p w14:paraId="50CE4BF2" w14:textId="49883D5E" w:rsidR="00497625" w:rsidRPr="00467FE6" w:rsidRDefault="00497625" w:rsidP="002E076A">
            <w:pPr>
              <w:widowControl w:val="0"/>
              <w:tabs>
                <w:tab w:val="left" w:pos="567"/>
                <w:tab w:val="decimal" w:pos="606"/>
              </w:tabs>
              <w:autoSpaceDE w:val="0"/>
              <w:autoSpaceDN w:val="0"/>
              <w:adjustRightInd w:val="0"/>
              <w:jc w:val="center"/>
              <w:rPr>
                <w:sz w:val="22"/>
                <w:szCs w:val="22"/>
              </w:rPr>
            </w:pPr>
            <w:r w:rsidRPr="00467FE6">
              <w:rPr>
                <w:sz w:val="22"/>
                <w:szCs w:val="22"/>
              </w:rPr>
              <w:t>1,232</w:t>
            </w:r>
          </w:p>
        </w:tc>
        <w:tc>
          <w:tcPr>
            <w:tcW w:w="1517" w:type="dxa"/>
            <w:tcBorders>
              <w:top w:val="nil"/>
              <w:left w:val="nil"/>
              <w:bottom w:val="nil"/>
              <w:right w:val="nil"/>
            </w:tcBorders>
          </w:tcPr>
          <w:p w14:paraId="15446287" w14:textId="0AA71339" w:rsidR="00497625" w:rsidRPr="00467FE6" w:rsidRDefault="00497625" w:rsidP="002E076A">
            <w:pPr>
              <w:widowControl w:val="0"/>
              <w:tabs>
                <w:tab w:val="left" w:pos="567"/>
                <w:tab w:val="decimal" w:pos="880"/>
              </w:tabs>
              <w:autoSpaceDE w:val="0"/>
              <w:autoSpaceDN w:val="0"/>
              <w:adjustRightInd w:val="0"/>
              <w:jc w:val="center"/>
              <w:rPr>
                <w:sz w:val="22"/>
                <w:szCs w:val="22"/>
              </w:rPr>
            </w:pPr>
            <w:r w:rsidRPr="00467FE6">
              <w:rPr>
                <w:sz w:val="22"/>
                <w:szCs w:val="22"/>
              </w:rPr>
              <w:t>1,232</w:t>
            </w:r>
          </w:p>
        </w:tc>
        <w:tc>
          <w:tcPr>
            <w:tcW w:w="1579" w:type="dxa"/>
            <w:tcBorders>
              <w:top w:val="nil"/>
              <w:left w:val="nil"/>
              <w:bottom w:val="nil"/>
              <w:right w:val="nil"/>
            </w:tcBorders>
          </w:tcPr>
          <w:p w14:paraId="7B847FD3" w14:textId="46991D8A" w:rsidR="00497625" w:rsidRPr="00467FE6" w:rsidRDefault="00497625" w:rsidP="002E076A">
            <w:pPr>
              <w:widowControl w:val="0"/>
              <w:tabs>
                <w:tab w:val="left" w:pos="567"/>
                <w:tab w:val="decimal" w:pos="674"/>
              </w:tabs>
              <w:autoSpaceDE w:val="0"/>
              <w:autoSpaceDN w:val="0"/>
              <w:adjustRightInd w:val="0"/>
              <w:jc w:val="center"/>
              <w:rPr>
                <w:sz w:val="22"/>
                <w:szCs w:val="22"/>
              </w:rPr>
            </w:pPr>
            <w:r w:rsidRPr="00467FE6">
              <w:rPr>
                <w:sz w:val="22"/>
                <w:szCs w:val="22"/>
              </w:rPr>
              <w:t>1,232</w:t>
            </w:r>
          </w:p>
        </w:tc>
        <w:tc>
          <w:tcPr>
            <w:tcW w:w="1303" w:type="dxa"/>
            <w:tcBorders>
              <w:top w:val="nil"/>
              <w:left w:val="nil"/>
              <w:bottom w:val="nil"/>
              <w:right w:val="nil"/>
            </w:tcBorders>
          </w:tcPr>
          <w:p w14:paraId="2528B6FE" w14:textId="7B0F1AEF" w:rsidR="00497625" w:rsidRPr="00467FE6" w:rsidRDefault="00497625" w:rsidP="002E076A">
            <w:pPr>
              <w:widowControl w:val="0"/>
              <w:tabs>
                <w:tab w:val="left" w:pos="567"/>
                <w:tab w:val="decimal" w:pos="674"/>
              </w:tabs>
              <w:autoSpaceDE w:val="0"/>
              <w:autoSpaceDN w:val="0"/>
              <w:adjustRightInd w:val="0"/>
              <w:jc w:val="center"/>
              <w:rPr>
                <w:sz w:val="22"/>
                <w:szCs w:val="22"/>
              </w:rPr>
            </w:pPr>
            <w:r w:rsidRPr="00467FE6">
              <w:rPr>
                <w:sz w:val="22"/>
                <w:szCs w:val="22"/>
              </w:rPr>
              <w:t>1,232</w:t>
            </w:r>
          </w:p>
        </w:tc>
        <w:tc>
          <w:tcPr>
            <w:tcW w:w="1614" w:type="dxa"/>
            <w:gridSpan w:val="2"/>
            <w:tcBorders>
              <w:top w:val="nil"/>
              <w:left w:val="nil"/>
              <w:bottom w:val="nil"/>
              <w:right w:val="nil"/>
            </w:tcBorders>
          </w:tcPr>
          <w:p w14:paraId="2600F322" w14:textId="0D8940EF" w:rsidR="00497625" w:rsidRPr="00467FE6" w:rsidRDefault="00497625" w:rsidP="002E076A">
            <w:pPr>
              <w:widowControl w:val="0"/>
              <w:tabs>
                <w:tab w:val="left" w:pos="567"/>
                <w:tab w:val="decimal" w:pos="674"/>
              </w:tabs>
              <w:autoSpaceDE w:val="0"/>
              <w:autoSpaceDN w:val="0"/>
              <w:adjustRightInd w:val="0"/>
              <w:jc w:val="center"/>
              <w:rPr>
                <w:sz w:val="22"/>
                <w:szCs w:val="22"/>
              </w:rPr>
            </w:pPr>
            <w:r w:rsidRPr="00467FE6">
              <w:rPr>
                <w:sz w:val="22"/>
                <w:szCs w:val="22"/>
              </w:rPr>
              <w:t>1,232</w:t>
            </w:r>
          </w:p>
        </w:tc>
      </w:tr>
      <w:tr w:rsidR="004D3F41" w:rsidRPr="00467FE6" w14:paraId="6305DF37" w14:textId="77777777" w:rsidTr="00D55152">
        <w:trPr>
          <w:gridAfter w:val="1"/>
          <w:wAfter w:w="128" w:type="dxa"/>
          <w:trHeight w:val="467"/>
          <w:jc w:val="center"/>
        </w:trPr>
        <w:tc>
          <w:tcPr>
            <w:tcW w:w="2430" w:type="dxa"/>
            <w:tcBorders>
              <w:top w:val="nil"/>
              <w:left w:val="nil"/>
              <w:bottom w:val="single" w:sz="6" w:space="0" w:color="auto"/>
              <w:right w:val="nil"/>
            </w:tcBorders>
          </w:tcPr>
          <w:p w14:paraId="71408341" w14:textId="1A5A17F0" w:rsidR="00497625" w:rsidRPr="00467FE6" w:rsidRDefault="00497625" w:rsidP="002E076A">
            <w:pPr>
              <w:widowControl w:val="0"/>
              <w:tabs>
                <w:tab w:val="left" w:pos="567"/>
              </w:tabs>
              <w:autoSpaceDE w:val="0"/>
              <w:autoSpaceDN w:val="0"/>
              <w:adjustRightInd w:val="0"/>
              <w:rPr>
                <w:sz w:val="22"/>
                <w:szCs w:val="22"/>
              </w:rPr>
            </w:pPr>
            <w:r w:rsidRPr="00467FE6">
              <w:rPr>
                <w:sz w:val="22"/>
                <w:szCs w:val="22"/>
              </w:rPr>
              <w:t xml:space="preserve">Number of </w:t>
            </w:r>
            <w:r w:rsidR="0054551C">
              <w:rPr>
                <w:sz w:val="22"/>
                <w:szCs w:val="22"/>
              </w:rPr>
              <w:t>C</w:t>
            </w:r>
            <w:r w:rsidRPr="00467FE6">
              <w:rPr>
                <w:sz w:val="22"/>
                <w:szCs w:val="22"/>
              </w:rPr>
              <w:t>ountries</w:t>
            </w:r>
          </w:p>
        </w:tc>
        <w:tc>
          <w:tcPr>
            <w:tcW w:w="1503" w:type="dxa"/>
            <w:tcBorders>
              <w:top w:val="nil"/>
              <w:left w:val="nil"/>
              <w:bottom w:val="single" w:sz="6" w:space="0" w:color="auto"/>
              <w:right w:val="nil"/>
            </w:tcBorders>
          </w:tcPr>
          <w:p w14:paraId="52F85364" w14:textId="658CB8E9" w:rsidR="00497625" w:rsidRPr="00467FE6" w:rsidRDefault="00497625" w:rsidP="002E076A">
            <w:pPr>
              <w:widowControl w:val="0"/>
              <w:tabs>
                <w:tab w:val="left" w:pos="567"/>
                <w:tab w:val="decimal" w:pos="606"/>
              </w:tabs>
              <w:autoSpaceDE w:val="0"/>
              <w:autoSpaceDN w:val="0"/>
              <w:adjustRightInd w:val="0"/>
              <w:jc w:val="center"/>
              <w:rPr>
                <w:sz w:val="22"/>
                <w:szCs w:val="22"/>
              </w:rPr>
            </w:pPr>
            <w:r w:rsidRPr="00467FE6">
              <w:rPr>
                <w:sz w:val="22"/>
                <w:szCs w:val="22"/>
              </w:rPr>
              <w:t>101</w:t>
            </w:r>
          </w:p>
        </w:tc>
        <w:tc>
          <w:tcPr>
            <w:tcW w:w="1517" w:type="dxa"/>
            <w:tcBorders>
              <w:top w:val="nil"/>
              <w:left w:val="nil"/>
              <w:bottom w:val="single" w:sz="6" w:space="0" w:color="auto"/>
              <w:right w:val="nil"/>
            </w:tcBorders>
          </w:tcPr>
          <w:p w14:paraId="1BA40A0F" w14:textId="629EA34D" w:rsidR="00497625" w:rsidRPr="00467FE6" w:rsidRDefault="00497625" w:rsidP="002E076A">
            <w:pPr>
              <w:widowControl w:val="0"/>
              <w:tabs>
                <w:tab w:val="left" w:pos="567"/>
                <w:tab w:val="decimal" w:pos="880"/>
              </w:tabs>
              <w:autoSpaceDE w:val="0"/>
              <w:autoSpaceDN w:val="0"/>
              <w:adjustRightInd w:val="0"/>
              <w:jc w:val="center"/>
              <w:rPr>
                <w:sz w:val="22"/>
                <w:szCs w:val="22"/>
              </w:rPr>
            </w:pPr>
            <w:r w:rsidRPr="00467FE6">
              <w:rPr>
                <w:sz w:val="22"/>
                <w:szCs w:val="22"/>
              </w:rPr>
              <w:t>101</w:t>
            </w:r>
          </w:p>
        </w:tc>
        <w:tc>
          <w:tcPr>
            <w:tcW w:w="1579" w:type="dxa"/>
            <w:tcBorders>
              <w:top w:val="nil"/>
              <w:left w:val="nil"/>
              <w:bottom w:val="single" w:sz="6" w:space="0" w:color="auto"/>
              <w:right w:val="nil"/>
            </w:tcBorders>
          </w:tcPr>
          <w:p w14:paraId="7F22960C" w14:textId="7AEBA6F2" w:rsidR="00497625" w:rsidRPr="00467FE6" w:rsidRDefault="00497625" w:rsidP="002E076A">
            <w:pPr>
              <w:widowControl w:val="0"/>
              <w:tabs>
                <w:tab w:val="left" w:pos="567"/>
                <w:tab w:val="decimal" w:pos="674"/>
              </w:tabs>
              <w:autoSpaceDE w:val="0"/>
              <w:autoSpaceDN w:val="0"/>
              <w:adjustRightInd w:val="0"/>
              <w:jc w:val="center"/>
              <w:rPr>
                <w:sz w:val="22"/>
                <w:szCs w:val="22"/>
              </w:rPr>
            </w:pPr>
            <w:r w:rsidRPr="00467FE6">
              <w:rPr>
                <w:sz w:val="22"/>
                <w:szCs w:val="22"/>
              </w:rPr>
              <w:t>101</w:t>
            </w:r>
          </w:p>
        </w:tc>
        <w:tc>
          <w:tcPr>
            <w:tcW w:w="1303" w:type="dxa"/>
            <w:tcBorders>
              <w:top w:val="nil"/>
              <w:left w:val="nil"/>
              <w:bottom w:val="single" w:sz="6" w:space="0" w:color="auto"/>
              <w:right w:val="nil"/>
            </w:tcBorders>
          </w:tcPr>
          <w:p w14:paraId="6CE337D4" w14:textId="3D709A49" w:rsidR="00497625" w:rsidRPr="00467FE6" w:rsidRDefault="00497625" w:rsidP="002E076A">
            <w:pPr>
              <w:widowControl w:val="0"/>
              <w:tabs>
                <w:tab w:val="left" w:pos="567"/>
                <w:tab w:val="decimal" w:pos="674"/>
              </w:tabs>
              <w:autoSpaceDE w:val="0"/>
              <w:autoSpaceDN w:val="0"/>
              <w:adjustRightInd w:val="0"/>
              <w:jc w:val="center"/>
              <w:rPr>
                <w:sz w:val="22"/>
                <w:szCs w:val="22"/>
              </w:rPr>
            </w:pPr>
            <w:r w:rsidRPr="00467FE6">
              <w:rPr>
                <w:sz w:val="22"/>
                <w:szCs w:val="22"/>
              </w:rPr>
              <w:t>101</w:t>
            </w:r>
          </w:p>
        </w:tc>
        <w:tc>
          <w:tcPr>
            <w:tcW w:w="1614" w:type="dxa"/>
            <w:gridSpan w:val="2"/>
            <w:tcBorders>
              <w:top w:val="nil"/>
              <w:left w:val="nil"/>
              <w:bottom w:val="single" w:sz="6" w:space="0" w:color="auto"/>
              <w:right w:val="nil"/>
            </w:tcBorders>
          </w:tcPr>
          <w:p w14:paraId="63E1A864" w14:textId="23DBAC7A" w:rsidR="00497625" w:rsidRPr="00467FE6" w:rsidRDefault="00497625" w:rsidP="002E076A">
            <w:pPr>
              <w:widowControl w:val="0"/>
              <w:tabs>
                <w:tab w:val="left" w:pos="567"/>
                <w:tab w:val="decimal" w:pos="674"/>
              </w:tabs>
              <w:autoSpaceDE w:val="0"/>
              <w:autoSpaceDN w:val="0"/>
              <w:adjustRightInd w:val="0"/>
              <w:jc w:val="center"/>
              <w:rPr>
                <w:sz w:val="22"/>
                <w:szCs w:val="22"/>
              </w:rPr>
            </w:pPr>
            <w:r w:rsidRPr="00467FE6">
              <w:rPr>
                <w:sz w:val="22"/>
                <w:szCs w:val="22"/>
              </w:rPr>
              <w:t>101</w:t>
            </w:r>
          </w:p>
        </w:tc>
      </w:tr>
    </w:tbl>
    <w:p w14:paraId="494ACEA0" w14:textId="77777777" w:rsidR="001E4C07" w:rsidRPr="00467FE6" w:rsidRDefault="001E4C07" w:rsidP="007F6E63">
      <w:pPr>
        <w:ind w:left="-426"/>
        <w:rPr>
          <w:sz w:val="22"/>
          <w:szCs w:val="22"/>
        </w:rPr>
      </w:pPr>
      <w:r w:rsidRPr="00467FE6">
        <w:rPr>
          <w:sz w:val="22"/>
          <w:szCs w:val="22"/>
        </w:rPr>
        <w:t>* p&lt;0.1; ** p&lt;0.05; *** p&lt;0.01</w:t>
      </w:r>
    </w:p>
    <w:p w14:paraId="19DA030B" w14:textId="59BF30AA" w:rsidR="00FB7386" w:rsidRPr="00467FE6" w:rsidRDefault="00FB7386" w:rsidP="007F6E63">
      <w:pPr>
        <w:widowControl w:val="0"/>
        <w:autoSpaceDE w:val="0"/>
        <w:autoSpaceDN w:val="0"/>
        <w:adjustRightInd w:val="0"/>
        <w:ind w:left="-426"/>
        <w:rPr>
          <w:sz w:val="22"/>
          <w:szCs w:val="22"/>
        </w:rPr>
      </w:pPr>
      <w:r w:rsidRPr="00467FE6">
        <w:rPr>
          <w:sz w:val="22"/>
          <w:szCs w:val="22"/>
        </w:rPr>
        <w:t>Country level clustered standard errors are in parentheses</w:t>
      </w:r>
      <w:r w:rsidR="00C925C5" w:rsidRPr="00467FE6">
        <w:rPr>
          <w:sz w:val="22"/>
          <w:szCs w:val="22"/>
        </w:rPr>
        <w:t>.</w:t>
      </w:r>
    </w:p>
    <w:p w14:paraId="16BADA87" w14:textId="195E2EAF" w:rsidR="00C925C5" w:rsidRPr="00467FE6" w:rsidRDefault="00C925C5" w:rsidP="007F6E63">
      <w:pPr>
        <w:widowControl w:val="0"/>
        <w:autoSpaceDE w:val="0"/>
        <w:autoSpaceDN w:val="0"/>
        <w:adjustRightInd w:val="0"/>
        <w:ind w:left="-426"/>
        <w:rPr>
          <w:sz w:val="22"/>
          <w:szCs w:val="22"/>
        </w:rPr>
      </w:pPr>
    </w:p>
    <w:p w14:paraId="4D31A78C" w14:textId="1AD5AC1D" w:rsidR="00C925C5" w:rsidRDefault="00C925C5" w:rsidP="002E076A">
      <w:pPr>
        <w:widowControl w:val="0"/>
        <w:tabs>
          <w:tab w:val="left" w:pos="567"/>
        </w:tabs>
        <w:autoSpaceDE w:val="0"/>
        <w:autoSpaceDN w:val="0"/>
        <w:adjustRightInd w:val="0"/>
        <w:rPr>
          <w:sz w:val="22"/>
          <w:szCs w:val="22"/>
        </w:rPr>
      </w:pPr>
    </w:p>
    <w:p w14:paraId="1238A53C" w14:textId="77777777" w:rsidR="005A611B" w:rsidRPr="00467FE6" w:rsidRDefault="005A611B" w:rsidP="002E076A">
      <w:pPr>
        <w:widowControl w:val="0"/>
        <w:tabs>
          <w:tab w:val="left" w:pos="567"/>
        </w:tabs>
        <w:autoSpaceDE w:val="0"/>
        <w:autoSpaceDN w:val="0"/>
        <w:adjustRightInd w:val="0"/>
        <w:rPr>
          <w:sz w:val="22"/>
          <w:szCs w:val="22"/>
        </w:rPr>
      </w:pPr>
    </w:p>
    <w:p w14:paraId="3B713883" w14:textId="740F0F7C" w:rsidR="007F6E63" w:rsidRPr="00467FE6" w:rsidRDefault="00467FE6" w:rsidP="007F6E63">
      <w:pPr>
        <w:tabs>
          <w:tab w:val="left" w:pos="567"/>
        </w:tabs>
        <w:spacing w:line="300" w:lineRule="auto"/>
        <w:ind w:firstLine="720"/>
        <w:jc w:val="both"/>
        <w:rPr>
          <w:rFonts w:eastAsiaTheme="minorEastAsia"/>
          <w:lang w:val="en-NZ"/>
        </w:rPr>
      </w:pPr>
      <w:r w:rsidRPr="00467FE6">
        <w:rPr>
          <w:rFonts w:asciiTheme="majorBidi" w:eastAsiaTheme="minorEastAsia" w:hAnsiTheme="majorBidi" w:cstheme="majorBidi"/>
          <w:lang w:val="en-NZ"/>
        </w:rPr>
        <w:t xml:space="preserve">Solid fuel consumption also causes lower life expectancy at birth, with a one-percentage point increase in the proportion of household solid fuel consumption lowering male life expectancy at birth by 0.132 years and female life expectancy at birth by 0.171 years. </w:t>
      </w:r>
      <w:r w:rsidRPr="00467FE6">
        <w:rPr>
          <w:rFonts w:asciiTheme="majorBidi" w:hAnsiTheme="majorBidi" w:cstheme="majorBidi"/>
          <w:lang w:val="en-NZ"/>
        </w:rPr>
        <w:t xml:space="preserve">Again considering </w:t>
      </w:r>
      <w:r w:rsidRPr="00467FE6">
        <w:rPr>
          <w:rFonts w:asciiTheme="majorBidi" w:hAnsiTheme="majorBidi" w:cstheme="majorBidi"/>
        </w:rPr>
        <w:t>the difference between the mean upper-middle income country and the mean poor country, in poor countries males are losing 3.81 years and females are losing 4.94 years of life expectancy at birth in poor countries compared to upper-middle income countries.</w:t>
      </w:r>
      <w:r w:rsidRPr="00467FE6">
        <w:rPr>
          <w:rFonts w:asciiTheme="majorBidi" w:eastAsiaTheme="minorEastAsia" w:hAnsiTheme="majorBidi" w:cstheme="majorBidi"/>
          <w:lang w:val="en-NZ"/>
        </w:rPr>
        <w:t xml:space="preserve">  Other results are similar to the panel model in Table 2, except that education becomes statistically insignificant in all models except for combined life expectancy at birth, and urbanization becomes statistically insignificant for child and infant mortality</w:t>
      </w:r>
      <w:r w:rsidR="007F6E63" w:rsidRPr="00467FE6">
        <w:rPr>
          <w:rFonts w:eastAsiaTheme="minorEastAsia"/>
          <w:lang w:val="en-NZ"/>
        </w:rPr>
        <w:t>.</w:t>
      </w:r>
    </w:p>
    <w:p w14:paraId="5761FC85" w14:textId="0191D0F6" w:rsidR="00C925C5" w:rsidRPr="00467FE6" w:rsidRDefault="00C925C5" w:rsidP="002E076A">
      <w:pPr>
        <w:widowControl w:val="0"/>
        <w:tabs>
          <w:tab w:val="left" w:pos="567"/>
        </w:tabs>
        <w:autoSpaceDE w:val="0"/>
        <w:autoSpaceDN w:val="0"/>
        <w:adjustRightInd w:val="0"/>
        <w:rPr>
          <w:sz w:val="22"/>
          <w:szCs w:val="22"/>
        </w:rPr>
      </w:pPr>
    </w:p>
    <w:p w14:paraId="520A18E6" w14:textId="686A1DD9" w:rsidR="007F6E63" w:rsidRPr="00467FE6" w:rsidRDefault="007F6E63" w:rsidP="002E076A">
      <w:pPr>
        <w:widowControl w:val="0"/>
        <w:tabs>
          <w:tab w:val="left" w:pos="567"/>
        </w:tabs>
        <w:autoSpaceDE w:val="0"/>
        <w:autoSpaceDN w:val="0"/>
        <w:adjustRightInd w:val="0"/>
        <w:rPr>
          <w:sz w:val="22"/>
          <w:szCs w:val="22"/>
        </w:rPr>
      </w:pPr>
    </w:p>
    <w:p w14:paraId="2A798D5B" w14:textId="28AE6B22" w:rsidR="00B3346F" w:rsidRPr="00467FE6" w:rsidRDefault="007F6E63" w:rsidP="002E076A">
      <w:pPr>
        <w:pStyle w:val="ListParagraph"/>
        <w:numPr>
          <w:ilvl w:val="0"/>
          <w:numId w:val="20"/>
        </w:numPr>
        <w:tabs>
          <w:tab w:val="left" w:pos="567"/>
        </w:tabs>
        <w:spacing w:line="300" w:lineRule="auto"/>
        <w:rPr>
          <w:b/>
          <w:bCs/>
          <w:lang w:val="en-NZ"/>
        </w:rPr>
      </w:pPr>
      <w:r w:rsidRPr="00467FE6">
        <w:rPr>
          <w:b/>
          <w:bCs/>
          <w:lang w:val="en-NZ"/>
        </w:rPr>
        <w:t xml:space="preserve">Discussion </w:t>
      </w:r>
      <w:r w:rsidR="006B4FE7" w:rsidRPr="00467FE6">
        <w:rPr>
          <w:b/>
          <w:bCs/>
          <w:lang w:val="en-NZ"/>
        </w:rPr>
        <w:t>a</w:t>
      </w:r>
      <w:r w:rsidRPr="00467FE6">
        <w:rPr>
          <w:b/>
          <w:bCs/>
          <w:lang w:val="en-NZ"/>
        </w:rPr>
        <w:t>nd Conclusions</w:t>
      </w:r>
    </w:p>
    <w:p w14:paraId="6551EB6A" w14:textId="77777777" w:rsidR="007F6E63" w:rsidRPr="00467FE6" w:rsidRDefault="007F6E63" w:rsidP="002E076A">
      <w:pPr>
        <w:tabs>
          <w:tab w:val="left" w:pos="567"/>
        </w:tabs>
        <w:spacing w:line="300" w:lineRule="auto"/>
        <w:jc w:val="both"/>
        <w:rPr>
          <w:sz w:val="12"/>
          <w:szCs w:val="12"/>
          <w:lang w:val="en-NZ"/>
        </w:rPr>
      </w:pPr>
    </w:p>
    <w:p w14:paraId="7153AB2B" w14:textId="113A4665" w:rsidR="00D229FB" w:rsidRPr="00467FE6" w:rsidRDefault="00467FE6" w:rsidP="002E076A">
      <w:pPr>
        <w:tabs>
          <w:tab w:val="left" w:pos="567"/>
        </w:tabs>
        <w:spacing w:line="300" w:lineRule="auto"/>
        <w:jc w:val="both"/>
      </w:pPr>
      <w:r w:rsidRPr="00FF1F9E">
        <w:rPr>
          <w:rFonts w:asciiTheme="majorBidi" w:hAnsiTheme="majorBidi" w:cstheme="majorBidi"/>
          <w:lang w:val="en-NZ"/>
        </w:rPr>
        <w:t>Almost half of the population in developing countries, and up to 90</w:t>
      </w:r>
      <w:r w:rsidR="00857F3B">
        <w:rPr>
          <w:rFonts w:asciiTheme="majorBidi" w:hAnsiTheme="majorBidi" w:cstheme="majorBidi"/>
          <w:lang w:val="en-NZ"/>
        </w:rPr>
        <w:t xml:space="preserve"> percent</w:t>
      </w:r>
      <w:r w:rsidRPr="00FF1F9E">
        <w:rPr>
          <w:rFonts w:asciiTheme="majorBidi" w:hAnsiTheme="majorBidi" w:cstheme="majorBidi"/>
          <w:lang w:val="en-NZ"/>
        </w:rPr>
        <w:t xml:space="preserve"> of rural population, depends upon solid fuels such as firewood, charcoal, coal, crop residues, and animal dung for cooking and heating purposes (</w:t>
      </w:r>
      <w:r w:rsidRPr="00FF1F9E">
        <w:rPr>
          <w:rFonts w:asciiTheme="majorBidi" w:eastAsiaTheme="minorEastAsia" w:hAnsiTheme="majorBidi" w:cstheme="majorBidi"/>
        </w:rPr>
        <w:fldChar w:fldCharType="begin"/>
      </w:r>
      <w:r w:rsidRPr="00FF1F9E">
        <w:rPr>
          <w:rFonts w:asciiTheme="majorBidi" w:eastAsiaTheme="minorEastAsia" w:hAnsiTheme="majorBidi" w:cstheme="majorBidi"/>
        </w:rPr>
        <w:instrText xml:space="preserve"> ADDIN ZOTERO_ITEM CSL_CITATION {"citationID":"al7AsRsh","properties":{"formattedCitation":"(Bloom et al., 2005)","plainCitation":"(Bloom et al., 2005)"},"citationItems":[{"id":227,"uris":["http://zotero.org/users/2699952/items/33676HB6"],"uri":["http://zotero.org/users/2699952/items/33676HB6"],"itemData":{"id":227,"type":"article-journal","title":"The demographic impact of biomass fuel use","container-title":"Energy for Sustainable Development","page":"40-48","volume":"9","issue":"3","source":"ScienceDirect","abstract":"Over 50% of the world's population still relies upon traditional biomass fuel to fulfill its energy needs. This paper examines the serious health, gender, and demographic consequences of traditional biomass fuel use. We hypothesize that exposure to indoor air pollution in the form of particulate smoke generated by burning biomass may lead to high levels of infant and child mortality from acute respiratory infections and through other mechanisms. Using national data to make crosscountry comparisons, we show that biomass fuel consumption is highly correlated with infant and child mortality rates, even after controlling for income, education, and other variables. While our analysis does not assess whether the relationship is causal, the empirical evidence suggests that traditional energy use patterns are associated with high mortality rates in developing countries that rely heavily on biomass fuels. High mortality rates may, in turn, lead to high levels of fertility because of both the “need” to replace children and risk aversion. The effect on fertility may be compounded by the utility derived from children's important labor contributions in gathering biomass fuel. Thus, the use of traditional biomass fuels may delay the demographic transition from patterns of high mortality-high fertility to patterns of low mortality-low fertility. These findings have important implications for the development of strategies to improve the quality of rural life and alleviate poverty in developing countries.","DOI":"10.1016/S0973-0826(08)60522-0","ISSN":"0973-0826","journalAbbreviation":"Energy for Sustainable Development","author":[{"family":"Bloom","given":"David E."},{"family":"Zaidi","given":"Anita K. M."},{"family":"Yeh","given":"Ethan"}],"issued":{"date-parts":[["2005",9]]}}}],"schema":"https://github.com/citation-style-language/schema/raw/master/csl-citation.json"} </w:instrText>
      </w:r>
      <w:r w:rsidRPr="00FF1F9E">
        <w:rPr>
          <w:rFonts w:asciiTheme="majorBidi" w:eastAsiaTheme="minorEastAsia" w:hAnsiTheme="majorBidi" w:cstheme="majorBidi"/>
        </w:rPr>
        <w:fldChar w:fldCharType="separate"/>
      </w:r>
      <w:r w:rsidRPr="00FF1F9E">
        <w:rPr>
          <w:rFonts w:asciiTheme="majorBidi" w:eastAsiaTheme="minorEastAsia" w:hAnsiTheme="majorBidi" w:cstheme="majorBidi"/>
        </w:rPr>
        <w:t xml:space="preserve">Bloom </w:t>
      </w:r>
      <w:r w:rsidR="00532B57">
        <w:rPr>
          <w:rFonts w:asciiTheme="majorBidi" w:eastAsiaTheme="minorEastAsia" w:hAnsiTheme="majorBidi" w:cstheme="majorBidi"/>
          <w:i/>
        </w:rPr>
        <w:t>et al.</w:t>
      </w:r>
      <w:r w:rsidRPr="00FF1F9E">
        <w:rPr>
          <w:rFonts w:asciiTheme="majorBidi" w:eastAsiaTheme="minorEastAsia" w:hAnsiTheme="majorBidi" w:cstheme="majorBidi"/>
        </w:rPr>
        <w:t xml:space="preserve"> 2005)</w:t>
      </w:r>
      <w:r w:rsidRPr="00FF1F9E">
        <w:rPr>
          <w:rFonts w:asciiTheme="majorBidi" w:eastAsiaTheme="minorEastAsia" w:hAnsiTheme="majorBidi" w:cstheme="majorBidi"/>
        </w:rPr>
        <w:fldChar w:fldCharType="end"/>
      </w:r>
      <w:r w:rsidRPr="00FF1F9E">
        <w:rPr>
          <w:rFonts w:asciiTheme="majorBidi" w:eastAsiaTheme="minorEastAsia" w:hAnsiTheme="majorBidi" w:cstheme="majorBidi"/>
        </w:rPr>
        <w:t xml:space="preserve">. When these solid fuels burn they emit harmful gases and become a significant threat for the life of the people. </w:t>
      </w:r>
      <w:r w:rsidRPr="00FF1F9E">
        <w:rPr>
          <w:rFonts w:asciiTheme="majorBidi" w:hAnsiTheme="majorBidi" w:cstheme="majorBidi"/>
          <w:lang w:val="en-NZ"/>
        </w:rPr>
        <w:t xml:space="preserve">Our causal empirical results confirm this relationship. We found that countries where the proportion of solid fuel use by households was higher had higher infant and child mortality and lower life expectancy at birth. Importantly, our IV regression results demonstrated that these effects were causal – that </w:t>
      </w:r>
      <w:r w:rsidRPr="00FF1F9E">
        <w:rPr>
          <w:rFonts w:asciiTheme="majorBidi" w:hAnsiTheme="majorBidi" w:cstheme="majorBidi"/>
          <w:lang w:val="en-NZ"/>
        </w:rPr>
        <w:lastRenderedPageBreak/>
        <w:t>increases in solid fuel use cause higher infant and child mortality and lower life expectancy.</w:t>
      </w:r>
      <w:r w:rsidRPr="00FF1F9E">
        <w:rPr>
          <w:rFonts w:asciiTheme="majorBidi" w:hAnsiTheme="majorBidi" w:cstheme="majorBidi"/>
        </w:rPr>
        <w:t xml:space="preserve"> These results suggest a straightforward policy response. Child and infant mortality can be lowered, and life expectancy at birth increased, by reducing household use of solid fuels for cooking and heating</w:t>
      </w:r>
      <w:r w:rsidR="00CC193C" w:rsidRPr="00467FE6">
        <w:t xml:space="preserve">. </w:t>
      </w:r>
    </w:p>
    <w:p w14:paraId="74C48DC8" w14:textId="77777777" w:rsidR="00C925C5" w:rsidRPr="00467FE6" w:rsidRDefault="00C925C5" w:rsidP="002E076A">
      <w:pPr>
        <w:tabs>
          <w:tab w:val="left" w:pos="567"/>
        </w:tabs>
        <w:spacing w:line="300" w:lineRule="auto"/>
        <w:jc w:val="both"/>
      </w:pPr>
    </w:p>
    <w:p w14:paraId="42D8F19E" w14:textId="3F92D6DB" w:rsidR="00F11044" w:rsidRPr="00467FE6" w:rsidRDefault="002E076A" w:rsidP="002E076A">
      <w:pPr>
        <w:tabs>
          <w:tab w:val="left" w:pos="567"/>
        </w:tabs>
        <w:spacing w:line="300" w:lineRule="auto"/>
        <w:jc w:val="both"/>
      </w:pPr>
      <w:r w:rsidRPr="00467FE6">
        <w:tab/>
      </w:r>
      <w:r w:rsidR="00467FE6" w:rsidRPr="00FF1F9E">
        <w:rPr>
          <w:rFonts w:asciiTheme="majorBidi" w:hAnsiTheme="majorBidi" w:cstheme="majorBidi"/>
        </w:rPr>
        <w:t>How large could the health gains from reducing solid fuel consumption be? A simple back-of-the-envelope calculation provides an indication. If the solid fuel consumption gap between low income countries and lower-middle income reduced by 50 percent (which is 10.31 percentage points), infant and child mortality in the low income countries would decrease by 13.40 and 25.16 per thousand</w:t>
      </w:r>
      <w:r w:rsidR="00467FE6" w:rsidRPr="00FF1F9E">
        <w:rPr>
          <w:rStyle w:val="FootnoteReference"/>
          <w:rFonts w:asciiTheme="majorBidi" w:hAnsiTheme="majorBidi" w:cstheme="majorBidi"/>
        </w:rPr>
        <w:footnoteReference w:id="9"/>
      </w:r>
      <w:r w:rsidR="00467FE6" w:rsidRPr="00FF1F9E">
        <w:rPr>
          <w:rFonts w:asciiTheme="majorBidi" w:hAnsiTheme="majorBidi" w:cstheme="majorBidi"/>
        </w:rPr>
        <w:t xml:space="preserve"> respectively, and life expectancy at birth for males and females would increase by 1.36 and 1.76 years respectively. According to United Nations data,</w:t>
      </w:r>
      <w:r w:rsidR="00467FE6" w:rsidRPr="00FF1F9E">
        <w:rPr>
          <w:rStyle w:val="FootnoteReference"/>
          <w:rFonts w:asciiTheme="majorBidi" w:hAnsiTheme="majorBidi" w:cstheme="majorBidi"/>
        </w:rPr>
        <w:footnoteReference w:id="10"/>
      </w:r>
      <w:r w:rsidR="00467FE6" w:rsidRPr="00FF1F9E">
        <w:rPr>
          <w:rFonts w:asciiTheme="majorBidi" w:hAnsiTheme="majorBidi" w:cstheme="majorBidi"/>
        </w:rPr>
        <w:t xml:space="preserve"> poor countries had 103.397 million children aged under five years in 2015. Assuming one-sixtieth of those were infants (aged under one month), the reduction in child and infant mortality (combined) from reducing the solid fuel consumption gap between low-income countries and lower-middle income countries by half is approximately 2.58 million per year</w:t>
      </w:r>
      <w:r w:rsidR="008078E1" w:rsidRPr="00467FE6">
        <w:t xml:space="preserve">. </w:t>
      </w:r>
    </w:p>
    <w:p w14:paraId="54202378" w14:textId="77777777" w:rsidR="00C925C5" w:rsidRPr="00467FE6" w:rsidRDefault="00C925C5" w:rsidP="002E076A">
      <w:pPr>
        <w:tabs>
          <w:tab w:val="left" w:pos="567"/>
        </w:tabs>
        <w:spacing w:line="300" w:lineRule="auto"/>
        <w:ind w:firstLine="720"/>
        <w:jc w:val="both"/>
      </w:pPr>
    </w:p>
    <w:p w14:paraId="7BD64E94" w14:textId="7F367556" w:rsidR="00DF1F0A" w:rsidRPr="00467FE6" w:rsidRDefault="002E076A" w:rsidP="002E076A">
      <w:pPr>
        <w:tabs>
          <w:tab w:val="left" w:pos="567"/>
        </w:tabs>
        <w:spacing w:line="300" w:lineRule="auto"/>
        <w:jc w:val="both"/>
      </w:pPr>
      <w:r w:rsidRPr="00467FE6">
        <w:tab/>
      </w:r>
      <w:r w:rsidR="00467FE6" w:rsidRPr="00FF1F9E">
        <w:rPr>
          <w:rFonts w:asciiTheme="majorBidi" w:hAnsiTheme="majorBidi" w:cstheme="majorBidi"/>
        </w:rPr>
        <w:t xml:space="preserve">Similarly, if the solid fuel consumption gap between lower-middle income countries and the upper-middle income countries reduced by 50 percent (which is 4.13 percentage points), infant and child mortality in the lower-middle income countries would decrease by 5.37 and 10.07 per thousand respectively. Lower middle-income countries have 319.752 million children. Therefore, the reduction in child and infant mortality (combined) from reducing the solid fuel consumption gap between lower-middle income countries and upper-middle income countries by half is approximately 3.19 million per </w:t>
      </w:r>
      <w:r w:rsidR="00B613CF" w:rsidRPr="00467FE6">
        <w:t>year</w:t>
      </w:r>
      <w:r w:rsidR="00C925C5" w:rsidRPr="00467FE6">
        <w:t>.</w:t>
      </w:r>
    </w:p>
    <w:p w14:paraId="0D889A58" w14:textId="77777777" w:rsidR="00C925C5" w:rsidRPr="00467FE6" w:rsidRDefault="00C925C5" w:rsidP="002E076A">
      <w:pPr>
        <w:tabs>
          <w:tab w:val="left" w:pos="567"/>
        </w:tabs>
        <w:spacing w:line="300" w:lineRule="auto"/>
        <w:ind w:firstLine="720"/>
        <w:jc w:val="both"/>
      </w:pPr>
    </w:p>
    <w:p w14:paraId="5B82283B" w14:textId="467364F9" w:rsidR="00B613CF" w:rsidRPr="00467FE6" w:rsidRDefault="002E076A" w:rsidP="002E076A">
      <w:pPr>
        <w:tabs>
          <w:tab w:val="left" w:pos="567"/>
        </w:tabs>
        <w:spacing w:line="300" w:lineRule="auto"/>
        <w:jc w:val="both"/>
      </w:pPr>
      <w:r w:rsidRPr="00467FE6">
        <w:tab/>
      </w:r>
      <w:r w:rsidR="00467FE6" w:rsidRPr="00FF1F9E">
        <w:rPr>
          <w:rFonts w:asciiTheme="majorBidi" w:hAnsiTheme="majorBidi" w:cstheme="majorBidi"/>
        </w:rPr>
        <w:t>These back-of-the-envelope calculations suggest that there are significant mortality reductions and health gains by reducing solid fuel consumption in poor and middle-income countries. However, achieving these potential health gains will require direct policy intervention. As</w:t>
      </w:r>
      <w:r w:rsidR="00467FE6" w:rsidRPr="00CE3E1F">
        <w:rPr>
          <w:rFonts w:asciiTheme="majorBidi" w:hAnsiTheme="majorBidi" w:cstheme="majorBidi"/>
          <w:color w:val="FF0000"/>
        </w:rPr>
        <w:t xml:space="preserve"> </w:t>
      </w:r>
      <w:r w:rsidR="00467FE6">
        <w:rPr>
          <w:rFonts w:asciiTheme="majorBidi" w:hAnsiTheme="majorBidi" w:cstheme="majorBidi"/>
          <w:color w:val="FF0000"/>
        </w:rPr>
        <w:fldChar w:fldCharType="begin"/>
      </w:r>
      <w:r w:rsidR="00467FE6">
        <w:rPr>
          <w:rFonts w:asciiTheme="majorBidi" w:hAnsiTheme="majorBidi" w:cstheme="majorBidi"/>
          <w:color w:val="FF0000"/>
        </w:rPr>
        <w:instrText xml:space="preserve"> ADDIN ZOTERO_ITEM CSL_CITATION {"citationID":"1To5JIZo","properties":{"formattedCitation":"(Irfan et al., 2018)","plainCitation":"(Irfan et al., 2018)","noteIndex":0},"citationItems":[{"id":1247,"uris":["http://zotero.org/users/2699952/items/73KUF9FR"],"uri":["http://zotero.org/users/2699952/items/73KUF9FR"],"itemData":{"id":1247,"type":"article-journal","title":"Household energy elasticities and policy implications for Pakistan","container-title":"Energy Policy","page":"633-642","volume":"113","source":"ScienceDirect","abstract":"This study estimates fuel expenditure and price elasticities of household fuels in Pakistan. The burning of biomass is harmful to health and the environment and may cause preventable morbidity and mortality. It is important to investigate how households' fuel choices are linked to prices, so that governments can consider appropriate steps to enhance the consumption of clean fuels. Using three pooled cross-sectional surveys from Pakistan and applying the Linear Approximate Almost Ideal Demand System (LA-AIDS) model, we found that all fuel types except natural gas were price inelastic at the national level and for urban households. In rural areas, natural gas and LPG were found to be more price elastic compared to urban areas. Simple policy simulations based on our results suggest that in order to reduce indoor air pollution by encouraging the adoption of clean fuels (LPG and piped natural gas), governments should subsidies clean fuels rather than imposing taxes on solid fuels. Moreover, in the case of Pakistan a subsidy for LPG should be preferred over a subsidy for piped natural gas, as it produces a more cost-effective reduction in solid fuel use.","DOI":"10.1016/j.enpol.2017.11.041","ISSN":"0301-4215","journalAbbreviation":"Energy Policy","author":[{"family":"Irfan","given":"Muhammad"},{"family":"Cameron","given":"Michael P."},{"family":"Hassan","given":"Gazi"}],"issued":{"date-parts":[["2018",2,1]]}}}],"schema":"https://github.com/citation-style-language/schema/raw/master/csl-citation.json"} </w:instrText>
      </w:r>
      <w:r w:rsidR="00467FE6">
        <w:rPr>
          <w:rFonts w:asciiTheme="majorBidi" w:hAnsiTheme="majorBidi" w:cstheme="majorBidi"/>
          <w:color w:val="FF0000"/>
        </w:rPr>
        <w:fldChar w:fldCharType="separate"/>
      </w:r>
      <w:r w:rsidR="00467FE6">
        <w:t>Irfan et al.</w:t>
      </w:r>
      <w:r w:rsidR="00467FE6" w:rsidRPr="00CE3E1F">
        <w:t xml:space="preserve"> </w:t>
      </w:r>
      <w:r w:rsidR="00467FE6">
        <w:t>(</w:t>
      </w:r>
      <w:r w:rsidR="00467FE6" w:rsidRPr="00CE3E1F">
        <w:t>2018)</w:t>
      </w:r>
      <w:r w:rsidR="00467FE6">
        <w:rPr>
          <w:rFonts w:asciiTheme="majorBidi" w:hAnsiTheme="majorBidi" w:cstheme="majorBidi"/>
          <w:color w:val="FF0000"/>
        </w:rPr>
        <w:fldChar w:fldCharType="end"/>
      </w:r>
      <w:r w:rsidR="00467FE6" w:rsidRPr="00CE3E1F">
        <w:rPr>
          <w:rFonts w:asciiTheme="majorBidi" w:hAnsiTheme="majorBidi" w:cstheme="majorBidi"/>
          <w:color w:val="FF0000"/>
        </w:rPr>
        <w:t xml:space="preserve"> </w:t>
      </w:r>
      <w:r w:rsidR="00467FE6" w:rsidRPr="00FF1F9E">
        <w:rPr>
          <w:rFonts w:asciiTheme="majorBidi" w:hAnsiTheme="majorBidi" w:cstheme="majorBidi"/>
        </w:rPr>
        <w:t>recently noted for Pakistan, income growth or development alone will not be sufficient to switch households, particularly households in rural areas, to cleaner fuel use</w:t>
      </w:r>
      <w:r w:rsidR="0093570A" w:rsidRPr="00467FE6">
        <w:t>.</w:t>
      </w:r>
    </w:p>
    <w:p w14:paraId="2C4F7AE5" w14:textId="77777777" w:rsidR="00C925C5" w:rsidRPr="00467FE6" w:rsidRDefault="00C925C5" w:rsidP="002E076A">
      <w:pPr>
        <w:tabs>
          <w:tab w:val="left" w:pos="567"/>
        </w:tabs>
        <w:spacing w:line="300" w:lineRule="auto"/>
        <w:ind w:firstLine="720"/>
        <w:jc w:val="both"/>
      </w:pPr>
    </w:p>
    <w:p w14:paraId="0AAE7CD0" w14:textId="6E0C613F" w:rsidR="00350A25" w:rsidRPr="00467FE6" w:rsidRDefault="00467FE6" w:rsidP="002E076A">
      <w:pPr>
        <w:tabs>
          <w:tab w:val="left" w:pos="567"/>
        </w:tabs>
        <w:spacing w:line="300" w:lineRule="auto"/>
        <w:ind w:firstLine="720"/>
        <w:jc w:val="both"/>
      </w:pPr>
      <w:r w:rsidRPr="00FF1F9E">
        <w:rPr>
          <w:rFonts w:asciiTheme="majorBidi" w:hAnsiTheme="majorBidi" w:cstheme="majorBidi"/>
        </w:rPr>
        <w:t xml:space="preserve">Our results only demonstrate the benefits of reducing solid fuel use (and even then, only the benefits captured from direct health gains and not those resulting from environmental quality improvements). </w:t>
      </w:r>
      <w:r w:rsidR="00CA21A9">
        <w:rPr>
          <w:rFonts w:asciiTheme="majorBidi" w:hAnsiTheme="majorBidi" w:cstheme="majorBidi"/>
        </w:rPr>
        <w:t xml:space="preserve"> </w:t>
      </w:r>
      <w:r w:rsidRPr="00FF1F9E">
        <w:rPr>
          <w:rFonts w:asciiTheme="majorBidi" w:hAnsiTheme="majorBidi" w:cstheme="majorBidi"/>
        </w:rPr>
        <w:t xml:space="preserve">Governments will need to weigh the potential benefits of reducing solid fuel consumption against the costs of doing so. The costs are especially salient for poor and middle-income countries, where government budget constraints may be especially severe. There may also be a role for the international community in reducing mortality from indoor air </w:t>
      </w:r>
      <w:r w:rsidRPr="00FF1F9E">
        <w:rPr>
          <w:rFonts w:asciiTheme="majorBidi" w:hAnsiTheme="majorBidi" w:cstheme="majorBidi"/>
        </w:rPr>
        <w:lastRenderedPageBreak/>
        <w:t>pollution. Interventions in low-income countries that are demonstrated to have a high benefit-cost ratio, but where government budget constraints prevent investment, may need to be subsidized or provided by international donors.  Given the substantial potential health gains, and the high and unequal health burden currently arising from indoor air pollution, urgent action is required</w:t>
      </w:r>
      <w:r w:rsidR="00E365A5" w:rsidRPr="00467FE6">
        <w:t>.</w:t>
      </w:r>
    </w:p>
    <w:p w14:paraId="76CF31E6" w14:textId="39B1AB10" w:rsidR="00FF1F9E" w:rsidRPr="00467FE6" w:rsidRDefault="00FF1F9E" w:rsidP="002E076A">
      <w:pPr>
        <w:tabs>
          <w:tab w:val="left" w:pos="567"/>
        </w:tabs>
        <w:spacing w:line="300" w:lineRule="auto"/>
        <w:rPr>
          <w:lang w:val="en-NZ"/>
        </w:rPr>
      </w:pPr>
    </w:p>
    <w:p w14:paraId="6FFC4998" w14:textId="77777777" w:rsidR="00953B60" w:rsidRPr="00467FE6" w:rsidRDefault="00953B60" w:rsidP="002E076A">
      <w:pPr>
        <w:tabs>
          <w:tab w:val="left" w:pos="567"/>
        </w:tabs>
        <w:spacing w:line="300" w:lineRule="auto"/>
        <w:rPr>
          <w:lang w:val="en-NZ"/>
        </w:rPr>
      </w:pPr>
    </w:p>
    <w:p w14:paraId="2254C67C" w14:textId="40C8EA3E" w:rsidR="000B5C3B" w:rsidRPr="00467FE6" w:rsidRDefault="000B5C3B" w:rsidP="002E076A">
      <w:pPr>
        <w:tabs>
          <w:tab w:val="left" w:pos="567"/>
        </w:tabs>
        <w:spacing w:line="300" w:lineRule="auto"/>
        <w:rPr>
          <w:b/>
          <w:bCs/>
          <w:lang w:val="en-NZ"/>
        </w:rPr>
      </w:pPr>
      <w:r w:rsidRPr="00467FE6">
        <w:rPr>
          <w:b/>
          <w:bCs/>
          <w:lang w:val="en-NZ"/>
        </w:rPr>
        <w:t>References</w:t>
      </w:r>
      <w:bookmarkEnd w:id="3"/>
    </w:p>
    <w:p w14:paraId="6B2AEDCB" w14:textId="77777777" w:rsidR="00953B60" w:rsidRPr="00467FE6" w:rsidRDefault="00953B60" w:rsidP="00403B5D">
      <w:pPr>
        <w:pStyle w:val="Bibliography"/>
        <w:tabs>
          <w:tab w:val="left" w:pos="567"/>
        </w:tabs>
        <w:spacing w:after="60" w:line="240" w:lineRule="auto"/>
        <w:ind w:left="567" w:hanging="567"/>
        <w:jc w:val="both"/>
        <w:rPr>
          <w:b/>
          <w:sz w:val="12"/>
          <w:szCs w:val="12"/>
        </w:rPr>
      </w:pPr>
    </w:p>
    <w:p w14:paraId="75823813" w14:textId="3CA042AE" w:rsidR="00E86638" w:rsidRPr="00467FE6" w:rsidRDefault="009B57B3" w:rsidP="00403B5D">
      <w:pPr>
        <w:pStyle w:val="Bibliography"/>
        <w:tabs>
          <w:tab w:val="left" w:pos="567"/>
        </w:tabs>
        <w:spacing w:after="60" w:line="240" w:lineRule="auto"/>
        <w:ind w:left="567" w:hanging="567"/>
        <w:jc w:val="both"/>
        <w:rPr>
          <w:sz w:val="22"/>
          <w:szCs w:val="22"/>
        </w:rPr>
      </w:pPr>
      <w:r w:rsidRPr="00467FE6">
        <w:rPr>
          <w:b/>
          <w:sz w:val="22"/>
          <w:szCs w:val="22"/>
        </w:rPr>
        <w:fldChar w:fldCharType="begin"/>
      </w:r>
      <w:r w:rsidR="00F26A99" w:rsidRPr="00467FE6">
        <w:rPr>
          <w:b/>
          <w:sz w:val="22"/>
          <w:szCs w:val="22"/>
          <w:lang w:val="en-NZ"/>
        </w:rPr>
        <w:instrText xml:space="preserve"> ADDIN ZOTERO_BIBL {"custom":[]} CSL_BIBLIOGRAPHY </w:instrText>
      </w:r>
      <w:r w:rsidRPr="00467FE6">
        <w:rPr>
          <w:b/>
          <w:sz w:val="22"/>
          <w:szCs w:val="22"/>
        </w:rPr>
        <w:fldChar w:fldCharType="separate"/>
      </w:r>
      <w:r w:rsidR="00E86638" w:rsidRPr="00467FE6">
        <w:rPr>
          <w:sz w:val="22"/>
          <w:szCs w:val="22"/>
        </w:rPr>
        <w:t xml:space="preserve">Acharya, P., Mishra, S. R., </w:t>
      </w:r>
      <w:r w:rsidR="004D3F41" w:rsidRPr="00467FE6">
        <w:rPr>
          <w:sz w:val="22"/>
          <w:szCs w:val="22"/>
        </w:rPr>
        <w:t>and</w:t>
      </w:r>
      <w:r w:rsidR="00E86638" w:rsidRPr="00467FE6">
        <w:rPr>
          <w:sz w:val="22"/>
          <w:szCs w:val="22"/>
        </w:rPr>
        <w:t xml:space="preserve"> Berg-Beckhoff, G. (2014). Solid Fuel in Kitchen and Acute Respiratory Tract Infection Among Under Five Children: Evidence from Nepal Demographic and Health Survey 2011. </w:t>
      </w:r>
      <w:r w:rsidR="00E86638" w:rsidRPr="00467FE6">
        <w:rPr>
          <w:i/>
          <w:iCs/>
          <w:sz w:val="22"/>
          <w:szCs w:val="22"/>
        </w:rPr>
        <w:t>Journal of Community Health</w:t>
      </w:r>
      <w:r w:rsidR="00E86638" w:rsidRPr="00467FE6">
        <w:rPr>
          <w:sz w:val="22"/>
          <w:szCs w:val="22"/>
        </w:rPr>
        <w:t xml:space="preserve">, </w:t>
      </w:r>
      <w:r w:rsidR="00E86638" w:rsidRPr="00467FE6">
        <w:rPr>
          <w:i/>
          <w:iCs/>
          <w:sz w:val="22"/>
          <w:szCs w:val="22"/>
        </w:rPr>
        <w:t>40</w:t>
      </w:r>
      <w:r w:rsidR="00E86638" w:rsidRPr="00467FE6">
        <w:rPr>
          <w:sz w:val="22"/>
          <w:szCs w:val="22"/>
        </w:rPr>
        <w:t>(3), 515–521. https://doi.org/10.1007/s10900-014-9965-0</w:t>
      </w:r>
    </w:p>
    <w:p w14:paraId="2EBE7348" w14:textId="77777777" w:rsidR="006B4FE7" w:rsidRPr="00467FE6" w:rsidRDefault="00E86638" w:rsidP="00403B5D">
      <w:pPr>
        <w:pStyle w:val="Bibliography"/>
        <w:tabs>
          <w:tab w:val="left" w:pos="567"/>
        </w:tabs>
        <w:spacing w:line="240" w:lineRule="auto"/>
        <w:ind w:left="567" w:hanging="567"/>
        <w:jc w:val="both"/>
        <w:rPr>
          <w:sz w:val="22"/>
          <w:szCs w:val="22"/>
        </w:rPr>
      </w:pPr>
      <w:r w:rsidRPr="00467FE6">
        <w:rPr>
          <w:sz w:val="22"/>
          <w:szCs w:val="22"/>
        </w:rPr>
        <w:t xml:space="preserve">Arnold, J. E. M., Köhlin, G., </w:t>
      </w:r>
      <w:r w:rsidR="004D3F41" w:rsidRPr="00467FE6">
        <w:rPr>
          <w:sz w:val="22"/>
          <w:szCs w:val="22"/>
        </w:rPr>
        <w:t>and</w:t>
      </w:r>
      <w:r w:rsidRPr="00467FE6">
        <w:rPr>
          <w:sz w:val="22"/>
          <w:szCs w:val="22"/>
        </w:rPr>
        <w:t xml:space="preserve"> Persson, R. (2006). Woodfuels, livelihoods, and policy interventions: Changing Perspectives. </w:t>
      </w:r>
      <w:r w:rsidRPr="00467FE6">
        <w:rPr>
          <w:i/>
          <w:iCs/>
          <w:sz w:val="22"/>
          <w:szCs w:val="22"/>
        </w:rPr>
        <w:t>World Development</w:t>
      </w:r>
      <w:r w:rsidRPr="00467FE6">
        <w:rPr>
          <w:sz w:val="22"/>
          <w:szCs w:val="22"/>
        </w:rPr>
        <w:t xml:space="preserve">, </w:t>
      </w:r>
      <w:r w:rsidRPr="00467FE6">
        <w:rPr>
          <w:i/>
          <w:iCs/>
          <w:sz w:val="22"/>
          <w:szCs w:val="22"/>
        </w:rPr>
        <w:t>34</w:t>
      </w:r>
      <w:r w:rsidRPr="00467FE6">
        <w:rPr>
          <w:sz w:val="22"/>
          <w:szCs w:val="22"/>
        </w:rPr>
        <w:t xml:space="preserve">(3), 596–611. </w:t>
      </w:r>
    </w:p>
    <w:p w14:paraId="1FAE280A" w14:textId="5B596D18" w:rsidR="00E86638" w:rsidRPr="00467FE6" w:rsidRDefault="006B4FE7" w:rsidP="00403B5D">
      <w:pPr>
        <w:pStyle w:val="Bibliography"/>
        <w:tabs>
          <w:tab w:val="left" w:pos="567"/>
        </w:tabs>
        <w:spacing w:after="60" w:line="240" w:lineRule="auto"/>
        <w:ind w:left="567" w:hanging="567"/>
        <w:jc w:val="both"/>
        <w:rPr>
          <w:sz w:val="22"/>
          <w:szCs w:val="22"/>
        </w:rPr>
      </w:pPr>
      <w:r w:rsidRPr="00467FE6">
        <w:rPr>
          <w:sz w:val="22"/>
          <w:szCs w:val="22"/>
        </w:rPr>
        <w:tab/>
      </w:r>
      <w:r w:rsidR="00E86638" w:rsidRPr="00467FE6">
        <w:rPr>
          <w:sz w:val="22"/>
          <w:szCs w:val="22"/>
        </w:rPr>
        <w:t>https://doi.org/10.1016/j.worlddev.2005.08.008</w:t>
      </w:r>
    </w:p>
    <w:p w14:paraId="7742DA47" w14:textId="70DECF81"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Barnes, B., Mathee, A., Thomas, E., </w:t>
      </w:r>
      <w:r w:rsidR="004D3F41" w:rsidRPr="00467FE6">
        <w:rPr>
          <w:sz w:val="22"/>
          <w:szCs w:val="22"/>
        </w:rPr>
        <w:t>and</w:t>
      </w:r>
      <w:r w:rsidRPr="00467FE6">
        <w:rPr>
          <w:sz w:val="22"/>
          <w:szCs w:val="22"/>
        </w:rPr>
        <w:t xml:space="preserve"> Bruce, N. (2009). Household energy, indoor air pollution and child respiratory health in South Africa. </w:t>
      </w:r>
      <w:r w:rsidRPr="00467FE6">
        <w:rPr>
          <w:i/>
          <w:iCs/>
          <w:sz w:val="22"/>
          <w:szCs w:val="22"/>
        </w:rPr>
        <w:t>Journal of Energy in Southern Africa</w:t>
      </w:r>
      <w:r w:rsidRPr="00467FE6">
        <w:rPr>
          <w:sz w:val="22"/>
          <w:szCs w:val="22"/>
        </w:rPr>
        <w:t xml:space="preserve">, </w:t>
      </w:r>
      <w:r w:rsidRPr="00467FE6">
        <w:rPr>
          <w:i/>
          <w:iCs/>
          <w:sz w:val="22"/>
          <w:szCs w:val="22"/>
        </w:rPr>
        <w:t>20</w:t>
      </w:r>
      <w:r w:rsidRPr="00467FE6">
        <w:rPr>
          <w:sz w:val="22"/>
          <w:szCs w:val="22"/>
        </w:rPr>
        <w:t>(1), 4–13.</w:t>
      </w:r>
    </w:p>
    <w:p w14:paraId="07048D5D" w14:textId="77777777" w:rsidR="006B4FE7" w:rsidRPr="00467FE6" w:rsidRDefault="00E86638" w:rsidP="00D4754F">
      <w:pPr>
        <w:pStyle w:val="Bibliography"/>
        <w:tabs>
          <w:tab w:val="left" w:pos="567"/>
        </w:tabs>
        <w:spacing w:line="240" w:lineRule="auto"/>
        <w:ind w:left="567" w:hanging="567"/>
        <w:jc w:val="both"/>
        <w:rPr>
          <w:sz w:val="22"/>
          <w:szCs w:val="22"/>
        </w:rPr>
      </w:pPr>
      <w:r w:rsidRPr="00467FE6">
        <w:rPr>
          <w:sz w:val="22"/>
          <w:szCs w:val="22"/>
        </w:rPr>
        <w:t xml:space="preserve">Berman, S. (1991). Epidemiology of Acute Respiratory Infections in Children of Developing Countries. </w:t>
      </w:r>
      <w:r w:rsidRPr="00467FE6">
        <w:rPr>
          <w:i/>
          <w:iCs/>
          <w:sz w:val="22"/>
          <w:szCs w:val="22"/>
        </w:rPr>
        <w:t>Reviews of Infectious Diseases</w:t>
      </w:r>
      <w:r w:rsidRPr="00467FE6">
        <w:rPr>
          <w:sz w:val="22"/>
          <w:szCs w:val="22"/>
        </w:rPr>
        <w:t xml:space="preserve">, </w:t>
      </w:r>
      <w:r w:rsidRPr="00467FE6">
        <w:rPr>
          <w:i/>
          <w:iCs/>
          <w:sz w:val="22"/>
          <w:szCs w:val="22"/>
        </w:rPr>
        <w:t>13</w:t>
      </w:r>
      <w:r w:rsidRPr="00467FE6">
        <w:rPr>
          <w:sz w:val="22"/>
          <w:szCs w:val="22"/>
        </w:rPr>
        <w:t>(Supplement_6), S454–S462.</w:t>
      </w:r>
    </w:p>
    <w:p w14:paraId="5ABCBD0B" w14:textId="54AFE6AD" w:rsidR="00E86638" w:rsidRPr="00467FE6" w:rsidRDefault="00E86638" w:rsidP="00D4754F">
      <w:pPr>
        <w:pStyle w:val="Bibliography"/>
        <w:tabs>
          <w:tab w:val="left" w:pos="567"/>
        </w:tabs>
        <w:spacing w:after="60" w:line="240" w:lineRule="auto"/>
        <w:ind w:left="567" w:hanging="567"/>
        <w:jc w:val="both"/>
        <w:rPr>
          <w:sz w:val="22"/>
          <w:szCs w:val="22"/>
        </w:rPr>
      </w:pPr>
      <w:r w:rsidRPr="00467FE6">
        <w:rPr>
          <w:sz w:val="22"/>
          <w:szCs w:val="22"/>
        </w:rPr>
        <w:t xml:space="preserve"> </w:t>
      </w:r>
      <w:r w:rsidR="006B4FE7" w:rsidRPr="00467FE6">
        <w:rPr>
          <w:sz w:val="22"/>
          <w:szCs w:val="22"/>
        </w:rPr>
        <w:tab/>
      </w:r>
      <w:r w:rsidRPr="00467FE6">
        <w:rPr>
          <w:sz w:val="22"/>
          <w:szCs w:val="22"/>
        </w:rPr>
        <w:t>https://doi.org/10.1093/clinids/13.Supplement_6.S454</w:t>
      </w:r>
    </w:p>
    <w:p w14:paraId="15AD3487" w14:textId="4E5E464F"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Bloom, D. E., Zaidi, A. K. M., </w:t>
      </w:r>
      <w:r w:rsidR="004D3F41" w:rsidRPr="00467FE6">
        <w:rPr>
          <w:sz w:val="22"/>
          <w:szCs w:val="22"/>
        </w:rPr>
        <w:t>and</w:t>
      </w:r>
      <w:r w:rsidRPr="00467FE6">
        <w:rPr>
          <w:sz w:val="22"/>
          <w:szCs w:val="22"/>
        </w:rPr>
        <w:t xml:space="preserve"> Yeh, E. (2005). The demographic impact of biomass fuel use. </w:t>
      </w:r>
      <w:r w:rsidRPr="00467FE6">
        <w:rPr>
          <w:i/>
          <w:iCs/>
          <w:sz w:val="22"/>
          <w:szCs w:val="22"/>
        </w:rPr>
        <w:t>Energy for Sustainable Development</w:t>
      </w:r>
      <w:r w:rsidRPr="00467FE6">
        <w:rPr>
          <w:sz w:val="22"/>
          <w:szCs w:val="22"/>
        </w:rPr>
        <w:t xml:space="preserve">, </w:t>
      </w:r>
      <w:r w:rsidRPr="00467FE6">
        <w:rPr>
          <w:i/>
          <w:iCs/>
          <w:sz w:val="22"/>
          <w:szCs w:val="22"/>
        </w:rPr>
        <w:t>9</w:t>
      </w:r>
      <w:r w:rsidRPr="00467FE6">
        <w:rPr>
          <w:sz w:val="22"/>
          <w:szCs w:val="22"/>
        </w:rPr>
        <w:t>(3), 40–48. https://doi.org/10.1016/S0973-0826(08)60522-0</w:t>
      </w:r>
    </w:p>
    <w:p w14:paraId="30C4D73E" w14:textId="78A48909"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Bruce, N., Perez-Padilla, R., </w:t>
      </w:r>
      <w:r w:rsidR="004D3F41" w:rsidRPr="00467FE6">
        <w:rPr>
          <w:sz w:val="22"/>
          <w:szCs w:val="22"/>
        </w:rPr>
        <w:t>and</w:t>
      </w:r>
      <w:r w:rsidRPr="00467FE6">
        <w:rPr>
          <w:sz w:val="22"/>
          <w:szCs w:val="22"/>
        </w:rPr>
        <w:t xml:space="preserve"> Albalak, R. (2000). Indoor air pollution in developing countries: a major environmental and public health challenge. </w:t>
      </w:r>
      <w:r w:rsidRPr="00467FE6">
        <w:rPr>
          <w:i/>
          <w:iCs/>
          <w:sz w:val="22"/>
          <w:szCs w:val="22"/>
        </w:rPr>
        <w:t>Bulletin of the World Health Organization</w:t>
      </w:r>
      <w:r w:rsidRPr="00467FE6">
        <w:rPr>
          <w:sz w:val="22"/>
          <w:szCs w:val="22"/>
        </w:rPr>
        <w:t xml:space="preserve">, </w:t>
      </w:r>
      <w:r w:rsidRPr="00467FE6">
        <w:rPr>
          <w:i/>
          <w:iCs/>
          <w:sz w:val="22"/>
          <w:szCs w:val="22"/>
        </w:rPr>
        <w:t>78</w:t>
      </w:r>
      <w:r w:rsidRPr="00467FE6">
        <w:rPr>
          <w:sz w:val="22"/>
          <w:szCs w:val="22"/>
        </w:rPr>
        <w:t>(9), 1078–1092. https://doi.org/10.1590/S0042-96862000000900004</w:t>
      </w:r>
    </w:p>
    <w:p w14:paraId="5BA81558" w14:textId="77777777" w:rsidR="00403B5D" w:rsidRPr="00467FE6" w:rsidRDefault="00E86638" w:rsidP="00403B5D">
      <w:pPr>
        <w:pStyle w:val="Bibliography"/>
        <w:tabs>
          <w:tab w:val="left" w:pos="567"/>
        </w:tabs>
        <w:spacing w:line="240" w:lineRule="auto"/>
        <w:ind w:left="567" w:hanging="567"/>
        <w:jc w:val="both"/>
        <w:rPr>
          <w:sz w:val="22"/>
          <w:szCs w:val="22"/>
        </w:rPr>
      </w:pPr>
      <w:r w:rsidRPr="00467FE6">
        <w:rPr>
          <w:sz w:val="22"/>
          <w:szCs w:val="22"/>
        </w:rPr>
        <w:t xml:space="preserve">Cooper, J. A. (1980). Environmental Impact of Residential Wood Combustion Emissions and its Implications. </w:t>
      </w:r>
      <w:r w:rsidRPr="00467FE6">
        <w:rPr>
          <w:i/>
          <w:iCs/>
          <w:sz w:val="22"/>
          <w:szCs w:val="22"/>
        </w:rPr>
        <w:t>Journal of the Air Pollution Control Association</w:t>
      </w:r>
      <w:r w:rsidRPr="00467FE6">
        <w:rPr>
          <w:sz w:val="22"/>
          <w:szCs w:val="22"/>
        </w:rPr>
        <w:t xml:space="preserve">, </w:t>
      </w:r>
      <w:r w:rsidRPr="00467FE6">
        <w:rPr>
          <w:i/>
          <w:iCs/>
          <w:sz w:val="22"/>
          <w:szCs w:val="22"/>
        </w:rPr>
        <w:t>30</w:t>
      </w:r>
      <w:r w:rsidRPr="00467FE6">
        <w:rPr>
          <w:sz w:val="22"/>
          <w:szCs w:val="22"/>
        </w:rPr>
        <w:t>(8), 855–861.</w:t>
      </w:r>
    </w:p>
    <w:p w14:paraId="0A8221D8" w14:textId="5A47A530"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 </w:t>
      </w:r>
      <w:r w:rsidR="00403B5D" w:rsidRPr="00467FE6">
        <w:rPr>
          <w:sz w:val="22"/>
          <w:szCs w:val="22"/>
        </w:rPr>
        <w:tab/>
      </w:r>
      <w:r w:rsidRPr="00467FE6">
        <w:rPr>
          <w:sz w:val="22"/>
          <w:szCs w:val="22"/>
        </w:rPr>
        <w:t>https://doi.org/10.1080/00022470.1980.10465119</w:t>
      </w:r>
    </w:p>
    <w:p w14:paraId="1E7E1C59" w14:textId="77777777" w:rsidR="00FD2332" w:rsidRPr="00467FE6" w:rsidRDefault="00E86638" w:rsidP="00403B5D">
      <w:pPr>
        <w:pStyle w:val="Bibliography"/>
        <w:tabs>
          <w:tab w:val="left" w:pos="567"/>
        </w:tabs>
        <w:spacing w:line="240" w:lineRule="auto"/>
        <w:ind w:left="567" w:hanging="567"/>
        <w:jc w:val="both"/>
        <w:rPr>
          <w:sz w:val="22"/>
          <w:szCs w:val="22"/>
        </w:rPr>
      </w:pPr>
      <w:r w:rsidRPr="00467FE6">
        <w:rPr>
          <w:sz w:val="22"/>
          <w:szCs w:val="22"/>
        </w:rPr>
        <w:t xml:space="preserve">Edwards, J. H. Y., </w:t>
      </w:r>
      <w:r w:rsidR="004D3F41" w:rsidRPr="00467FE6">
        <w:rPr>
          <w:sz w:val="22"/>
          <w:szCs w:val="22"/>
        </w:rPr>
        <w:t>and</w:t>
      </w:r>
      <w:r w:rsidRPr="00467FE6">
        <w:rPr>
          <w:sz w:val="22"/>
          <w:szCs w:val="22"/>
        </w:rPr>
        <w:t xml:space="preserve"> Langpap, C. (2012). Fuel choice, indoor air pollution and children’s health. </w:t>
      </w:r>
      <w:r w:rsidRPr="00467FE6">
        <w:rPr>
          <w:i/>
          <w:iCs/>
          <w:sz w:val="22"/>
          <w:szCs w:val="22"/>
        </w:rPr>
        <w:t>Environment and Development Economics</w:t>
      </w:r>
      <w:r w:rsidRPr="00467FE6">
        <w:rPr>
          <w:sz w:val="22"/>
          <w:szCs w:val="22"/>
        </w:rPr>
        <w:t xml:space="preserve">, </w:t>
      </w:r>
      <w:r w:rsidRPr="00467FE6">
        <w:rPr>
          <w:i/>
          <w:iCs/>
          <w:sz w:val="22"/>
          <w:szCs w:val="22"/>
        </w:rPr>
        <w:t>17</w:t>
      </w:r>
      <w:r w:rsidRPr="00467FE6">
        <w:rPr>
          <w:sz w:val="22"/>
          <w:szCs w:val="22"/>
        </w:rPr>
        <w:t xml:space="preserve">(4), 379–406. </w:t>
      </w:r>
    </w:p>
    <w:p w14:paraId="3D591769" w14:textId="67123E7F" w:rsidR="00E86638" w:rsidRPr="00467FE6" w:rsidRDefault="00FD2332" w:rsidP="00403B5D">
      <w:pPr>
        <w:pStyle w:val="Bibliography"/>
        <w:tabs>
          <w:tab w:val="left" w:pos="567"/>
        </w:tabs>
        <w:spacing w:after="60" w:line="240" w:lineRule="auto"/>
        <w:ind w:left="567" w:hanging="567"/>
        <w:jc w:val="both"/>
        <w:rPr>
          <w:sz w:val="22"/>
          <w:szCs w:val="22"/>
        </w:rPr>
      </w:pPr>
      <w:r w:rsidRPr="00467FE6">
        <w:rPr>
          <w:sz w:val="22"/>
          <w:szCs w:val="22"/>
        </w:rPr>
        <w:tab/>
      </w:r>
      <w:r w:rsidR="00E86638" w:rsidRPr="00467FE6">
        <w:rPr>
          <w:sz w:val="22"/>
          <w:szCs w:val="22"/>
        </w:rPr>
        <w:t>http://dx.doi.org.ezproxy.waikato.ac.nz/10.1017/S1355770X12000010</w:t>
      </w:r>
    </w:p>
    <w:p w14:paraId="1DE3FCF9" w14:textId="28C10A41"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lang w:val="de-DE"/>
        </w:rPr>
        <w:t xml:space="preserve">Ezzati, M., </w:t>
      </w:r>
      <w:r w:rsidR="004D3F41" w:rsidRPr="00467FE6">
        <w:rPr>
          <w:sz w:val="22"/>
          <w:szCs w:val="22"/>
          <w:lang w:val="de-DE"/>
        </w:rPr>
        <w:t>and</w:t>
      </w:r>
      <w:r w:rsidRPr="00467FE6">
        <w:rPr>
          <w:sz w:val="22"/>
          <w:szCs w:val="22"/>
          <w:lang w:val="de-DE"/>
        </w:rPr>
        <w:t xml:space="preserve"> Kammen, D. M. (2002). </w:t>
      </w:r>
      <w:r w:rsidRPr="00467FE6">
        <w:rPr>
          <w:sz w:val="22"/>
          <w:szCs w:val="22"/>
        </w:rPr>
        <w:t xml:space="preserve">The health impacts of exposure to indoor air pollution from solid fuels in developing countries: knowledge, gaps, and data needs. </w:t>
      </w:r>
      <w:r w:rsidRPr="00467FE6">
        <w:rPr>
          <w:i/>
          <w:iCs/>
          <w:sz w:val="22"/>
          <w:szCs w:val="22"/>
        </w:rPr>
        <w:t>Environmental Health Perspectives</w:t>
      </w:r>
      <w:r w:rsidRPr="00467FE6">
        <w:rPr>
          <w:sz w:val="22"/>
          <w:szCs w:val="22"/>
        </w:rPr>
        <w:t xml:space="preserve">, </w:t>
      </w:r>
      <w:r w:rsidRPr="00467FE6">
        <w:rPr>
          <w:i/>
          <w:iCs/>
          <w:sz w:val="22"/>
          <w:szCs w:val="22"/>
        </w:rPr>
        <w:t>110</w:t>
      </w:r>
      <w:r w:rsidRPr="00467FE6">
        <w:rPr>
          <w:sz w:val="22"/>
          <w:szCs w:val="22"/>
        </w:rPr>
        <w:t>(11), 1057–1068.</w:t>
      </w:r>
    </w:p>
    <w:p w14:paraId="4E6CB087" w14:textId="0A657BE5"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Hsiao, C., Hammond, P., </w:t>
      </w:r>
      <w:r w:rsidR="004D3F41" w:rsidRPr="00467FE6">
        <w:rPr>
          <w:sz w:val="22"/>
          <w:szCs w:val="22"/>
        </w:rPr>
        <w:t>and</w:t>
      </w:r>
      <w:r w:rsidRPr="00467FE6">
        <w:rPr>
          <w:sz w:val="22"/>
          <w:szCs w:val="22"/>
        </w:rPr>
        <w:t xml:space="preserve"> Holly, A. (2003). </w:t>
      </w:r>
      <w:r w:rsidRPr="00467FE6">
        <w:rPr>
          <w:i/>
          <w:iCs/>
          <w:sz w:val="22"/>
          <w:szCs w:val="22"/>
        </w:rPr>
        <w:t>Analysis of Panel Data</w:t>
      </w:r>
      <w:r w:rsidRPr="00467FE6">
        <w:rPr>
          <w:sz w:val="22"/>
          <w:szCs w:val="22"/>
        </w:rPr>
        <w:t>. Cambridge, Cambridge Universit</w:t>
      </w:r>
      <w:r w:rsidR="00FD2332" w:rsidRPr="00467FE6">
        <w:rPr>
          <w:sz w:val="22"/>
          <w:szCs w:val="22"/>
        </w:rPr>
        <w:t xml:space="preserve">y Press. </w:t>
      </w:r>
      <w:r w:rsidRPr="00467FE6">
        <w:rPr>
          <w:sz w:val="22"/>
          <w:szCs w:val="22"/>
        </w:rPr>
        <w:t>http://ebookcentral.proquest.com/lib/waikato/detail.action?docID=218160</w:t>
      </w:r>
    </w:p>
    <w:p w14:paraId="3ABCFD3D" w14:textId="77777777"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Imelda. (2018). Indoor Air Pollution and Infant Mortality: A New Approach. </w:t>
      </w:r>
      <w:r w:rsidRPr="00467FE6">
        <w:rPr>
          <w:i/>
          <w:iCs/>
          <w:sz w:val="22"/>
          <w:szCs w:val="22"/>
        </w:rPr>
        <w:t>AEA Papers and Proceedings</w:t>
      </w:r>
      <w:r w:rsidRPr="00467FE6">
        <w:rPr>
          <w:sz w:val="22"/>
          <w:szCs w:val="22"/>
        </w:rPr>
        <w:t xml:space="preserve">, </w:t>
      </w:r>
      <w:r w:rsidRPr="00467FE6">
        <w:rPr>
          <w:i/>
          <w:iCs/>
          <w:sz w:val="22"/>
          <w:szCs w:val="22"/>
        </w:rPr>
        <w:t>108</w:t>
      </w:r>
      <w:r w:rsidRPr="00467FE6">
        <w:rPr>
          <w:sz w:val="22"/>
          <w:szCs w:val="22"/>
        </w:rPr>
        <w:t>, 416–421. https://doi.org/10.1257/pandp.20181119</w:t>
      </w:r>
    </w:p>
    <w:p w14:paraId="1F680B79" w14:textId="4F645AE0"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Irfan, M., Cameron, M. P., </w:t>
      </w:r>
      <w:r w:rsidR="004D3F41" w:rsidRPr="00467FE6">
        <w:rPr>
          <w:sz w:val="22"/>
          <w:szCs w:val="22"/>
        </w:rPr>
        <w:t>and</w:t>
      </w:r>
      <w:r w:rsidR="00864EB4" w:rsidRPr="00467FE6">
        <w:rPr>
          <w:sz w:val="22"/>
          <w:szCs w:val="22"/>
        </w:rPr>
        <w:t xml:space="preserve"> Hassan, G. (2017</w:t>
      </w:r>
      <w:r w:rsidRPr="00467FE6">
        <w:rPr>
          <w:sz w:val="22"/>
          <w:szCs w:val="22"/>
        </w:rPr>
        <w:t xml:space="preserve">). </w:t>
      </w:r>
      <w:r w:rsidRPr="00467FE6">
        <w:rPr>
          <w:i/>
          <w:iCs/>
          <w:sz w:val="22"/>
          <w:szCs w:val="22"/>
        </w:rPr>
        <w:t>Households’ Energy Mix Selection in Pakistan</w:t>
      </w:r>
      <w:r w:rsidRPr="00467FE6">
        <w:rPr>
          <w:sz w:val="22"/>
          <w:szCs w:val="22"/>
        </w:rPr>
        <w:t xml:space="preserve"> (Working Papers in Economics No. 28/17). University of Waikato. Retrieved from https://ideas.repec.org/p/wai/econwp/28-17.html</w:t>
      </w:r>
    </w:p>
    <w:p w14:paraId="758CEF67" w14:textId="60812AAC"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Jan, I., Khan, H., </w:t>
      </w:r>
      <w:r w:rsidR="004D3F41" w:rsidRPr="00467FE6">
        <w:rPr>
          <w:sz w:val="22"/>
          <w:szCs w:val="22"/>
        </w:rPr>
        <w:t>and</w:t>
      </w:r>
      <w:r w:rsidRPr="00467FE6">
        <w:rPr>
          <w:sz w:val="22"/>
          <w:szCs w:val="22"/>
        </w:rPr>
        <w:t xml:space="preserve"> Hayat, S. (2012). Determinants of Rural Household Energy Choices: An Example from Pakistan. </w:t>
      </w:r>
      <w:r w:rsidRPr="00467FE6">
        <w:rPr>
          <w:i/>
          <w:iCs/>
          <w:sz w:val="22"/>
          <w:szCs w:val="22"/>
        </w:rPr>
        <w:t>Polish Journal of Environmental Studies</w:t>
      </w:r>
      <w:r w:rsidRPr="00467FE6">
        <w:rPr>
          <w:sz w:val="22"/>
          <w:szCs w:val="22"/>
        </w:rPr>
        <w:t xml:space="preserve">, </w:t>
      </w:r>
      <w:r w:rsidRPr="00467FE6">
        <w:rPr>
          <w:i/>
          <w:iCs/>
          <w:sz w:val="22"/>
          <w:szCs w:val="22"/>
        </w:rPr>
        <w:t>21</w:t>
      </w:r>
      <w:r w:rsidRPr="00467FE6">
        <w:rPr>
          <w:sz w:val="22"/>
          <w:szCs w:val="22"/>
        </w:rPr>
        <w:t>(3), 635–641.</w:t>
      </w:r>
    </w:p>
    <w:p w14:paraId="3AC94970" w14:textId="2D3EA574"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Jumbe, C. B. L., </w:t>
      </w:r>
      <w:r w:rsidR="004D3F41" w:rsidRPr="00467FE6">
        <w:rPr>
          <w:sz w:val="22"/>
          <w:szCs w:val="22"/>
        </w:rPr>
        <w:t>and</w:t>
      </w:r>
      <w:r w:rsidRPr="00467FE6">
        <w:rPr>
          <w:sz w:val="22"/>
          <w:szCs w:val="22"/>
        </w:rPr>
        <w:t xml:space="preserve"> Angelsen, A. (2011). Modeling choice of fuelwood source among rural households in Malawi: A multinomial probit analysis. </w:t>
      </w:r>
      <w:r w:rsidRPr="00467FE6">
        <w:rPr>
          <w:i/>
          <w:iCs/>
          <w:sz w:val="22"/>
          <w:szCs w:val="22"/>
        </w:rPr>
        <w:t>Energy Economics</w:t>
      </w:r>
      <w:r w:rsidRPr="00467FE6">
        <w:rPr>
          <w:sz w:val="22"/>
          <w:szCs w:val="22"/>
        </w:rPr>
        <w:t xml:space="preserve">, </w:t>
      </w:r>
      <w:r w:rsidRPr="00467FE6">
        <w:rPr>
          <w:i/>
          <w:iCs/>
          <w:sz w:val="22"/>
          <w:szCs w:val="22"/>
        </w:rPr>
        <w:t>33</w:t>
      </w:r>
      <w:r w:rsidRPr="00467FE6">
        <w:rPr>
          <w:sz w:val="22"/>
          <w:szCs w:val="22"/>
        </w:rPr>
        <w:t>(5), 732–738. https://doi.org/10.1016/j.eneco.2010.12.011</w:t>
      </w:r>
    </w:p>
    <w:p w14:paraId="571333D0" w14:textId="4F83B24D"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lastRenderedPageBreak/>
        <w:t xml:space="preserve">Khalequzzaman, M., Kamijima, M., Sakai, K., Chowdhury, N. A., Hamajima, N., </w:t>
      </w:r>
      <w:r w:rsidR="004D3F41" w:rsidRPr="00467FE6">
        <w:rPr>
          <w:sz w:val="22"/>
          <w:szCs w:val="22"/>
        </w:rPr>
        <w:t>and</w:t>
      </w:r>
      <w:r w:rsidRPr="00467FE6">
        <w:rPr>
          <w:sz w:val="22"/>
          <w:szCs w:val="22"/>
        </w:rPr>
        <w:t xml:space="preserve"> Nakajima, T. (2007). Indoor air pollution and its impact on children under five years old in Bangladesh. </w:t>
      </w:r>
      <w:r w:rsidRPr="00467FE6">
        <w:rPr>
          <w:i/>
          <w:iCs/>
          <w:sz w:val="22"/>
          <w:szCs w:val="22"/>
        </w:rPr>
        <w:t>Indoor Air</w:t>
      </w:r>
      <w:r w:rsidRPr="00467FE6">
        <w:rPr>
          <w:sz w:val="22"/>
          <w:szCs w:val="22"/>
        </w:rPr>
        <w:t xml:space="preserve">, </w:t>
      </w:r>
      <w:r w:rsidRPr="00467FE6">
        <w:rPr>
          <w:i/>
          <w:iCs/>
          <w:sz w:val="22"/>
          <w:szCs w:val="22"/>
        </w:rPr>
        <w:t>17</w:t>
      </w:r>
      <w:r w:rsidRPr="00467FE6">
        <w:rPr>
          <w:sz w:val="22"/>
          <w:szCs w:val="22"/>
        </w:rPr>
        <w:t>(4), 297–304. https://doi.org/10.1111/j.1600-0668.2007.00477.x</w:t>
      </w:r>
    </w:p>
    <w:p w14:paraId="16B7A282" w14:textId="071DA6AA"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Kim, K.-H., Jahan, S. A., </w:t>
      </w:r>
      <w:r w:rsidR="004D3F41" w:rsidRPr="00467FE6">
        <w:rPr>
          <w:sz w:val="22"/>
          <w:szCs w:val="22"/>
        </w:rPr>
        <w:t>and</w:t>
      </w:r>
      <w:r w:rsidRPr="00467FE6">
        <w:rPr>
          <w:sz w:val="22"/>
          <w:szCs w:val="22"/>
        </w:rPr>
        <w:t xml:space="preserve"> Kabir, E. (2011). A review of diseases associated with household air pollution due to the use of biomass fuels. </w:t>
      </w:r>
      <w:r w:rsidRPr="00467FE6">
        <w:rPr>
          <w:i/>
          <w:iCs/>
          <w:sz w:val="22"/>
          <w:szCs w:val="22"/>
        </w:rPr>
        <w:t>Journal of Hazardous Materials</w:t>
      </w:r>
      <w:r w:rsidRPr="00467FE6">
        <w:rPr>
          <w:sz w:val="22"/>
          <w:szCs w:val="22"/>
        </w:rPr>
        <w:t xml:space="preserve">, </w:t>
      </w:r>
      <w:r w:rsidRPr="00467FE6">
        <w:rPr>
          <w:i/>
          <w:iCs/>
          <w:sz w:val="22"/>
          <w:szCs w:val="22"/>
        </w:rPr>
        <w:t>192</w:t>
      </w:r>
      <w:r w:rsidRPr="00467FE6">
        <w:rPr>
          <w:sz w:val="22"/>
          <w:szCs w:val="22"/>
        </w:rPr>
        <w:t>(2), 425–431. https://doi.org/10.1016/j.jhazmat.2011.05.087</w:t>
      </w:r>
    </w:p>
    <w:p w14:paraId="1DE216F1" w14:textId="745836E9"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Lakshmi, P. V. M., Virdi, N. K., Thakur, J. S., Smith, K. R., Bates, M. N., </w:t>
      </w:r>
      <w:r w:rsidR="004D3F41" w:rsidRPr="00467FE6">
        <w:rPr>
          <w:sz w:val="22"/>
          <w:szCs w:val="22"/>
        </w:rPr>
        <w:t>and</w:t>
      </w:r>
      <w:r w:rsidRPr="00467FE6">
        <w:rPr>
          <w:sz w:val="22"/>
          <w:szCs w:val="22"/>
        </w:rPr>
        <w:t xml:space="preserve"> Kumar, R. (2012). Biomass fuel and risk of tuberculosis: a case—control study from Northern India. </w:t>
      </w:r>
      <w:r w:rsidRPr="00467FE6">
        <w:rPr>
          <w:i/>
          <w:iCs/>
          <w:sz w:val="22"/>
          <w:szCs w:val="22"/>
        </w:rPr>
        <w:t>Journal of Epidemiology and Community Health (1979-)</w:t>
      </w:r>
      <w:r w:rsidRPr="00467FE6">
        <w:rPr>
          <w:sz w:val="22"/>
          <w:szCs w:val="22"/>
        </w:rPr>
        <w:t xml:space="preserve">, </w:t>
      </w:r>
      <w:r w:rsidRPr="00467FE6">
        <w:rPr>
          <w:i/>
          <w:iCs/>
          <w:sz w:val="22"/>
          <w:szCs w:val="22"/>
        </w:rPr>
        <w:t>66</w:t>
      </w:r>
      <w:r w:rsidRPr="00467FE6">
        <w:rPr>
          <w:sz w:val="22"/>
          <w:szCs w:val="22"/>
        </w:rPr>
        <w:t>(5), 457–461.</w:t>
      </w:r>
    </w:p>
    <w:p w14:paraId="0596DA7F" w14:textId="575E4D73"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Landrigan, P. J., </w:t>
      </w:r>
      <w:r w:rsidR="004D3F41" w:rsidRPr="00467FE6">
        <w:rPr>
          <w:sz w:val="22"/>
          <w:szCs w:val="22"/>
        </w:rPr>
        <w:t>and</w:t>
      </w:r>
      <w:r w:rsidRPr="00467FE6">
        <w:rPr>
          <w:sz w:val="22"/>
          <w:szCs w:val="22"/>
        </w:rPr>
        <w:t xml:space="preserve"> Fuller, R. (2014). Environmental pollution: An enormous and invisible burden on health systems in low- and middle-income counties. </w:t>
      </w:r>
      <w:r w:rsidRPr="00467FE6">
        <w:rPr>
          <w:i/>
          <w:iCs/>
          <w:sz w:val="22"/>
          <w:szCs w:val="22"/>
        </w:rPr>
        <w:t>World Hospitals and Health Services: The Official Journal of the International Hospital Federation</w:t>
      </w:r>
      <w:r w:rsidRPr="00467FE6">
        <w:rPr>
          <w:sz w:val="22"/>
          <w:szCs w:val="22"/>
        </w:rPr>
        <w:t xml:space="preserve">, </w:t>
      </w:r>
      <w:r w:rsidRPr="00467FE6">
        <w:rPr>
          <w:i/>
          <w:iCs/>
          <w:sz w:val="22"/>
          <w:szCs w:val="22"/>
        </w:rPr>
        <w:t>50</w:t>
      </w:r>
      <w:r w:rsidRPr="00467FE6">
        <w:rPr>
          <w:sz w:val="22"/>
          <w:szCs w:val="22"/>
        </w:rPr>
        <w:t>(4), 35–40.</w:t>
      </w:r>
    </w:p>
    <w:p w14:paraId="6BB621FB" w14:textId="77777777" w:rsidR="00953B60" w:rsidRPr="00467FE6" w:rsidRDefault="00E86638" w:rsidP="00953B60">
      <w:pPr>
        <w:pStyle w:val="Bibliography"/>
        <w:tabs>
          <w:tab w:val="left" w:pos="567"/>
        </w:tabs>
        <w:spacing w:line="240" w:lineRule="auto"/>
        <w:ind w:left="567" w:hanging="567"/>
        <w:jc w:val="both"/>
        <w:rPr>
          <w:sz w:val="22"/>
          <w:szCs w:val="22"/>
        </w:rPr>
      </w:pPr>
      <w:r w:rsidRPr="00467FE6">
        <w:rPr>
          <w:sz w:val="22"/>
          <w:szCs w:val="22"/>
          <w:lang w:val="es-ES"/>
        </w:rPr>
        <w:t xml:space="preserve">Landrigan, P. J., Fuller, R., Acosta, N. J. R., Adeyi, O., Arnold, R., Basu, N. (Nil), … </w:t>
      </w:r>
      <w:r w:rsidRPr="00467FE6">
        <w:rPr>
          <w:sz w:val="22"/>
          <w:szCs w:val="22"/>
        </w:rPr>
        <w:t xml:space="preserve">Zhong, M. (n.d.). The Lancet Commission on pollution and health. </w:t>
      </w:r>
      <w:r w:rsidRPr="00467FE6">
        <w:rPr>
          <w:i/>
          <w:iCs/>
          <w:sz w:val="22"/>
          <w:szCs w:val="22"/>
        </w:rPr>
        <w:t>The Lancet</w:t>
      </w:r>
      <w:r w:rsidRPr="00467FE6">
        <w:rPr>
          <w:sz w:val="22"/>
          <w:szCs w:val="22"/>
        </w:rPr>
        <w:t xml:space="preserve">. </w:t>
      </w:r>
    </w:p>
    <w:p w14:paraId="0748DD6F" w14:textId="45429943" w:rsidR="00E86638" w:rsidRPr="00467FE6" w:rsidRDefault="00953B60" w:rsidP="00403B5D">
      <w:pPr>
        <w:pStyle w:val="Bibliography"/>
        <w:tabs>
          <w:tab w:val="left" w:pos="567"/>
        </w:tabs>
        <w:spacing w:after="60" w:line="240" w:lineRule="auto"/>
        <w:ind w:left="567" w:hanging="567"/>
        <w:jc w:val="both"/>
        <w:rPr>
          <w:sz w:val="22"/>
          <w:szCs w:val="22"/>
        </w:rPr>
      </w:pPr>
      <w:r w:rsidRPr="00467FE6">
        <w:rPr>
          <w:sz w:val="22"/>
          <w:szCs w:val="22"/>
        </w:rPr>
        <w:tab/>
      </w:r>
      <w:r w:rsidR="00E86638" w:rsidRPr="00467FE6">
        <w:rPr>
          <w:sz w:val="22"/>
          <w:szCs w:val="22"/>
        </w:rPr>
        <w:t>https://doi.org/10.1016/S0140-6736(17)32345-0</w:t>
      </w:r>
    </w:p>
    <w:p w14:paraId="574BB7DB" w14:textId="77777777" w:rsidR="00953B60" w:rsidRPr="00467FE6" w:rsidRDefault="00E86638" w:rsidP="00953B60">
      <w:pPr>
        <w:pStyle w:val="Bibliography"/>
        <w:tabs>
          <w:tab w:val="left" w:pos="567"/>
        </w:tabs>
        <w:spacing w:line="240" w:lineRule="auto"/>
        <w:ind w:left="567" w:hanging="567"/>
        <w:jc w:val="both"/>
        <w:rPr>
          <w:sz w:val="22"/>
          <w:szCs w:val="22"/>
        </w:rPr>
      </w:pPr>
      <w:r w:rsidRPr="00467FE6">
        <w:rPr>
          <w:sz w:val="22"/>
          <w:szCs w:val="22"/>
        </w:rPr>
        <w:t xml:space="preserve">Larson, B. A., </w:t>
      </w:r>
      <w:r w:rsidR="004D3F41" w:rsidRPr="00467FE6">
        <w:rPr>
          <w:sz w:val="22"/>
          <w:szCs w:val="22"/>
        </w:rPr>
        <w:t>and</w:t>
      </w:r>
      <w:r w:rsidRPr="00467FE6">
        <w:rPr>
          <w:sz w:val="22"/>
          <w:szCs w:val="22"/>
        </w:rPr>
        <w:t xml:space="preserve"> Rosen, S. (2002). Understanding household demand for indoor air pollution control in developing countries. </w:t>
      </w:r>
      <w:r w:rsidRPr="00467FE6">
        <w:rPr>
          <w:i/>
          <w:iCs/>
          <w:sz w:val="22"/>
          <w:szCs w:val="22"/>
        </w:rPr>
        <w:t xml:space="preserve">Social Science </w:t>
      </w:r>
      <w:r w:rsidR="004D3F41" w:rsidRPr="00467FE6">
        <w:rPr>
          <w:i/>
          <w:iCs/>
          <w:sz w:val="22"/>
          <w:szCs w:val="22"/>
        </w:rPr>
        <w:t>and</w:t>
      </w:r>
      <w:r w:rsidRPr="00467FE6">
        <w:rPr>
          <w:i/>
          <w:iCs/>
          <w:sz w:val="22"/>
          <w:szCs w:val="22"/>
        </w:rPr>
        <w:t xml:space="preserve"> Medicine</w:t>
      </w:r>
      <w:r w:rsidRPr="00467FE6">
        <w:rPr>
          <w:sz w:val="22"/>
          <w:szCs w:val="22"/>
        </w:rPr>
        <w:t xml:space="preserve">, </w:t>
      </w:r>
      <w:r w:rsidRPr="00467FE6">
        <w:rPr>
          <w:i/>
          <w:iCs/>
          <w:sz w:val="22"/>
          <w:szCs w:val="22"/>
        </w:rPr>
        <w:t>55</w:t>
      </w:r>
      <w:r w:rsidRPr="00467FE6">
        <w:rPr>
          <w:sz w:val="22"/>
          <w:szCs w:val="22"/>
        </w:rPr>
        <w:t>(4), 571–584.</w:t>
      </w:r>
    </w:p>
    <w:p w14:paraId="11638DA5" w14:textId="0ED938D5"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 </w:t>
      </w:r>
      <w:r w:rsidR="00953B60" w:rsidRPr="00467FE6">
        <w:rPr>
          <w:sz w:val="22"/>
          <w:szCs w:val="22"/>
        </w:rPr>
        <w:tab/>
      </w:r>
      <w:r w:rsidRPr="00467FE6">
        <w:rPr>
          <w:sz w:val="22"/>
          <w:szCs w:val="22"/>
        </w:rPr>
        <w:t>https://doi.org/10.1016/S0277-9536(01)00188-5</w:t>
      </w:r>
    </w:p>
    <w:p w14:paraId="333DADC3" w14:textId="77777777"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Lee, L. Y.-T. (2013). Household energy mix in Uganda. </w:t>
      </w:r>
      <w:r w:rsidRPr="00467FE6">
        <w:rPr>
          <w:i/>
          <w:iCs/>
          <w:sz w:val="22"/>
          <w:szCs w:val="22"/>
        </w:rPr>
        <w:t>Energy Economics</w:t>
      </w:r>
      <w:r w:rsidRPr="00467FE6">
        <w:rPr>
          <w:sz w:val="22"/>
          <w:szCs w:val="22"/>
        </w:rPr>
        <w:t xml:space="preserve">, </w:t>
      </w:r>
      <w:r w:rsidRPr="00467FE6">
        <w:rPr>
          <w:i/>
          <w:iCs/>
          <w:sz w:val="22"/>
          <w:szCs w:val="22"/>
        </w:rPr>
        <w:t>39</w:t>
      </w:r>
      <w:r w:rsidRPr="00467FE6">
        <w:rPr>
          <w:sz w:val="22"/>
          <w:szCs w:val="22"/>
        </w:rPr>
        <w:t>, 252–261. https://doi.org/10.1016/j.eneco.2013.05.010</w:t>
      </w:r>
    </w:p>
    <w:p w14:paraId="603FDBDE" w14:textId="77777777"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Mishra, V. (2003a). Effect of indoor air pollution from biomass combustion on prevalence of asthma in the elderly. </w:t>
      </w:r>
      <w:r w:rsidRPr="00467FE6">
        <w:rPr>
          <w:i/>
          <w:iCs/>
          <w:sz w:val="22"/>
          <w:szCs w:val="22"/>
        </w:rPr>
        <w:t>Environmental Health Perspectives</w:t>
      </w:r>
      <w:r w:rsidRPr="00467FE6">
        <w:rPr>
          <w:sz w:val="22"/>
          <w:szCs w:val="22"/>
        </w:rPr>
        <w:t xml:space="preserve">, </w:t>
      </w:r>
      <w:r w:rsidRPr="00467FE6">
        <w:rPr>
          <w:i/>
          <w:iCs/>
          <w:sz w:val="22"/>
          <w:szCs w:val="22"/>
        </w:rPr>
        <w:t>111</w:t>
      </w:r>
      <w:r w:rsidRPr="00467FE6">
        <w:rPr>
          <w:sz w:val="22"/>
          <w:szCs w:val="22"/>
        </w:rPr>
        <w:t>(1), 71–78.</w:t>
      </w:r>
    </w:p>
    <w:p w14:paraId="0CE2BF2D" w14:textId="77777777"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Mishra, V. (2003b). Indoor air pollution from biomass combustion and acute respiratory illness in preschool age children in Zimbabwe. </w:t>
      </w:r>
      <w:r w:rsidRPr="00467FE6">
        <w:rPr>
          <w:i/>
          <w:iCs/>
          <w:sz w:val="22"/>
          <w:szCs w:val="22"/>
        </w:rPr>
        <w:t>International Journal of Epidemiology</w:t>
      </w:r>
      <w:r w:rsidRPr="00467FE6">
        <w:rPr>
          <w:sz w:val="22"/>
          <w:szCs w:val="22"/>
        </w:rPr>
        <w:t xml:space="preserve">, </w:t>
      </w:r>
      <w:r w:rsidRPr="00467FE6">
        <w:rPr>
          <w:i/>
          <w:iCs/>
          <w:sz w:val="22"/>
          <w:szCs w:val="22"/>
        </w:rPr>
        <w:t>32</w:t>
      </w:r>
      <w:r w:rsidRPr="00467FE6">
        <w:rPr>
          <w:sz w:val="22"/>
          <w:szCs w:val="22"/>
        </w:rPr>
        <w:t>(5), 847–853. https://doi.org/10.1093/ije/dyg240</w:t>
      </w:r>
    </w:p>
    <w:p w14:paraId="71CCC78F" w14:textId="440D6E07"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Oluwole, O., Otaniyi, O. O., Ana, G. A., </w:t>
      </w:r>
      <w:r w:rsidR="004D3F41" w:rsidRPr="00467FE6">
        <w:rPr>
          <w:sz w:val="22"/>
          <w:szCs w:val="22"/>
        </w:rPr>
        <w:t>and</w:t>
      </w:r>
      <w:r w:rsidRPr="00467FE6">
        <w:rPr>
          <w:sz w:val="22"/>
          <w:szCs w:val="22"/>
        </w:rPr>
        <w:t xml:space="preserve"> Olopade, C. O. (2012). Indoor air pollution from biomass fuels: a major health hazard in developing countries. </w:t>
      </w:r>
      <w:r w:rsidRPr="00467FE6">
        <w:rPr>
          <w:i/>
          <w:iCs/>
          <w:sz w:val="22"/>
          <w:szCs w:val="22"/>
        </w:rPr>
        <w:t>Journal of Public Health</w:t>
      </w:r>
      <w:r w:rsidRPr="00467FE6">
        <w:rPr>
          <w:sz w:val="22"/>
          <w:szCs w:val="22"/>
        </w:rPr>
        <w:t xml:space="preserve">, </w:t>
      </w:r>
      <w:r w:rsidRPr="00467FE6">
        <w:rPr>
          <w:i/>
          <w:iCs/>
          <w:sz w:val="22"/>
          <w:szCs w:val="22"/>
        </w:rPr>
        <w:t>20</w:t>
      </w:r>
      <w:r w:rsidRPr="00467FE6">
        <w:rPr>
          <w:sz w:val="22"/>
          <w:szCs w:val="22"/>
        </w:rPr>
        <w:t>(6), 565–575. https://doi.org/10.1007/s10389-012-0511-1</w:t>
      </w:r>
    </w:p>
    <w:p w14:paraId="5810AB37" w14:textId="742BA5BF"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Pandey, M. R., Smith, K. R., Boleij, J. S. M., </w:t>
      </w:r>
      <w:r w:rsidR="004D3F41" w:rsidRPr="00467FE6">
        <w:rPr>
          <w:sz w:val="22"/>
          <w:szCs w:val="22"/>
        </w:rPr>
        <w:t>and</w:t>
      </w:r>
      <w:r w:rsidRPr="00467FE6">
        <w:rPr>
          <w:sz w:val="22"/>
          <w:szCs w:val="22"/>
        </w:rPr>
        <w:t xml:space="preserve"> Wafula, E. M. (1989). </w:t>
      </w:r>
      <w:r w:rsidR="00A24DFE" w:rsidRPr="00467FE6">
        <w:rPr>
          <w:sz w:val="22"/>
          <w:szCs w:val="22"/>
        </w:rPr>
        <w:t>Indoor Air Pollution in Developing Countries And Acute Respiratory Infection In Children.</w:t>
      </w:r>
      <w:r w:rsidRPr="00467FE6">
        <w:rPr>
          <w:sz w:val="22"/>
          <w:szCs w:val="22"/>
        </w:rPr>
        <w:t xml:space="preserve"> </w:t>
      </w:r>
      <w:r w:rsidRPr="00467FE6">
        <w:rPr>
          <w:i/>
          <w:iCs/>
          <w:sz w:val="22"/>
          <w:szCs w:val="22"/>
        </w:rPr>
        <w:t>The Lancet</w:t>
      </w:r>
      <w:r w:rsidRPr="00467FE6">
        <w:rPr>
          <w:sz w:val="22"/>
          <w:szCs w:val="22"/>
        </w:rPr>
        <w:t xml:space="preserve">, </w:t>
      </w:r>
      <w:r w:rsidRPr="00467FE6">
        <w:rPr>
          <w:i/>
          <w:iCs/>
          <w:sz w:val="22"/>
          <w:szCs w:val="22"/>
        </w:rPr>
        <w:t>333</w:t>
      </w:r>
      <w:r w:rsidRPr="00467FE6">
        <w:rPr>
          <w:sz w:val="22"/>
          <w:szCs w:val="22"/>
        </w:rPr>
        <w:t>(8635), 427–429. https://doi.org/10.1016/S0140-6736(89)90015-9</w:t>
      </w:r>
      <w:r w:rsidR="00A24DFE" w:rsidRPr="00467FE6">
        <w:rPr>
          <w:sz w:val="22"/>
          <w:szCs w:val="22"/>
        </w:rPr>
        <w:t>.</w:t>
      </w:r>
    </w:p>
    <w:p w14:paraId="7B3A3269" w14:textId="77777777" w:rsidR="00901EA2" w:rsidRPr="00467FE6" w:rsidRDefault="00E86638" w:rsidP="00901EA2">
      <w:pPr>
        <w:pStyle w:val="Bibliography"/>
        <w:tabs>
          <w:tab w:val="left" w:pos="567"/>
        </w:tabs>
        <w:spacing w:line="240" w:lineRule="auto"/>
        <w:ind w:left="567" w:hanging="567"/>
        <w:jc w:val="both"/>
        <w:rPr>
          <w:sz w:val="22"/>
          <w:szCs w:val="22"/>
        </w:rPr>
      </w:pPr>
      <w:r w:rsidRPr="00467FE6">
        <w:rPr>
          <w:sz w:val="22"/>
          <w:szCs w:val="22"/>
        </w:rPr>
        <w:t xml:space="preserve">Pope, C. A., Ezzati, M., </w:t>
      </w:r>
      <w:r w:rsidR="004D3F41" w:rsidRPr="00467FE6">
        <w:rPr>
          <w:sz w:val="22"/>
          <w:szCs w:val="22"/>
        </w:rPr>
        <w:t>and</w:t>
      </w:r>
      <w:r w:rsidRPr="00467FE6">
        <w:rPr>
          <w:sz w:val="22"/>
          <w:szCs w:val="22"/>
        </w:rPr>
        <w:t xml:space="preserve"> Dockery, D. W. (2009). Fine-Particulate Air Pollution and Life Expectancy in the United States. </w:t>
      </w:r>
      <w:r w:rsidRPr="00467FE6">
        <w:rPr>
          <w:i/>
          <w:iCs/>
          <w:sz w:val="22"/>
          <w:szCs w:val="22"/>
        </w:rPr>
        <w:t>New England Journal of Medicine</w:t>
      </w:r>
      <w:r w:rsidRPr="00467FE6">
        <w:rPr>
          <w:sz w:val="22"/>
          <w:szCs w:val="22"/>
        </w:rPr>
        <w:t xml:space="preserve">, </w:t>
      </w:r>
      <w:r w:rsidRPr="00467FE6">
        <w:rPr>
          <w:i/>
          <w:iCs/>
          <w:sz w:val="22"/>
          <w:szCs w:val="22"/>
        </w:rPr>
        <w:t>360</w:t>
      </w:r>
      <w:r w:rsidRPr="00467FE6">
        <w:rPr>
          <w:sz w:val="22"/>
          <w:szCs w:val="22"/>
        </w:rPr>
        <w:t>(4), 376–386.</w:t>
      </w:r>
    </w:p>
    <w:p w14:paraId="128536F9" w14:textId="02ACD318" w:rsidR="00E86638" w:rsidRPr="00467FE6" w:rsidRDefault="00901EA2" w:rsidP="00403B5D">
      <w:pPr>
        <w:pStyle w:val="Bibliography"/>
        <w:tabs>
          <w:tab w:val="left" w:pos="567"/>
        </w:tabs>
        <w:spacing w:after="60" w:line="240" w:lineRule="auto"/>
        <w:ind w:left="567" w:hanging="567"/>
        <w:jc w:val="both"/>
        <w:rPr>
          <w:sz w:val="22"/>
          <w:szCs w:val="22"/>
        </w:rPr>
      </w:pPr>
      <w:r w:rsidRPr="00467FE6">
        <w:rPr>
          <w:sz w:val="22"/>
          <w:szCs w:val="22"/>
        </w:rPr>
        <w:tab/>
      </w:r>
      <w:r w:rsidR="00E86638" w:rsidRPr="00467FE6">
        <w:rPr>
          <w:sz w:val="22"/>
          <w:szCs w:val="22"/>
        </w:rPr>
        <w:t xml:space="preserve"> https://doi.org/10.1056/NEJMsa0805646</w:t>
      </w:r>
    </w:p>
    <w:p w14:paraId="37E13E72" w14:textId="77777777" w:rsidR="00901EA2" w:rsidRPr="00467FE6" w:rsidRDefault="00E86638" w:rsidP="00901EA2">
      <w:pPr>
        <w:pStyle w:val="Bibliography"/>
        <w:tabs>
          <w:tab w:val="left" w:pos="567"/>
        </w:tabs>
        <w:spacing w:line="240" w:lineRule="auto"/>
        <w:ind w:left="567" w:hanging="567"/>
        <w:jc w:val="both"/>
        <w:rPr>
          <w:sz w:val="22"/>
          <w:szCs w:val="22"/>
        </w:rPr>
      </w:pPr>
      <w:r w:rsidRPr="00467FE6">
        <w:rPr>
          <w:sz w:val="22"/>
          <w:szCs w:val="22"/>
        </w:rPr>
        <w:t xml:space="preserve">Pundo, M. O., </w:t>
      </w:r>
      <w:r w:rsidR="004D3F41" w:rsidRPr="00467FE6">
        <w:rPr>
          <w:sz w:val="22"/>
          <w:szCs w:val="22"/>
        </w:rPr>
        <w:t>and</w:t>
      </w:r>
      <w:r w:rsidRPr="00467FE6">
        <w:rPr>
          <w:sz w:val="22"/>
          <w:szCs w:val="22"/>
        </w:rPr>
        <w:t xml:space="preserve"> Fraser, G. C. (2006). Multinomial logit analysis of household cooking fuel choice in rural Kenya: The case of Kisumu district. </w:t>
      </w:r>
      <w:r w:rsidRPr="00467FE6">
        <w:rPr>
          <w:i/>
          <w:iCs/>
          <w:sz w:val="22"/>
          <w:szCs w:val="22"/>
        </w:rPr>
        <w:t>Agrekon</w:t>
      </w:r>
      <w:r w:rsidRPr="00467FE6">
        <w:rPr>
          <w:sz w:val="22"/>
          <w:szCs w:val="22"/>
        </w:rPr>
        <w:t xml:space="preserve">, </w:t>
      </w:r>
      <w:r w:rsidRPr="00467FE6">
        <w:rPr>
          <w:i/>
          <w:iCs/>
          <w:sz w:val="22"/>
          <w:szCs w:val="22"/>
        </w:rPr>
        <w:t>45</w:t>
      </w:r>
      <w:r w:rsidRPr="00467FE6">
        <w:rPr>
          <w:sz w:val="22"/>
          <w:szCs w:val="22"/>
        </w:rPr>
        <w:t xml:space="preserve">(1), 24–37. </w:t>
      </w:r>
    </w:p>
    <w:p w14:paraId="1B9AA7B4" w14:textId="572568F7" w:rsidR="00E86638" w:rsidRPr="00467FE6" w:rsidRDefault="00901EA2" w:rsidP="00403B5D">
      <w:pPr>
        <w:pStyle w:val="Bibliography"/>
        <w:tabs>
          <w:tab w:val="left" w:pos="567"/>
        </w:tabs>
        <w:spacing w:after="60" w:line="240" w:lineRule="auto"/>
        <w:ind w:left="567" w:hanging="567"/>
        <w:jc w:val="both"/>
        <w:rPr>
          <w:sz w:val="22"/>
          <w:szCs w:val="22"/>
        </w:rPr>
      </w:pPr>
      <w:r w:rsidRPr="00467FE6">
        <w:rPr>
          <w:sz w:val="22"/>
          <w:szCs w:val="22"/>
        </w:rPr>
        <w:tab/>
      </w:r>
      <w:r w:rsidR="00E86638" w:rsidRPr="00467FE6">
        <w:rPr>
          <w:sz w:val="22"/>
          <w:szCs w:val="22"/>
        </w:rPr>
        <w:t>https://doi.org/10.1080/03031853.2006.9523731</w:t>
      </w:r>
    </w:p>
    <w:p w14:paraId="1720758A" w14:textId="77777777"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Smith, K. R. (2002). Indoor air pollution in developing countries: recommendations for research†. </w:t>
      </w:r>
      <w:r w:rsidRPr="00467FE6">
        <w:rPr>
          <w:i/>
          <w:iCs/>
          <w:sz w:val="22"/>
          <w:szCs w:val="22"/>
        </w:rPr>
        <w:t>Indoor Air</w:t>
      </w:r>
      <w:r w:rsidRPr="00467FE6">
        <w:rPr>
          <w:sz w:val="22"/>
          <w:szCs w:val="22"/>
        </w:rPr>
        <w:t xml:space="preserve">, </w:t>
      </w:r>
      <w:r w:rsidRPr="00467FE6">
        <w:rPr>
          <w:i/>
          <w:iCs/>
          <w:sz w:val="22"/>
          <w:szCs w:val="22"/>
        </w:rPr>
        <w:t>12</w:t>
      </w:r>
      <w:r w:rsidRPr="00467FE6">
        <w:rPr>
          <w:sz w:val="22"/>
          <w:szCs w:val="22"/>
        </w:rPr>
        <w:t>(3), 198–207. https://doi.org/10.1034/j.1600-0668.2002.01137.x</w:t>
      </w:r>
    </w:p>
    <w:p w14:paraId="5349FE1B" w14:textId="2015FF30" w:rsidR="00E86638"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Torres-Duque, C., Maldonado, D., Pérez-Padilla, R., Ezzati, M., </w:t>
      </w:r>
      <w:r w:rsidR="004D3F41" w:rsidRPr="00467FE6">
        <w:rPr>
          <w:sz w:val="22"/>
          <w:szCs w:val="22"/>
        </w:rPr>
        <w:t>and</w:t>
      </w:r>
      <w:r w:rsidRPr="00467FE6">
        <w:rPr>
          <w:sz w:val="22"/>
          <w:szCs w:val="22"/>
        </w:rPr>
        <w:t xml:space="preserve"> Viegi, G. (2008). Biomass Fuels and Respiratory Diseases. </w:t>
      </w:r>
      <w:r w:rsidRPr="00467FE6">
        <w:rPr>
          <w:i/>
          <w:iCs/>
          <w:sz w:val="22"/>
          <w:szCs w:val="22"/>
        </w:rPr>
        <w:t>Proceedings of the American Thoracic Society</w:t>
      </w:r>
      <w:r w:rsidRPr="00467FE6">
        <w:rPr>
          <w:sz w:val="22"/>
          <w:szCs w:val="22"/>
        </w:rPr>
        <w:t xml:space="preserve">, </w:t>
      </w:r>
      <w:r w:rsidRPr="00467FE6">
        <w:rPr>
          <w:i/>
          <w:iCs/>
          <w:sz w:val="22"/>
          <w:szCs w:val="22"/>
        </w:rPr>
        <w:t>5</w:t>
      </w:r>
      <w:r w:rsidRPr="00467FE6">
        <w:rPr>
          <w:sz w:val="22"/>
          <w:szCs w:val="22"/>
        </w:rPr>
        <w:t>(5), 577–590. https://doi.org/10.1513/pats.200707-100RP</w:t>
      </w:r>
    </w:p>
    <w:p w14:paraId="66B22171" w14:textId="77777777" w:rsidR="00A24DFE" w:rsidRPr="00467FE6" w:rsidRDefault="00E86638" w:rsidP="00403B5D">
      <w:pPr>
        <w:pStyle w:val="Bibliography"/>
        <w:tabs>
          <w:tab w:val="left" w:pos="567"/>
        </w:tabs>
        <w:spacing w:after="60" w:line="240" w:lineRule="auto"/>
        <w:ind w:left="567" w:hanging="567"/>
        <w:jc w:val="both"/>
        <w:rPr>
          <w:sz w:val="22"/>
          <w:szCs w:val="22"/>
        </w:rPr>
      </w:pPr>
      <w:r w:rsidRPr="00467FE6">
        <w:rPr>
          <w:sz w:val="22"/>
          <w:szCs w:val="22"/>
        </w:rPr>
        <w:t xml:space="preserve">Upadhyay, A. K., Singh, A., Kumar, K., </w:t>
      </w:r>
      <w:r w:rsidR="004D3F41" w:rsidRPr="00467FE6">
        <w:rPr>
          <w:sz w:val="22"/>
          <w:szCs w:val="22"/>
        </w:rPr>
        <w:t>and</w:t>
      </w:r>
      <w:r w:rsidRPr="00467FE6">
        <w:rPr>
          <w:sz w:val="22"/>
          <w:szCs w:val="22"/>
        </w:rPr>
        <w:t xml:space="preserve"> Singh, A. (2015). Impact of indoor air pollution from the </w:t>
      </w:r>
    </w:p>
    <w:p w14:paraId="6EFCA112" w14:textId="71FE9EBE" w:rsidR="00953B60" w:rsidRPr="00467FE6" w:rsidRDefault="006B4FE7" w:rsidP="00953B60">
      <w:pPr>
        <w:pStyle w:val="Bibliography"/>
        <w:tabs>
          <w:tab w:val="left" w:pos="567"/>
        </w:tabs>
        <w:spacing w:after="60" w:line="240" w:lineRule="auto"/>
        <w:ind w:left="567" w:hanging="567"/>
        <w:jc w:val="both"/>
        <w:rPr>
          <w:b/>
          <w:bCs/>
        </w:rPr>
      </w:pPr>
      <w:r w:rsidRPr="00467FE6">
        <w:rPr>
          <w:sz w:val="22"/>
          <w:szCs w:val="22"/>
        </w:rPr>
        <w:t>U</w:t>
      </w:r>
      <w:r w:rsidR="00E86638" w:rsidRPr="00467FE6">
        <w:rPr>
          <w:sz w:val="22"/>
          <w:szCs w:val="22"/>
        </w:rPr>
        <w:t xml:space="preserve">se of solid fuels on the incidence of life threatening respiratory illnesses in children in India. </w:t>
      </w:r>
      <w:r w:rsidR="00E86638" w:rsidRPr="00467FE6">
        <w:rPr>
          <w:i/>
          <w:iCs/>
          <w:sz w:val="22"/>
          <w:szCs w:val="22"/>
        </w:rPr>
        <w:t>BMC Public Health</w:t>
      </w:r>
      <w:r w:rsidR="00E86638" w:rsidRPr="00467FE6">
        <w:rPr>
          <w:sz w:val="22"/>
          <w:szCs w:val="22"/>
        </w:rPr>
        <w:t xml:space="preserve">, </w:t>
      </w:r>
      <w:r w:rsidR="00E86638" w:rsidRPr="00467FE6">
        <w:rPr>
          <w:i/>
          <w:iCs/>
          <w:sz w:val="22"/>
          <w:szCs w:val="22"/>
        </w:rPr>
        <w:t>15</w:t>
      </w:r>
      <w:r w:rsidR="00E86638" w:rsidRPr="00467FE6">
        <w:rPr>
          <w:sz w:val="22"/>
          <w:szCs w:val="22"/>
        </w:rPr>
        <w:t>(1), 1–9. https://doi.org/10.1186/s12889-015-1631-7</w:t>
      </w:r>
      <w:r w:rsidR="00953B60" w:rsidRPr="00467FE6">
        <w:rPr>
          <w:sz w:val="22"/>
          <w:szCs w:val="22"/>
        </w:rPr>
        <w:t>.</w:t>
      </w:r>
      <w:r w:rsidR="009B57B3" w:rsidRPr="00467FE6">
        <w:rPr>
          <w:b/>
          <w:sz w:val="22"/>
          <w:szCs w:val="22"/>
        </w:rPr>
        <w:fldChar w:fldCharType="end"/>
      </w:r>
      <w:r w:rsidR="00953B60" w:rsidRPr="00467FE6">
        <w:rPr>
          <w:b/>
          <w:bCs/>
        </w:rPr>
        <w:br w:type="page"/>
      </w:r>
    </w:p>
    <w:p w14:paraId="32EAFA68" w14:textId="714E96D0" w:rsidR="00F25819" w:rsidRPr="00467FE6" w:rsidRDefault="00F25819" w:rsidP="002E076A">
      <w:pPr>
        <w:pStyle w:val="Bibliography"/>
        <w:tabs>
          <w:tab w:val="left" w:pos="567"/>
        </w:tabs>
        <w:spacing w:line="300" w:lineRule="auto"/>
        <w:jc w:val="center"/>
        <w:rPr>
          <w:b/>
          <w:bCs/>
        </w:rPr>
      </w:pPr>
      <w:r w:rsidRPr="00467FE6">
        <w:rPr>
          <w:b/>
          <w:bCs/>
        </w:rPr>
        <w:lastRenderedPageBreak/>
        <w:t>Appendix</w:t>
      </w:r>
    </w:p>
    <w:p w14:paraId="22649E79" w14:textId="77777777" w:rsidR="00C727D2" w:rsidRPr="00467FE6" w:rsidRDefault="00C727D2" w:rsidP="002E076A">
      <w:pPr>
        <w:tabs>
          <w:tab w:val="left" w:pos="567"/>
        </w:tabs>
      </w:pPr>
    </w:p>
    <w:p w14:paraId="5739DD08" w14:textId="77777777" w:rsidR="00A24DFE" w:rsidRPr="00467FE6" w:rsidRDefault="00F25819" w:rsidP="00A24DFE">
      <w:pPr>
        <w:widowControl w:val="0"/>
        <w:tabs>
          <w:tab w:val="left" w:pos="567"/>
        </w:tabs>
        <w:autoSpaceDE w:val="0"/>
        <w:autoSpaceDN w:val="0"/>
        <w:adjustRightInd w:val="0"/>
        <w:jc w:val="center"/>
        <w:rPr>
          <w:b/>
          <w:sz w:val="22"/>
          <w:szCs w:val="22"/>
        </w:rPr>
      </w:pPr>
      <w:r w:rsidRPr="00467FE6">
        <w:rPr>
          <w:b/>
          <w:sz w:val="22"/>
          <w:szCs w:val="22"/>
        </w:rPr>
        <w:t>Table A1</w:t>
      </w:r>
      <w:r w:rsidR="00A24DFE" w:rsidRPr="00467FE6">
        <w:rPr>
          <w:b/>
          <w:sz w:val="22"/>
          <w:szCs w:val="22"/>
        </w:rPr>
        <w:t xml:space="preserve">: </w:t>
      </w:r>
      <w:r w:rsidR="008D3E72" w:rsidRPr="00467FE6">
        <w:rPr>
          <w:b/>
          <w:sz w:val="22"/>
          <w:szCs w:val="22"/>
        </w:rPr>
        <w:t xml:space="preserve">Random </w:t>
      </w:r>
      <w:r w:rsidR="00A24DFE" w:rsidRPr="00467FE6">
        <w:rPr>
          <w:b/>
          <w:sz w:val="22"/>
          <w:szCs w:val="22"/>
        </w:rPr>
        <w:t xml:space="preserve">Effects Regression of the Percent of Biomass Fuel Use </w:t>
      </w:r>
    </w:p>
    <w:p w14:paraId="7B9538ED" w14:textId="3C04B597" w:rsidR="00F25819" w:rsidRPr="00467FE6" w:rsidRDefault="0044110D" w:rsidP="00A24DFE">
      <w:pPr>
        <w:widowControl w:val="0"/>
        <w:tabs>
          <w:tab w:val="left" w:pos="567"/>
        </w:tabs>
        <w:autoSpaceDE w:val="0"/>
        <w:autoSpaceDN w:val="0"/>
        <w:adjustRightInd w:val="0"/>
        <w:jc w:val="center"/>
        <w:rPr>
          <w:b/>
          <w:sz w:val="22"/>
          <w:szCs w:val="22"/>
        </w:rPr>
      </w:pPr>
      <w:r w:rsidRPr="00467FE6">
        <w:rPr>
          <w:b/>
          <w:sz w:val="22"/>
          <w:szCs w:val="22"/>
        </w:rPr>
        <w:t>o</w:t>
      </w:r>
      <w:r w:rsidR="00A24DFE" w:rsidRPr="00467FE6">
        <w:rPr>
          <w:b/>
          <w:sz w:val="22"/>
          <w:szCs w:val="22"/>
        </w:rPr>
        <w:t>n Life Expectancy at Birth for Both Sexes Combined</w:t>
      </w:r>
    </w:p>
    <w:p w14:paraId="750C7759" w14:textId="77777777" w:rsidR="0044110D" w:rsidRPr="00467FE6" w:rsidRDefault="0044110D" w:rsidP="00A24DFE">
      <w:pPr>
        <w:widowControl w:val="0"/>
        <w:tabs>
          <w:tab w:val="left" w:pos="567"/>
        </w:tabs>
        <w:autoSpaceDE w:val="0"/>
        <w:autoSpaceDN w:val="0"/>
        <w:adjustRightInd w:val="0"/>
        <w:jc w:val="center"/>
        <w:rPr>
          <w:b/>
          <w:sz w:val="6"/>
          <w:szCs w:val="6"/>
        </w:rPr>
      </w:pPr>
    </w:p>
    <w:tbl>
      <w:tblPr>
        <w:tblW w:w="8364" w:type="dxa"/>
        <w:tblCellMar>
          <w:left w:w="144" w:type="dxa"/>
          <w:right w:w="144" w:type="dxa"/>
        </w:tblCellMar>
        <w:tblLook w:val="0000" w:firstRow="0" w:lastRow="0" w:firstColumn="0" w:lastColumn="0" w:noHBand="0" w:noVBand="0"/>
      </w:tblPr>
      <w:tblGrid>
        <w:gridCol w:w="4190"/>
        <w:gridCol w:w="4174"/>
      </w:tblGrid>
      <w:tr w:rsidR="004D3F41" w:rsidRPr="00467FE6" w14:paraId="66DA23ED" w14:textId="77777777" w:rsidTr="00A24DFE">
        <w:trPr>
          <w:trHeight w:val="342"/>
        </w:trPr>
        <w:tc>
          <w:tcPr>
            <w:tcW w:w="4190" w:type="dxa"/>
            <w:tcBorders>
              <w:top w:val="single" w:sz="6" w:space="0" w:color="auto"/>
              <w:left w:val="nil"/>
              <w:bottom w:val="nil"/>
              <w:right w:val="nil"/>
            </w:tcBorders>
          </w:tcPr>
          <w:p w14:paraId="26B5D170" w14:textId="77777777" w:rsidR="00B66CC5" w:rsidRPr="00467FE6" w:rsidRDefault="00B66CC5" w:rsidP="008731EB">
            <w:pPr>
              <w:widowControl w:val="0"/>
              <w:tabs>
                <w:tab w:val="left" w:pos="567"/>
              </w:tabs>
              <w:autoSpaceDE w:val="0"/>
              <w:autoSpaceDN w:val="0"/>
              <w:adjustRightInd w:val="0"/>
              <w:spacing w:before="200"/>
              <w:jc w:val="center"/>
              <w:rPr>
                <w:bCs/>
                <w:sz w:val="22"/>
                <w:szCs w:val="22"/>
              </w:rPr>
            </w:pPr>
            <w:r w:rsidRPr="00467FE6">
              <w:rPr>
                <w:bCs/>
                <w:sz w:val="22"/>
                <w:szCs w:val="22"/>
              </w:rPr>
              <w:t>Models</w:t>
            </w:r>
          </w:p>
        </w:tc>
        <w:tc>
          <w:tcPr>
            <w:tcW w:w="4174" w:type="dxa"/>
            <w:tcBorders>
              <w:top w:val="single" w:sz="6" w:space="0" w:color="auto"/>
              <w:left w:val="nil"/>
              <w:bottom w:val="nil"/>
              <w:right w:val="nil"/>
            </w:tcBorders>
          </w:tcPr>
          <w:p w14:paraId="79731D0F" w14:textId="035DEF75" w:rsidR="00403B5D" w:rsidRPr="00467FE6" w:rsidRDefault="00B66CC5" w:rsidP="00403B5D">
            <w:pPr>
              <w:widowControl w:val="0"/>
              <w:tabs>
                <w:tab w:val="left" w:pos="567"/>
              </w:tabs>
              <w:autoSpaceDE w:val="0"/>
              <w:autoSpaceDN w:val="0"/>
              <w:adjustRightInd w:val="0"/>
              <w:jc w:val="center"/>
              <w:rPr>
                <w:bCs/>
                <w:sz w:val="22"/>
                <w:szCs w:val="22"/>
              </w:rPr>
            </w:pPr>
            <w:r w:rsidRPr="00467FE6">
              <w:rPr>
                <w:bCs/>
                <w:sz w:val="22"/>
                <w:szCs w:val="22"/>
              </w:rPr>
              <w:t xml:space="preserve">Both </w:t>
            </w:r>
            <w:r w:rsidR="00A24DFE" w:rsidRPr="00467FE6">
              <w:rPr>
                <w:bCs/>
                <w:sz w:val="22"/>
                <w:szCs w:val="22"/>
              </w:rPr>
              <w:t>Sex</w:t>
            </w:r>
            <w:r w:rsidR="007168B6" w:rsidRPr="00467FE6">
              <w:rPr>
                <w:bCs/>
                <w:sz w:val="22"/>
                <w:szCs w:val="22"/>
              </w:rPr>
              <w:t>es</w:t>
            </w:r>
            <w:r w:rsidR="00A24DFE" w:rsidRPr="00467FE6">
              <w:rPr>
                <w:bCs/>
                <w:sz w:val="22"/>
                <w:szCs w:val="22"/>
              </w:rPr>
              <w:t xml:space="preserve"> </w:t>
            </w:r>
          </w:p>
          <w:p w14:paraId="3CB9EB05" w14:textId="77777777" w:rsidR="00B66CC5" w:rsidRPr="00467FE6" w:rsidRDefault="00A24DFE" w:rsidP="00403B5D">
            <w:pPr>
              <w:widowControl w:val="0"/>
              <w:tabs>
                <w:tab w:val="left" w:pos="567"/>
              </w:tabs>
              <w:autoSpaceDE w:val="0"/>
              <w:autoSpaceDN w:val="0"/>
              <w:adjustRightInd w:val="0"/>
              <w:jc w:val="center"/>
              <w:rPr>
                <w:bCs/>
                <w:sz w:val="22"/>
                <w:szCs w:val="22"/>
              </w:rPr>
            </w:pPr>
            <w:r w:rsidRPr="00467FE6">
              <w:rPr>
                <w:bCs/>
                <w:sz w:val="22"/>
                <w:szCs w:val="22"/>
              </w:rPr>
              <w:t>Life Expectancy at Birth</w:t>
            </w:r>
          </w:p>
          <w:p w14:paraId="28307A8C" w14:textId="73451816" w:rsidR="00403B5D" w:rsidRPr="00467FE6" w:rsidRDefault="00403B5D" w:rsidP="00403B5D">
            <w:pPr>
              <w:widowControl w:val="0"/>
              <w:tabs>
                <w:tab w:val="left" w:pos="567"/>
              </w:tabs>
              <w:autoSpaceDE w:val="0"/>
              <w:autoSpaceDN w:val="0"/>
              <w:adjustRightInd w:val="0"/>
              <w:jc w:val="center"/>
              <w:rPr>
                <w:bCs/>
                <w:sz w:val="8"/>
                <w:szCs w:val="8"/>
              </w:rPr>
            </w:pPr>
          </w:p>
        </w:tc>
      </w:tr>
      <w:tr w:rsidR="004D3F41" w:rsidRPr="00467FE6" w14:paraId="6B917A02" w14:textId="77777777" w:rsidTr="00517C59">
        <w:trPr>
          <w:trHeight w:val="280"/>
        </w:trPr>
        <w:tc>
          <w:tcPr>
            <w:tcW w:w="4190" w:type="dxa"/>
            <w:tcBorders>
              <w:top w:val="single" w:sz="6" w:space="0" w:color="auto"/>
              <w:left w:val="nil"/>
              <w:bottom w:val="nil"/>
              <w:right w:val="nil"/>
            </w:tcBorders>
          </w:tcPr>
          <w:p w14:paraId="60A0CB2E" w14:textId="51095E6B" w:rsidR="005A048E" w:rsidRPr="00467FE6" w:rsidRDefault="005A048E" w:rsidP="0044110D">
            <w:pPr>
              <w:widowControl w:val="0"/>
              <w:tabs>
                <w:tab w:val="left" w:pos="567"/>
              </w:tabs>
              <w:autoSpaceDE w:val="0"/>
              <w:autoSpaceDN w:val="0"/>
              <w:adjustRightInd w:val="0"/>
              <w:spacing w:before="60"/>
              <w:rPr>
                <w:sz w:val="22"/>
                <w:szCs w:val="22"/>
              </w:rPr>
            </w:pPr>
            <w:r w:rsidRPr="00467FE6">
              <w:rPr>
                <w:sz w:val="22"/>
                <w:szCs w:val="22"/>
              </w:rPr>
              <w:t xml:space="preserve">Percent of </w:t>
            </w:r>
            <w:r w:rsidR="008731EB" w:rsidRPr="00467FE6">
              <w:rPr>
                <w:sz w:val="22"/>
                <w:szCs w:val="22"/>
              </w:rPr>
              <w:t>S</w:t>
            </w:r>
            <w:r w:rsidRPr="00467FE6">
              <w:rPr>
                <w:sz w:val="22"/>
                <w:szCs w:val="22"/>
              </w:rPr>
              <w:t xml:space="preserve">olid </w:t>
            </w:r>
            <w:r w:rsidR="008731EB" w:rsidRPr="00467FE6">
              <w:rPr>
                <w:sz w:val="22"/>
                <w:szCs w:val="22"/>
              </w:rPr>
              <w:t>F</w:t>
            </w:r>
            <w:r w:rsidRPr="00467FE6">
              <w:rPr>
                <w:sz w:val="22"/>
                <w:szCs w:val="22"/>
              </w:rPr>
              <w:t xml:space="preserve">uel </w:t>
            </w:r>
            <w:r w:rsidR="008731EB" w:rsidRPr="00467FE6">
              <w:rPr>
                <w:sz w:val="22"/>
                <w:szCs w:val="22"/>
              </w:rPr>
              <w:t>U</w:t>
            </w:r>
            <w:r w:rsidRPr="00467FE6">
              <w:rPr>
                <w:sz w:val="22"/>
                <w:szCs w:val="22"/>
              </w:rPr>
              <w:t>se</w:t>
            </w:r>
          </w:p>
        </w:tc>
        <w:tc>
          <w:tcPr>
            <w:tcW w:w="4174" w:type="dxa"/>
            <w:tcBorders>
              <w:top w:val="single" w:sz="6" w:space="0" w:color="auto"/>
              <w:left w:val="nil"/>
              <w:bottom w:val="nil"/>
              <w:right w:val="nil"/>
            </w:tcBorders>
          </w:tcPr>
          <w:p w14:paraId="0EE6CE3F" w14:textId="77777777" w:rsidR="00403B5D" w:rsidRPr="00467FE6" w:rsidRDefault="005A048E" w:rsidP="00403B5D">
            <w:pPr>
              <w:widowControl w:val="0"/>
              <w:tabs>
                <w:tab w:val="decimal" w:pos="1766"/>
              </w:tabs>
              <w:autoSpaceDE w:val="0"/>
              <w:autoSpaceDN w:val="0"/>
              <w:adjustRightInd w:val="0"/>
              <w:spacing w:before="60"/>
              <w:rPr>
                <w:sz w:val="22"/>
                <w:szCs w:val="22"/>
              </w:rPr>
            </w:pPr>
            <w:r w:rsidRPr="00467FE6">
              <w:rPr>
                <w:sz w:val="22"/>
                <w:szCs w:val="22"/>
              </w:rPr>
              <w:t>-0.047</w:t>
            </w:r>
            <w:r w:rsidR="00517C59" w:rsidRPr="00467FE6">
              <w:rPr>
                <w:sz w:val="22"/>
                <w:szCs w:val="22"/>
              </w:rPr>
              <w:t xml:space="preserve"> </w:t>
            </w:r>
          </w:p>
          <w:p w14:paraId="2B37B6F8" w14:textId="40CCE12A" w:rsidR="005A048E" w:rsidRPr="00467FE6" w:rsidRDefault="00517C59" w:rsidP="00403B5D">
            <w:pPr>
              <w:widowControl w:val="0"/>
              <w:tabs>
                <w:tab w:val="decimal" w:pos="1766"/>
              </w:tabs>
              <w:autoSpaceDE w:val="0"/>
              <w:autoSpaceDN w:val="0"/>
              <w:adjustRightInd w:val="0"/>
              <w:spacing w:before="60"/>
              <w:rPr>
                <w:sz w:val="22"/>
                <w:szCs w:val="22"/>
              </w:rPr>
            </w:pPr>
            <w:r w:rsidRPr="00467FE6">
              <w:rPr>
                <w:sz w:val="22"/>
                <w:szCs w:val="22"/>
              </w:rPr>
              <w:t>(0.005)**</w:t>
            </w:r>
          </w:p>
          <w:p w14:paraId="139F912F" w14:textId="2E6D1E7F" w:rsidR="008140B9" w:rsidRPr="00467FE6" w:rsidRDefault="008140B9" w:rsidP="00403B5D">
            <w:pPr>
              <w:widowControl w:val="0"/>
              <w:tabs>
                <w:tab w:val="decimal" w:pos="1766"/>
              </w:tabs>
              <w:autoSpaceDE w:val="0"/>
              <w:autoSpaceDN w:val="0"/>
              <w:adjustRightInd w:val="0"/>
              <w:spacing w:before="60"/>
              <w:rPr>
                <w:sz w:val="22"/>
                <w:szCs w:val="22"/>
              </w:rPr>
            </w:pPr>
          </w:p>
        </w:tc>
      </w:tr>
      <w:tr w:rsidR="004D3F41" w:rsidRPr="00467FE6" w14:paraId="61EFCE31" w14:textId="77777777" w:rsidTr="00517C59">
        <w:trPr>
          <w:trHeight w:val="378"/>
        </w:trPr>
        <w:tc>
          <w:tcPr>
            <w:tcW w:w="4190" w:type="dxa"/>
            <w:tcBorders>
              <w:top w:val="nil"/>
              <w:left w:val="nil"/>
              <w:bottom w:val="nil"/>
              <w:right w:val="nil"/>
            </w:tcBorders>
          </w:tcPr>
          <w:p w14:paraId="51FB9FEB" w14:textId="2295019B" w:rsidR="005A048E" w:rsidRPr="00467FE6" w:rsidRDefault="008731EB" w:rsidP="002E076A">
            <w:pPr>
              <w:widowControl w:val="0"/>
              <w:tabs>
                <w:tab w:val="left" w:pos="567"/>
              </w:tabs>
              <w:autoSpaceDE w:val="0"/>
              <w:autoSpaceDN w:val="0"/>
              <w:adjustRightInd w:val="0"/>
              <w:rPr>
                <w:sz w:val="22"/>
                <w:szCs w:val="22"/>
              </w:rPr>
            </w:pPr>
            <w:r w:rsidRPr="00467FE6">
              <w:rPr>
                <w:sz w:val="22"/>
                <w:szCs w:val="22"/>
              </w:rPr>
              <w:t>Female Primary School Enrolment</w:t>
            </w:r>
          </w:p>
        </w:tc>
        <w:tc>
          <w:tcPr>
            <w:tcW w:w="4174" w:type="dxa"/>
            <w:tcBorders>
              <w:top w:val="nil"/>
              <w:left w:val="nil"/>
              <w:bottom w:val="nil"/>
              <w:right w:val="nil"/>
            </w:tcBorders>
          </w:tcPr>
          <w:p w14:paraId="04CBEA7B" w14:textId="77777777" w:rsidR="00403B5D" w:rsidRPr="00467FE6" w:rsidRDefault="005A048E" w:rsidP="00403B5D">
            <w:pPr>
              <w:widowControl w:val="0"/>
              <w:tabs>
                <w:tab w:val="decimal" w:pos="1766"/>
              </w:tabs>
              <w:autoSpaceDE w:val="0"/>
              <w:autoSpaceDN w:val="0"/>
              <w:adjustRightInd w:val="0"/>
              <w:rPr>
                <w:sz w:val="22"/>
                <w:szCs w:val="22"/>
              </w:rPr>
            </w:pPr>
            <w:r w:rsidRPr="00467FE6">
              <w:rPr>
                <w:sz w:val="22"/>
                <w:szCs w:val="22"/>
              </w:rPr>
              <w:t>0.059</w:t>
            </w:r>
            <w:r w:rsidR="00517C59" w:rsidRPr="00467FE6">
              <w:rPr>
                <w:sz w:val="22"/>
                <w:szCs w:val="22"/>
              </w:rPr>
              <w:t xml:space="preserve"> </w:t>
            </w:r>
          </w:p>
          <w:p w14:paraId="405A3CFC" w14:textId="4782ED06" w:rsidR="005A048E" w:rsidRPr="00467FE6" w:rsidRDefault="00517C59" w:rsidP="00403B5D">
            <w:pPr>
              <w:widowControl w:val="0"/>
              <w:tabs>
                <w:tab w:val="decimal" w:pos="1766"/>
              </w:tabs>
              <w:autoSpaceDE w:val="0"/>
              <w:autoSpaceDN w:val="0"/>
              <w:adjustRightInd w:val="0"/>
              <w:rPr>
                <w:sz w:val="22"/>
                <w:szCs w:val="22"/>
              </w:rPr>
            </w:pPr>
            <w:r w:rsidRPr="00467FE6">
              <w:rPr>
                <w:sz w:val="22"/>
                <w:szCs w:val="22"/>
              </w:rPr>
              <w:t>(0.007)**</w:t>
            </w:r>
          </w:p>
          <w:p w14:paraId="3D32D3B0" w14:textId="137310DA" w:rsidR="008140B9" w:rsidRPr="00467FE6" w:rsidRDefault="008140B9" w:rsidP="00403B5D">
            <w:pPr>
              <w:widowControl w:val="0"/>
              <w:tabs>
                <w:tab w:val="decimal" w:pos="1766"/>
              </w:tabs>
              <w:autoSpaceDE w:val="0"/>
              <w:autoSpaceDN w:val="0"/>
              <w:adjustRightInd w:val="0"/>
              <w:rPr>
                <w:sz w:val="22"/>
                <w:szCs w:val="22"/>
              </w:rPr>
            </w:pPr>
          </w:p>
        </w:tc>
      </w:tr>
      <w:tr w:rsidR="004D3F41" w:rsidRPr="00467FE6" w14:paraId="422A8560" w14:textId="77777777" w:rsidTr="00517C59">
        <w:trPr>
          <w:trHeight w:val="378"/>
        </w:trPr>
        <w:tc>
          <w:tcPr>
            <w:tcW w:w="4190" w:type="dxa"/>
            <w:tcBorders>
              <w:top w:val="nil"/>
              <w:left w:val="nil"/>
              <w:bottom w:val="nil"/>
              <w:right w:val="nil"/>
            </w:tcBorders>
          </w:tcPr>
          <w:p w14:paraId="512A3EA7" w14:textId="6FC9F396" w:rsidR="005A048E" w:rsidRPr="00467FE6" w:rsidRDefault="005A048E" w:rsidP="002E076A">
            <w:pPr>
              <w:widowControl w:val="0"/>
              <w:tabs>
                <w:tab w:val="left" w:pos="567"/>
              </w:tabs>
              <w:autoSpaceDE w:val="0"/>
              <w:autoSpaceDN w:val="0"/>
              <w:adjustRightInd w:val="0"/>
              <w:rPr>
                <w:sz w:val="22"/>
                <w:szCs w:val="22"/>
              </w:rPr>
            </w:pPr>
            <w:r w:rsidRPr="00467FE6">
              <w:rPr>
                <w:sz w:val="22"/>
                <w:szCs w:val="22"/>
              </w:rPr>
              <w:t xml:space="preserve">Male </w:t>
            </w:r>
            <w:r w:rsidR="008731EB" w:rsidRPr="00467FE6">
              <w:rPr>
                <w:sz w:val="22"/>
                <w:szCs w:val="22"/>
              </w:rPr>
              <w:t>Primary School Enrolment</w:t>
            </w:r>
          </w:p>
        </w:tc>
        <w:tc>
          <w:tcPr>
            <w:tcW w:w="4174" w:type="dxa"/>
            <w:tcBorders>
              <w:top w:val="nil"/>
              <w:left w:val="nil"/>
              <w:bottom w:val="nil"/>
              <w:right w:val="nil"/>
            </w:tcBorders>
          </w:tcPr>
          <w:p w14:paraId="7AEC0352" w14:textId="77777777" w:rsidR="00403B5D" w:rsidRPr="00467FE6" w:rsidRDefault="005A048E" w:rsidP="00403B5D">
            <w:pPr>
              <w:widowControl w:val="0"/>
              <w:tabs>
                <w:tab w:val="decimal" w:pos="1766"/>
              </w:tabs>
              <w:autoSpaceDE w:val="0"/>
              <w:autoSpaceDN w:val="0"/>
              <w:adjustRightInd w:val="0"/>
              <w:rPr>
                <w:sz w:val="22"/>
                <w:szCs w:val="22"/>
              </w:rPr>
            </w:pPr>
            <w:r w:rsidRPr="00467FE6">
              <w:rPr>
                <w:sz w:val="22"/>
                <w:szCs w:val="22"/>
              </w:rPr>
              <w:t>-0.056</w:t>
            </w:r>
            <w:r w:rsidR="00517C59" w:rsidRPr="00467FE6">
              <w:rPr>
                <w:sz w:val="22"/>
                <w:szCs w:val="22"/>
              </w:rPr>
              <w:t xml:space="preserve"> </w:t>
            </w:r>
          </w:p>
          <w:p w14:paraId="65F52F09" w14:textId="1DEF285C" w:rsidR="005A048E" w:rsidRPr="00467FE6" w:rsidRDefault="00517C59" w:rsidP="00403B5D">
            <w:pPr>
              <w:widowControl w:val="0"/>
              <w:tabs>
                <w:tab w:val="decimal" w:pos="1766"/>
              </w:tabs>
              <w:autoSpaceDE w:val="0"/>
              <w:autoSpaceDN w:val="0"/>
              <w:adjustRightInd w:val="0"/>
              <w:rPr>
                <w:sz w:val="22"/>
                <w:szCs w:val="22"/>
              </w:rPr>
            </w:pPr>
            <w:r w:rsidRPr="00467FE6">
              <w:rPr>
                <w:sz w:val="22"/>
                <w:szCs w:val="22"/>
              </w:rPr>
              <w:t>(0.007)**</w:t>
            </w:r>
          </w:p>
          <w:p w14:paraId="5CB26070" w14:textId="60E25574" w:rsidR="008140B9" w:rsidRPr="00467FE6" w:rsidRDefault="008140B9" w:rsidP="00403B5D">
            <w:pPr>
              <w:widowControl w:val="0"/>
              <w:tabs>
                <w:tab w:val="decimal" w:pos="1766"/>
              </w:tabs>
              <w:autoSpaceDE w:val="0"/>
              <w:autoSpaceDN w:val="0"/>
              <w:adjustRightInd w:val="0"/>
              <w:rPr>
                <w:sz w:val="22"/>
                <w:szCs w:val="22"/>
              </w:rPr>
            </w:pPr>
          </w:p>
        </w:tc>
      </w:tr>
      <w:tr w:rsidR="004D3F41" w:rsidRPr="00467FE6" w14:paraId="588B4D93" w14:textId="77777777" w:rsidTr="00517C59">
        <w:trPr>
          <w:trHeight w:val="636"/>
        </w:trPr>
        <w:tc>
          <w:tcPr>
            <w:tcW w:w="4190" w:type="dxa"/>
            <w:tcBorders>
              <w:top w:val="nil"/>
              <w:left w:val="nil"/>
              <w:bottom w:val="nil"/>
              <w:right w:val="nil"/>
            </w:tcBorders>
          </w:tcPr>
          <w:p w14:paraId="77D007CD" w14:textId="2751F416" w:rsidR="005A048E" w:rsidRPr="00467FE6" w:rsidRDefault="005A048E" w:rsidP="002E076A">
            <w:pPr>
              <w:widowControl w:val="0"/>
              <w:tabs>
                <w:tab w:val="left" w:pos="567"/>
              </w:tabs>
              <w:autoSpaceDE w:val="0"/>
              <w:autoSpaceDN w:val="0"/>
              <w:adjustRightInd w:val="0"/>
              <w:rPr>
                <w:sz w:val="22"/>
                <w:szCs w:val="22"/>
              </w:rPr>
            </w:pPr>
            <w:r w:rsidRPr="00467FE6">
              <w:rPr>
                <w:sz w:val="22"/>
                <w:szCs w:val="22"/>
              </w:rPr>
              <w:t xml:space="preserve">Log </w:t>
            </w:r>
            <w:r w:rsidR="008731EB" w:rsidRPr="00467FE6">
              <w:rPr>
                <w:sz w:val="22"/>
                <w:szCs w:val="22"/>
              </w:rPr>
              <w:t xml:space="preserve">of </w:t>
            </w:r>
            <w:r w:rsidRPr="00467FE6">
              <w:rPr>
                <w:sz w:val="22"/>
                <w:szCs w:val="22"/>
              </w:rPr>
              <w:t xml:space="preserve">GDP </w:t>
            </w:r>
            <w:r w:rsidR="008731EB" w:rsidRPr="00467FE6">
              <w:rPr>
                <w:sz w:val="22"/>
                <w:szCs w:val="22"/>
              </w:rPr>
              <w:t>Per Capita</w:t>
            </w:r>
          </w:p>
        </w:tc>
        <w:tc>
          <w:tcPr>
            <w:tcW w:w="4174" w:type="dxa"/>
            <w:tcBorders>
              <w:top w:val="nil"/>
              <w:left w:val="nil"/>
              <w:bottom w:val="nil"/>
              <w:right w:val="nil"/>
            </w:tcBorders>
          </w:tcPr>
          <w:p w14:paraId="329583D5" w14:textId="77777777" w:rsidR="00403B5D" w:rsidRPr="00467FE6" w:rsidRDefault="005A048E" w:rsidP="00403B5D">
            <w:pPr>
              <w:widowControl w:val="0"/>
              <w:tabs>
                <w:tab w:val="decimal" w:pos="1766"/>
              </w:tabs>
              <w:autoSpaceDE w:val="0"/>
              <w:autoSpaceDN w:val="0"/>
              <w:adjustRightInd w:val="0"/>
              <w:rPr>
                <w:sz w:val="22"/>
                <w:szCs w:val="22"/>
              </w:rPr>
            </w:pPr>
            <w:r w:rsidRPr="00467FE6">
              <w:rPr>
                <w:sz w:val="22"/>
                <w:szCs w:val="22"/>
              </w:rPr>
              <w:t>0.522</w:t>
            </w:r>
            <w:r w:rsidR="00517C59" w:rsidRPr="00467FE6">
              <w:rPr>
                <w:sz w:val="22"/>
                <w:szCs w:val="22"/>
              </w:rPr>
              <w:t xml:space="preserve"> </w:t>
            </w:r>
          </w:p>
          <w:p w14:paraId="620D3944" w14:textId="4B485FF1" w:rsidR="005A048E" w:rsidRPr="00467FE6" w:rsidRDefault="00517C59" w:rsidP="00403B5D">
            <w:pPr>
              <w:widowControl w:val="0"/>
              <w:tabs>
                <w:tab w:val="decimal" w:pos="1766"/>
              </w:tabs>
              <w:autoSpaceDE w:val="0"/>
              <w:autoSpaceDN w:val="0"/>
              <w:adjustRightInd w:val="0"/>
              <w:rPr>
                <w:sz w:val="22"/>
                <w:szCs w:val="22"/>
              </w:rPr>
            </w:pPr>
            <w:r w:rsidRPr="00467FE6">
              <w:rPr>
                <w:sz w:val="22"/>
                <w:szCs w:val="22"/>
              </w:rPr>
              <w:t>(0.113)**</w:t>
            </w:r>
          </w:p>
          <w:p w14:paraId="02C84853" w14:textId="1FF701D0" w:rsidR="008140B9" w:rsidRPr="00467FE6" w:rsidRDefault="008140B9" w:rsidP="00403B5D">
            <w:pPr>
              <w:widowControl w:val="0"/>
              <w:tabs>
                <w:tab w:val="decimal" w:pos="1766"/>
              </w:tabs>
              <w:autoSpaceDE w:val="0"/>
              <w:autoSpaceDN w:val="0"/>
              <w:adjustRightInd w:val="0"/>
              <w:rPr>
                <w:sz w:val="22"/>
                <w:szCs w:val="22"/>
              </w:rPr>
            </w:pPr>
          </w:p>
        </w:tc>
      </w:tr>
      <w:tr w:rsidR="004D3F41" w:rsidRPr="00467FE6" w14:paraId="7D620F8F" w14:textId="77777777" w:rsidTr="006C4BB6">
        <w:trPr>
          <w:trHeight w:val="379"/>
        </w:trPr>
        <w:tc>
          <w:tcPr>
            <w:tcW w:w="4190" w:type="dxa"/>
            <w:tcBorders>
              <w:top w:val="nil"/>
              <w:left w:val="nil"/>
              <w:bottom w:val="nil"/>
              <w:right w:val="nil"/>
            </w:tcBorders>
          </w:tcPr>
          <w:p w14:paraId="3CE76FFC" w14:textId="6BC698DC" w:rsidR="005A048E" w:rsidRPr="00467FE6" w:rsidRDefault="005A048E" w:rsidP="002E076A">
            <w:pPr>
              <w:widowControl w:val="0"/>
              <w:tabs>
                <w:tab w:val="left" w:pos="567"/>
              </w:tabs>
              <w:autoSpaceDE w:val="0"/>
              <w:autoSpaceDN w:val="0"/>
              <w:adjustRightInd w:val="0"/>
              <w:rPr>
                <w:sz w:val="22"/>
                <w:szCs w:val="22"/>
              </w:rPr>
            </w:pPr>
            <w:r w:rsidRPr="00467FE6">
              <w:rPr>
                <w:sz w:val="22"/>
                <w:szCs w:val="22"/>
              </w:rPr>
              <w:t>Urban</w:t>
            </w:r>
            <w:r w:rsidR="002E076A" w:rsidRPr="00467FE6">
              <w:rPr>
                <w:sz w:val="22"/>
                <w:szCs w:val="22"/>
              </w:rPr>
              <w:t xml:space="preserve"> </w:t>
            </w:r>
            <w:r w:rsidR="008731EB" w:rsidRPr="00467FE6">
              <w:rPr>
                <w:sz w:val="22"/>
                <w:szCs w:val="22"/>
              </w:rPr>
              <w:t>Percent of Population</w:t>
            </w:r>
          </w:p>
        </w:tc>
        <w:tc>
          <w:tcPr>
            <w:tcW w:w="4174" w:type="dxa"/>
            <w:tcBorders>
              <w:top w:val="nil"/>
              <w:left w:val="nil"/>
              <w:bottom w:val="nil"/>
              <w:right w:val="nil"/>
            </w:tcBorders>
          </w:tcPr>
          <w:p w14:paraId="73D1979C" w14:textId="77777777" w:rsidR="00403B5D" w:rsidRPr="00467FE6" w:rsidRDefault="005A048E" w:rsidP="00403B5D">
            <w:pPr>
              <w:widowControl w:val="0"/>
              <w:tabs>
                <w:tab w:val="decimal" w:pos="1766"/>
              </w:tabs>
              <w:autoSpaceDE w:val="0"/>
              <w:autoSpaceDN w:val="0"/>
              <w:adjustRightInd w:val="0"/>
              <w:rPr>
                <w:sz w:val="22"/>
                <w:szCs w:val="22"/>
              </w:rPr>
            </w:pPr>
            <w:r w:rsidRPr="00467FE6">
              <w:rPr>
                <w:sz w:val="22"/>
                <w:szCs w:val="22"/>
              </w:rPr>
              <w:t>0.140</w:t>
            </w:r>
            <w:r w:rsidR="00517C59" w:rsidRPr="00467FE6">
              <w:rPr>
                <w:sz w:val="22"/>
                <w:szCs w:val="22"/>
              </w:rPr>
              <w:t xml:space="preserve"> </w:t>
            </w:r>
          </w:p>
          <w:p w14:paraId="303C4C99" w14:textId="2CEF4FB5" w:rsidR="005A048E" w:rsidRPr="00467FE6" w:rsidRDefault="00517C59" w:rsidP="00403B5D">
            <w:pPr>
              <w:widowControl w:val="0"/>
              <w:tabs>
                <w:tab w:val="decimal" w:pos="1766"/>
              </w:tabs>
              <w:autoSpaceDE w:val="0"/>
              <w:autoSpaceDN w:val="0"/>
              <w:adjustRightInd w:val="0"/>
              <w:rPr>
                <w:sz w:val="22"/>
                <w:szCs w:val="22"/>
              </w:rPr>
            </w:pPr>
            <w:r w:rsidRPr="00467FE6">
              <w:rPr>
                <w:sz w:val="22"/>
                <w:szCs w:val="22"/>
              </w:rPr>
              <w:t>(0.013)**</w:t>
            </w:r>
          </w:p>
          <w:p w14:paraId="15BFE287" w14:textId="0A1A5BB1" w:rsidR="008140B9" w:rsidRPr="00467FE6" w:rsidRDefault="008140B9" w:rsidP="00403B5D">
            <w:pPr>
              <w:widowControl w:val="0"/>
              <w:tabs>
                <w:tab w:val="decimal" w:pos="1766"/>
              </w:tabs>
              <w:autoSpaceDE w:val="0"/>
              <w:autoSpaceDN w:val="0"/>
              <w:adjustRightInd w:val="0"/>
              <w:rPr>
                <w:sz w:val="22"/>
                <w:szCs w:val="22"/>
              </w:rPr>
            </w:pPr>
          </w:p>
        </w:tc>
      </w:tr>
      <w:tr w:rsidR="004D3F41" w:rsidRPr="00467FE6" w14:paraId="2C097BC1" w14:textId="77777777" w:rsidTr="00517C59">
        <w:trPr>
          <w:trHeight w:val="378"/>
        </w:trPr>
        <w:tc>
          <w:tcPr>
            <w:tcW w:w="4190" w:type="dxa"/>
            <w:tcBorders>
              <w:top w:val="nil"/>
              <w:left w:val="nil"/>
              <w:bottom w:val="nil"/>
              <w:right w:val="nil"/>
            </w:tcBorders>
          </w:tcPr>
          <w:p w14:paraId="28F9DAF8" w14:textId="77777777" w:rsidR="005A048E" w:rsidRPr="00467FE6" w:rsidRDefault="005A048E" w:rsidP="002E076A">
            <w:pPr>
              <w:widowControl w:val="0"/>
              <w:tabs>
                <w:tab w:val="left" w:pos="567"/>
              </w:tabs>
              <w:autoSpaceDE w:val="0"/>
              <w:autoSpaceDN w:val="0"/>
              <w:adjustRightInd w:val="0"/>
              <w:rPr>
                <w:sz w:val="22"/>
                <w:szCs w:val="22"/>
              </w:rPr>
            </w:pPr>
            <w:r w:rsidRPr="00467FE6">
              <w:rPr>
                <w:sz w:val="22"/>
                <w:szCs w:val="22"/>
              </w:rPr>
              <w:t>_cons</w:t>
            </w:r>
          </w:p>
        </w:tc>
        <w:tc>
          <w:tcPr>
            <w:tcW w:w="4174" w:type="dxa"/>
            <w:tcBorders>
              <w:top w:val="nil"/>
              <w:left w:val="nil"/>
              <w:bottom w:val="nil"/>
              <w:right w:val="nil"/>
            </w:tcBorders>
          </w:tcPr>
          <w:p w14:paraId="324576FC" w14:textId="77777777" w:rsidR="00403B5D" w:rsidRPr="00467FE6" w:rsidRDefault="005A048E" w:rsidP="00403B5D">
            <w:pPr>
              <w:widowControl w:val="0"/>
              <w:tabs>
                <w:tab w:val="decimal" w:pos="1766"/>
              </w:tabs>
              <w:autoSpaceDE w:val="0"/>
              <w:autoSpaceDN w:val="0"/>
              <w:adjustRightInd w:val="0"/>
              <w:rPr>
                <w:sz w:val="22"/>
                <w:szCs w:val="22"/>
              </w:rPr>
            </w:pPr>
            <w:r w:rsidRPr="00467FE6">
              <w:rPr>
                <w:sz w:val="22"/>
                <w:szCs w:val="22"/>
              </w:rPr>
              <w:t>55.714</w:t>
            </w:r>
            <w:r w:rsidR="00517C59" w:rsidRPr="00467FE6">
              <w:rPr>
                <w:sz w:val="22"/>
                <w:szCs w:val="22"/>
              </w:rPr>
              <w:t xml:space="preserve"> </w:t>
            </w:r>
          </w:p>
          <w:p w14:paraId="4694A341" w14:textId="77777777" w:rsidR="005A048E" w:rsidRPr="00467FE6" w:rsidRDefault="00517C59" w:rsidP="00403B5D">
            <w:pPr>
              <w:widowControl w:val="0"/>
              <w:tabs>
                <w:tab w:val="decimal" w:pos="1766"/>
              </w:tabs>
              <w:autoSpaceDE w:val="0"/>
              <w:autoSpaceDN w:val="0"/>
              <w:adjustRightInd w:val="0"/>
              <w:rPr>
                <w:sz w:val="22"/>
                <w:szCs w:val="22"/>
              </w:rPr>
            </w:pPr>
            <w:r w:rsidRPr="00467FE6">
              <w:rPr>
                <w:sz w:val="22"/>
                <w:szCs w:val="22"/>
              </w:rPr>
              <w:t>(1.077)**</w:t>
            </w:r>
          </w:p>
          <w:p w14:paraId="14521558" w14:textId="2DF26189" w:rsidR="00403B5D" w:rsidRPr="00467FE6" w:rsidRDefault="00403B5D" w:rsidP="00403B5D">
            <w:pPr>
              <w:widowControl w:val="0"/>
              <w:tabs>
                <w:tab w:val="decimal" w:pos="1766"/>
              </w:tabs>
              <w:autoSpaceDE w:val="0"/>
              <w:autoSpaceDN w:val="0"/>
              <w:adjustRightInd w:val="0"/>
              <w:rPr>
                <w:sz w:val="22"/>
                <w:szCs w:val="22"/>
              </w:rPr>
            </w:pPr>
          </w:p>
        </w:tc>
      </w:tr>
      <w:tr w:rsidR="004D3F41" w:rsidRPr="00467FE6" w14:paraId="6B12B8E7" w14:textId="77777777" w:rsidTr="00517C59">
        <w:trPr>
          <w:trHeight w:val="378"/>
        </w:trPr>
        <w:tc>
          <w:tcPr>
            <w:tcW w:w="4190" w:type="dxa"/>
            <w:tcBorders>
              <w:top w:val="nil"/>
              <w:left w:val="nil"/>
              <w:bottom w:val="nil"/>
              <w:right w:val="nil"/>
            </w:tcBorders>
          </w:tcPr>
          <w:p w14:paraId="561F130F" w14:textId="77777777" w:rsidR="00B66CC5" w:rsidRPr="00467FE6" w:rsidRDefault="00B66CC5" w:rsidP="002E076A">
            <w:pPr>
              <w:widowControl w:val="0"/>
              <w:tabs>
                <w:tab w:val="left" w:pos="567"/>
              </w:tabs>
              <w:autoSpaceDE w:val="0"/>
              <w:autoSpaceDN w:val="0"/>
              <w:adjustRightInd w:val="0"/>
              <w:rPr>
                <w:sz w:val="22"/>
                <w:szCs w:val="22"/>
              </w:rPr>
            </w:pPr>
            <w:r w:rsidRPr="00467FE6">
              <w:rPr>
                <w:sz w:val="22"/>
                <w:szCs w:val="22"/>
              </w:rPr>
              <w:t>N</w:t>
            </w:r>
          </w:p>
        </w:tc>
        <w:tc>
          <w:tcPr>
            <w:tcW w:w="4174" w:type="dxa"/>
            <w:tcBorders>
              <w:top w:val="nil"/>
              <w:left w:val="nil"/>
              <w:bottom w:val="nil"/>
              <w:right w:val="nil"/>
            </w:tcBorders>
          </w:tcPr>
          <w:p w14:paraId="012B095C" w14:textId="6B7BE8E2" w:rsidR="00B66CC5" w:rsidRPr="00467FE6" w:rsidRDefault="00B66CC5" w:rsidP="00F67B66">
            <w:pPr>
              <w:widowControl w:val="0"/>
              <w:tabs>
                <w:tab w:val="decimal" w:pos="2191"/>
              </w:tabs>
              <w:autoSpaceDE w:val="0"/>
              <w:autoSpaceDN w:val="0"/>
              <w:adjustRightInd w:val="0"/>
              <w:jc w:val="both"/>
              <w:rPr>
                <w:sz w:val="22"/>
                <w:szCs w:val="22"/>
              </w:rPr>
            </w:pPr>
            <w:r w:rsidRPr="00467FE6">
              <w:rPr>
                <w:sz w:val="22"/>
                <w:szCs w:val="22"/>
              </w:rPr>
              <w:t>1,950</w:t>
            </w:r>
          </w:p>
        </w:tc>
      </w:tr>
      <w:tr w:rsidR="004D3F41" w:rsidRPr="00467FE6" w14:paraId="238DC8D9" w14:textId="77777777" w:rsidTr="00517C59">
        <w:trPr>
          <w:trHeight w:val="378"/>
        </w:trPr>
        <w:tc>
          <w:tcPr>
            <w:tcW w:w="4190" w:type="dxa"/>
            <w:tcBorders>
              <w:top w:val="nil"/>
              <w:left w:val="nil"/>
              <w:bottom w:val="single" w:sz="6" w:space="0" w:color="auto"/>
              <w:right w:val="nil"/>
            </w:tcBorders>
          </w:tcPr>
          <w:p w14:paraId="484C75BF" w14:textId="3D059B9A" w:rsidR="00B66CC5" w:rsidRPr="00467FE6" w:rsidRDefault="00B66CC5" w:rsidP="002E076A">
            <w:pPr>
              <w:widowControl w:val="0"/>
              <w:tabs>
                <w:tab w:val="left" w:pos="567"/>
              </w:tabs>
              <w:autoSpaceDE w:val="0"/>
              <w:autoSpaceDN w:val="0"/>
              <w:adjustRightInd w:val="0"/>
              <w:rPr>
                <w:sz w:val="22"/>
                <w:szCs w:val="22"/>
              </w:rPr>
            </w:pPr>
            <w:r w:rsidRPr="00467FE6">
              <w:rPr>
                <w:sz w:val="22"/>
                <w:szCs w:val="22"/>
              </w:rPr>
              <w:t xml:space="preserve">Number of </w:t>
            </w:r>
            <w:r w:rsidR="008731EB" w:rsidRPr="00467FE6">
              <w:rPr>
                <w:sz w:val="22"/>
                <w:szCs w:val="22"/>
              </w:rPr>
              <w:t>C</w:t>
            </w:r>
            <w:r w:rsidRPr="00467FE6">
              <w:rPr>
                <w:sz w:val="22"/>
                <w:szCs w:val="22"/>
              </w:rPr>
              <w:t>ountries</w:t>
            </w:r>
          </w:p>
        </w:tc>
        <w:tc>
          <w:tcPr>
            <w:tcW w:w="4174" w:type="dxa"/>
            <w:tcBorders>
              <w:top w:val="nil"/>
              <w:left w:val="nil"/>
              <w:bottom w:val="single" w:sz="6" w:space="0" w:color="auto"/>
              <w:right w:val="nil"/>
            </w:tcBorders>
          </w:tcPr>
          <w:p w14:paraId="384E011F" w14:textId="0BA21B85" w:rsidR="00B66CC5" w:rsidRPr="00467FE6" w:rsidRDefault="00B66CC5" w:rsidP="00F67B66">
            <w:pPr>
              <w:widowControl w:val="0"/>
              <w:tabs>
                <w:tab w:val="decimal" w:pos="2191"/>
              </w:tabs>
              <w:autoSpaceDE w:val="0"/>
              <w:autoSpaceDN w:val="0"/>
              <w:adjustRightInd w:val="0"/>
              <w:jc w:val="both"/>
              <w:rPr>
                <w:sz w:val="22"/>
                <w:szCs w:val="22"/>
              </w:rPr>
            </w:pPr>
            <w:r w:rsidRPr="00467FE6">
              <w:rPr>
                <w:sz w:val="22"/>
                <w:szCs w:val="22"/>
              </w:rPr>
              <w:t>154</w:t>
            </w:r>
          </w:p>
        </w:tc>
      </w:tr>
    </w:tbl>
    <w:p w14:paraId="4DFFBD80" w14:textId="77777777" w:rsidR="00403B5D" w:rsidRPr="00467FE6" w:rsidRDefault="00403B5D" w:rsidP="002E076A">
      <w:pPr>
        <w:tabs>
          <w:tab w:val="left" w:pos="567"/>
        </w:tabs>
        <w:rPr>
          <w:sz w:val="6"/>
          <w:szCs w:val="6"/>
        </w:rPr>
      </w:pPr>
    </w:p>
    <w:p w14:paraId="1FC4151C" w14:textId="008A2024" w:rsidR="00E86638" w:rsidRPr="00467FE6" w:rsidRDefault="00E86638" w:rsidP="002E076A">
      <w:pPr>
        <w:tabs>
          <w:tab w:val="left" w:pos="567"/>
        </w:tabs>
        <w:rPr>
          <w:sz w:val="22"/>
          <w:szCs w:val="22"/>
        </w:rPr>
      </w:pPr>
      <w:r w:rsidRPr="00467FE6">
        <w:rPr>
          <w:sz w:val="22"/>
          <w:szCs w:val="22"/>
        </w:rPr>
        <w:t>* p&lt;0.1; ** p&lt;0.05; *** p&lt;0.01</w:t>
      </w:r>
    </w:p>
    <w:p w14:paraId="762E19A4" w14:textId="3D0B9619" w:rsidR="00FB7386" w:rsidRPr="00467FE6" w:rsidRDefault="00FB7386" w:rsidP="002E076A">
      <w:pPr>
        <w:widowControl w:val="0"/>
        <w:tabs>
          <w:tab w:val="left" w:pos="567"/>
        </w:tabs>
        <w:autoSpaceDE w:val="0"/>
        <w:autoSpaceDN w:val="0"/>
        <w:adjustRightInd w:val="0"/>
        <w:rPr>
          <w:sz w:val="22"/>
          <w:szCs w:val="22"/>
        </w:rPr>
      </w:pPr>
      <w:r w:rsidRPr="00467FE6">
        <w:rPr>
          <w:sz w:val="22"/>
          <w:szCs w:val="22"/>
        </w:rPr>
        <w:t>Country level clustered standard errors are in parentheses</w:t>
      </w:r>
      <w:r w:rsidR="00403B5D" w:rsidRPr="00467FE6">
        <w:rPr>
          <w:sz w:val="22"/>
          <w:szCs w:val="22"/>
        </w:rPr>
        <w:t>.</w:t>
      </w:r>
    </w:p>
    <w:p w14:paraId="595C1BA1" w14:textId="07A7C7E3" w:rsidR="00A232D9" w:rsidRPr="00467FE6" w:rsidRDefault="008D3E72" w:rsidP="002E076A">
      <w:pPr>
        <w:widowControl w:val="0"/>
        <w:tabs>
          <w:tab w:val="left" w:pos="567"/>
        </w:tabs>
        <w:autoSpaceDE w:val="0"/>
        <w:autoSpaceDN w:val="0"/>
        <w:adjustRightInd w:val="0"/>
        <w:sectPr w:rsidR="00A232D9" w:rsidRPr="00467FE6" w:rsidSect="00876F9D">
          <w:pgSz w:w="11906" w:h="16838"/>
          <w:pgMar w:top="1440" w:right="1440" w:bottom="1440" w:left="1440" w:header="708" w:footer="708" w:gutter="0"/>
          <w:cols w:space="708"/>
          <w:docGrid w:linePitch="360"/>
        </w:sectPr>
      </w:pPr>
      <w:r w:rsidRPr="00467FE6">
        <w:rPr>
          <w:sz w:val="22"/>
          <w:szCs w:val="22"/>
        </w:rPr>
        <w:t>The r</w:t>
      </w:r>
      <w:r w:rsidR="00F25819" w:rsidRPr="00467FE6">
        <w:rPr>
          <w:sz w:val="22"/>
          <w:szCs w:val="22"/>
        </w:rPr>
        <w:t>andom effect</w:t>
      </w:r>
      <w:r w:rsidR="00E365A5" w:rsidRPr="00467FE6">
        <w:rPr>
          <w:sz w:val="22"/>
          <w:szCs w:val="22"/>
        </w:rPr>
        <w:t>s</w:t>
      </w:r>
      <w:r w:rsidR="00F25819" w:rsidRPr="00467FE6">
        <w:rPr>
          <w:sz w:val="22"/>
          <w:szCs w:val="22"/>
        </w:rPr>
        <w:t xml:space="preserve"> model w</w:t>
      </w:r>
      <w:r w:rsidRPr="00467FE6">
        <w:rPr>
          <w:sz w:val="22"/>
          <w:szCs w:val="22"/>
        </w:rPr>
        <w:t>as</w:t>
      </w:r>
      <w:r w:rsidR="00F25819" w:rsidRPr="00467FE6">
        <w:rPr>
          <w:sz w:val="22"/>
          <w:szCs w:val="22"/>
        </w:rPr>
        <w:t xml:space="preserve"> suggested by Breusch and Pagan Lagrang</w:t>
      </w:r>
      <w:r w:rsidRPr="00467FE6">
        <w:rPr>
          <w:sz w:val="22"/>
          <w:szCs w:val="22"/>
        </w:rPr>
        <w:t>e</w:t>
      </w:r>
      <w:r w:rsidR="00F25819" w:rsidRPr="00467FE6">
        <w:rPr>
          <w:sz w:val="22"/>
          <w:szCs w:val="22"/>
        </w:rPr>
        <w:t xml:space="preserve"> multiplier test</w:t>
      </w:r>
      <w:r w:rsidRPr="00467FE6">
        <w:rPr>
          <w:sz w:val="22"/>
          <w:szCs w:val="22"/>
        </w:rPr>
        <w:t>.</w:t>
      </w:r>
    </w:p>
    <w:p w14:paraId="4AE07A80" w14:textId="7CE6BD77" w:rsidR="00942F5A" w:rsidRPr="00467FE6" w:rsidRDefault="00942F5A" w:rsidP="002E076A">
      <w:pPr>
        <w:pStyle w:val="Caption"/>
        <w:keepNext/>
        <w:tabs>
          <w:tab w:val="left" w:pos="567"/>
        </w:tabs>
        <w:spacing w:after="0"/>
        <w:ind w:firstLine="720"/>
        <w:jc w:val="center"/>
        <w:rPr>
          <w:b/>
          <w:i w:val="0"/>
          <w:iCs w:val="0"/>
          <w:color w:val="auto"/>
          <w:sz w:val="22"/>
          <w:szCs w:val="22"/>
        </w:rPr>
      </w:pPr>
      <w:r w:rsidRPr="00467FE6">
        <w:rPr>
          <w:b/>
          <w:i w:val="0"/>
          <w:iCs w:val="0"/>
          <w:color w:val="auto"/>
          <w:sz w:val="22"/>
          <w:szCs w:val="22"/>
        </w:rPr>
        <w:lastRenderedPageBreak/>
        <w:t>Table A</w:t>
      </w:r>
      <w:r w:rsidRPr="00467FE6">
        <w:rPr>
          <w:b/>
          <w:i w:val="0"/>
          <w:iCs w:val="0"/>
          <w:color w:val="auto"/>
          <w:sz w:val="22"/>
          <w:szCs w:val="22"/>
        </w:rPr>
        <w:fldChar w:fldCharType="begin"/>
      </w:r>
      <w:r w:rsidRPr="00467FE6">
        <w:rPr>
          <w:b/>
          <w:i w:val="0"/>
          <w:iCs w:val="0"/>
          <w:color w:val="auto"/>
          <w:sz w:val="22"/>
          <w:szCs w:val="22"/>
        </w:rPr>
        <w:instrText xml:space="preserve"> SEQ Table \* ARABIC </w:instrText>
      </w:r>
      <w:r w:rsidRPr="00467FE6">
        <w:rPr>
          <w:b/>
          <w:i w:val="0"/>
          <w:iCs w:val="0"/>
          <w:color w:val="auto"/>
          <w:sz w:val="22"/>
          <w:szCs w:val="22"/>
        </w:rPr>
        <w:fldChar w:fldCharType="separate"/>
      </w:r>
      <w:r w:rsidR="00233325">
        <w:rPr>
          <w:b/>
          <w:i w:val="0"/>
          <w:iCs w:val="0"/>
          <w:noProof/>
          <w:color w:val="auto"/>
          <w:sz w:val="22"/>
          <w:szCs w:val="22"/>
        </w:rPr>
        <w:t>2</w:t>
      </w:r>
      <w:r w:rsidRPr="00467FE6">
        <w:rPr>
          <w:b/>
          <w:i w:val="0"/>
          <w:iCs w:val="0"/>
          <w:color w:val="auto"/>
          <w:sz w:val="22"/>
          <w:szCs w:val="22"/>
        </w:rPr>
        <w:fldChar w:fldCharType="end"/>
      </w:r>
      <w:r w:rsidR="00C925C5" w:rsidRPr="00467FE6">
        <w:rPr>
          <w:b/>
          <w:i w:val="0"/>
          <w:iCs w:val="0"/>
          <w:color w:val="auto"/>
          <w:sz w:val="22"/>
          <w:szCs w:val="22"/>
        </w:rPr>
        <w:t>:</w:t>
      </w:r>
      <w:r w:rsidRPr="00467FE6">
        <w:rPr>
          <w:b/>
          <w:i w:val="0"/>
          <w:iCs w:val="0"/>
          <w:color w:val="auto"/>
          <w:sz w:val="22"/>
          <w:szCs w:val="22"/>
          <w:lang w:val="en-NZ"/>
        </w:rPr>
        <w:t xml:space="preserve"> </w:t>
      </w:r>
      <w:r w:rsidR="00C925C5" w:rsidRPr="00467FE6">
        <w:rPr>
          <w:b/>
          <w:i w:val="0"/>
          <w:iCs w:val="0"/>
          <w:color w:val="auto"/>
          <w:sz w:val="22"/>
          <w:szCs w:val="22"/>
          <w:lang w:val="en-NZ"/>
        </w:rPr>
        <w:t>T</w:t>
      </w:r>
      <w:r w:rsidRPr="00467FE6">
        <w:rPr>
          <w:b/>
          <w:i w:val="0"/>
          <w:iCs w:val="0"/>
          <w:color w:val="auto"/>
          <w:sz w:val="22"/>
          <w:szCs w:val="22"/>
          <w:lang w:val="en-NZ"/>
        </w:rPr>
        <w:t xml:space="preserve">ests for </w:t>
      </w:r>
      <w:r w:rsidR="00517C59" w:rsidRPr="00467FE6">
        <w:rPr>
          <w:b/>
          <w:i w:val="0"/>
          <w:iCs w:val="0"/>
          <w:color w:val="auto"/>
          <w:sz w:val="22"/>
          <w:szCs w:val="22"/>
          <w:lang w:val="en-NZ"/>
        </w:rPr>
        <w:t>I</w:t>
      </w:r>
      <w:r w:rsidRPr="00467FE6">
        <w:rPr>
          <w:b/>
          <w:i w:val="0"/>
          <w:iCs w:val="0"/>
          <w:color w:val="auto"/>
          <w:sz w:val="22"/>
          <w:szCs w:val="22"/>
          <w:lang w:val="en-NZ"/>
        </w:rPr>
        <w:t>nstruments</w:t>
      </w:r>
    </w:p>
    <w:tbl>
      <w:tblPr>
        <w:tblStyle w:val="TableGrid"/>
        <w:tblW w:w="132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1"/>
        <w:gridCol w:w="1176"/>
        <w:gridCol w:w="1583"/>
        <w:gridCol w:w="1620"/>
        <w:gridCol w:w="1349"/>
        <w:gridCol w:w="1492"/>
      </w:tblGrid>
      <w:tr w:rsidR="004D3F41" w:rsidRPr="00467FE6" w14:paraId="6CE0A941" w14:textId="77777777" w:rsidTr="00D55152">
        <w:trPr>
          <w:trHeight w:val="182"/>
          <w:jc w:val="center"/>
        </w:trPr>
        <w:tc>
          <w:tcPr>
            <w:tcW w:w="6061" w:type="dxa"/>
            <w:vMerge w:val="restart"/>
            <w:tcBorders>
              <w:top w:val="single" w:sz="4" w:space="0" w:color="auto"/>
            </w:tcBorders>
          </w:tcPr>
          <w:p w14:paraId="464B4615" w14:textId="77777777" w:rsidR="00615F17" w:rsidRPr="00467FE6" w:rsidRDefault="00615F17" w:rsidP="002E076A">
            <w:pPr>
              <w:tabs>
                <w:tab w:val="left" w:pos="567"/>
              </w:tabs>
              <w:jc w:val="center"/>
              <w:rPr>
                <w:bCs/>
                <w:sz w:val="22"/>
                <w:szCs w:val="22"/>
                <w:lang w:val="en-NZ"/>
              </w:rPr>
            </w:pPr>
          </w:p>
          <w:p w14:paraId="0E7CF10B" w14:textId="77777777" w:rsidR="00615F17" w:rsidRPr="00467FE6" w:rsidRDefault="00615F17" w:rsidP="002E076A">
            <w:pPr>
              <w:tabs>
                <w:tab w:val="left" w:pos="567"/>
              </w:tabs>
              <w:jc w:val="center"/>
              <w:rPr>
                <w:bCs/>
                <w:sz w:val="22"/>
                <w:szCs w:val="22"/>
                <w:lang w:val="en-NZ"/>
              </w:rPr>
            </w:pPr>
          </w:p>
          <w:p w14:paraId="13236BDE" w14:textId="0D339237" w:rsidR="00A232D9" w:rsidRPr="00467FE6" w:rsidRDefault="00A232D9" w:rsidP="002E076A">
            <w:pPr>
              <w:tabs>
                <w:tab w:val="left" w:pos="567"/>
              </w:tabs>
              <w:jc w:val="center"/>
              <w:rPr>
                <w:bCs/>
                <w:sz w:val="22"/>
                <w:szCs w:val="22"/>
                <w:lang w:val="en-NZ"/>
              </w:rPr>
            </w:pPr>
            <w:r w:rsidRPr="00467FE6">
              <w:rPr>
                <w:bCs/>
                <w:sz w:val="22"/>
                <w:szCs w:val="22"/>
                <w:lang w:val="en-NZ"/>
              </w:rPr>
              <w:t>Test for</w:t>
            </w:r>
          </w:p>
        </w:tc>
        <w:tc>
          <w:tcPr>
            <w:tcW w:w="7219" w:type="dxa"/>
            <w:gridSpan w:val="5"/>
            <w:tcBorders>
              <w:top w:val="single" w:sz="4" w:space="0" w:color="auto"/>
              <w:bottom w:val="single" w:sz="4" w:space="0" w:color="auto"/>
            </w:tcBorders>
          </w:tcPr>
          <w:p w14:paraId="72922D4C" w14:textId="18F4E9DD" w:rsidR="00A232D9" w:rsidRPr="00467FE6" w:rsidRDefault="00A232D9" w:rsidP="002E076A">
            <w:pPr>
              <w:tabs>
                <w:tab w:val="left" w:pos="567"/>
              </w:tabs>
              <w:jc w:val="center"/>
              <w:rPr>
                <w:bCs/>
                <w:sz w:val="22"/>
                <w:szCs w:val="22"/>
                <w:lang w:val="en-NZ"/>
              </w:rPr>
            </w:pPr>
            <w:r w:rsidRPr="00467FE6">
              <w:rPr>
                <w:bCs/>
                <w:sz w:val="22"/>
                <w:szCs w:val="22"/>
                <w:lang w:val="en-NZ"/>
              </w:rPr>
              <w:t>p-values</w:t>
            </w:r>
          </w:p>
        </w:tc>
      </w:tr>
      <w:tr w:rsidR="004D3F41" w:rsidRPr="00467FE6" w14:paraId="2B231DAE" w14:textId="38E89DB7" w:rsidTr="00D55152">
        <w:trPr>
          <w:trHeight w:val="182"/>
          <w:jc w:val="center"/>
        </w:trPr>
        <w:tc>
          <w:tcPr>
            <w:tcW w:w="6061" w:type="dxa"/>
            <w:vMerge/>
            <w:tcBorders>
              <w:bottom w:val="single" w:sz="4" w:space="0" w:color="auto"/>
            </w:tcBorders>
          </w:tcPr>
          <w:p w14:paraId="20C868F4" w14:textId="5887DB3D" w:rsidR="00A232D9" w:rsidRPr="00467FE6" w:rsidRDefault="00A232D9" w:rsidP="002E076A">
            <w:pPr>
              <w:tabs>
                <w:tab w:val="left" w:pos="567"/>
              </w:tabs>
              <w:jc w:val="center"/>
              <w:rPr>
                <w:bCs/>
                <w:sz w:val="22"/>
                <w:szCs w:val="22"/>
                <w:lang w:val="en-NZ"/>
              </w:rPr>
            </w:pPr>
          </w:p>
        </w:tc>
        <w:tc>
          <w:tcPr>
            <w:tcW w:w="1176" w:type="dxa"/>
            <w:tcBorders>
              <w:top w:val="single" w:sz="4" w:space="0" w:color="auto"/>
              <w:bottom w:val="single" w:sz="4" w:space="0" w:color="auto"/>
            </w:tcBorders>
          </w:tcPr>
          <w:p w14:paraId="269E16BB" w14:textId="61D06035" w:rsidR="00A232D9" w:rsidRPr="00467FE6" w:rsidRDefault="00A232D9" w:rsidP="002E076A">
            <w:pPr>
              <w:tabs>
                <w:tab w:val="left" w:pos="567"/>
              </w:tabs>
              <w:jc w:val="center"/>
              <w:rPr>
                <w:bCs/>
                <w:sz w:val="22"/>
                <w:szCs w:val="22"/>
                <w:lang w:val="en-NZ"/>
              </w:rPr>
            </w:pPr>
            <w:r w:rsidRPr="00467FE6">
              <w:rPr>
                <w:bCs/>
                <w:sz w:val="22"/>
                <w:szCs w:val="22"/>
                <w:lang w:val="en-NZ"/>
              </w:rPr>
              <w:t xml:space="preserve">Model </w:t>
            </w:r>
            <w:r w:rsidR="00310C15" w:rsidRPr="00467FE6">
              <w:rPr>
                <w:bCs/>
                <w:sz w:val="22"/>
                <w:szCs w:val="22"/>
                <w:lang w:val="en-NZ"/>
              </w:rPr>
              <w:t>1</w:t>
            </w:r>
          </w:p>
          <w:p w14:paraId="17615EDD" w14:textId="4E8E631C" w:rsidR="00A232D9" w:rsidRPr="00467FE6" w:rsidRDefault="00A232D9" w:rsidP="002E076A">
            <w:pPr>
              <w:tabs>
                <w:tab w:val="left" w:pos="567"/>
              </w:tabs>
              <w:jc w:val="center"/>
              <w:rPr>
                <w:bCs/>
                <w:sz w:val="22"/>
                <w:szCs w:val="22"/>
                <w:lang w:val="en-NZ"/>
              </w:rPr>
            </w:pPr>
            <w:r w:rsidRPr="00467FE6">
              <w:rPr>
                <w:bCs/>
                <w:sz w:val="22"/>
                <w:szCs w:val="22"/>
                <w:lang w:val="en-NZ"/>
              </w:rPr>
              <w:t xml:space="preserve">Infant </w:t>
            </w:r>
            <w:r w:rsidR="00310C15" w:rsidRPr="00467FE6">
              <w:rPr>
                <w:bCs/>
                <w:sz w:val="22"/>
                <w:szCs w:val="22"/>
                <w:lang w:val="en-NZ"/>
              </w:rPr>
              <w:t>Mortality</w:t>
            </w:r>
          </w:p>
        </w:tc>
        <w:tc>
          <w:tcPr>
            <w:tcW w:w="1583" w:type="dxa"/>
            <w:tcBorders>
              <w:top w:val="single" w:sz="4" w:space="0" w:color="auto"/>
              <w:bottom w:val="single" w:sz="4" w:space="0" w:color="auto"/>
            </w:tcBorders>
          </w:tcPr>
          <w:p w14:paraId="527DD7CE" w14:textId="77777777" w:rsidR="00403B5D" w:rsidRPr="00467FE6" w:rsidRDefault="00A232D9" w:rsidP="002E076A">
            <w:pPr>
              <w:tabs>
                <w:tab w:val="left" w:pos="567"/>
              </w:tabs>
              <w:jc w:val="center"/>
              <w:rPr>
                <w:bCs/>
                <w:sz w:val="22"/>
                <w:szCs w:val="22"/>
                <w:lang w:val="en-NZ"/>
              </w:rPr>
            </w:pPr>
            <w:r w:rsidRPr="00467FE6">
              <w:rPr>
                <w:bCs/>
                <w:sz w:val="22"/>
                <w:szCs w:val="22"/>
                <w:lang w:val="en-NZ"/>
              </w:rPr>
              <w:t xml:space="preserve">Model </w:t>
            </w:r>
            <w:r w:rsidR="00310C15" w:rsidRPr="00467FE6">
              <w:rPr>
                <w:bCs/>
                <w:sz w:val="22"/>
                <w:szCs w:val="22"/>
                <w:lang w:val="en-NZ"/>
              </w:rPr>
              <w:t xml:space="preserve">2 </w:t>
            </w:r>
          </w:p>
          <w:p w14:paraId="7BA8F6E1" w14:textId="74A7553C" w:rsidR="00A232D9" w:rsidRPr="00467FE6" w:rsidRDefault="00A232D9" w:rsidP="002E076A">
            <w:pPr>
              <w:tabs>
                <w:tab w:val="left" w:pos="567"/>
              </w:tabs>
              <w:jc w:val="center"/>
              <w:rPr>
                <w:bCs/>
                <w:sz w:val="22"/>
                <w:szCs w:val="22"/>
                <w:lang w:val="en-NZ"/>
              </w:rPr>
            </w:pPr>
            <w:r w:rsidRPr="00467FE6">
              <w:rPr>
                <w:bCs/>
                <w:sz w:val="22"/>
                <w:szCs w:val="22"/>
                <w:lang w:val="en-NZ"/>
              </w:rPr>
              <w:t xml:space="preserve">Child </w:t>
            </w:r>
            <w:r w:rsidR="00310C15" w:rsidRPr="00467FE6">
              <w:rPr>
                <w:bCs/>
                <w:sz w:val="22"/>
                <w:szCs w:val="22"/>
                <w:lang w:val="en-NZ"/>
              </w:rPr>
              <w:t>Mortality</w:t>
            </w:r>
          </w:p>
        </w:tc>
        <w:tc>
          <w:tcPr>
            <w:tcW w:w="1620" w:type="dxa"/>
            <w:tcBorders>
              <w:top w:val="single" w:sz="4" w:space="0" w:color="auto"/>
              <w:bottom w:val="single" w:sz="4" w:space="0" w:color="auto"/>
            </w:tcBorders>
          </w:tcPr>
          <w:p w14:paraId="5C06B364" w14:textId="607D8F9D" w:rsidR="00A232D9" w:rsidRPr="00467FE6" w:rsidRDefault="00A232D9" w:rsidP="002E076A">
            <w:pPr>
              <w:tabs>
                <w:tab w:val="left" w:pos="567"/>
              </w:tabs>
              <w:jc w:val="center"/>
              <w:rPr>
                <w:bCs/>
                <w:sz w:val="22"/>
                <w:szCs w:val="22"/>
                <w:lang w:val="en-NZ"/>
              </w:rPr>
            </w:pPr>
            <w:r w:rsidRPr="00467FE6">
              <w:rPr>
                <w:bCs/>
                <w:sz w:val="22"/>
                <w:szCs w:val="22"/>
                <w:lang w:val="en-NZ"/>
              </w:rPr>
              <w:t xml:space="preserve">Model </w:t>
            </w:r>
            <w:r w:rsidR="00310C15" w:rsidRPr="00467FE6">
              <w:rPr>
                <w:bCs/>
                <w:sz w:val="22"/>
                <w:szCs w:val="22"/>
                <w:lang w:val="en-NZ"/>
              </w:rPr>
              <w:t xml:space="preserve">3 </w:t>
            </w:r>
          </w:p>
          <w:p w14:paraId="60EDD9AD" w14:textId="1877DBBC" w:rsidR="00A232D9" w:rsidRPr="00467FE6" w:rsidRDefault="00A232D9" w:rsidP="002E076A">
            <w:pPr>
              <w:tabs>
                <w:tab w:val="left" w:pos="567"/>
              </w:tabs>
              <w:jc w:val="center"/>
              <w:rPr>
                <w:bCs/>
                <w:sz w:val="22"/>
                <w:szCs w:val="22"/>
                <w:lang w:val="en-NZ"/>
              </w:rPr>
            </w:pPr>
            <w:r w:rsidRPr="00467FE6">
              <w:rPr>
                <w:bCs/>
                <w:sz w:val="22"/>
                <w:szCs w:val="22"/>
                <w:lang w:val="en-NZ"/>
              </w:rPr>
              <w:t xml:space="preserve">Both </w:t>
            </w:r>
            <w:r w:rsidR="00310C15" w:rsidRPr="00467FE6">
              <w:rPr>
                <w:bCs/>
                <w:sz w:val="22"/>
                <w:szCs w:val="22"/>
                <w:lang w:val="en-NZ"/>
              </w:rPr>
              <w:t xml:space="preserve">Sex </w:t>
            </w:r>
            <w:r w:rsidRPr="00467FE6">
              <w:rPr>
                <w:bCs/>
                <w:sz w:val="22"/>
                <w:szCs w:val="22"/>
                <w:lang w:val="en-NZ"/>
              </w:rPr>
              <w:t xml:space="preserve">Life </w:t>
            </w:r>
            <w:r w:rsidR="00310C15" w:rsidRPr="00467FE6">
              <w:rPr>
                <w:bCs/>
                <w:sz w:val="22"/>
                <w:szCs w:val="22"/>
                <w:lang w:val="en-NZ"/>
              </w:rPr>
              <w:t>Expectancy</w:t>
            </w:r>
          </w:p>
        </w:tc>
        <w:tc>
          <w:tcPr>
            <w:tcW w:w="1349" w:type="dxa"/>
            <w:tcBorders>
              <w:top w:val="single" w:sz="4" w:space="0" w:color="auto"/>
              <w:bottom w:val="single" w:sz="4" w:space="0" w:color="auto"/>
            </w:tcBorders>
          </w:tcPr>
          <w:p w14:paraId="003D1E49" w14:textId="227CECE1" w:rsidR="00A232D9" w:rsidRPr="00467FE6" w:rsidRDefault="00A232D9" w:rsidP="002E076A">
            <w:pPr>
              <w:tabs>
                <w:tab w:val="left" w:pos="567"/>
              </w:tabs>
              <w:jc w:val="center"/>
              <w:rPr>
                <w:bCs/>
                <w:sz w:val="22"/>
                <w:szCs w:val="22"/>
                <w:lang w:val="en-NZ"/>
              </w:rPr>
            </w:pPr>
            <w:r w:rsidRPr="00467FE6">
              <w:rPr>
                <w:bCs/>
                <w:sz w:val="22"/>
                <w:szCs w:val="22"/>
                <w:lang w:val="en-NZ"/>
              </w:rPr>
              <w:t xml:space="preserve">Model </w:t>
            </w:r>
            <w:r w:rsidR="00310C15" w:rsidRPr="00467FE6">
              <w:rPr>
                <w:bCs/>
                <w:sz w:val="22"/>
                <w:szCs w:val="22"/>
                <w:lang w:val="en-NZ"/>
              </w:rPr>
              <w:t>4</w:t>
            </w:r>
          </w:p>
          <w:p w14:paraId="0FAEDA48" w14:textId="43756003" w:rsidR="00A232D9" w:rsidRPr="00467FE6" w:rsidRDefault="00A232D9" w:rsidP="002E076A">
            <w:pPr>
              <w:tabs>
                <w:tab w:val="left" w:pos="567"/>
              </w:tabs>
              <w:jc w:val="center"/>
              <w:rPr>
                <w:bCs/>
                <w:sz w:val="22"/>
                <w:szCs w:val="22"/>
                <w:lang w:val="en-NZ"/>
              </w:rPr>
            </w:pPr>
            <w:r w:rsidRPr="00467FE6">
              <w:rPr>
                <w:bCs/>
                <w:sz w:val="22"/>
                <w:szCs w:val="22"/>
                <w:lang w:val="en-NZ"/>
              </w:rPr>
              <w:t xml:space="preserve">Male Life </w:t>
            </w:r>
            <w:r w:rsidR="00310C15" w:rsidRPr="00467FE6">
              <w:rPr>
                <w:bCs/>
                <w:sz w:val="22"/>
                <w:szCs w:val="22"/>
                <w:lang w:val="en-NZ"/>
              </w:rPr>
              <w:t>Expectancy</w:t>
            </w:r>
          </w:p>
        </w:tc>
        <w:tc>
          <w:tcPr>
            <w:tcW w:w="1492" w:type="dxa"/>
            <w:tcBorders>
              <w:top w:val="single" w:sz="4" w:space="0" w:color="auto"/>
              <w:bottom w:val="single" w:sz="4" w:space="0" w:color="auto"/>
            </w:tcBorders>
          </w:tcPr>
          <w:p w14:paraId="57D82882" w14:textId="26868172" w:rsidR="00A232D9" w:rsidRPr="00467FE6" w:rsidRDefault="00A232D9" w:rsidP="002E076A">
            <w:pPr>
              <w:tabs>
                <w:tab w:val="left" w:pos="567"/>
              </w:tabs>
              <w:jc w:val="center"/>
              <w:rPr>
                <w:bCs/>
                <w:sz w:val="22"/>
                <w:szCs w:val="22"/>
                <w:lang w:val="en-NZ"/>
              </w:rPr>
            </w:pPr>
            <w:r w:rsidRPr="00467FE6">
              <w:rPr>
                <w:bCs/>
                <w:sz w:val="22"/>
                <w:szCs w:val="22"/>
                <w:lang w:val="en-NZ"/>
              </w:rPr>
              <w:t xml:space="preserve">Model </w:t>
            </w:r>
            <w:r w:rsidR="00310C15" w:rsidRPr="00467FE6">
              <w:rPr>
                <w:bCs/>
                <w:sz w:val="22"/>
                <w:szCs w:val="22"/>
                <w:lang w:val="en-NZ"/>
              </w:rPr>
              <w:t>5</w:t>
            </w:r>
          </w:p>
          <w:p w14:paraId="4EF74B59" w14:textId="30B07DA7" w:rsidR="00A232D9" w:rsidRPr="00467FE6" w:rsidRDefault="00A232D9" w:rsidP="002E076A">
            <w:pPr>
              <w:tabs>
                <w:tab w:val="left" w:pos="567"/>
              </w:tabs>
              <w:jc w:val="center"/>
              <w:rPr>
                <w:bCs/>
                <w:sz w:val="22"/>
                <w:szCs w:val="22"/>
                <w:lang w:val="en-NZ"/>
              </w:rPr>
            </w:pPr>
            <w:r w:rsidRPr="00467FE6">
              <w:rPr>
                <w:bCs/>
                <w:sz w:val="22"/>
                <w:szCs w:val="22"/>
                <w:lang w:val="en-NZ"/>
              </w:rPr>
              <w:t xml:space="preserve">Female Life </w:t>
            </w:r>
            <w:r w:rsidR="00310C15" w:rsidRPr="00467FE6">
              <w:rPr>
                <w:bCs/>
                <w:sz w:val="22"/>
                <w:szCs w:val="22"/>
                <w:lang w:val="en-NZ"/>
              </w:rPr>
              <w:t>Expectancy</w:t>
            </w:r>
          </w:p>
        </w:tc>
      </w:tr>
      <w:tr w:rsidR="004D3F41" w:rsidRPr="00467FE6" w14:paraId="77FFD9DC" w14:textId="00127552" w:rsidTr="00D55152">
        <w:trPr>
          <w:trHeight w:val="182"/>
          <w:jc w:val="center"/>
        </w:trPr>
        <w:tc>
          <w:tcPr>
            <w:tcW w:w="6061" w:type="dxa"/>
            <w:tcBorders>
              <w:top w:val="single" w:sz="4" w:space="0" w:color="auto"/>
            </w:tcBorders>
          </w:tcPr>
          <w:p w14:paraId="7D36724D" w14:textId="6D2662C0" w:rsidR="0023533F" w:rsidRPr="00467FE6" w:rsidRDefault="0023533F" w:rsidP="002E076A">
            <w:pPr>
              <w:tabs>
                <w:tab w:val="left" w:pos="567"/>
              </w:tabs>
              <w:jc w:val="both"/>
              <w:rPr>
                <w:sz w:val="22"/>
                <w:szCs w:val="22"/>
                <w:lang w:val="en-NZ"/>
              </w:rPr>
            </w:pPr>
            <w:r w:rsidRPr="00467FE6">
              <w:rPr>
                <w:sz w:val="22"/>
                <w:szCs w:val="22"/>
                <w:lang w:val="en-NZ"/>
              </w:rPr>
              <w:t xml:space="preserve">Under Identification </w:t>
            </w:r>
            <w:r w:rsidR="00403B5D" w:rsidRPr="00467FE6">
              <w:rPr>
                <w:sz w:val="22"/>
                <w:szCs w:val="22"/>
                <w:lang w:val="en-NZ"/>
              </w:rPr>
              <w:t>T</w:t>
            </w:r>
            <w:r w:rsidRPr="00467FE6">
              <w:rPr>
                <w:sz w:val="22"/>
                <w:szCs w:val="22"/>
                <w:lang w:val="en-NZ"/>
              </w:rPr>
              <w:t xml:space="preserve">est (Anderson canon. corr. </w:t>
            </w:r>
            <w:r w:rsidR="00E365A5" w:rsidRPr="00467FE6">
              <w:rPr>
                <w:sz w:val="22"/>
                <w:szCs w:val="22"/>
                <w:lang w:val="en-NZ"/>
              </w:rPr>
              <w:t xml:space="preserve">Lagrange multiplier </w:t>
            </w:r>
            <w:r w:rsidRPr="00467FE6">
              <w:rPr>
                <w:sz w:val="22"/>
                <w:szCs w:val="22"/>
                <w:lang w:val="en-NZ"/>
              </w:rPr>
              <w:t>statistic)</w:t>
            </w:r>
          </w:p>
        </w:tc>
        <w:tc>
          <w:tcPr>
            <w:tcW w:w="1176" w:type="dxa"/>
            <w:tcBorders>
              <w:top w:val="single" w:sz="4" w:space="0" w:color="auto"/>
            </w:tcBorders>
          </w:tcPr>
          <w:p w14:paraId="25B1278D" w14:textId="77777777" w:rsidR="0023533F" w:rsidRPr="00467FE6" w:rsidRDefault="0023533F" w:rsidP="002E076A">
            <w:pPr>
              <w:tabs>
                <w:tab w:val="left" w:pos="567"/>
              </w:tabs>
              <w:jc w:val="center"/>
              <w:rPr>
                <w:sz w:val="22"/>
                <w:szCs w:val="22"/>
                <w:lang w:val="it-IT"/>
              </w:rPr>
            </w:pPr>
            <w:r w:rsidRPr="00467FE6">
              <w:rPr>
                <w:sz w:val="22"/>
                <w:szCs w:val="22"/>
                <w:lang w:val="it-IT"/>
              </w:rPr>
              <w:t>0.000</w:t>
            </w:r>
          </w:p>
        </w:tc>
        <w:tc>
          <w:tcPr>
            <w:tcW w:w="1583" w:type="dxa"/>
            <w:tcBorders>
              <w:top w:val="single" w:sz="4" w:space="0" w:color="auto"/>
            </w:tcBorders>
          </w:tcPr>
          <w:p w14:paraId="4636775B" w14:textId="7079B8FE" w:rsidR="0023533F" w:rsidRPr="00467FE6" w:rsidRDefault="0023533F" w:rsidP="002E076A">
            <w:pPr>
              <w:tabs>
                <w:tab w:val="left" w:pos="567"/>
              </w:tabs>
              <w:jc w:val="center"/>
              <w:rPr>
                <w:sz w:val="22"/>
                <w:szCs w:val="22"/>
                <w:lang w:val="it-IT"/>
              </w:rPr>
            </w:pPr>
            <w:r w:rsidRPr="00467FE6">
              <w:rPr>
                <w:sz w:val="22"/>
                <w:szCs w:val="22"/>
                <w:lang w:val="it-IT"/>
              </w:rPr>
              <w:t>0.000</w:t>
            </w:r>
          </w:p>
        </w:tc>
        <w:tc>
          <w:tcPr>
            <w:tcW w:w="1620" w:type="dxa"/>
            <w:tcBorders>
              <w:top w:val="single" w:sz="4" w:space="0" w:color="auto"/>
            </w:tcBorders>
          </w:tcPr>
          <w:p w14:paraId="5655EC6F" w14:textId="2CFBB597" w:rsidR="0023533F" w:rsidRPr="00467FE6" w:rsidRDefault="0023533F" w:rsidP="002E076A">
            <w:pPr>
              <w:tabs>
                <w:tab w:val="left" w:pos="567"/>
              </w:tabs>
              <w:jc w:val="center"/>
              <w:rPr>
                <w:sz w:val="22"/>
                <w:szCs w:val="22"/>
                <w:lang w:val="it-IT"/>
              </w:rPr>
            </w:pPr>
            <w:r w:rsidRPr="00467FE6">
              <w:rPr>
                <w:sz w:val="22"/>
                <w:szCs w:val="22"/>
                <w:lang w:val="it-IT"/>
              </w:rPr>
              <w:t>0.000</w:t>
            </w:r>
          </w:p>
        </w:tc>
        <w:tc>
          <w:tcPr>
            <w:tcW w:w="1349" w:type="dxa"/>
            <w:tcBorders>
              <w:top w:val="single" w:sz="4" w:space="0" w:color="auto"/>
            </w:tcBorders>
          </w:tcPr>
          <w:p w14:paraId="7BEF9199" w14:textId="1F1876F0" w:rsidR="0023533F" w:rsidRPr="00467FE6" w:rsidRDefault="0023533F" w:rsidP="002E076A">
            <w:pPr>
              <w:tabs>
                <w:tab w:val="left" w:pos="567"/>
              </w:tabs>
              <w:jc w:val="center"/>
              <w:rPr>
                <w:sz w:val="22"/>
                <w:szCs w:val="22"/>
                <w:lang w:val="it-IT"/>
              </w:rPr>
            </w:pPr>
            <w:r w:rsidRPr="00467FE6">
              <w:rPr>
                <w:sz w:val="22"/>
                <w:szCs w:val="22"/>
                <w:lang w:val="it-IT"/>
              </w:rPr>
              <w:t>0.000</w:t>
            </w:r>
          </w:p>
        </w:tc>
        <w:tc>
          <w:tcPr>
            <w:tcW w:w="1492" w:type="dxa"/>
            <w:tcBorders>
              <w:top w:val="single" w:sz="4" w:space="0" w:color="auto"/>
            </w:tcBorders>
          </w:tcPr>
          <w:p w14:paraId="5F2B720D" w14:textId="0E2556F1" w:rsidR="0023533F" w:rsidRPr="00467FE6" w:rsidRDefault="0023533F" w:rsidP="002E076A">
            <w:pPr>
              <w:tabs>
                <w:tab w:val="left" w:pos="567"/>
              </w:tabs>
              <w:jc w:val="center"/>
              <w:rPr>
                <w:sz w:val="22"/>
                <w:szCs w:val="22"/>
                <w:lang w:val="it-IT"/>
              </w:rPr>
            </w:pPr>
            <w:r w:rsidRPr="00467FE6">
              <w:rPr>
                <w:sz w:val="22"/>
                <w:szCs w:val="22"/>
                <w:lang w:val="it-IT"/>
              </w:rPr>
              <w:t>0.000</w:t>
            </w:r>
          </w:p>
        </w:tc>
      </w:tr>
      <w:tr w:rsidR="004D3F41" w:rsidRPr="00467FE6" w14:paraId="43CE9E2B" w14:textId="572BEA57" w:rsidTr="00D55152">
        <w:trPr>
          <w:trHeight w:val="182"/>
          <w:jc w:val="center"/>
        </w:trPr>
        <w:tc>
          <w:tcPr>
            <w:tcW w:w="6061" w:type="dxa"/>
          </w:tcPr>
          <w:p w14:paraId="24B8AADD" w14:textId="5EF3BA99" w:rsidR="0023533F" w:rsidRPr="00467FE6" w:rsidRDefault="0023533F" w:rsidP="002E076A">
            <w:pPr>
              <w:tabs>
                <w:tab w:val="left" w:pos="567"/>
              </w:tabs>
              <w:jc w:val="both"/>
              <w:rPr>
                <w:sz w:val="22"/>
                <w:szCs w:val="22"/>
                <w:lang w:val="en-NZ"/>
              </w:rPr>
            </w:pPr>
            <w:r w:rsidRPr="00467FE6">
              <w:rPr>
                <w:sz w:val="22"/>
                <w:szCs w:val="22"/>
                <w:lang w:val="en-NZ"/>
              </w:rPr>
              <w:t xml:space="preserve">Joint </w:t>
            </w:r>
            <w:r w:rsidR="00CA21A9" w:rsidRPr="00467FE6">
              <w:rPr>
                <w:sz w:val="22"/>
                <w:szCs w:val="22"/>
                <w:lang w:val="en-NZ"/>
              </w:rPr>
              <w:t xml:space="preserve">Significance </w:t>
            </w:r>
            <w:r w:rsidR="00CA21A9">
              <w:rPr>
                <w:sz w:val="22"/>
                <w:szCs w:val="22"/>
                <w:lang w:val="en-NZ"/>
              </w:rPr>
              <w:t>o</w:t>
            </w:r>
            <w:r w:rsidR="00CA21A9" w:rsidRPr="00467FE6">
              <w:rPr>
                <w:sz w:val="22"/>
                <w:szCs w:val="22"/>
                <w:lang w:val="en-NZ"/>
              </w:rPr>
              <w:t>f Endogenous (</w:t>
            </w:r>
            <w:r w:rsidRPr="00467FE6">
              <w:rPr>
                <w:sz w:val="22"/>
                <w:szCs w:val="22"/>
                <w:lang w:val="en-NZ"/>
              </w:rPr>
              <w:t>Anderson</w:t>
            </w:r>
            <w:r w:rsidR="00CA21A9" w:rsidRPr="00467FE6">
              <w:rPr>
                <w:sz w:val="22"/>
                <w:szCs w:val="22"/>
                <w:lang w:val="en-NZ"/>
              </w:rPr>
              <w:t>-</w:t>
            </w:r>
            <w:r w:rsidRPr="00467FE6">
              <w:rPr>
                <w:sz w:val="22"/>
                <w:szCs w:val="22"/>
                <w:lang w:val="en-NZ"/>
              </w:rPr>
              <w:t xml:space="preserve">Rubin Wald </w:t>
            </w:r>
            <w:r w:rsidR="00CA21A9" w:rsidRPr="00467FE6">
              <w:rPr>
                <w:sz w:val="22"/>
                <w:szCs w:val="22"/>
                <w:lang w:val="en-NZ"/>
              </w:rPr>
              <w:t>Test)</w:t>
            </w:r>
          </w:p>
        </w:tc>
        <w:tc>
          <w:tcPr>
            <w:tcW w:w="1176" w:type="dxa"/>
          </w:tcPr>
          <w:p w14:paraId="4B6AEDF2" w14:textId="77777777" w:rsidR="0023533F" w:rsidRPr="00467FE6" w:rsidRDefault="0023533F" w:rsidP="002E076A">
            <w:pPr>
              <w:tabs>
                <w:tab w:val="left" w:pos="567"/>
              </w:tabs>
              <w:jc w:val="center"/>
              <w:rPr>
                <w:sz w:val="22"/>
                <w:szCs w:val="22"/>
                <w:lang w:val="en-NZ"/>
              </w:rPr>
            </w:pPr>
            <w:r w:rsidRPr="00467FE6">
              <w:rPr>
                <w:sz w:val="22"/>
                <w:szCs w:val="22"/>
                <w:lang w:val="en-NZ"/>
              </w:rPr>
              <w:t>0.000</w:t>
            </w:r>
          </w:p>
        </w:tc>
        <w:tc>
          <w:tcPr>
            <w:tcW w:w="1583" w:type="dxa"/>
          </w:tcPr>
          <w:p w14:paraId="54DD2AE4" w14:textId="288FE0A3" w:rsidR="0023533F" w:rsidRPr="00467FE6" w:rsidRDefault="0023533F" w:rsidP="002E076A">
            <w:pPr>
              <w:tabs>
                <w:tab w:val="left" w:pos="567"/>
              </w:tabs>
              <w:jc w:val="center"/>
              <w:rPr>
                <w:sz w:val="22"/>
                <w:szCs w:val="22"/>
                <w:lang w:val="en-NZ"/>
              </w:rPr>
            </w:pPr>
            <w:r w:rsidRPr="00467FE6">
              <w:rPr>
                <w:sz w:val="22"/>
                <w:szCs w:val="22"/>
                <w:lang w:val="en-NZ"/>
              </w:rPr>
              <w:t>0.000</w:t>
            </w:r>
          </w:p>
        </w:tc>
        <w:tc>
          <w:tcPr>
            <w:tcW w:w="1620" w:type="dxa"/>
          </w:tcPr>
          <w:p w14:paraId="48A61C59" w14:textId="4F7221D8" w:rsidR="0023533F" w:rsidRPr="00467FE6" w:rsidRDefault="0023533F" w:rsidP="002E076A">
            <w:pPr>
              <w:tabs>
                <w:tab w:val="left" w:pos="567"/>
              </w:tabs>
              <w:jc w:val="center"/>
              <w:rPr>
                <w:sz w:val="22"/>
                <w:szCs w:val="22"/>
                <w:lang w:val="en-NZ"/>
              </w:rPr>
            </w:pPr>
            <w:r w:rsidRPr="00467FE6">
              <w:rPr>
                <w:sz w:val="22"/>
                <w:szCs w:val="22"/>
                <w:lang w:val="it-IT"/>
              </w:rPr>
              <w:t>0.000</w:t>
            </w:r>
          </w:p>
        </w:tc>
        <w:tc>
          <w:tcPr>
            <w:tcW w:w="1349" w:type="dxa"/>
          </w:tcPr>
          <w:p w14:paraId="25741129" w14:textId="3C620564" w:rsidR="0023533F" w:rsidRPr="00467FE6" w:rsidRDefault="0023533F" w:rsidP="002E076A">
            <w:pPr>
              <w:tabs>
                <w:tab w:val="left" w:pos="567"/>
              </w:tabs>
              <w:jc w:val="center"/>
              <w:rPr>
                <w:sz w:val="22"/>
                <w:szCs w:val="22"/>
                <w:lang w:val="en-NZ"/>
              </w:rPr>
            </w:pPr>
            <w:r w:rsidRPr="00467FE6">
              <w:rPr>
                <w:sz w:val="22"/>
                <w:szCs w:val="22"/>
                <w:lang w:val="it-IT"/>
              </w:rPr>
              <w:t>0.000</w:t>
            </w:r>
          </w:p>
        </w:tc>
        <w:tc>
          <w:tcPr>
            <w:tcW w:w="1492" w:type="dxa"/>
          </w:tcPr>
          <w:p w14:paraId="4AC9E73E" w14:textId="0EDB0586" w:rsidR="0023533F" w:rsidRPr="00467FE6" w:rsidRDefault="0023533F" w:rsidP="002E076A">
            <w:pPr>
              <w:tabs>
                <w:tab w:val="left" w:pos="567"/>
              </w:tabs>
              <w:jc w:val="center"/>
              <w:rPr>
                <w:sz w:val="22"/>
                <w:szCs w:val="22"/>
                <w:lang w:val="en-NZ"/>
              </w:rPr>
            </w:pPr>
            <w:r w:rsidRPr="00467FE6">
              <w:rPr>
                <w:sz w:val="22"/>
                <w:szCs w:val="22"/>
                <w:lang w:val="it-IT"/>
              </w:rPr>
              <w:t>0.000</w:t>
            </w:r>
          </w:p>
        </w:tc>
      </w:tr>
      <w:tr w:rsidR="004D3F41" w:rsidRPr="00467FE6" w14:paraId="24C0ACA4" w14:textId="3EB914FC" w:rsidTr="00D55152">
        <w:trPr>
          <w:trHeight w:val="182"/>
          <w:jc w:val="center"/>
        </w:trPr>
        <w:tc>
          <w:tcPr>
            <w:tcW w:w="6061" w:type="dxa"/>
          </w:tcPr>
          <w:p w14:paraId="36E2E9C7" w14:textId="6A9968FE" w:rsidR="0023533F" w:rsidRPr="00467FE6" w:rsidRDefault="0023533F" w:rsidP="002E076A">
            <w:pPr>
              <w:tabs>
                <w:tab w:val="left" w:pos="567"/>
              </w:tabs>
              <w:jc w:val="both"/>
              <w:rPr>
                <w:sz w:val="22"/>
                <w:szCs w:val="22"/>
                <w:lang w:val="en-NZ"/>
              </w:rPr>
            </w:pPr>
            <w:r w:rsidRPr="00467FE6">
              <w:rPr>
                <w:sz w:val="22"/>
                <w:szCs w:val="22"/>
                <w:lang w:val="en-NZ"/>
              </w:rPr>
              <w:t xml:space="preserve">Over Identification </w:t>
            </w:r>
            <w:r w:rsidR="00CA21A9" w:rsidRPr="00467FE6">
              <w:rPr>
                <w:sz w:val="22"/>
                <w:szCs w:val="22"/>
                <w:lang w:val="en-NZ"/>
              </w:rPr>
              <w:t xml:space="preserve">Test </w:t>
            </w:r>
            <w:r w:rsidR="00CA21A9">
              <w:rPr>
                <w:sz w:val="22"/>
                <w:szCs w:val="22"/>
                <w:lang w:val="en-NZ"/>
              </w:rPr>
              <w:t>f</w:t>
            </w:r>
            <w:r w:rsidR="00CA21A9" w:rsidRPr="00467FE6">
              <w:rPr>
                <w:sz w:val="22"/>
                <w:szCs w:val="22"/>
                <w:lang w:val="en-NZ"/>
              </w:rPr>
              <w:t>or All Instruments (</w:t>
            </w:r>
            <w:proofErr w:type="spellStart"/>
            <w:r w:rsidRPr="00467FE6">
              <w:rPr>
                <w:sz w:val="22"/>
                <w:szCs w:val="22"/>
                <w:lang w:val="en-NZ"/>
              </w:rPr>
              <w:t>Sargan</w:t>
            </w:r>
            <w:proofErr w:type="spellEnd"/>
            <w:r w:rsidRPr="00467FE6">
              <w:rPr>
                <w:sz w:val="22"/>
                <w:szCs w:val="22"/>
                <w:lang w:val="en-NZ"/>
              </w:rPr>
              <w:t xml:space="preserve"> </w:t>
            </w:r>
            <w:r w:rsidR="00CA21A9" w:rsidRPr="00467FE6">
              <w:rPr>
                <w:sz w:val="22"/>
                <w:szCs w:val="22"/>
                <w:lang w:val="en-NZ"/>
              </w:rPr>
              <w:t xml:space="preserve">Statistic) </w:t>
            </w:r>
          </w:p>
        </w:tc>
        <w:tc>
          <w:tcPr>
            <w:tcW w:w="1176" w:type="dxa"/>
          </w:tcPr>
          <w:p w14:paraId="45CC6590" w14:textId="64C9BB70" w:rsidR="0023533F" w:rsidRPr="00467FE6" w:rsidRDefault="0023533F" w:rsidP="002E076A">
            <w:pPr>
              <w:tabs>
                <w:tab w:val="left" w:pos="567"/>
              </w:tabs>
              <w:jc w:val="center"/>
              <w:rPr>
                <w:sz w:val="22"/>
                <w:szCs w:val="22"/>
                <w:lang w:val="en-NZ"/>
              </w:rPr>
            </w:pPr>
            <w:r w:rsidRPr="00467FE6">
              <w:rPr>
                <w:sz w:val="22"/>
                <w:szCs w:val="22"/>
                <w:lang w:val="en-NZ"/>
              </w:rPr>
              <w:t>0.025</w:t>
            </w:r>
          </w:p>
        </w:tc>
        <w:tc>
          <w:tcPr>
            <w:tcW w:w="1583" w:type="dxa"/>
          </w:tcPr>
          <w:p w14:paraId="38628050" w14:textId="10776237" w:rsidR="0023533F" w:rsidRPr="00467FE6" w:rsidRDefault="0023533F" w:rsidP="002E076A">
            <w:pPr>
              <w:tabs>
                <w:tab w:val="left" w:pos="567"/>
              </w:tabs>
              <w:jc w:val="center"/>
              <w:rPr>
                <w:sz w:val="22"/>
                <w:szCs w:val="22"/>
                <w:lang w:val="en-NZ"/>
              </w:rPr>
            </w:pPr>
            <w:r w:rsidRPr="00467FE6">
              <w:rPr>
                <w:sz w:val="22"/>
                <w:szCs w:val="22"/>
                <w:lang w:val="en-NZ"/>
              </w:rPr>
              <w:t>0.186</w:t>
            </w:r>
          </w:p>
        </w:tc>
        <w:tc>
          <w:tcPr>
            <w:tcW w:w="1620" w:type="dxa"/>
          </w:tcPr>
          <w:p w14:paraId="66A9B9D9" w14:textId="42F038C0" w:rsidR="0023533F" w:rsidRPr="00467FE6" w:rsidRDefault="0023533F" w:rsidP="002E076A">
            <w:pPr>
              <w:tabs>
                <w:tab w:val="left" w:pos="567"/>
              </w:tabs>
              <w:jc w:val="center"/>
              <w:rPr>
                <w:sz w:val="22"/>
                <w:szCs w:val="22"/>
                <w:lang w:val="en-NZ"/>
              </w:rPr>
            </w:pPr>
            <w:r w:rsidRPr="00467FE6">
              <w:rPr>
                <w:sz w:val="22"/>
                <w:szCs w:val="22"/>
                <w:lang w:val="en-NZ"/>
              </w:rPr>
              <w:t>0.000</w:t>
            </w:r>
          </w:p>
        </w:tc>
        <w:tc>
          <w:tcPr>
            <w:tcW w:w="1349" w:type="dxa"/>
          </w:tcPr>
          <w:p w14:paraId="09EA830D" w14:textId="2944F13C" w:rsidR="0023533F" w:rsidRPr="00467FE6" w:rsidRDefault="0023533F" w:rsidP="002E076A">
            <w:pPr>
              <w:tabs>
                <w:tab w:val="left" w:pos="567"/>
              </w:tabs>
              <w:jc w:val="center"/>
              <w:rPr>
                <w:sz w:val="22"/>
                <w:szCs w:val="22"/>
                <w:lang w:val="en-NZ"/>
              </w:rPr>
            </w:pPr>
            <w:r w:rsidRPr="00467FE6">
              <w:rPr>
                <w:sz w:val="22"/>
                <w:szCs w:val="22"/>
                <w:lang w:val="en-NZ"/>
              </w:rPr>
              <w:t>0.000</w:t>
            </w:r>
          </w:p>
        </w:tc>
        <w:tc>
          <w:tcPr>
            <w:tcW w:w="1492" w:type="dxa"/>
          </w:tcPr>
          <w:p w14:paraId="5D66CAC2" w14:textId="036F938A" w:rsidR="0023533F" w:rsidRPr="00467FE6" w:rsidRDefault="0023533F" w:rsidP="002E076A">
            <w:pPr>
              <w:tabs>
                <w:tab w:val="left" w:pos="567"/>
              </w:tabs>
              <w:jc w:val="center"/>
              <w:rPr>
                <w:sz w:val="22"/>
                <w:szCs w:val="22"/>
                <w:lang w:val="en-NZ"/>
              </w:rPr>
            </w:pPr>
            <w:r w:rsidRPr="00467FE6">
              <w:rPr>
                <w:sz w:val="22"/>
                <w:szCs w:val="22"/>
                <w:lang w:val="en-NZ"/>
              </w:rPr>
              <w:t>0.000</w:t>
            </w:r>
          </w:p>
        </w:tc>
      </w:tr>
      <w:tr w:rsidR="005333F2" w:rsidRPr="00467FE6" w14:paraId="2856159C" w14:textId="77777777" w:rsidTr="00D55152">
        <w:trPr>
          <w:trHeight w:val="182"/>
          <w:jc w:val="center"/>
        </w:trPr>
        <w:tc>
          <w:tcPr>
            <w:tcW w:w="6061" w:type="dxa"/>
            <w:tcBorders>
              <w:bottom w:val="single" w:sz="4" w:space="0" w:color="auto"/>
            </w:tcBorders>
          </w:tcPr>
          <w:p w14:paraId="342483BF" w14:textId="76538769" w:rsidR="0023533F" w:rsidRPr="00467FE6" w:rsidRDefault="0023533F" w:rsidP="002E076A">
            <w:pPr>
              <w:tabs>
                <w:tab w:val="left" w:pos="567"/>
              </w:tabs>
              <w:jc w:val="both"/>
              <w:rPr>
                <w:sz w:val="22"/>
                <w:szCs w:val="22"/>
                <w:lang w:val="en-NZ"/>
              </w:rPr>
            </w:pPr>
            <w:r w:rsidRPr="00467FE6">
              <w:rPr>
                <w:sz w:val="22"/>
                <w:szCs w:val="22"/>
                <w:lang w:val="en-NZ"/>
              </w:rPr>
              <w:t xml:space="preserve">Weak </w:t>
            </w:r>
            <w:r w:rsidR="00CA21A9" w:rsidRPr="00467FE6">
              <w:rPr>
                <w:sz w:val="22"/>
                <w:szCs w:val="22"/>
                <w:lang w:val="en-NZ"/>
              </w:rPr>
              <w:t>Identification Test (</w:t>
            </w:r>
            <w:r w:rsidRPr="00467FE6">
              <w:rPr>
                <w:sz w:val="22"/>
                <w:szCs w:val="22"/>
                <w:lang w:val="en-NZ"/>
              </w:rPr>
              <w:t>Cragg</w:t>
            </w:r>
            <w:r w:rsidR="00CA21A9" w:rsidRPr="00467FE6">
              <w:rPr>
                <w:sz w:val="22"/>
                <w:szCs w:val="22"/>
                <w:lang w:val="en-NZ"/>
              </w:rPr>
              <w:t>-</w:t>
            </w:r>
            <w:r w:rsidRPr="00467FE6">
              <w:rPr>
                <w:sz w:val="22"/>
                <w:szCs w:val="22"/>
                <w:lang w:val="en-NZ"/>
              </w:rPr>
              <w:t xml:space="preserve">Donald Wald </w:t>
            </w:r>
            <w:r w:rsidR="00CA21A9" w:rsidRPr="00467FE6">
              <w:rPr>
                <w:sz w:val="22"/>
                <w:szCs w:val="22"/>
                <w:lang w:val="en-NZ"/>
              </w:rPr>
              <w:t xml:space="preserve">Statistic) </w:t>
            </w:r>
          </w:p>
        </w:tc>
        <w:tc>
          <w:tcPr>
            <w:tcW w:w="1176" w:type="dxa"/>
            <w:tcBorders>
              <w:bottom w:val="single" w:sz="4" w:space="0" w:color="auto"/>
            </w:tcBorders>
          </w:tcPr>
          <w:p w14:paraId="3F7F00C8" w14:textId="6DE80AB7" w:rsidR="0023533F" w:rsidRPr="00467FE6" w:rsidRDefault="0023533F" w:rsidP="002E076A">
            <w:pPr>
              <w:tabs>
                <w:tab w:val="left" w:pos="567"/>
              </w:tabs>
              <w:jc w:val="center"/>
              <w:rPr>
                <w:sz w:val="22"/>
                <w:szCs w:val="22"/>
                <w:lang w:val="en-NZ"/>
              </w:rPr>
            </w:pPr>
            <w:r w:rsidRPr="00467FE6">
              <w:rPr>
                <w:sz w:val="22"/>
                <w:szCs w:val="22"/>
                <w:lang w:val="en-NZ"/>
              </w:rPr>
              <w:t>0.000</w:t>
            </w:r>
          </w:p>
        </w:tc>
        <w:tc>
          <w:tcPr>
            <w:tcW w:w="1583" w:type="dxa"/>
            <w:tcBorders>
              <w:bottom w:val="single" w:sz="4" w:space="0" w:color="auto"/>
            </w:tcBorders>
          </w:tcPr>
          <w:p w14:paraId="064DDB7E" w14:textId="083C8F16" w:rsidR="0023533F" w:rsidRPr="00467FE6" w:rsidRDefault="0023533F" w:rsidP="002E076A">
            <w:pPr>
              <w:tabs>
                <w:tab w:val="left" w:pos="567"/>
              </w:tabs>
              <w:jc w:val="center"/>
              <w:rPr>
                <w:sz w:val="22"/>
                <w:szCs w:val="22"/>
                <w:lang w:val="en-NZ"/>
              </w:rPr>
            </w:pPr>
            <w:r w:rsidRPr="00467FE6">
              <w:rPr>
                <w:sz w:val="22"/>
                <w:szCs w:val="22"/>
                <w:lang w:val="en-NZ"/>
              </w:rPr>
              <w:t>0.000</w:t>
            </w:r>
          </w:p>
        </w:tc>
        <w:tc>
          <w:tcPr>
            <w:tcW w:w="1620" w:type="dxa"/>
            <w:tcBorders>
              <w:bottom w:val="single" w:sz="4" w:space="0" w:color="auto"/>
            </w:tcBorders>
          </w:tcPr>
          <w:p w14:paraId="73EA1449" w14:textId="30B09732" w:rsidR="0023533F" w:rsidRPr="00467FE6" w:rsidRDefault="0023533F" w:rsidP="002E076A">
            <w:pPr>
              <w:tabs>
                <w:tab w:val="left" w:pos="567"/>
              </w:tabs>
              <w:jc w:val="center"/>
              <w:rPr>
                <w:sz w:val="22"/>
                <w:szCs w:val="22"/>
                <w:lang w:val="en-NZ"/>
              </w:rPr>
            </w:pPr>
            <w:r w:rsidRPr="00467FE6">
              <w:rPr>
                <w:sz w:val="22"/>
                <w:szCs w:val="22"/>
                <w:lang w:val="en-NZ"/>
              </w:rPr>
              <w:t>0.000</w:t>
            </w:r>
          </w:p>
        </w:tc>
        <w:tc>
          <w:tcPr>
            <w:tcW w:w="1349" w:type="dxa"/>
            <w:tcBorders>
              <w:bottom w:val="single" w:sz="4" w:space="0" w:color="auto"/>
            </w:tcBorders>
          </w:tcPr>
          <w:p w14:paraId="76193877" w14:textId="35E26A3B" w:rsidR="0023533F" w:rsidRPr="00467FE6" w:rsidRDefault="0023533F" w:rsidP="002E076A">
            <w:pPr>
              <w:tabs>
                <w:tab w:val="left" w:pos="567"/>
              </w:tabs>
              <w:jc w:val="center"/>
              <w:rPr>
                <w:sz w:val="22"/>
                <w:szCs w:val="22"/>
                <w:lang w:val="en-NZ"/>
              </w:rPr>
            </w:pPr>
            <w:r w:rsidRPr="00467FE6">
              <w:rPr>
                <w:sz w:val="22"/>
                <w:szCs w:val="22"/>
                <w:lang w:val="en-NZ"/>
              </w:rPr>
              <w:t>0.000</w:t>
            </w:r>
          </w:p>
        </w:tc>
        <w:tc>
          <w:tcPr>
            <w:tcW w:w="1492" w:type="dxa"/>
            <w:tcBorders>
              <w:bottom w:val="single" w:sz="4" w:space="0" w:color="auto"/>
            </w:tcBorders>
          </w:tcPr>
          <w:p w14:paraId="4098287D" w14:textId="36826A5C" w:rsidR="0023533F" w:rsidRPr="00467FE6" w:rsidRDefault="0023533F" w:rsidP="002E076A">
            <w:pPr>
              <w:tabs>
                <w:tab w:val="left" w:pos="567"/>
              </w:tabs>
              <w:jc w:val="center"/>
              <w:rPr>
                <w:sz w:val="22"/>
                <w:szCs w:val="22"/>
                <w:lang w:val="en-NZ"/>
              </w:rPr>
            </w:pPr>
            <w:r w:rsidRPr="00467FE6">
              <w:rPr>
                <w:sz w:val="22"/>
                <w:szCs w:val="22"/>
                <w:lang w:val="en-NZ"/>
              </w:rPr>
              <w:t>0.000</w:t>
            </w:r>
          </w:p>
        </w:tc>
      </w:tr>
    </w:tbl>
    <w:p w14:paraId="3891C287" w14:textId="28DA23B3" w:rsidR="00942F5A" w:rsidRPr="00467FE6" w:rsidRDefault="00942F5A" w:rsidP="002E076A">
      <w:pPr>
        <w:tabs>
          <w:tab w:val="left" w:pos="567"/>
        </w:tabs>
        <w:rPr>
          <w:sz w:val="16"/>
          <w:szCs w:val="16"/>
          <w:lang w:val="en-NZ"/>
        </w:rPr>
      </w:pPr>
    </w:p>
    <w:p w14:paraId="53986391" w14:textId="77777777" w:rsidR="00310C15" w:rsidRPr="00467FE6" w:rsidRDefault="00310C15" w:rsidP="002E076A">
      <w:pPr>
        <w:tabs>
          <w:tab w:val="left" w:pos="567"/>
        </w:tabs>
        <w:rPr>
          <w:sz w:val="22"/>
          <w:szCs w:val="22"/>
          <w:lang w:val="en-NZ"/>
        </w:rPr>
      </w:pPr>
    </w:p>
    <w:p w14:paraId="5C1F42E1" w14:textId="1748983F" w:rsidR="00177A0A" w:rsidRPr="00467FE6" w:rsidRDefault="00177A0A" w:rsidP="0044110D">
      <w:pPr>
        <w:pStyle w:val="Caption"/>
        <w:keepNext/>
        <w:tabs>
          <w:tab w:val="left" w:pos="567"/>
        </w:tabs>
        <w:spacing w:after="0"/>
        <w:jc w:val="center"/>
        <w:rPr>
          <w:i w:val="0"/>
          <w:iCs w:val="0"/>
          <w:color w:val="auto"/>
          <w:sz w:val="22"/>
          <w:szCs w:val="22"/>
        </w:rPr>
      </w:pPr>
      <w:r w:rsidRPr="00467FE6">
        <w:rPr>
          <w:b/>
          <w:i w:val="0"/>
          <w:iCs w:val="0"/>
          <w:color w:val="auto"/>
          <w:sz w:val="22"/>
          <w:szCs w:val="22"/>
        </w:rPr>
        <w:t>Table A</w:t>
      </w:r>
      <w:r w:rsidRPr="00467FE6">
        <w:rPr>
          <w:b/>
          <w:i w:val="0"/>
          <w:iCs w:val="0"/>
          <w:color w:val="auto"/>
          <w:sz w:val="22"/>
          <w:szCs w:val="22"/>
        </w:rPr>
        <w:fldChar w:fldCharType="begin"/>
      </w:r>
      <w:r w:rsidRPr="00467FE6">
        <w:rPr>
          <w:b/>
          <w:i w:val="0"/>
          <w:iCs w:val="0"/>
          <w:color w:val="auto"/>
          <w:sz w:val="22"/>
          <w:szCs w:val="22"/>
        </w:rPr>
        <w:instrText xml:space="preserve"> SEQ Table \* ARABIC </w:instrText>
      </w:r>
      <w:r w:rsidRPr="00467FE6">
        <w:rPr>
          <w:b/>
          <w:i w:val="0"/>
          <w:iCs w:val="0"/>
          <w:color w:val="auto"/>
          <w:sz w:val="22"/>
          <w:szCs w:val="22"/>
        </w:rPr>
        <w:fldChar w:fldCharType="separate"/>
      </w:r>
      <w:r w:rsidR="00233325">
        <w:rPr>
          <w:b/>
          <w:i w:val="0"/>
          <w:iCs w:val="0"/>
          <w:noProof/>
          <w:color w:val="auto"/>
          <w:sz w:val="22"/>
          <w:szCs w:val="22"/>
        </w:rPr>
        <w:t>3</w:t>
      </w:r>
      <w:r w:rsidRPr="00467FE6">
        <w:rPr>
          <w:b/>
          <w:i w:val="0"/>
          <w:iCs w:val="0"/>
          <w:color w:val="auto"/>
          <w:sz w:val="22"/>
          <w:szCs w:val="22"/>
        </w:rPr>
        <w:fldChar w:fldCharType="end"/>
      </w:r>
      <w:r w:rsidR="0044110D" w:rsidRPr="00467FE6">
        <w:rPr>
          <w:b/>
          <w:i w:val="0"/>
          <w:iCs w:val="0"/>
          <w:color w:val="auto"/>
          <w:sz w:val="22"/>
          <w:szCs w:val="22"/>
        </w:rPr>
        <w:t>:</w:t>
      </w:r>
      <w:r w:rsidRPr="00467FE6">
        <w:rPr>
          <w:b/>
          <w:i w:val="0"/>
          <w:iCs w:val="0"/>
          <w:color w:val="auto"/>
          <w:sz w:val="22"/>
          <w:szCs w:val="22"/>
          <w:lang w:val="en-NZ"/>
        </w:rPr>
        <w:t xml:space="preserve"> Fixed </w:t>
      </w:r>
      <w:r w:rsidR="0044110D" w:rsidRPr="00467FE6">
        <w:rPr>
          <w:b/>
          <w:i w:val="0"/>
          <w:iCs w:val="0"/>
          <w:color w:val="auto"/>
          <w:sz w:val="22"/>
          <w:szCs w:val="22"/>
          <w:lang w:val="en-NZ"/>
        </w:rPr>
        <w:t>Effect Models for 101 Countries</w:t>
      </w:r>
    </w:p>
    <w:tbl>
      <w:tblPr>
        <w:tblW w:w="13729" w:type="dxa"/>
        <w:jc w:val="center"/>
        <w:tblCellMar>
          <w:left w:w="144" w:type="dxa"/>
          <w:right w:w="144" w:type="dxa"/>
        </w:tblCellMar>
        <w:tblLook w:val="0000" w:firstRow="0" w:lastRow="0" w:firstColumn="0" w:lastColumn="0" w:noHBand="0" w:noVBand="0"/>
      </w:tblPr>
      <w:tblGrid>
        <w:gridCol w:w="4050"/>
        <w:gridCol w:w="1800"/>
        <w:gridCol w:w="2341"/>
        <w:gridCol w:w="1846"/>
        <w:gridCol w:w="1846"/>
        <w:gridCol w:w="1846"/>
      </w:tblGrid>
      <w:tr w:rsidR="004D3F41" w:rsidRPr="00467FE6" w14:paraId="342F5340" w14:textId="77777777" w:rsidTr="00310C15">
        <w:trPr>
          <w:trHeight w:val="457"/>
          <w:jc w:val="center"/>
        </w:trPr>
        <w:tc>
          <w:tcPr>
            <w:tcW w:w="4050" w:type="dxa"/>
            <w:tcBorders>
              <w:top w:val="single" w:sz="4" w:space="0" w:color="auto"/>
              <w:bottom w:val="single" w:sz="4" w:space="0" w:color="auto"/>
            </w:tcBorders>
          </w:tcPr>
          <w:p w14:paraId="0ED0B6E1" w14:textId="38412AD4" w:rsidR="00055C01" w:rsidRPr="00467FE6" w:rsidRDefault="00055C01" w:rsidP="00310C15">
            <w:pPr>
              <w:widowControl w:val="0"/>
              <w:tabs>
                <w:tab w:val="left" w:pos="567"/>
              </w:tabs>
              <w:autoSpaceDE w:val="0"/>
              <w:autoSpaceDN w:val="0"/>
              <w:adjustRightInd w:val="0"/>
              <w:jc w:val="center"/>
              <w:rPr>
                <w:bCs/>
                <w:sz w:val="22"/>
                <w:szCs w:val="22"/>
              </w:rPr>
            </w:pPr>
            <w:r w:rsidRPr="00467FE6">
              <w:rPr>
                <w:bCs/>
                <w:sz w:val="22"/>
                <w:szCs w:val="22"/>
              </w:rPr>
              <w:t>Models</w:t>
            </w:r>
          </w:p>
        </w:tc>
        <w:tc>
          <w:tcPr>
            <w:tcW w:w="1800" w:type="dxa"/>
            <w:tcBorders>
              <w:top w:val="single" w:sz="4" w:space="0" w:color="auto"/>
              <w:bottom w:val="single" w:sz="4" w:space="0" w:color="auto"/>
            </w:tcBorders>
          </w:tcPr>
          <w:p w14:paraId="0109323E" w14:textId="77777777" w:rsidR="00613B3B" w:rsidRPr="00467FE6" w:rsidRDefault="00055C01" w:rsidP="002E076A">
            <w:pPr>
              <w:widowControl w:val="0"/>
              <w:tabs>
                <w:tab w:val="left" w:pos="567"/>
              </w:tabs>
              <w:autoSpaceDE w:val="0"/>
              <w:autoSpaceDN w:val="0"/>
              <w:adjustRightInd w:val="0"/>
              <w:jc w:val="center"/>
              <w:rPr>
                <w:bCs/>
                <w:sz w:val="22"/>
                <w:szCs w:val="22"/>
              </w:rPr>
            </w:pPr>
            <w:r w:rsidRPr="00467FE6">
              <w:rPr>
                <w:bCs/>
                <w:sz w:val="22"/>
                <w:szCs w:val="22"/>
              </w:rPr>
              <w:t xml:space="preserve">Infant </w:t>
            </w:r>
          </w:p>
          <w:p w14:paraId="78047E1F" w14:textId="79B71E10" w:rsidR="00055C01" w:rsidRPr="00467FE6" w:rsidRDefault="00310C15" w:rsidP="002E076A">
            <w:pPr>
              <w:widowControl w:val="0"/>
              <w:tabs>
                <w:tab w:val="left" w:pos="567"/>
              </w:tabs>
              <w:autoSpaceDE w:val="0"/>
              <w:autoSpaceDN w:val="0"/>
              <w:adjustRightInd w:val="0"/>
              <w:jc w:val="center"/>
              <w:rPr>
                <w:bCs/>
                <w:sz w:val="22"/>
                <w:szCs w:val="22"/>
              </w:rPr>
            </w:pPr>
            <w:r w:rsidRPr="00467FE6">
              <w:rPr>
                <w:bCs/>
                <w:sz w:val="22"/>
                <w:szCs w:val="22"/>
              </w:rPr>
              <w:t>Mortality Rate</w:t>
            </w:r>
          </w:p>
        </w:tc>
        <w:tc>
          <w:tcPr>
            <w:tcW w:w="2341" w:type="dxa"/>
            <w:tcBorders>
              <w:top w:val="single" w:sz="4" w:space="0" w:color="auto"/>
              <w:bottom w:val="single" w:sz="4" w:space="0" w:color="auto"/>
            </w:tcBorders>
          </w:tcPr>
          <w:p w14:paraId="21165B8D" w14:textId="77777777" w:rsidR="00310C15" w:rsidRPr="00467FE6" w:rsidRDefault="00055C01" w:rsidP="002E076A">
            <w:pPr>
              <w:widowControl w:val="0"/>
              <w:tabs>
                <w:tab w:val="left" w:pos="567"/>
              </w:tabs>
              <w:autoSpaceDE w:val="0"/>
              <w:autoSpaceDN w:val="0"/>
              <w:adjustRightInd w:val="0"/>
              <w:jc w:val="center"/>
              <w:rPr>
                <w:bCs/>
                <w:sz w:val="22"/>
                <w:szCs w:val="22"/>
              </w:rPr>
            </w:pPr>
            <w:r w:rsidRPr="00467FE6">
              <w:rPr>
                <w:bCs/>
                <w:sz w:val="22"/>
                <w:szCs w:val="22"/>
              </w:rPr>
              <w:t xml:space="preserve">Child </w:t>
            </w:r>
          </w:p>
          <w:p w14:paraId="5F6767CA" w14:textId="535FE664" w:rsidR="00055C01" w:rsidRPr="00467FE6" w:rsidRDefault="00310C15" w:rsidP="002E076A">
            <w:pPr>
              <w:widowControl w:val="0"/>
              <w:tabs>
                <w:tab w:val="left" w:pos="567"/>
              </w:tabs>
              <w:autoSpaceDE w:val="0"/>
              <w:autoSpaceDN w:val="0"/>
              <w:adjustRightInd w:val="0"/>
              <w:jc w:val="center"/>
              <w:rPr>
                <w:bCs/>
                <w:sz w:val="22"/>
                <w:szCs w:val="22"/>
              </w:rPr>
            </w:pPr>
            <w:r w:rsidRPr="00467FE6">
              <w:rPr>
                <w:bCs/>
                <w:sz w:val="22"/>
                <w:szCs w:val="22"/>
              </w:rPr>
              <w:t>Mortality Rate</w:t>
            </w:r>
          </w:p>
        </w:tc>
        <w:tc>
          <w:tcPr>
            <w:tcW w:w="1846" w:type="dxa"/>
            <w:tcBorders>
              <w:top w:val="single" w:sz="4" w:space="0" w:color="auto"/>
              <w:bottom w:val="single" w:sz="4" w:space="0" w:color="auto"/>
            </w:tcBorders>
          </w:tcPr>
          <w:p w14:paraId="1D05AC64" w14:textId="1614903D" w:rsidR="00055C01" w:rsidRPr="00467FE6" w:rsidRDefault="00055C01" w:rsidP="002E076A">
            <w:pPr>
              <w:widowControl w:val="0"/>
              <w:tabs>
                <w:tab w:val="left" w:pos="567"/>
              </w:tabs>
              <w:autoSpaceDE w:val="0"/>
              <w:autoSpaceDN w:val="0"/>
              <w:adjustRightInd w:val="0"/>
              <w:jc w:val="center"/>
              <w:rPr>
                <w:bCs/>
                <w:sz w:val="22"/>
                <w:szCs w:val="22"/>
              </w:rPr>
            </w:pPr>
            <w:r w:rsidRPr="00467FE6">
              <w:rPr>
                <w:bCs/>
                <w:sz w:val="22"/>
                <w:szCs w:val="22"/>
              </w:rPr>
              <w:t xml:space="preserve">Both </w:t>
            </w:r>
            <w:r w:rsidR="00310C15" w:rsidRPr="00467FE6">
              <w:rPr>
                <w:bCs/>
                <w:sz w:val="22"/>
                <w:szCs w:val="22"/>
              </w:rPr>
              <w:t xml:space="preserve">Sex </w:t>
            </w:r>
            <w:r w:rsidRPr="00467FE6">
              <w:rPr>
                <w:bCs/>
                <w:sz w:val="22"/>
                <w:szCs w:val="22"/>
              </w:rPr>
              <w:t xml:space="preserve">Life </w:t>
            </w:r>
            <w:r w:rsidR="00310C15" w:rsidRPr="00467FE6">
              <w:rPr>
                <w:bCs/>
                <w:sz w:val="22"/>
                <w:szCs w:val="22"/>
              </w:rPr>
              <w:t>Expectancy</w:t>
            </w:r>
          </w:p>
        </w:tc>
        <w:tc>
          <w:tcPr>
            <w:tcW w:w="1846" w:type="dxa"/>
            <w:tcBorders>
              <w:top w:val="single" w:sz="4" w:space="0" w:color="auto"/>
              <w:bottom w:val="single" w:sz="4" w:space="0" w:color="auto"/>
            </w:tcBorders>
          </w:tcPr>
          <w:p w14:paraId="7DB34367" w14:textId="5235AD3B" w:rsidR="00055C01" w:rsidRPr="00467FE6" w:rsidRDefault="00055C01" w:rsidP="002E076A">
            <w:pPr>
              <w:widowControl w:val="0"/>
              <w:tabs>
                <w:tab w:val="left" w:pos="567"/>
              </w:tabs>
              <w:autoSpaceDE w:val="0"/>
              <w:autoSpaceDN w:val="0"/>
              <w:adjustRightInd w:val="0"/>
              <w:jc w:val="center"/>
              <w:rPr>
                <w:bCs/>
                <w:sz w:val="22"/>
                <w:szCs w:val="22"/>
              </w:rPr>
            </w:pPr>
            <w:r w:rsidRPr="00467FE6">
              <w:rPr>
                <w:bCs/>
                <w:sz w:val="22"/>
                <w:szCs w:val="22"/>
              </w:rPr>
              <w:t xml:space="preserve">Male </w:t>
            </w:r>
            <w:r w:rsidR="00310C15" w:rsidRPr="00467FE6">
              <w:rPr>
                <w:bCs/>
                <w:sz w:val="22"/>
                <w:szCs w:val="22"/>
              </w:rPr>
              <w:t>Life Expectancy</w:t>
            </w:r>
          </w:p>
        </w:tc>
        <w:tc>
          <w:tcPr>
            <w:tcW w:w="1846" w:type="dxa"/>
            <w:tcBorders>
              <w:top w:val="single" w:sz="4" w:space="0" w:color="auto"/>
              <w:bottom w:val="single" w:sz="4" w:space="0" w:color="auto"/>
            </w:tcBorders>
          </w:tcPr>
          <w:p w14:paraId="612DC6C5" w14:textId="05421658" w:rsidR="00055C01" w:rsidRPr="00467FE6" w:rsidRDefault="00055C01" w:rsidP="002E076A">
            <w:pPr>
              <w:widowControl w:val="0"/>
              <w:tabs>
                <w:tab w:val="left" w:pos="567"/>
              </w:tabs>
              <w:autoSpaceDE w:val="0"/>
              <w:autoSpaceDN w:val="0"/>
              <w:adjustRightInd w:val="0"/>
              <w:jc w:val="center"/>
              <w:rPr>
                <w:bCs/>
                <w:sz w:val="22"/>
                <w:szCs w:val="22"/>
              </w:rPr>
            </w:pPr>
            <w:r w:rsidRPr="00467FE6">
              <w:rPr>
                <w:bCs/>
                <w:sz w:val="22"/>
                <w:szCs w:val="22"/>
              </w:rPr>
              <w:t xml:space="preserve">Female </w:t>
            </w:r>
            <w:r w:rsidR="00310C15" w:rsidRPr="00467FE6">
              <w:rPr>
                <w:bCs/>
                <w:sz w:val="22"/>
                <w:szCs w:val="22"/>
              </w:rPr>
              <w:t>Life Expectancy</w:t>
            </w:r>
          </w:p>
        </w:tc>
      </w:tr>
      <w:tr w:rsidR="004D3F41" w:rsidRPr="00467FE6" w14:paraId="63C1B8D4" w14:textId="77777777" w:rsidTr="00B8061C">
        <w:trPr>
          <w:trHeight w:val="245"/>
          <w:jc w:val="center"/>
        </w:trPr>
        <w:tc>
          <w:tcPr>
            <w:tcW w:w="4050" w:type="dxa"/>
            <w:tcBorders>
              <w:top w:val="single" w:sz="4" w:space="0" w:color="auto"/>
            </w:tcBorders>
          </w:tcPr>
          <w:p w14:paraId="1699965E" w14:textId="5D471B7F" w:rsidR="00055C01" w:rsidRPr="00467FE6" w:rsidRDefault="00055C01" w:rsidP="002E076A">
            <w:pPr>
              <w:widowControl w:val="0"/>
              <w:tabs>
                <w:tab w:val="left" w:pos="567"/>
              </w:tabs>
              <w:autoSpaceDE w:val="0"/>
              <w:autoSpaceDN w:val="0"/>
              <w:adjustRightInd w:val="0"/>
              <w:rPr>
                <w:sz w:val="22"/>
                <w:szCs w:val="22"/>
              </w:rPr>
            </w:pPr>
            <w:r w:rsidRPr="00467FE6">
              <w:rPr>
                <w:sz w:val="22"/>
                <w:szCs w:val="22"/>
              </w:rPr>
              <w:t xml:space="preserve">Percent of </w:t>
            </w:r>
            <w:r w:rsidR="004C3A82" w:rsidRPr="00467FE6">
              <w:rPr>
                <w:sz w:val="22"/>
                <w:szCs w:val="22"/>
              </w:rPr>
              <w:t>S</w:t>
            </w:r>
            <w:r w:rsidRPr="00467FE6">
              <w:rPr>
                <w:sz w:val="22"/>
                <w:szCs w:val="22"/>
              </w:rPr>
              <w:t xml:space="preserve">olid </w:t>
            </w:r>
            <w:r w:rsidR="004C3A82" w:rsidRPr="00467FE6">
              <w:rPr>
                <w:sz w:val="22"/>
                <w:szCs w:val="22"/>
              </w:rPr>
              <w:t>F</w:t>
            </w:r>
            <w:r w:rsidRPr="00467FE6">
              <w:rPr>
                <w:sz w:val="22"/>
                <w:szCs w:val="22"/>
              </w:rPr>
              <w:t xml:space="preserve">uel </w:t>
            </w:r>
            <w:r w:rsidR="004C3A82" w:rsidRPr="00467FE6">
              <w:rPr>
                <w:sz w:val="22"/>
                <w:szCs w:val="22"/>
              </w:rPr>
              <w:t>U</w:t>
            </w:r>
            <w:r w:rsidRPr="00467FE6">
              <w:rPr>
                <w:sz w:val="22"/>
                <w:szCs w:val="22"/>
              </w:rPr>
              <w:t>se</w:t>
            </w:r>
          </w:p>
        </w:tc>
        <w:tc>
          <w:tcPr>
            <w:tcW w:w="1800" w:type="dxa"/>
            <w:tcBorders>
              <w:top w:val="single" w:sz="4" w:space="0" w:color="auto"/>
            </w:tcBorders>
          </w:tcPr>
          <w:p w14:paraId="1D2A5F01" w14:textId="77777777" w:rsidR="00055C01" w:rsidRPr="00467FE6" w:rsidRDefault="00055C01" w:rsidP="00613B3B">
            <w:pPr>
              <w:widowControl w:val="0"/>
              <w:tabs>
                <w:tab w:val="decimal" w:pos="488"/>
              </w:tabs>
              <w:autoSpaceDE w:val="0"/>
              <w:autoSpaceDN w:val="0"/>
              <w:adjustRightInd w:val="0"/>
              <w:rPr>
                <w:sz w:val="22"/>
                <w:szCs w:val="22"/>
              </w:rPr>
            </w:pPr>
            <w:r w:rsidRPr="00467FE6">
              <w:rPr>
                <w:sz w:val="22"/>
                <w:szCs w:val="22"/>
              </w:rPr>
              <w:t>0.622</w:t>
            </w:r>
          </w:p>
        </w:tc>
        <w:tc>
          <w:tcPr>
            <w:tcW w:w="2341" w:type="dxa"/>
            <w:tcBorders>
              <w:top w:val="single" w:sz="4" w:space="0" w:color="auto"/>
            </w:tcBorders>
          </w:tcPr>
          <w:p w14:paraId="7D8B6E72" w14:textId="77777777" w:rsidR="00055C01" w:rsidRPr="00467FE6" w:rsidRDefault="00055C01" w:rsidP="00613B3B">
            <w:pPr>
              <w:widowControl w:val="0"/>
              <w:tabs>
                <w:tab w:val="decimal" w:pos="814"/>
              </w:tabs>
              <w:autoSpaceDE w:val="0"/>
              <w:autoSpaceDN w:val="0"/>
              <w:adjustRightInd w:val="0"/>
              <w:rPr>
                <w:sz w:val="22"/>
                <w:szCs w:val="22"/>
              </w:rPr>
            </w:pPr>
            <w:r w:rsidRPr="00467FE6">
              <w:rPr>
                <w:sz w:val="22"/>
                <w:szCs w:val="22"/>
              </w:rPr>
              <w:t>1.214</w:t>
            </w:r>
          </w:p>
        </w:tc>
        <w:tc>
          <w:tcPr>
            <w:tcW w:w="1846" w:type="dxa"/>
            <w:tcBorders>
              <w:top w:val="single" w:sz="4" w:space="0" w:color="auto"/>
            </w:tcBorders>
          </w:tcPr>
          <w:p w14:paraId="6918F762" w14:textId="77777777" w:rsidR="00055C01" w:rsidRPr="00467FE6" w:rsidRDefault="00055C01" w:rsidP="004C3A82">
            <w:pPr>
              <w:widowControl w:val="0"/>
              <w:tabs>
                <w:tab w:val="decimal" w:pos="591"/>
              </w:tabs>
              <w:autoSpaceDE w:val="0"/>
              <w:autoSpaceDN w:val="0"/>
              <w:adjustRightInd w:val="0"/>
              <w:rPr>
                <w:sz w:val="22"/>
                <w:szCs w:val="22"/>
              </w:rPr>
            </w:pPr>
            <w:r w:rsidRPr="00467FE6">
              <w:rPr>
                <w:sz w:val="22"/>
                <w:szCs w:val="22"/>
              </w:rPr>
              <w:t>-0.065</w:t>
            </w:r>
          </w:p>
        </w:tc>
        <w:tc>
          <w:tcPr>
            <w:tcW w:w="1846" w:type="dxa"/>
            <w:tcBorders>
              <w:top w:val="single" w:sz="4" w:space="0" w:color="auto"/>
            </w:tcBorders>
          </w:tcPr>
          <w:p w14:paraId="7DD7610F" w14:textId="77777777" w:rsidR="00055C01" w:rsidRPr="00467FE6" w:rsidRDefault="00055C01" w:rsidP="004C3A82">
            <w:pPr>
              <w:widowControl w:val="0"/>
              <w:tabs>
                <w:tab w:val="decimal" w:pos="593"/>
              </w:tabs>
              <w:autoSpaceDE w:val="0"/>
              <w:autoSpaceDN w:val="0"/>
              <w:adjustRightInd w:val="0"/>
              <w:rPr>
                <w:sz w:val="22"/>
                <w:szCs w:val="22"/>
              </w:rPr>
            </w:pPr>
            <w:r w:rsidRPr="00467FE6">
              <w:rPr>
                <w:sz w:val="22"/>
                <w:szCs w:val="22"/>
              </w:rPr>
              <w:t>-0.107</w:t>
            </w:r>
          </w:p>
        </w:tc>
        <w:tc>
          <w:tcPr>
            <w:tcW w:w="1846" w:type="dxa"/>
            <w:tcBorders>
              <w:top w:val="single" w:sz="4" w:space="0" w:color="auto"/>
            </w:tcBorders>
          </w:tcPr>
          <w:p w14:paraId="4AB38352" w14:textId="77777777" w:rsidR="00055C01" w:rsidRPr="00467FE6" w:rsidRDefault="00055C01" w:rsidP="004C3A82">
            <w:pPr>
              <w:widowControl w:val="0"/>
              <w:tabs>
                <w:tab w:val="decimal" w:pos="674"/>
              </w:tabs>
              <w:autoSpaceDE w:val="0"/>
              <w:autoSpaceDN w:val="0"/>
              <w:adjustRightInd w:val="0"/>
              <w:rPr>
                <w:sz w:val="22"/>
                <w:szCs w:val="22"/>
              </w:rPr>
            </w:pPr>
            <w:r w:rsidRPr="00467FE6">
              <w:rPr>
                <w:sz w:val="22"/>
                <w:szCs w:val="22"/>
              </w:rPr>
              <w:t>-0.129</w:t>
            </w:r>
          </w:p>
        </w:tc>
      </w:tr>
      <w:tr w:rsidR="004D3F41" w:rsidRPr="00467FE6" w14:paraId="6173F588" w14:textId="77777777" w:rsidTr="009275A6">
        <w:trPr>
          <w:trHeight w:val="402"/>
          <w:jc w:val="center"/>
        </w:trPr>
        <w:tc>
          <w:tcPr>
            <w:tcW w:w="4050" w:type="dxa"/>
          </w:tcPr>
          <w:p w14:paraId="19DC8744" w14:textId="77777777" w:rsidR="00055C01" w:rsidRPr="00467FE6" w:rsidRDefault="00055C01" w:rsidP="002E076A">
            <w:pPr>
              <w:widowControl w:val="0"/>
              <w:tabs>
                <w:tab w:val="left" w:pos="567"/>
              </w:tabs>
              <w:autoSpaceDE w:val="0"/>
              <w:autoSpaceDN w:val="0"/>
              <w:adjustRightInd w:val="0"/>
              <w:rPr>
                <w:sz w:val="22"/>
                <w:szCs w:val="22"/>
              </w:rPr>
            </w:pPr>
          </w:p>
        </w:tc>
        <w:tc>
          <w:tcPr>
            <w:tcW w:w="1800" w:type="dxa"/>
          </w:tcPr>
          <w:p w14:paraId="3C3E04E9" w14:textId="77777777" w:rsidR="00055C01" w:rsidRPr="00467FE6" w:rsidRDefault="00055C01" w:rsidP="00613B3B">
            <w:pPr>
              <w:widowControl w:val="0"/>
              <w:tabs>
                <w:tab w:val="decimal" w:pos="488"/>
              </w:tabs>
              <w:autoSpaceDE w:val="0"/>
              <w:autoSpaceDN w:val="0"/>
              <w:adjustRightInd w:val="0"/>
              <w:rPr>
                <w:sz w:val="22"/>
                <w:szCs w:val="22"/>
              </w:rPr>
            </w:pPr>
            <w:r w:rsidRPr="00467FE6">
              <w:rPr>
                <w:sz w:val="22"/>
                <w:szCs w:val="22"/>
              </w:rPr>
              <w:t>(0.029)**</w:t>
            </w:r>
          </w:p>
        </w:tc>
        <w:tc>
          <w:tcPr>
            <w:tcW w:w="2341" w:type="dxa"/>
          </w:tcPr>
          <w:p w14:paraId="324F23E1" w14:textId="77777777" w:rsidR="00055C01" w:rsidRPr="00467FE6" w:rsidRDefault="00055C01" w:rsidP="00613B3B">
            <w:pPr>
              <w:widowControl w:val="0"/>
              <w:tabs>
                <w:tab w:val="decimal" w:pos="814"/>
              </w:tabs>
              <w:autoSpaceDE w:val="0"/>
              <w:autoSpaceDN w:val="0"/>
              <w:adjustRightInd w:val="0"/>
              <w:rPr>
                <w:sz w:val="22"/>
                <w:szCs w:val="22"/>
              </w:rPr>
            </w:pPr>
            <w:r w:rsidRPr="00467FE6">
              <w:rPr>
                <w:sz w:val="22"/>
                <w:szCs w:val="22"/>
              </w:rPr>
              <w:t>(0.053)**</w:t>
            </w:r>
          </w:p>
        </w:tc>
        <w:tc>
          <w:tcPr>
            <w:tcW w:w="1846" w:type="dxa"/>
          </w:tcPr>
          <w:p w14:paraId="21204249" w14:textId="77777777" w:rsidR="00055C01" w:rsidRPr="00467FE6" w:rsidRDefault="00055C01" w:rsidP="004C3A82">
            <w:pPr>
              <w:widowControl w:val="0"/>
              <w:tabs>
                <w:tab w:val="decimal" w:pos="591"/>
              </w:tabs>
              <w:autoSpaceDE w:val="0"/>
              <w:autoSpaceDN w:val="0"/>
              <w:adjustRightInd w:val="0"/>
              <w:rPr>
                <w:sz w:val="22"/>
                <w:szCs w:val="22"/>
              </w:rPr>
            </w:pPr>
            <w:r w:rsidRPr="00467FE6">
              <w:rPr>
                <w:sz w:val="22"/>
                <w:szCs w:val="22"/>
              </w:rPr>
              <w:t>(0.007)**</w:t>
            </w:r>
          </w:p>
        </w:tc>
        <w:tc>
          <w:tcPr>
            <w:tcW w:w="1846" w:type="dxa"/>
          </w:tcPr>
          <w:p w14:paraId="6D9BB24C" w14:textId="77777777" w:rsidR="00055C01" w:rsidRPr="00467FE6" w:rsidRDefault="00055C01" w:rsidP="004C3A82">
            <w:pPr>
              <w:widowControl w:val="0"/>
              <w:tabs>
                <w:tab w:val="decimal" w:pos="593"/>
              </w:tabs>
              <w:autoSpaceDE w:val="0"/>
              <w:autoSpaceDN w:val="0"/>
              <w:adjustRightInd w:val="0"/>
              <w:rPr>
                <w:sz w:val="22"/>
                <w:szCs w:val="22"/>
              </w:rPr>
            </w:pPr>
            <w:r w:rsidRPr="00467FE6">
              <w:rPr>
                <w:sz w:val="22"/>
                <w:szCs w:val="22"/>
              </w:rPr>
              <w:t>(0.008)**</w:t>
            </w:r>
          </w:p>
        </w:tc>
        <w:tc>
          <w:tcPr>
            <w:tcW w:w="1846" w:type="dxa"/>
          </w:tcPr>
          <w:p w14:paraId="09140E44" w14:textId="77777777" w:rsidR="00055C01" w:rsidRPr="00467FE6" w:rsidRDefault="00055C01" w:rsidP="004C3A82">
            <w:pPr>
              <w:widowControl w:val="0"/>
              <w:tabs>
                <w:tab w:val="decimal" w:pos="674"/>
              </w:tabs>
              <w:autoSpaceDE w:val="0"/>
              <w:autoSpaceDN w:val="0"/>
              <w:adjustRightInd w:val="0"/>
              <w:rPr>
                <w:sz w:val="22"/>
                <w:szCs w:val="22"/>
              </w:rPr>
            </w:pPr>
            <w:r w:rsidRPr="00467FE6">
              <w:rPr>
                <w:sz w:val="22"/>
                <w:szCs w:val="22"/>
              </w:rPr>
              <w:t>(0.008)**</w:t>
            </w:r>
          </w:p>
        </w:tc>
      </w:tr>
      <w:tr w:rsidR="004D3F41" w:rsidRPr="00467FE6" w14:paraId="69DC0405" w14:textId="77777777" w:rsidTr="00B8061C">
        <w:trPr>
          <w:trHeight w:val="293"/>
          <w:jc w:val="center"/>
        </w:trPr>
        <w:tc>
          <w:tcPr>
            <w:tcW w:w="4050" w:type="dxa"/>
          </w:tcPr>
          <w:p w14:paraId="389F5067" w14:textId="73ADB007" w:rsidR="00055C01" w:rsidRPr="00467FE6" w:rsidRDefault="00055C01" w:rsidP="002E076A">
            <w:pPr>
              <w:widowControl w:val="0"/>
              <w:tabs>
                <w:tab w:val="left" w:pos="567"/>
              </w:tabs>
              <w:autoSpaceDE w:val="0"/>
              <w:autoSpaceDN w:val="0"/>
              <w:adjustRightInd w:val="0"/>
              <w:rPr>
                <w:sz w:val="22"/>
                <w:szCs w:val="22"/>
              </w:rPr>
            </w:pPr>
            <w:r w:rsidRPr="00467FE6">
              <w:rPr>
                <w:sz w:val="22"/>
                <w:szCs w:val="22"/>
              </w:rPr>
              <w:t>Female</w:t>
            </w:r>
            <w:r w:rsidR="004C3A82" w:rsidRPr="00467FE6">
              <w:rPr>
                <w:sz w:val="22"/>
                <w:szCs w:val="22"/>
              </w:rPr>
              <w:t xml:space="preserve"> P</w:t>
            </w:r>
            <w:r w:rsidRPr="00467FE6">
              <w:rPr>
                <w:sz w:val="22"/>
                <w:szCs w:val="22"/>
              </w:rPr>
              <w:t xml:space="preserve">rimary </w:t>
            </w:r>
            <w:r w:rsidR="004C3A82" w:rsidRPr="00467FE6">
              <w:rPr>
                <w:sz w:val="22"/>
                <w:szCs w:val="22"/>
              </w:rPr>
              <w:t>School E</w:t>
            </w:r>
            <w:r w:rsidRPr="00467FE6">
              <w:rPr>
                <w:sz w:val="22"/>
                <w:szCs w:val="22"/>
              </w:rPr>
              <w:t>nrolment</w:t>
            </w:r>
          </w:p>
        </w:tc>
        <w:tc>
          <w:tcPr>
            <w:tcW w:w="1800" w:type="dxa"/>
          </w:tcPr>
          <w:p w14:paraId="52DC4BC5" w14:textId="77777777" w:rsidR="00055C01" w:rsidRPr="00467FE6" w:rsidRDefault="00055C01" w:rsidP="00613B3B">
            <w:pPr>
              <w:widowControl w:val="0"/>
              <w:tabs>
                <w:tab w:val="decimal" w:pos="488"/>
              </w:tabs>
              <w:autoSpaceDE w:val="0"/>
              <w:autoSpaceDN w:val="0"/>
              <w:adjustRightInd w:val="0"/>
              <w:rPr>
                <w:sz w:val="22"/>
                <w:szCs w:val="22"/>
              </w:rPr>
            </w:pPr>
            <w:r w:rsidRPr="00467FE6">
              <w:rPr>
                <w:sz w:val="22"/>
                <w:szCs w:val="22"/>
              </w:rPr>
              <w:t>-0.078</w:t>
            </w:r>
          </w:p>
        </w:tc>
        <w:tc>
          <w:tcPr>
            <w:tcW w:w="2341" w:type="dxa"/>
          </w:tcPr>
          <w:p w14:paraId="6853A1ED" w14:textId="77777777" w:rsidR="00055C01" w:rsidRPr="00467FE6" w:rsidRDefault="00055C01" w:rsidP="00613B3B">
            <w:pPr>
              <w:widowControl w:val="0"/>
              <w:tabs>
                <w:tab w:val="decimal" w:pos="814"/>
              </w:tabs>
              <w:autoSpaceDE w:val="0"/>
              <w:autoSpaceDN w:val="0"/>
              <w:adjustRightInd w:val="0"/>
              <w:rPr>
                <w:sz w:val="22"/>
                <w:szCs w:val="22"/>
              </w:rPr>
            </w:pPr>
            <w:r w:rsidRPr="00467FE6">
              <w:rPr>
                <w:sz w:val="22"/>
                <w:szCs w:val="22"/>
              </w:rPr>
              <w:t>-0.134</w:t>
            </w:r>
          </w:p>
        </w:tc>
        <w:tc>
          <w:tcPr>
            <w:tcW w:w="1846" w:type="dxa"/>
          </w:tcPr>
          <w:p w14:paraId="6B77E75F" w14:textId="77777777" w:rsidR="00055C01" w:rsidRPr="00467FE6" w:rsidRDefault="00055C01" w:rsidP="004C3A82">
            <w:pPr>
              <w:widowControl w:val="0"/>
              <w:tabs>
                <w:tab w:val="decimal" w:pos="591"/>
              </w:tabs>
              <w:autoSpaceDE w:val="0"/>
              <w:autoSpaceDN w:val="0"/>
              <w:adjustRightInd w:val="0"/>
              <w:rPr>
                <w:sz w:val="22"/>
                <w:szCs w:val="22"/>
              </w:rPr>
            </w:pPr>
            <w:r w:rsidRPr="00467FE6">
              <w:rPr>
                <w:sz w:val="22"/>
                <w:szCs w:val="22"/>
              </w:rPr>
              <w:t>0.034</w:t>
            </w:r>
          </w:p>
        </w:tc>
        <w:tc>
          <w:tcPr>
            <w:tcW w:w="1846" w:type="dxa"/>
          </w:tcPr>
          <w:p w14:paraId="71F42563" w14:textId="77777777" w:rsidR="00055C01" w:rsidRPr="00467FE6" w:rsidRDefault="00055C01" w:rsidP="004C3A82">
            <w:pPr>
              <w:widowControl w:val="0"/>
              <w:tabs>
                <w:tab w:val="decimal" w:pos="593"/>
              </w:tabs>
              <w:autoSpaceDE w:val="0"/>
              <w:autoSpaceDN w:val="0"/>
              <w:adjustRightInd w:val="0"/>
              <w:rPr>
                <w:sz w:val="22"/>
                <w:szCs w:val="22"/>
              </w:rPr>
            </w:pPr>
            <w:r w:rsidRPr="00467FE6">
              <w:rPr>
                <w:sz w:val="22"/>
                <w:szCs w:val="22"/>
              </w:rPr>
              <w:t>-0.007</w:t>
            </w:r>
          </w:p>
        </w:tc>
        <w:tc>
          <w:tcPr>
            <w:tcW w:w="1846" w:type="dxa"/>
          </w:tcPr>
          <w:p w14:paraId="3E4B4D29" w14:textId="77777777" w:rsidR="00055C01" w:rsidRPr="00467FE6" w:rsidRDefault="00055C01" w:rsidP="004C3A82">
            <w:pPr>
              <w:widowControl w:val="0"/>
              <w:tabs>
                <w:tab w:val="decimal" w:pos="674"/>
              </w:tabs>
              <w:autoSpaceDE w:val="0"/>
              <w:autoSpaceDN w:val="0"/>
              <w:adjustRightInd w:val="0"/>
              <w:rPr>
                <w:sz w:val="22"/>
                <w:szCs w:val="22"/>
              </w:rPr>
            </w:pPr>
            <w:r w:rsidRPr="00467FE6">
              <w:rPr>
                <w:sz w:val="22"/>
                <w:szCs w:val="22"/>
              </w:rPr>
              <w:t>-0.003</w:t>
            </w:r>
          </w:p>
        </w:tc>
      </w:tr>
      <w:tr w:rsidR="004D3F41" w:rsidRPr="00467FE6" w14:paraId="7A794B37" w14:textId="77777777" w:rsidTr="009275A6">
        <w:trPr>
          <w:trHeight w:val="402"/>
          <w:jc w:val="center"/>
        </w:trPr>
        <w:tc>
          <w:tcPr>
            <w:tcW w:w="4050" w:type="dxa"/>
          </w:tcPr>
          <w:p w14:paraId="389323C3" w14:textId="77777777" w:rsidR="00055C01" w:rsidRPr="00467FE6" w:rsidRDefault="00055C01" w:rsidP="002E076A">
            <w:pPr>
              <w:widowControl w:val="0"/>
              <w:tabs>
                <w:tab w:val="left" w:pos="567"/>
              </w:tabs>
              <w:autoSpaceDE w:val="0"/>
              <w:autoSpaceDN w:val="0"/>
              <w:adjustRightInd w:val="0"/>
              <w:rPr>
                <w:sz w:val="22"/>
                <w:szCs w:val="22"/>
              </w:rPr>
            </w:pPr>
          </w:p>
        </w:tc>
        <w:tc>
          <w:tcPr>
            <w:tcW w:w="1800" w:type="dxa"/>
          </w:tcPr>
          <w:p w14:paraId="7FCFB18C" w14:textId="77777777" w:rsidR="00055C01" w:rsidRPr="00467FE6" w:rsidRDefault="00055C01" w:rsidP="00613B3B">
            <w:pPr>
              <w:widowControl w:val="0"/>
              <w:tabs>
                <w:tab w:val="decimal" w:pos="488"/>
              </w:tabs>
              <w:autoSpaceDE w:val="0"/>
              <w:autoSpaceDN w:val="0"/>
              <w:adjustRightInd w:val="0"/>
              <w:rPr>
                <w:sz w:val="22"/>
                <w:szCs w:val="22"/>
              </w:rPr>
            </w:pPr>
            <w:r w:rsidRPr="00467FE6">
              <w:rPr>
                <w:sz w:val="22"/>
                <w:szCs w:val="22"/>
              </w:rPr>
              <w:t>(0.031)*</w:t>
            </w:r>
          </w:p>
        </w:tc>
        <w:tc>
          <w:tcPr>
            <w:tcW w:w="2341" w:type="dxa"/>
          </w:tcPr>
          <w:p w14:paraId="5DDB5386" w14:textId="77777777" w:rsidR="00055C01" w:rsidRPr="00467FE6" w:rsidRDefault="00055C01" w:rsidP="00613B3B">
            <w:pPr>
              <w:widowControl w:val="0"/>
              <w:tabs>
                <w:tab w:val="decimal" w:pos="814"/>
              </w:tabs>
              <w:autoSpaceDE w:val="0"/>
              <w:autoSpaceDN w:val="0"/>
              <w:adjustRightInd w:val="0"/>
              <w:rPr>
                <w:sz w:val="22"/>
                <w:szCs w:val="22"/>
              </w:rPr>
            </w:pPr>
            <w:r w:rsidRPr="00467FE6">
              <w:rPr>
                <w:sz w:val="22"/>
                <w:szCs w:val="22"/>
              </w:rPr>
              <w:t>(0.056)*</w:t>
            </w:r>
          </w:p>
        </w:tc>
        <w:tc>
          <w:tcPr>
            <w:tcW w:w="1846" w:type="dxa"/>
          </w:tcPr>
          <w:p w14:paraId="42202BB3" w14:textId="77777777" w:rsidR="00055C01" w:rsidRPr="00467FE6" w:rsidRDefault="00055C01" w:rsidP="004C3A82">
            <w:pPr>
              <w:widowControl w:val="0"/>
              <w:tabs>
                <w:tab w:val="decimal" w:pos="591"/>
              </w:tabs>
              <w:autoSpaceDE w:val="0"/>
              <w:autoSpaceDN w:val="0"/>
              <w:adjustRightInd w:val="0"/>
              <w:rPr>
                <w:sz w:val="22"/>
                <w:szCs w:val="22"/>
              </w:rPr>
            </w:pPr>
            <w:r w:rsidRPr="00467FE6">
              <w:rPr>
                <w:sz w:val="22"/>
                <w:szCs w:val="22"/>
              </w:rPr>
              <w:t>(0.007)**</w:t>
            </w:r>
          </w:p>
        </w:tc>
        <w:tc>
          <w:tcPr>
            <w:tcW w:w="1846" w:type="dxa"/>
          </w:tcPr>
          <w:p w14:paraId="67393AB5" w14:textId="77777777" w:rsidR="00055C01" w:rsidRPr="00467FE6" w:rsidRDefault="00055C01" w:rsidP="004C3A82">
            <w:pPr>
              <w:widowControl w:val="0"/>
              <w:tabs>
                <w:tab w:val="decimal" w:pos="593"/>
              </w:tabs>
              <w:autoSpaceDE w:val="0"/>
              <w:autoSpaceDN w:val="0"/>
              <w:adjustRightInd w:val="0"/>
              <w:rPr>
                <w:sz w:val="22"/>
                <w:szCs w:val="22"/>
              </w:rPr>
            </w:pPr>
            <w:r w:rsidRPr="00467FE6">
              <w:rPr>
                <w:sz w:val="22"/>
                <w:szCs w:val="22"/>
              </w:rPr>
              <w:t>(0.008)</w:t>
            </w:r>
          </w:p>
        </w:tc>
        <w:tc>
          <w:tcPr>
            <w:tcW w:w="1846" w:type="dxa"/>
          </w:tcPr>
          <w:p w14:paraId="198E12F0" w14:textId="77777777" w:rsidR="00055C01" w:rsidRPr="00467FE6" w:rsidRDefault="00055C01" w:rsidP="004C3A82">
            <w:pPr>
              <w:widowControl w:val="0"/>
              <w:tabs>
                <w:tab w:val="decimal" w:pos="674"/>
              </w:tabs>
              <w:autoSpaceDE w:val="0"/>
              <w:autoSpaceDN w:val="0"/>
              <w:adjustRightInd w:val="0"/>
              <w:rPr>
                <w:sz w:val="22"/>
                <w:szCs w:val="22"/>
              </w:rPr>
            </w:pPr>
            <w:r w:rsidRPr="00467FE6">
              <w:rPr>
                <w:sz w:val="22"/>
                <w:szCs w:val="22"/>
              </w:rPr>
              <w:t>(0.008)</w:t>
            </w:r>
          </w:p>
        </w:tc>
      </w:tr>
      <w:tr w:rsidR="004D3F41" w:rsidRPr="00467FE6" w14:paraId="65F68A1C" w14:textId="77777777" w:rsidTr="00B8061C">
        <w:trPr>
          <w:trHeight w:val="317"/>
          <w:jc w:val="center"/>
        </w:trPr>
        <w:tc>
          <w:tcPr>
            <w:tcW w:w="4050" w:type="dxa"/>
          </w:tcPr>
          <w:p w14:paraId="1A476881" w14:textId="6639F113" w:rsidR="00055C01" w:rsidRPr="00467FE6" w:rsidRDefault="00055C01" w:rsidP="002E076A">
            <w:pPr>
              <w:widowControl w:val="0"/>
              <w:tabs>
                <w:tab w:val="left" w:pos="567"/>
              </w:tabs>
              <w:autoSpaceDE w:val="0"/>
              <w:autoSpaceDN w:val="0"/>
              <w:adjustRightInd w:val="0"/>
              <w:rPr>
                <w:sz w:val="22"/>
                <w:szCs w:val="22"/>
              </w:rPr>
            </w:pPr>
            <w:r w:rsidRPr="00467FE6">
              <w:rPr>
                <w:sz w:val="22"/>
                <w:szCs w:val="22"/>
              </w:rPr>
              <w:t>Male</w:t>
            </w:r>
            <w:r w:rsidR="004C3A82" w:rsidRPr="00467FE6">
              <w:rPr>
                <w:sz w:val="22"/>
                <w:szCs w:val="22"/>
              </w:rPr>
              <w:t xml:space="preserve"> P</w:t>
            </w:r>
            <w:r w:rsidRPr="00467FE6">
              <w:rPr>
                <w:sz w:val="22"/>
                <w:szCs w:val="22"/>
              </w:rPr>
              <w:t xml:space="preserve">rimary </w:t>
            </w:r>
            <w:r w:rsidR="004C3A82" w:rsidRPr="00467FE6">
              <w:rPr>
                <w:sz w:val="22"/>
                <w:szCs w:val="22"/>
              </w:rPr>
              <w:t>School E</w:t>
            </w:r>
            <w:r w:rsidRPr="00467FE6">
              <w:rPr>
                <w:sz w:val="22"/>
                <w:szCs w:val="22"/>
              </w:rPr>
              <w:t>nrolment</w:t>
            </w:r>
          </w:p>
        </w:tc>
        <w:tc>
          <w:tcPr>
            <w:tcW w:w="1800" w:type="dxa"/>
          </w:tcPr>
          <w:p w14:paraId="4080E984" w14:textId="77777777" w:rsidR="00055C01" w:rsidRPr="00467FE6" w:rsidRDefault="00055C01" w:rsidP="00613B3B">
            <w:pPr>
              <w:widowControl w:val="0"/>
              <w:tabs>
                <w:tab w:val="decimal" w:pos="488"/>
              </w:tabs>
              <w:autoSpaceDE w:val="0"/>
              <w:autoSpaceDN w:val="0"/>
              <w:adjustRightInd w:val="0"/>
              <w:rPr>
                <w:sz w:val="22"/>
                <w:szCs w:val="22"/>
              </w:rPr>
            </w:pPr>
            <w:r w:rsidRPr="00467FE6">
              <w:rPr>
                <w:sz w:val="22"/>
                <w:szCs w:val="22"/>
              </w:rPr>
              <w:t>0.066</w:t>
            </w:r>
          </w:p>
        </w:tc>
        <w:tc>
          <w:tcPr>
            <w:tcW w:w="2341" w:type="dxa"/>
          </w:tcPr>
          <w:p w14:paraId="2C8B3FD3" w14:textId="77777777" w:rsidR="00055C01" w:rsidRPr="00467FE6" w:rsidRDefault="00055C01" w:rsidP="00613B3B">
            <w:pPr>
              <w:widowControl w:val="0"/>
              <w:tabs>
                <w:tab w:val="decimal" w:pos="814"/>
              </w:tabs>
              <w:autoSpaceDE w:val="0"/>
              <w:autoSpaceDN w:val="0"/>
              <w:adjustRightInd w:val="0"/>
              <w:rPr>
                <w:sz w:val="22"/>
                <w:szCs w:val="22"/>
              </w:rPr>
            </w:pPr>
            <w:r w:rsidRPr="00467FE6">
              <w:rPr>
                <w:sz w:val="22"/>
                <w:szCs w:val="22"/>
              </w:rPr>
              <w:t>0.112</w:t>
            </w:r>
          </w:p>
        </w:tc>
        <w:tc>
          <w:tcPr>
            <w:tcW w:w="1846" w:type="dxa"/>
          </w:tcPr>
          <w:p w14:paraId="751C5771" w14:textId="77777777" w:rsidR="00055C01" w:rsidRPr="00467FE6" w:rsidRDefault="00055C01" w:rsidP="004C3A82">
            <w:pPr>
              <w:widowControl w:val="0"/>
              <w:tabs>
                <w:tab w:val="decimal" w:pos="591"/>
              </w:tabs>
              <w:autoSpaceDE w:val="0"/>
              <w:autoSpaceDN w:val="0"/>
              <w:adjustRightInd w:val="0"/>
              <w:rPr>
                <w:sz w:val="22"/>
                <w:szCs w:val="22"/>
              </w:rPr>
            </w:pPr>
            <w:r w:rsidRPr="00467FE6">
              <w:rPr>
                <w:sz w:val="22"/>
                <w:szCs w:val="22"/>
              </w:rPr>
              <w:t>-0.031</w:t>
            </w:r>
          </w:p>
        </w:tc>
        <w:tc>
          <w:tcPr>
            <w:tcW w:w="1846" w:type="dxa"/>
          </w:tcPr>
          <w:p w14:paraId="5B53896D" w14:textId="77777777" w:rsidR="00055C01" w:rsidRPr="00467FE6" w:rsidRDefault="00055C01" w:rsidP="004C3A82">
            <w:pPr>
              <w:widowControl w:val="0"/>
              <w:tabs>
                <w:tab w:val="decimal" w:pos="593"/>
              </w:tabs>
              <w:autoSpaceDE w:val="0"/>
              <w:autoSpaceDN w:val="0"/>
              <w:adjustRightInd w:val="0"/>
              <w:rPr>
                <w:sz w:val="22"/>
                <w:szCs w:val="22"/>
              </w:rPr>
            </w:pPr>
            <w:r w:rsidRPr="00467FE6">
              <w:rPr>
                <w:sz w:val="22"/>
                <w:szCs w:val="22"/>
              </w:rPr>
              <w:t>0.010</w:t>
            </w:r>
          </w:p>
        </w:tc>
        <w:tc>
          <w:tcPr>
            <w:tcW w:w="1846" w:type="dxa"/>
          </w:tcPr>
          <w:p w14:paraId="2ECC12B6" w14:textId="77777777" w:rsidR="00055C01" w:rsidRPr="00467FE6" w:rsidRDefault="00055C01" w:rsidP="004C3A82">
            <w:pPr>
              <w:widowControl w:val="0"/>
              <w:tabs>
                <w:tab w:val="decimal" w:pos="674"/>
              </w:tabs>
              <w:autoSpaceDE w:val="0"/>
              <w:autoSpaceDN w:val="0"/>
              <w:adjustRightInd w:val="0"/>
              <w:rPr>
                <w:sz w:val="22"/>
                <w:szCs w:val="22"/>
              </w:rPr>
            </w:pPr>
            <w:r w:rsidRPr="00467FE6">
              <w:rPr>
                <w:sz w:val="22"/>
                <w:szCs w:val="22"/>
              </w:rPr>
              <w:t>0.005</w:t>
            </w:r>
          </w:p>
        </w:tc>
      </w:tr>
      <w:tr w:rsidR="004D3F41" w:rsidRPr="00467FE6" w14:paraId="7018A52F" w14:textId="77777777" w:rsidTr="009275A6">
        <w:trPr>
          <w:trHeight w:val="402"/>
          <w:jc w:val="center"/>
        </w:trPr>
        <w:tc>
          <w:tcPr>
            <w:tcW w:w="4050" w:type="dxa"/>
          </w:tcPr>
          <w:p w14:paraId="3E1D44A4" w14:textId="77777777" w:rsidR="00055C01" w:rsidRPr="00467FE6" w:rsidRDefault="00055C01" w:rsidP="002E076A">
            <w:pPr>
              <w:widowControl w:val="0"/>
              <w:tabs>
                <w:tab w:val="left" w:pos="567"/>
              </w:tabs>
              <w:autoSpaceDE w:val="0"/>
              <w:autoSpaceDN w:val="0"/>
              <w:adjustRightInd w:val="0"/>
              <w:rPr>
                <w:sz w:val="22"/>
                <w:szCs w:val="22"/>
              </w:rPr>
            </w:pPr>
          </w:p>
        </w:tc>
        <w:tc>
          <w:tcPr>
            <w:tcW w:w="1800" w:type="dxa"/>
          </w:tcPr>
          <w:p w14:paraId="03DF13B6" w14:textId="77777777" w:rsidR="00055C01" w:rsidRPr="00467FE6" w:rsidRDefault="00055C01" w:rsidP="00613B3B">
            <w:pPr>
              <w:widowControl w:val="0"/>
              <w:tabs>
                <w:tab w:val="decimal" w:pos="488"/>
              </w:tabs>
              <w:autoSpaceDE w:val="0"/>
              <w:autoSpaceDN w:val="0"/>
              <w:adjustRightInd w:val="0"/>
              <w:rPr>
                <w:sz w:val="22"/>
                <w:szCs w:val="22"/>
              </w:rPr>
            </w:pPr>
            <w:r w:rsidRPr="00467FE6">
              <w:rPr>
                <w:sz w:val="22"/>
                <w:szCs w:val="22"/>
              </w:rPr>
              <w:t>(0.030)*</w:t>
            </w:r>
          </w:p>
        </w:tc>
        <w:tc>
          <w:tcPr>
            <w:tcW w:w="2341" w:type="dxa"/>
          </w:tcPr>
          <w:p w14:paraId="2003CF36" w14:textId="77777777" w:rsidR="00055C01" w:rsidRPr="00467FE6" w:rsidRDefault="00055C01" w:rsidP="00613B3B">
            <w:pPr>
              <w:widowControl w:val="0"/>
              <w:tabs>
                <w:tab w:val="decimal" w:pos="814"/>
              </w:tabs>
              <w:autoSpaceDE w:val="0"/>
              <w:autoSpaceDN w:val="0"/>
              <w:adjustRightInd w:val="0"/>
              <w:rPr>
                <w:sz w:val="22"/>
                <w:szCs w:val="22"/>
              </w:rPr>
            </w:pPr>
            <w:r w:rsidRPr="00467FE6">
              <w:rPr>
                <w:sz w:val="22"/>
                <w:szCs w:val="22"/>
              </w:rPr>
              <w:t>(0.054)*</w:t>
            </w:r>
          </w:p>
        </w:tc>
        <w:tc>
          <w:tcPr>
            <w:tcW w:w="1846" w:type="dxa"/>
          </w:tcPr>
          <w:p w14:paraId="4D3116E5" w14:textId="77777777" w:rsidR="00055C01" w:rsidRPr="00467FE6" w:rsidRDefault="00055C01" w:rsidP="004C3A82">
            <w:pPr>
              <w:widowControl w:val="0"/>
              <w:tabs>
                <w:tab w:val="decimal" w:pos="591"/>
              </w:tabs>
              <w:autoSpaceDE w:val="0"/>
              <w:autoSpaceDN w:val="0"/>
              <w:adjustRightInd w:val="0"/>
              <w:rPr>
                <w:sz w:val="22"/>
                <w:szCs w:val="22"/>
              </w:rPr>
            </w:pPr>
            <w:r w:rsidRPr="00467FE6">
              <w:rPr>
                <w:sz w:val="22"/>
                <w:szCs w:val="22"/>
              </w:rPr>
              <w:t>(0.007)**</w:t>
            </w:r>
          </w:p>
        </w:tc>
        <w:tc>
          <w:tcPr>
            <w:tcW w:w="1846" w:type="dxa"/>
          </w:tcPr>
          <w:p w14:paraId="6F482595" w14:textId="77777777" w:rsidR="00055C01" w:rsidRPr="00467FE6" w:rsidRDefault="00055C01" w:rsidP="004C3A82">
            <w:pPr>
              <w:widowControl w:val="0"/>
              <w:tabs>
                <w:tab w:val="decimal" w:pos="593"/>
              </w:tabs>
              <w:autoSpaceDE w:val="0"/>
              <w:autoSpaceDN w:val="0"/>
              <w:adjustRightInd w:val="0"/>
              <w:rPr>
                <w:sz w:val="22"/>
                <w:szCs w:val="22"/>
              </w:rPr>
            </w:pPr>
            <w:r w:rsidRPr="00467FE6">
              <w:rPr>
                <w:sz w:val="22"/>
                <w:szCs w:val="22"/>
              </w:rPr>
              <w:t>(0.008)</w:t>
            </w:r>
          </w:p>
        </w:tc>
        <w:tc>
          <w:tcPr>
            <w:tcW w:w="1846" w:type="dxa"/>
          </w:tcPr>
          <w:p w14:paraId="3DD6AF87" w14:textId="77777777" w:rsidR="00055C01" w:rsidRPr="00467FE6" w:rsidRDefault="00055C01" w:rsidP="004C3A82">
            <w:pPr>
              <w:widowControl w:val="0"/>
              <w:tabs>
                <w:tab w:val="decimal" w:pos="674"/>
              </w:tabs>
              <w:autoSpaceDE w:val="0"/>
              <w:autoSpaceDN w:val="0"/>
              <w:adjustRightInd w:val="0"/>
              <w:rPr>
                <w:sz w:val="22"/>
                <w:szCs w:val="22"/>
              </w:rPr>
            </w:pPr>
            <w:r w:rsidRPr="00467FE6">
              <w:rPr>
                <w:sz w:val="22"/>
                <w:szCs w:val="22"/>
              </w:rPr>
              <w:t>(0.008)</w:t>
            </w:r>
          </w:p>
        </w:tc>
      </w:tr>
      <w:tr w:rsidR="004D3F41" w:rsidRPr="00467FE6" w14:paraId="53FDBCE5" w14:textId="77777777" w:rsidTr="00B8061C">
        <w:trPr>
          <w:trHeight w:val="299"/>
          <w:jc w:val="center"/>
        </w:trPr>
        <w:tc>
          <w:tcPr>
            <w:tcW w:w="4050" w:type="dxa"/>
          </w:tcPr>
          <w:p w14:paraId="7C85DF6D" w14:textId="126BD85F" w:rsidR="00055C01" w:rsidRPr="00467FE6" w:rsidRDefault="00055C01" w:rsidP="002E076A">
            <w:pPr>
              <w:widowControl w:val="0"/>
              <w:tabs>
                <w:tab w:val="left" w:pos="567"/>
              </w:tabs>
              <w:autoSpaceDE w:val="0"/>
              <w:autoSpaceDN w:val="0"/>
              <w:adjustRightInd w:val="0"/>
              <w:rPr>
                <w:sz w:val="22"/>
                <w:szCs w:val="22"/>
              </w:rPr>
            </w:pPr>
            <w:r w:rsidRPr="00467FE6">
              <w:rPr>
                <w:sz w:val="22"/>
                <w:szCs w:val="22"/>
              </w:rPr>
              <w:t xml:space="preserve">Log of GDP </w:t>
            </w:r>
            <w:r w:rsidR="004C3A82" w:rsidRPr="00467FE6">
              <w:rPr>
                <w:sz w:val="22"/>
                <w:szCs w:val="22"/>
              </w:rPr>
              <w:t>P</w:t>
            </w:r>
            <w:r w:rsidRPr="00467FE6">
              <w:rPr>
                <w:sz w:val="22"/>
                <w:szCs w:val="22"/>
              </w:rPr>
              <w:t xml:space="preserve">er </w:t>
            </w:r>
            <w:r w:rsidR="004C3A82" w:rsidRPr="00467FE6">
              <w:rPr>
                <w:sz w:val="22"/>
                <w:szCs w:val="22"/>
              </w:rPr>
              <w:t>C</w:t>
            </w:r>
            <w:r w:rsidRPr="00467FE6">
              <w:rPr>
                <w:sz w:val="22"/>
                <w:szCs w:val="22"/>
              </w:rPr>
              <w:t>apita</w:t>
            </w:r>
          </w:p>
        </w:tc>
        <w:tc>
          <w:tcPr>
            <w:tcW w:w="1800" w:type="dxa"/>
          </w:tcPr>
          <w:p w14:paraId="36D95368" w14:textId="77777777" w:rsidR="00055C01" w:rsidRPr="00467FE6" w:rsidRDefault="00055C01" w:rsidP="00613B3B">
            <w:pPr>
              <w:widowControl w:val="0"/>
              <w:tabs>
                <w:tab w:val="decimal" w:pos="488"/>
              </w:tabs>
              <w:autoSpaceDE w:val="0"/>
              <w:autoSpaceDN w:val="0"/>
              <w:adjustRightInd w:val="0"/>
              <w:rPr>
                <w:sz w:val="22"/>
                <w:szCs w:val="22"/>
              </w:rPr>
            </w:pPr>
            <w:r w:rsidRPr="00467FE6">
              <w:rPr>
                <w:sz w:val="22"/>
                <w:szCs w:val="22"/>
              </w:rPr>
              <w:t>-6.123</w:t>
            </w:r>
          </w:p>
        </w:tc>
        <w:tc>
          <w:tcPr>
            <w:tcW w:w="2341" w:type="dxa"/>
          </w:tcPr>
          <w:p w14:paraId="4A618B88" w14:textId="77777777" w:rsidR="00055C01" w:rsidRPr="00467FE6" w:rsidRDefault="00055C01" w:rsidP="00613B3B">
            <w:pPr>
              <w:widowControl w:val="0"/>
              <w:tabs>
                <w:tab w:val="decimal" w:pos="814"/>
              </w:tabs>
              <w:autoSpaceDE w:val="0"/>
              <w:autoSpaceDN w:val="0"/>
              <w:adjustRightInd w:val="0"/>
              <w:rPr>
                <w:sz w:val="22"/>
                <w:szCs w:val="22"/>
              </w:rPr>
            </w:pPr>
            <w:r w:rsidRPr="00467FE6">
              <w:rPr>
                <w:sz w:val="22"/>
                <w:szCs w:val="22"/>
              </w:rPr>
              <w:t>-8.677</w:t>
            </w:r>
          </w:p>
        </w:tc>
        <w:tc>
          <w:tcPr>
            <w:tcW w:w="1846" w:type="dxa"/>
          </w:tcPr>
          <w:p w14:paraId="1B32B694" w14:textId="77777777" w:rsidR="00055C01" w:rsidRPr="00467FE6" w:rsidRDefault="00055C01" w:rsidP="004C3A82">
            <w:pPr>
              <w:widowControl w:val="0"/>
              <w:tabs>
                <w:tab w:val="decimal" w:pos="591"/>
              </w:tabs>
              <w:autoSpaceDE w:val="0"/>
              <w:autoSpaceDN w:val="0"/>
              <w:adjustRightInd w:val="0"/>
              <w:rPr>
                <w:sz w:val="22"/>
                <w:szCs w:val="22"/>
              </w:rPr>
            </w:pPr>
            <w:r w:rsidRPr="00467FE6">
              <w:rPr>
                <w:sz w:val="22"/>
                <w:szCs w:val="22"/>
              </w:rPr>
              <w:t>0.306</w:t>
            </w:r>
          </w:p>
        </w:tc>
        <w:tc>
          <w:tcPr>
            <w:tcW w:w="1846" w:type="dxa"/>
          </w:tcPr>
          <w:p w14:paraId="0392FAE6" w14:textId="77777777" w:rsidR="00055C01" w:rsidRPr="00467FE6" w:rsidRDefault="00055C01" w:rsidP="004C3A82">
            <w:pPr>
              <w:widowControl w:val="0"/>
              <w:tabs>
                <w:tab w:val="decimal" w:pos="593"/>
              </w:tabs>
              <w:autoSpaceDE w:val="0"/>
              <w:autoSpaceDN w:val="0"/>
              <w:adjustRightInd w:val="0"/>
              <w:rPr>
                <w:sz w:val="22"/>
                <w:szCs w:val="22"/>
              </w:rPr>
            </w:pPr>
            <w:r w:rsidRPr="00467FE6">
              <w:rPr>
                <w:sz w:val="22"/>
                <w:szCs w:val="22"/>
              </w:rPr>
              <w:t>0.409</w:t>
            </w:r>
          </w:p>
        </w:tc>
        <w:tc>
          <w:tcPr>
            <w:tcW w:w="1846" w:type="dxa"/>
          </w:tcPr>
          <w:p w14:paraId="38B006B2" w14:textId="77777777" w:rsidR="00055C01" w:rsidRPr="00467FE6" w:rsidRDefault="00055C01" w:rsidP="004C3A82">
            <w:pPr>
              <w:widowControl w:val="0"/>
              <w:tabs>
                <w:tab w:val="decimal" w:pos="674"/>
              </w:tabs>
              <w:autoSpaceDE w:val="0"/>
              <w:autoSpaceDN w:val="0"/>
              <w:adjustRightInd w:val="0"/>
              <w:rPr>
                <w:sz w:val="22"/>
                <w:szCs w:val="22"/>
              </w:rPr>
            </w:pPr>
            <w:r w:rsidRPr="00467FE6">
              <w:rPr>
                <w:sz w:val="22"/>
                <w:szCs w:val="22"/>
              </w:rPr>
              <w:t>0.356</w:t>
            </w:r>
          </w:p>
        </w:tc>
      </w:tr>
      <w:tr w:rsidR="004D3F41" w:rsidRPr="00467FE6" w14:paraId="3715DC44" w14:textId="77777777" w:rsidTr="009275A6">
        <w:trPr>
          <w:trHeight w:val="402"/>
          <w:jc w:val="center"/>
        </w:trPr>
        <w:tc>
          <w:tcPr>
            <w:tcW w:w="4050" w:type="dxa"/>
          </w:tcPr>
          <w:p w14:paraId="48447C0D" w14:textId="77777777" w:rsidR="00055C01" w:rsidRPr="00467FE6" w:rsidRDefault="00055C01" w:rsidP="002E076A">
            <w:pPr>
              <w:widowControl w:val="0"/>
              <w:tabs>
                <w:tab w:val="left" w:pos="567"/>
              </w:tabs>
              <w:autoSpaceDE w:val="0"/>
              <w:autoSpaceDN w:val="0"/>
              <w:adjustRightInd w:val="0"/>
              <w:rPr>
                <w:sz w:val="22"/>
                <w:szCs w:val="22"/>
              </w:rPr>
            </w:pPr>
          </w:p>
        </w:tc>
        <w:tc>
          <w:tcPr>
            <w:tcW w:w="1800" w:type="dxa"/>
          </w:tcPr>
          <w:p w14:paraId="0657D6EB" w14:textId="77777777" w:rsidR="00055C01" w:rsidRPr="00467FE6" w:rsidRDefault="00055C01" w:rsidP="00613B3B">
            <w:pPr>
              <w:widowControl w:val="0"/>
              <w:tabs>
                <w:tab w:val="decimal" w:pos="488"/>
              </w:tabs>
              <w:autoSpaceDE w:val="0"/>
              <w:autoSpaceDN w:val="0"/>
              <w:adjustRightInd w:val="0"/>
              <w:rPr>
                <w:sz w:val="22"/>
                <w:szCs w:val="22"/>
              </w:rPr>
            </w:pPr>
            <w:r w:rsidRPr="00467FE6">
              <w:rPr>
                <w:sz w:val="22"/>
                <w:szCs w:val="22"/>
              </w:rPr>
              <w:t>(0.385)**</w:t>
            </w:r>
          </w:p>
        </w:tc>
        <w:tc>
          <w:tcPr>
            <w:tcW w:w="2341" w:type="dxa"/>
          </w:tcPr>
          <w:p w14:paraId="72DCA0D4" w14:textId="77777777" w:rsidR="00055C01" w:rsidRPr="00467FE6" w:rsidRDefault="00055C01" w:rsidP="00613B3B">
            <w:pPr>
              <w:widowControl w:val="0"/>
              <w:tabs>
                <w:tab w:val="decimal" w:pos="814"/>
              </w:tabs>
              <w:autoSpaceDE w:val="0"/>
              <w:autoSpaceDN w:val="0"/>
              <w:adjustRightInd w:val="0"/>
              <w:rPr>
                <w:sz w:val="22"/>
                <w:szCs w:val="22"/>
              </w:rPr>
            </w:pPr>
            <w:r w:rsidRPr="00467FE6">
              <w:rPr>
                <w:sz w:val="22"/>
                <w:szCs w:val="22"/>
              </w:rPr>
              <w:t>(0.695)**</w:t>
            </w:r>
          </w:p>
        </w:tc>
        <w:tc>
          <w:tcPr>
            <w:tcW w:w="1846" w:type="dxa"/>
          </w:tcPr>
          <w:p w14:paraId="1512CC58" w14:textId="77777777" w:rsidR="00055C01" w:rsidRPr="00467FE6" w:rsidRDefault="00055C01" w:rsidP="004C3A82">
            <w:pPr>
              <w:widowControl w:val="0"/>
              <w:tabs>
                <w:tab w:val="decimal" w:pos="591"/>
              </w:tabs>
              <w:autoSpaceDE w:val="0"/>
              <w:autoSpaceDN w:val="0"/>
              <w:adjustRightInd w:val="0"/>
              <w:rPr>
                <w:sz w:val="22"/>
                <w:szCs w:val="22"/>
              </w:rPr>
            </w:pPr>
            <w:r w:rsidRPr="00467FE6">
              <w:rPr>
                <w:sz w:val="22"/>
                <w:szCs w:val="22"/>
              </w:rPr>
              <w:t>(0.090)**</w:t>
            </w:r>
          </w:p>
        </w:tc>
        <w:tc>
          <w:tcPr>
            <w:tcW w:w="1846" w:type="dxa"/>
          </w:tcPr>
          <w:p w14:paraId="0D361208" w14:textId="77777777" w:rsidR="00055C01" w:rsidRPr="00467FE6" w:rsidRDefault="00055C01" w:rsidP="004C3A82">
            <w:pPr>
              <w:widowControl w:val="0"/>
              <w:tabs>
                <w:tab w:val="decimal" w:pos="593"/>
              </w:tabs>
              <w:autoSpaceDE w:val="0"/>
              <w:autoSpaceDN w:val="0"/>
              <w:adjustRightInd w:val="0"/>
              <w:rPr>
                <w:sz w:val="22"/>
                <w:szCs w:val="22"/>
              </w:rPr>
            </w:pPr>
            <w:r w:rsidRPr="00467FE6">
              <w:rPr>
                <w:sz w:val="22"/>
                <w:szCs w:val="22"/>
              </w:rPr>
              <w:t>(0.100)**</w:t>
            </w:r>
          </w:p>
        </w:tc>
        <w:tc>
          <w:tcPr>
            <w:tcW w:w="1846" w:type="dxa"/>
          </w:tcPr>
          <w:p w14:paraId="6E5E6A03" w14:textId="77777777" w:rsidR="00055C01" w:rsidRPr="00467FE6" w:rsidRDefault="00055C01" w:rsidP="004C3A82">
            <w:pPr>
              <w:widowControl w:val="0"/>
              <w:tabs>
                <w:tab w:val="decimal" w:pos="674"/>
              </w:tabs>
              <w:autoSpaceDE w:val="0"/>
              <w:autoSpaceDN w:val="0"/>
              <w:adjustRightInd w:val="0"/>
              <w:rPr>
                <w:sz w:val="22"/>
                <w:szCs w:val="22"/>
              </w:rPr>
            </w:pPr>
            <w:r w:rsidRPr="00467FE6">
              <w:rPr>
                <w:sz w:val="22"/>
                <w:szCs w:val="22"/>
              </w:rPr>
              <w:t>(0.103)**</w:t>
            </w:r>
          </w:p>
        </w:tc>
      </w:tr>
      <w:tr w:rsidR="004D3F41" w:rsidRPr="00467FE6" w14:paraId="5A909565" w14:textId="77777777" w:rsidTr="00E56AE2">
        <w:trPr>
          <w:trHeight w:val="309"/>
          <w:jc w:val="center"/>
        </w:trPr>
        <w:tc>
          <w:tcPr>
            <w:tcW w:w="4050" w:type="dxa"/>
          </w:tcPr>
          <w:p w14:paraId="5CAFFB30" w14:textId="4B1E7B17" w:rsidR="00055C01" w:rsidRPr="00467FE6" w:rsidRDefault="00055C01" w:rsidP="002E076A">
            <w:pPr>
              <w:widowControl w:val="0"/>
              <w:tabs>
                <w:tab w:val="left" w:pos="567"/>
              </w:tabs>
              <w:autoSpaceDE w:val="0"/>
              <w:autoSpaceDN w:val="0"/>
              <w:adjustRightInd w:val="0"/>
              <w:rPr>
                <w:sz w:val="22"/>
                <w:szCs w:val="22"/>
              </w:rPr>
            </w:pPr>
            <w:r w:rsidRPr="00467FE6">
              <w:rPr>
                <w:sz w:val="22"/>
                <w:szCs w:val="22"/>
              </w:rPr>
              <w:t xml:space="preserve">Urban </w:t>
            </w:r>
            <w:r w:rsidR="004C3A82" w:rsidRPr="00467FE6">
              <w:rPr>
                <w:sz w:val="22"/>
                <w:szCs w:val="22"/>
              </w:rPr>
              <w:t>Percent</w:t>
            </w:r>
            <w:r w:rsidRPr="00467FE6">
              <w:rPr>
                <w:sz w:val="22"/>
                <w:szCs w:val="22"/>
              </w:rPr>
              <w:t xml:space="preserve"> of </w:t>
            </w:r>
            <w:r w:rsidR="004C3A82" w:rsidRPr="00467FE6">
              <w:rPr>
                <w:sz w:val="22"/>
                <w:szCs w:val="22"/>
              </w:rPr>
              <w:t>P</w:t>
            </w:r>
            <w:r w:rsidRPr="00467FE6">
              <w:rPr>
                <w:sz w:val="22"/>
                <w:szCs w:val="22"/>
              </w:rPr>
              <w:t>opulation</w:t>
            </w:r>
          </w:p>
        </w:tc>
        <w:tc>
          <w:tcPr>
            <w:tcW w:w="1800" w:type="dxa"/>
          </w:tcPr>
          <w:p w14:paraId="66443C26" w14:textId="77777777" w:rsidR="00055C01" w:rsidRPr="00467FE6" w:rsidRDefault="00055C01" w:rsidP="00613B3B">
            <w:pPr>
              <w:widowControl w:val="0"/>
              <w:tabs>
                <w:tab w:val="decimal" w:pos="488"/>
              </w:tabs>
              <w:autoSpaceDE w:val="0"/>
              <w:autoSpaceDN w:val="0"/>
              <w:adjustRightInd w:val="0"/>
              <w:rPr>
                <w:sz w:val="22"/>
                <w:szCs w:val="22"/>
              </w:rPr>
            </w:pPr>
            <w:r w:rsidRPr="00467FE6">
              <w:rPr>
                <w:sz w:val="22"/>
                <w:szCs w:val="22"/>
              </w:rPr>
              <w:t>-0.234</w:t>
            </w:r>
          </w:p>
        </w:tc>
        <w:tc>
          <w:tcPr>
            <w:tcW w:w="2341" w:type="dxa"/>
          </w:tcPr>
          <w:p w14:paraId="62C4643B" w14:textId="77777777" w:rsidR="00055C01" w:rsidRPr="00467FE6" w:rsidRDefault="00055C01" w:rsidP="00613B3B">
            <w:pPr>
              <w:widowControl w:val="0"/>
              <w:tabs>
                <w:tab w:val="decimal" w:pos="814"/>
              </w:tabs>
              <w:autoSpaceDE w:val="0"/>
              <w:autoSpaceDN w:val="0"/>
              <w:adjustRightInd w:val="0"/>
              <w:rPr>
                <w:sz w:val="22"/>
                <w:szCs w:val="22"/>
              </w:rPr>
            </w:pPr>
            <w:r w:rsidRPr="00467FE6">
              <w:rPr>
                <w:sz w:val="22"/>
                <w:szCs w:val="22"/>
              </w:rPr>
              <w:t>-0.388</w:t>
            </w:r>
          </w:p>
        </w:tc>
        <w:tc>
          <w:tcPr>
            <w:tcW w:w="1846" w:type="dxa"/>
          </w:tcPr>
          <w:p w14:paraId="234610E3" w14:textId="77777777" w:rsidR="00055C01" w:rsidRPr="00467FE6" w:rsidRDefault="00055C01" w:rsidP="004C3A82">
            <w:pPr>
              <w:widowControl w:val="0"/>
              <w:tabs>
                <w:tab w:val="decimal" w:pos="591"/>
              </w:tabs>
              <w:autoSpaceDE w:val="0"/>
              <w:autoSpaceDN w:val="0"/>
              <w:adjustRightInd w:val="0"/>
              <w:rPr>
                <w:sz w:val="22"/>
                <w:szCs w:val="22"/>
              </w:rPr>
            </w:pPr>
            <w:r w:rsidRPr="00467FE6">
              <w:rPr>
                <w:sz w:val="22"/>
                <w:szCs w:val="22"/>
              </w:rPr>
              <w:t>0.033</w:t>
            </w:r>
          </w:p>
        </w:tc>
        <w:tc>
          <w:tcPr>
            <w:tcW w:w="1846" w:type="dxa"/>
          </w:tcPr>
          <w:p w14:paraId="5202AC0E" w14:textId="77777777" w:rsidR="00055C01" w:rsidRPr="00467FE6" w:rsidRDefault="00055C01" w:rsidP="004C3A82">
            <w:pPr>
              <w:widowControl w:val="0"/>
              <w:tabs>
                <w:tab w:val="decimal" w:pos="593"/>
              </w:tabs>
              <w:autoSpaceDE w:val="0"/>
              <w:autoSpaceDN w:val="0"/>
              <w:adjustRightInd w:val="0"/>
              <w:rPr>
                <w:sz w:val="22"/>
                <w:szCs w:val="22"/>
              </w:rPr>
            </w:pPr>
            <w:r w:rsidRPr="00467FE6">
              <w:rPr>
                <w:sz w:val="22"/>
                <w:szCs w:val="22"/>
              </w:rPr>
              <w:t>0.046</w:t>
            </w:r>
          </w:p>
        </w:tc>
        <w:tc>
          <w:tcPr>
            <w:tcW w:w="1846" w:type="dxa"/>
          </w:tcPr>
          <w:p w14:paraId="4B8F7BE3" w14:textId="77777777" w:rsidR="00055C01" w:rsidRPr="00467FE6" w:rsidRDefault="00055C01" w:rsidP="004C3A82">
            <w:pPr>
              <w:widowControl w:val="0"/>
              <w:tabs>
                <w:tab w:val="decimal" w:pos="674"/>
              </w:tabs>
              <w:autoSpaceDE w:val="0"/>
              <w:autoSpaceDN w:val="0"/>
              <w:adjustRightInd w:val="0"/>
              <w:rPr>
                <w:sz w:val="22"/>
                <w:szCs w:val="22"/>
              </w:rPr>
            </w:pPr>
            <w:r w:rsidRPr="00467FE6">
              <w:rPr>
                <w:sz w:val="22"/>
                <w:szCs w:val="22"/>
              </w:rPr>
              <w:t>0.067</w:t>
            </w:r>
          </w:p>
        </w:tc>
      </w:tr>
      <w:tr w:rsidR="004D3F41" w:rsidRPr="00467FE6" w14:paraId="39A4A1DF" w14:textId="77777777" w:rsidTr="009275A6">
        <w:trPr>
          <w:trHeight w:val="402"/>
          <w:jc w:val="center"/>
        </w:trPr>
        <w:tc>
          <w:tcPr>
            <w:tcW w:w="4050" w:type="dxa"/>
          </w:tcPr>
          <w:p w14:paraId="77C02D0A" w14:textId="77777777" w:rsidR="00055C01" w:rsidRPr="00467FE6" w:rsidRDefault="00055C01" w:rsidP="002E076A">
            <w:pPr>
              <w:widowControl w:val="0"/>
              <w:tabs>
                <w:tab w:val="left" w:pos="567"/>
              </w:tabs>
              <w:autoSpaceDE w:val="0"/>
              <w:autoSpaceDN w:val="0"/>
              <w:adjustRightInd w:val="0"/>
              <w:rPr>
                <w:sz w:val="22"/>
                <w:szCs w:val="22"/>
              </w:rPr>
            </w:pPr>
          </w:p>
        </w:tc>
        <w:tc>
          <w:tcPr>
            <w:tcW w:w="1800" w:type="dxa"/>
          </w:tcPr>
          <w:p w14:paraId="228CC14F" w14:textId="77777777" w:rsidR="00055C01" w:rsidRPr="00467FE6" w:rsidRDefault="00055C01" w:rsidP="00613B3B">
            <w:pPr>
              <w:widowControl w:val="0"/>
              <w:tabs>
                <w:tab w:val="decimal" w:pos="488"/>
              </w:tabs>
              <w:autoSpaceDE w:val="0"/>
              <w:autoSpaceDN w:val="0"/>
              <w:adjustRightInd w:val="0"/>
              <w:rPr>
                <w:sz w:val="22"/>
                <w:szCs w:val="22"/>
              </w:rPr>
            </w:pPr>
            <w:r w:rsidRPr="00467FE6">
              <w:rPr>
                <w:sz w:val="22"/>
                <w:szCs w:val="22"/>
              </w:rPr>
              <w:t>(0.063)**</w:t>
            </w:r>
          </w:p>
        </w:tc>
        <w:tc>
          <w:tcPr>
            <w:tcW w:w="2341" w:type="dxa"/>
          </w:tcPr>
          <w:p w14:paraId="0CE0C41A" w14:textId="77777777" w:rsidR="00055C01" w:rsidRPr="00467FE6" w:rsidRDefault="00055C01" w:rsidP="00613B3B">
            <w:pPr>
              <w:widowControl w:val="0"/>
              <w:tabs>
                <w:tab w:val="decimal" w:pos="814"/>
              </w:tabs>
              <w:autoSpaceDE w:val="0"/>
              <w:autoSpaceDN w:val="0"/>
              <w:adjustRightInd w:val="0"/>
              <w:rPr>
                <w:sz w:val="22"/>
                <w:szCs w:val="22"/>
              </w:rPr>
            </w:pPr>
            <w:r w:rsidRPr="00467FE6">
              <w:rPr>
                <w:sz w:val="22"/>
                <w:szCs w:val="22"/>
              </w:rPr>
              <w:t>(0.114)**</w:t>
            </w:r>
          </w:p>
        </w:tc>
        <w:tc>
          <w:tcPr>
            <w:tcW w:w="1846" w:type="dxa"/>
          </w:tcPr>
          <w:p w14:paraId="25CFC91A" w14:textId="77777777" w:rsidR="00055C01" w:rsidRPr="00467FE6" w:rsidRDefault="00055C01" w:rsidP="004C3A82">
            <w:pPr>
              <w:widowControl w:val="0"/>
              <w:tabs>
                <w:tab w:val="decimal" w:pos="591"/>
              </w:tabs>
              <w:autoSpaceDE w:val="0"/>
              <w:autoSpaceDN w:val="0"/>
              <w:adjustRightInd w:val="0"/>
              <w:rPr>
                <w:sz w:val="22"/>
                <w:szCs w:val="22"/>
              </w:rPr>
            </w:pPr>
            <w:r w:rsidRPr="00467FE6">
              <w:rPr>
                <w:sz w:val="22"/>
                <w:szCs w:val="22"/>
              </w:rPr>
              <w:t>(0.015)*</w:t>
            </w:r>
          </w:p>
        </w:tc>
        <w:tc>
          <w:tcPr>
            <w:tcW w:w="1846" w:type="dxa"/>
          </w:tcPr>
          <w:p w14:paraId="2F62B201" w14:textId="77777777" w:rsidR="00055C01" w:rsidRPr="00467FE6" w:rsidRDefault="00055C01" w:rsidP="004C3A82">
            <w:pPr>
              <w:widowControl w:val="0"/>
              <w:tabs>
                <w:tab w:val="decimal" w:pos="593"/>
              </w:tabs>
              <w:autoSpaceDE w:val="0"/>
              <w:autoSpaceDN w:val="0"/>
              <w:adjustRightInd w:val="0"/>
              <w:rPr>
                <w:sz w:val="22"/>
                <w:szCs w:val="22"/>
              </w:rPr>
            </w:pPr>
            <w:r w:rsidRPr="00467FE6">
              <w:rPr>
                <w:sz w:val="22"/>
                <w:szCs w:val="22"/>
              </w:rPr>
              <w:t>(0.016)**</w:t>
            </w:r>
          </w:p>
        </w:tc>
        <w:tc>
          <w:tcPr>
            <w:tcW w:w="1846" w:type="dxa"/>
          </w:tcPr>
          <w:p w14:paraId="785395BE" w14:textId="77777777" w:rsidR="00055C01" w:rsidRPr="00467FE6" w:rsidRDefault="00055C01" w:rsidP="004C3A82">
            <w:pPr>
              <w:widowControl w:val="0"/>
              <w:tabs>
                <w:tab w:val="decimal" w:pos="674"/>
              </w:tabs>
              <w:autoSpaceDE w:val="0"/>
              <w:autoSpaceDN w:val="0"/>
              <w:adjustRightInd w:val="0"/>
              <w:rPr>
                <w:sz w:val="22"/>
                <w:szCs w:val="22"/>
              </w:rPr>
            </w:pPr>
            <w:r w:rsidRPr="00467FE6">
              <w:rPr>
                <w:sz w:val="22"/>
                <w:szCs w:val="22"/>
              </w:rPr>
              <w:t>(0.017)**</w:t>
            </w:r>
          </w:p>
        </w:tc>
      </w:tr>
      <w:tr w:rsidR="004D3F41" w:rsidRPr="00467FE6" w14:paraId="1C0F3B81" w14:textId="77777777" w:rsidTr="00E56AE2">
        <w:trPr>
          <w:trHeight w:val="163"/>
          <w:jc w:val="center"/>
        </w:trPr>
        <w:tc>
          <w:tcPr>
            <w:tcW w:w="4050" w:type="dxa"/>
          </w:tcPr>
          <w:p w14:paraId="1C00729F" w14:textId="1601906E" w:rsidR="00055C01" w:rsidRPr="00467FE6" w:rsidRDefault="00055C01" w:rsidP="002E076A">
            <w:pPr>
              <w:widowControl w:val="0"/>
              <w:tabs>
                <w:tab w:val="left" w:pos="567"/>
              </w:tabs>
              <w:autoSpaceDE w:val="0"/>
              <w:autoSpaceDN w:val="0"/>
              <w:adjustRightInd w:val="0"/>
              <w:rPr>
                <w:sz w:val="22"/>
                <w:szCs w:val="22"/>
              </w:rPr>
            </w:pPr>
            <w:r w:rsidRPr="00467FE6">
              <w:rPr>
                <w:sz w:val="22"/>
                <w:szCs w:val="22"/>
              </w:rPr>
              <w:t>Constant</w:t>
            </w:r>
          </w:p>
        </w:tc>
        <w:tc>
          <w:tcPr>
            <w:tcW w:w="1800" w:type="dxa"/>
          </w:tcPr>
          <w:p w14:paraId="583A07A4" w14:textId="77777777" w:rsidR="00055C01" w:rsidRPr="00467FE6" w:rsidRDefault="00055C01" w:rsidP="00613B3B">
            <w:pPr>
              <w:widowControl w:val="0"/>
              <w:tabs>
                <w:tab w:val="decimal" w:pos="488"/>
              </w:tabs>
              <w:autoSpaceDE w:val="0"/>
              <w:autoSpaceDN w:val="0"/>
              <w:adjustRightInd w:val="0"/>
              <w:rPr>
                <w:sz w:val="22"/>
                <w:szCs w:val="22"/>
              </w:rPr>
            </w:pPr>
            <w:r w:rsidRPr="00467FE6">
              <w:rPr>
                <w:sz w:val="22"/>
                <w:szCs w:val="22"/>
              </w:rPr>
              <w:t>90.716</w:t>
            </w:r>
          </w:p>
        </w:tc>
        <w:tc>
          <w:tcPr>
            <w:tcW w:w="2341" w:type="dxa"/>
          </w:tcPr>
          <w:p w14:paraId="4543FC2A" w14:textId="77777777" w:rsidR="00055C01" w:rsidRPr="00467FE6" w:rsidRDefault="00055C01" w:rsidP="00613B3B">
            <w:pPr>
              <w:widowControl w:val="0"/>
              <w:tabs>
                <w:tab w:val="decimal" w:pos="814"/>
              </w:tabs>
              <w:autoSpaceDE w:val="0"/>
              <w:autoSpaceDN w:val="0"/>
              <w:adjustRightInd w:val="0"/>
              <w:rPr>
                <w:sz w:val="22"/>
                <w:szCs w:val="22"/>
              </w:rPr>
            </w:pPr>
            <w:r w:rsidRPr="00467FE6">
              <w:rPr>
                <w:sz w:val="22"/>
                <w:szCs w:val="22"/>
              </w:rPr>
              <w:t>129.320</w:t>
            </w:r>
          </w:p>
        </w:tc>
        <w:tc>
          <w:tcPr>
            <w:tcW w:w="1846" w:type="dxa"/>
          </w:tcPr>
          <w:p w14:paraId="5C2DAC13" w14:textId="77777777" w:rsidR="00055C01" w:rsidRPr="00467FE6" w:rsidRDefault="00055C01" w:rsidP="004C3A82">
            <w:pPr>
              <w:widowControl w:val="0"/>
              <w:tabs>
                <w:tab w:val="decimal" w:pos="591"/>
              </w:tabs>
              <w:autoSpaceDE w:val="0"/>
              <w:autoSpaceDN w:val="0"/>
              <w:adjustRightInd w:val="0"/>
              <w:rPr>
                <w:sz w:val="22"/>
                <w:szCs w:val="22"/>
              </w:rPr>
            </w:pPr>
            <w:r w:rsidRPr="00467FE6">
              <w:rPr>
                <w:sz w:val="22"/>
                <w:szCs w:val="22"/>
              </w:rPr>
              <w:t>65.474</w:t>
            </w:r>
          </w:p>
        </w:tc>
        <w:tc>
          <w:tcPr>
            <w:tcW w:w="1846" w:type="dxa"/>
          </w:tcPr>
          <w:p w14:paraId="5F2F466B" w14:textId="77777777" w:rsidR="00055C01" w:rsidRPr="00467FE6" w:rsidRDefault="00055C01" w:rsidP="004C3A82">
            <w:pPr>
              <w:widowControl w:val="0"/>
              <w:tabs>
                <w:tab w:val="decimal" w:pos="593"/>
              </w:tabs>
              <w:autoSpaceDE w:val="0"/>
              <w:autoSpaceDN w:val="0"/>
              <w:adjustRightInd w:val="0"/>
              <w:rPr>
                <w:sz w:val="22"/>
                <w:szCs w:val="22"/>
              </w:rPr>
            </w:pPr>
            <w:r w:rsidRPr="00467FE6">
              <w:rPr>
                <w:sz w:val="22"/>
                <w:szCs w:val="22"/>
              </w:rPr>
              <w:t>61.463</w:t>
            </w:r>
          </w:p>
        </w:tc>
        <w:tc>
          <w:tcPr>
            <w:tcW w:w="1846" w:type="dxa"/>
          </w:tcPr>
          <w:p w14:paraId="33AD57D4" w14:textId="77777777" w:rsidR="00055C01" w:rsidRPr="00467FE6" w:rsidRDefault="00055C01" w:rsidP="004C3A82">
            <w:pPr>
              <w:widowControl w:val="0"/>
              <w:tabs>
                <w:tab w:val="decimal" w:pos="674"/>
              </w:tabs>
              <w:autoSpaceDE w:val="0"/>
              <w:autoSpaceDN w:val="0"/>
              <w:adjustRightInd w:val="0"/>
              <w:rPr>
                <w:sz w:val="22"/>
                <w:szCs w:val="22"/>
              </w:rPr>
            </w:pPr>
            <w:r w:rsidRPr="00467FE6">
              <w:rPr>
                <w:sz w:val="22"/>
                <w:szCs w:val="22"/>
              </w:rPr>
              <w:t>66.184</w:t>
            </w:r>
          </w:p>
        </w:tc>
      </w:tr>
      <w:tr w:rsidR="004D3F41" w:rsidRPr="00467FE6" w14:paraId="4DE35DAE" w14:textId="77777777" w:rsidTr="009275A6">
        <w:trPr>
          <w:trHeight w:val="402"/>
          <w:jc w:val="center"/>
        </w:trPr>
        <w:tc>
          <w:tcPr>
            <w:tcW w:w="4050" w:type="dxa"/>
          </w:tcPr>
          <w:p w14:paraId="0F6A9563" w14:textId="77777777" w:rsidR="00055C01" w:rsidRPr="00467FE6" w:rsidRDefault="00055C01" w:rsidP="002E076A">
            <w:pPr>
              <w:widowControl w:val="0"/>
              <w:tabs>
                <w:tab w:val="left" w:pos="567"/>
              </w:tabs>
              <w:autoSpaceDE w:val="0"/>
              <w:autoSpaceDN w:val="0"/>
              <w:adjustRightInd w:val="0"/>
              <w:rPr>
                <w:sz w:val="22"/>
                <w:szCs w:val="22"/>
              </w:rPr>
            </w:pPr>
          </w:p>
        </w:tc>
        <w:tc>
          <w:tcPr>
            <w:tcW w:w="1800" w:type="dxa"/>
          </w:tcPr>
          <w:p w14:paraId="06F1C26C" w14:textId="77777777" w:rsidR="00055C01" w:rsidRPr="00467FE6" w:rsidRDefault="00055C01" w:rsidP="00613B3B">
            <w:pPr>
              <w:widowControl w:val="0"/>
              <w:tabs>
                <w:tab w:val="decimal" w:pos="488"/>
              </w:tabs>
              <w:autoSpaceDE w:val="0"/>
              <w:autoSpaceDN w:val="0"/>
              <w:adjustRightInd w:val="0"/>
              <w:rPr>
                <w:sz w:val="22"/>
                <w:szCs w:val="22"/>
              </w:rPr>
            </w:pPr>
            <w:r w:rsidRPr="00467FE6">
              <w:rPr>
                <w:sz w:val="22"/>
                <w:szCs w:val="22"/>
              </w:rPr>
              <w:t>(5.015)**</w:t>
            </w:r>
          </w:p>
        </w:tc>
        <w:tc>
          <w:tcPr>
            <w:tcW w:w="2341" w:type="dxa"/>
          </w:tcPr>
          <w:p w14:paraId="03BC5958" w14:textId="77777777" w:rsidR="00055C01" w:rsidRPr="00467FE6" w:rsidRDefault="00055C01" w:rsidP="00613B3B">
            <w:pPr>
              <w:widowControl w:val="0"/>
              <w:tabs>
                <w:tab w:val="decimal" w:pos="814"/>
              </w:tabs>
              <w:autoSpaceDE w:val="0"/>
              <w:autoSpaceDN w:val="0"/>
              <w:adjustRightInd w:val="0"/>
              <w:rPr>
                <w:sz w:val="22"/>
                <w:szCs w:val="22"/>
              </w:rPr>
            </w:pPr>
            <w:r w:rsidRPr="00467FE6">
              <w:rPr>
                <w:sz w:val="22"/>
                <w:szCs w:val="22"/>
              </w:rPr>
              <w:t>(9.060)**</w:t>
            </w:r>
          </w:p>
        </w:tc>
        <w:tc>
          <w:tcPr>
            <w:tcW w:w="1846" w:type="dxa"/>
          </w:tcPr>
          <w:p w14:paraId="6BBC299B" w14:textId="77777777" w:rsidR="00055C01" w:rsidRPr="00467FE6" w:rsidRDefault="00055C01" w:rsidP="004C3A82">
            <w:pPr>
              <w:widowControl w:val="0"/>
              <w:tabs>
                <w:tab w:val="decimal" w:pos="591"/>
              </w:tabs>
              <w:autoSpaceDE w:val="0"/>
              <w:autoSpaceDN w:val="0"/>
              <w:adjustRightInd w:val="0"/>
              <w:rPr>
                <w:sz w:val="22"/>
                <w:szCs w:val="22"/>
              </w:rPr>
            </w:pPr>
            <w:r w:rsidRPr="00467FE6">
              <w:rPr>
                <w:sz w:val="22"/>
                <w:szCs w:val="22"/>
              </w:rPr>
              <w:t>(1.177)**</w:t>
            </w:r>
          </w:p>
        </w:tc>
        <w:tc>
          <w:tcPr>
            <w:tcW w:w="1846" w:type="dxa"/>
          </w:tcPr>
          <w:p w14:paraId="2C9518B2" w14:textId="77777777" w:rsidR="00055C01" w:rsidRPr="00467FE6" w:rsidRDefault="00055C01" w:rsidP="004C3A82">
            <w:pPr>
              <w:widowControl w:val="0"/>
              <w:tabs>
                <w:tab w:val="decimal" w:pos="593"/>
              </w:tabs>
              <w:autoSpaceDE w:val="0"/>
              <w:autoSpaceDN w:val="0"/>
              <w:adjustRightInd w:val="0"/>
              <w:rPr>
                <w:sz w:val="22"/>
                <w:szCs w:val="22"/>
              </w:rPr>
            </w:pPr>
            <w:r w:rsidRPr="00467FE6">
              <w:rPr>
                <w:sz w:val="22"/>
                <w:szCs w:val="22"/>
              </w:rPr>
              <w:t>(1.310)**</w:t>
            </w:r>
          </w:p>
        </w:tc>
        <w:tc>
          <w:tcPr>
            <w:tcW w:w="1846" w:type="dxa"/>
          </w:tcPr>
          <w:p w14:paraId="6EE12207" w14:textId="77777777" w:rsidR="00055C01" w:rsidRPr="00467FE6" w:rsidRDefault="00055C01" w:rsidP="004C3A82">
            <w:pPr>
              <w:widowControl w:val="0"/>
              <w:tabs>
                <w:tab w:val="decimal" w:pos="674"/>
              </w:tabs>
              <w:autoSpaceDE w:val="0"/>
              <w:autoSpaceDN w:val="0"/>
              <w:adjustRightInd w:val="0"/>
              <w:rPr>
                <w:sz w:val="22"/>
                <w:szCs w:val="22"/>
              </w:rPr>
            </w:pPr>
            <w:r w:rsidRPr="00467FE6">
              <w:rPr>
                <w:sz w:val="22"/>
                <w:szCs w:val="22"/>
              </w:rPr>
              <w:t>(1.346)**</w:t>
            </w:r>
          </w:p>
        </w:tc>
      </w:tr>
      <w:tr w:rsidR="004D3F41" w:rsidRPr="00467FE6" w14:paraId="5C8D50B0" w14:textId="77777777" w:rsidTr="00A214AB">
        <w:trPr>
          <w:trHeight w:val="183"/>
          <w:jc w:val="center"/>
        </w:trPr>
        <w:tc>
          <w:tcPr>
            <w:tcW w:w="4050" w:type="dxa"/>
          </w:tcPr>
          <w:p w14:paraId="268DAEDC" w14:textId="77777777" w:rsidR="00055C01" w:rsidRPr="00467FE6" w:rsidRDefault="00055C01" w:rsidP="002E076A">
            <w:pPr>
              <w:widowControl w:val="0"/>
              <w:tabs>
                <w:tab w:val="left" w:pos="567"/>
              </w:tabs>
              <w:autoSpaceDE w:val="0"/>
              <w:autoSpaceDN w:val="0"/>
              <w:adjustRightInd w:val="0"/>
              <w:rPr>
                <w:sz w:val="22"/>
                <w:szCs w:val="22"/>
              </w:rPr>
            </w:pPr>
            <w:r w:rsidRPr="00467FE6">
              <w:rPr>
                <w:sz w:val="22"/>
                <w:szCs w:val="22"/>
              </w:rPr>
              <w:t>R</w:t>
            </w:r>
            <w:r w:rsidRPr="00467FE6">
              <w:rPr>
                <w:sz w:val="22"/>
                <w:szCs w:val="22"/>
                <w:vertAlign w:val="superscript"/>
              </w:rPr>
              <w:t>2</w:t>
            </w:r>
          </w:p>
        </w:tc>
        <w:tc>
          <w:tcPr>
            <w:tcW w:w="1800" w:type="dxa"/>
          </w:tcPr>
          <w:p w14:paraId="2479EED0" w14:textId="77777777" w:rsidR="00055C01" w:rsidRPr="00467FE6" w:rsidRDefault="00055C01" w:rsidP="00613B3B">
            <w:pPr>
              <w:widowControl w:val="0"/>
              <w:tabs>
                <w:tab w:val="decimal" w:pos="488"/>
              </w:tabs>
              <w:autoSpaceDE w:val="0"/>
              <w:autoSpaceDN w:val="0"/>
              <w:adjustRightInd w:val="0"/>
              <w:rPr>
                <w:sz w:val="22"/>
                <w:szCs w:val="22"/>
              </w:rPr>
            </w:pPr>
            <w:r w:rsidRPr="00467FE6">
              <w:rPr>
                <w:sz w:val="22"/>
                <w:szCs w:val="22"/>
              </w:rPr>
              <w:t>0.72</w:t>
            </w:r>
          </w:p>
        </w:tc>
        <w:tc>
          <w:tcPr>
            <w:tcW w:w="2341" w:type="dxa"/>
          </w:tcPr>
          <w:p w14:paraId="74CB6093" w14:textId="77777777" w:rsidR="00055C01" w:rsidRPr="00467FE6" w:rsidRDefault="00055C01" w:rsidP="00613B3B">
            <w:pPr>
              <w:widowControl w:val="0"/>
              <w:tabs>
                <w:tab w:val="decimal" w:pos="814"/>
              </w:tabs>
              <w:autoSpaceDE w:val="0"/>
              <w:autoSpaceDN w:val="0"/>
              <w:adjustRightInd w:val="0"/>
              <w:rPr>
                <w:sz w:val="22"/>
                <w:szCs w:val="22"/>
              </w:rPr>
            </w:pPr>
            <w:r w:rsidRPr="00467FE6">
              <w:rPr>
                <w:sz w:val="22"/>
                <w:szCs w:val="22"/>
              </w:rPr>
              <w:t>0.66</w:t>
            </w:r>
          </w:p>
        </w:tc>
        <w:tc>
          <w:tcPr>
            <w:tcW w:w="1846" w:type="dxa"/>
          </w:tcPr>
          <w:p w14:paraId="3944DE64" w14:textId="77777777" w:rsidR="00055C01" w:rsidRPr="00467FE6" w:rsidRDefault="00055C01" w:rsidP="004C3A82">
            <w:pPr>
              <w:widowControl w:val="0"/>
              <w:tabs>
                <w:tab w:val="decimal" w:pos="591"/>
              </w:tabs>
              <w:autoSpaceDE w:val="0"/>
              <w:autoSpaceDN w:val="0"/>
              <w:adjustRightInd w:val="0"/>
              <w:rPr>
                <w:sz w:val="22"/>
                <w:szCs w:val="22"/>
              </w:rPr>
            </w:pPr>
            <w:r w:rsidRPr="00467FE6">
              <w:rPr>
                <w:sz w:val="22"/>
                <w:szCs w:val="22"/>
              </w:rPr>
              <w:t>0.76</w:t>
            </w:r>
          </w:p>
        </w:tc>
        <w:tc>
          <w:tcPr>
            <w:tcW w:w="1846" w:type="dxa"/>
          </w:tcPr>
          <w:p w14:paraId="221466E4" w14:textId="77777777" w:rsidR="00055C01" w:rsidRPr="00467FE6" w:rsidRDefault="00055C01" w:rsidP="004C3A82">
            <w:pPr>
              <w:widowControl w:val="0"/>
              <w:tabs>
                <w:tab w:val="decimal" w:pos="593"/>
              </w:tabs>
              <w:autoSpaceDE w:val="0"/>
              <w:autoSpaceDN w:val="0"/>
              <w:adjustRightInd w:val="0"/>
              <w:rPr>
                <w:sz w:val="22"/>
                <w:szCs w:val="22"/>
              </w:rPr>
            </w:pPr>
            <w:r w:rsidRPr="00467FE6">
              <w:rPr>
                <w:sz w:val="22"/>
                <w:szCs w:val="22"/>
              </w:rPr>
              <w:t>0.76</w:t>
            </w:r>
          </w:p>
        </w:tc>
        <w:tc>
          <w:tcPr>
            <w:tcW w:w="1846" w:type="dxa"/>
          </w:tcPr>
          <w:p w14:paraId="03BBF407" w14:textId="77777777" w:rsidR="00055C01" w:rsidRPr="00467FE6" w:rsidRDefault="00055C01" w:rsidP="004C3A82">
            <w:pPr>
              <w:widowControl w:val="0"/>
              <w:tabs>
                <w:tab w:val="decimal" w:pos="674"/>
              </w:tabs>
              <w:autoSpaceDE w:val="0"/>
              <w:autoSpaceDN w:val="0"/>
              <w:adjustRightInd w:val="0"/>
              <w:rPr>
                <w:sz w:val="22"/>
                <w:szCs w:val="22"/>
              </w:rPr>
            </w:pPr>
            <w:r w:rsidRPr="00467FE6">
              <w:rPr>
                <w:sz w:val="22"/>
                <w:szCs w:val="22"/>
              </w:rPr>
              <w:t>0.73</w:t>
            </w:r>
          </w:p>
        </w:tc>
      </w:tr>
      <w:tr w:rsidR="004D3F41" w:rsidRPr="00467FE6" w14:paraId="31F9B0F4" w14:textId="77777777" w:rsidTr="00A214AB">
        <w:trPr>
          <w:trHeight w:val="402"/>
          <w:jc w:val="center"/>
        </w:trPr>
        <w:tc>
          <w:tcPr>
            <w:tcW w:w="4050" w:type="dxa"/>
          </w:tcPr>
          <w:p w14:paraId="345D46DB" w14:textId="77777777" w:rsidR="00055C01" w:rsidRPr="00467FE6" w:rsidRDefault="00055C01" w:rsidP="002E076A">
            <w:pPr>
              <w:widowControl w:val="0"/>
              <w:tabs>
                <w:tab w:val="left" w:pos="567"/>
              </w:tabs>
              <w:autoSpaceDE w:val="0"/>
              <w:autoSpaceDN w:val="0"/>
              <w:adjustRightInd w:val="0"/>
              <w:rPr>
                <w:sz w:val="22"/>
                <w:szCs w:val="22"/>
              </w:rPr>
            </w:pPr>
            <w:r w:rsidRPr="00467FE6">
              <w:rPr>
                <w:sz w:val="22"/>
                <w:szCs w:val="22"/>
              </w:rPr>
              <w:t>N</w:t>
            </w:r>
          </w:p>
        </w:tc>
        <w:tc>
          <w:tcPr>
            <w:tcW w:w="1800" w:type="dxa"/>
          </w:tcPr>
          <w:p w14:paraId="79740E01" w14:textId="77777777" w:rsidR="00055C01" w:rsidRPr="00467FE6" w:rsidRDefault="00055C01" w:rsidP="00CA21A9">
            <w:pPr>
              <w:widowControl w:val="0"/>
              <w:tabs>
                <w:tab w:val="decimal" w:pos="772"/>
              </w:tabs>
              <w:autoSpaceDE w:val="0"/>
              <w:autoSpaceDN w:val="0"/>
              <w:adjustRightInd w:val="0"/>
              <w:jc w:val="both"/>
              <w:rPr>
                <w:sz w:val="22"/>
                <w:szCs w:val="22"/>
              </w:rPr>
            </w:pPr>
            <w:r w:rsidRPr="00467FE6">
              <w:rPr>
                <w:sz w:val="22"/>
                <w:szCs w:val="22"/>
              </w:rPr>
              <w:t>1,220</w:t>
            </w:r>
          </w:p>
        </w:tc>
        <w:tc>
          <w:tcPr>
            <w:tcW w:w="2341" w:type="dxa"/>
          </w:tcPr>
          <w:p w14:paraId="744A4362" w14:textId="77777777" w:rsidR="00055C01" w:rsidRPr="00467FE6" w:rsidRDefault="00055C01" w:rsidP="00CA21A9">
            <w:pPr>
              <w:widowControl w:val="0"/>
              <w:autoSpaceDE w:val="0"/>
              <w:autoSpaceDN w:val="0"/>
              <w:adjustRightInd w:val="0"/>
              <w:jc w:val="center"/>
              <w:rPr>
                <w:sz w:val="22"/>
                <w:szCs w:val="22"/>
              </w:rPr>
            </w:pPr>
            <w:r w:rsidRPr="00467FE6">
              <w:rPr>
                <w:sz w:val="22"/>
                <w:szCs w:val="22"/>
              </w:rPr>
              <w:t>1,220</w:t>
            </w:r>
          </w:p>
        </w:tc>
        <w:tc>
          <w:tcPr>
            <w:tcW w:w="1846" w:type="dxa"/>
          </w:tcPr>
          <w:p w14:paraId="6007ECBA" w14:textId="77777777" w:rsidR="00055C01" w:rsidRPr="00467FE6" w:rsidRDefault="00055C01" w:rsidP="00CA21A9">
            <w:pPr>
              <w:widowControl w:val="0"/>
              <w:tabs>
                <w:tab w:val="decimal" w:pos="307"/>
              </w:tabs>
              <w:autoSpaceDE w:val="0"/>
              <w:autoSpaceDN w:val="0"/>
              <w:adjustRightInd w:val="0"/>
              <w:jc w:val="center"/>
              <w:rPr>
                <w:sz w:val="22"/>
                <w:szCs w:val="22"/>
              </w:rPr>
            </w:pPr>
            <w:r w:rsidRPr="00467FE6">
              <w:rPr>
                <w:sz w:val="22"/>
                <w:szCs w:val="22"/>
              </w:rPr>
              <w:t>1,220</w:t>
            </w:r>
          </w:p>
        </w:tc>
        <w:tc>
          <w:tcPr>
            <w:tcW w:w="1846" w:type="dxa"/>
          </w:tcPr>
          <w:p w14:paraId="2B118B97" w14:textId="77777777" w:rsidR="00055C01" w:rsidRPr="00467FE6" w:rsidRDefault="00055C01" w:rsidP="00CA21A9">
            <w:pPr>
              <w:widowControl w:val="0"/>
              <w:tabs>
                <w:tab w:val="decimal" w:pos="452"/>
              </w:tabs>
              <w:autoSpaceDE w:val="0"/>
              <w:autoSpaceDN w:val="0"/>
              <w:adjustRightInd w:val="0"/>
              <w:jc w:val="center"/>
              <w:rPr>
                <w:sz w:val="22"/>
                <w:szCs w:val="22"/>
              </w:rPr>
            </w:pPr>
            <w:r w:rsidRPr="00467FE6">
              <w:rPr>
                <w:sz w:val="22"/>
                <w:szCs w:val="22"/>
              </w:rPr>
              <w:t>1,220</w:t>
            </w:r>
          </w:p>
        </w:tc>
        <w:tc>
          <w:tcPr>
            <w:tcW w:w="1846" w:type="dxa"/>
          </w:tcPr>
          <w:p w14:paraId="5B24E889" w14:textId="77777777" w:rsidR="00055C01" w:rsidRPr="00467FE6" w:rsidRDefault="00055C01" w:rsidP="00CA21A9">
            <w:pPr>
              <w:widowControl w:val="0"/>
              <w:tabs>
                <w:tab w:val="decimal" w:pos="444"/>
              </w:tabs>
              <w:autoSpaceDE w:val="0"/>
              <w:autoSpaceDN w:val="0"/>
              <w:adjustRightInd w:val="0"/>
              <w:jc w:val="center"/>
              <w:rPr>
                <w:sz w:val="22"/>
                <w:szCs w:val="22"/>
              </w:rPr>
            </w:pPr>
            <w:r w:rsidRPr="00467FE6">
              <w:rPr>
                <w:sz w:val="22"/>
                <w:szCs w:val="22"/>
              </w:rPr>
              <w:t>1,220</w:t>
            </w:r>
          </w:p>
        </w:tc>
      </w:tr>
      <w:tr w:rsidR="004D3F41" w:rsidRPr="00467FE6" w14:paraId="482F7C8B" w14:textId="77777777" w:rsidTr="00310C15">
        <w:trPr>
          <w:trHeight w:val="278"/>
          <w:jc w:val="center"/>
        </w:trPr>
        <w:tc>
          <w:tcPr>
            <w:tcW w:w="4050" w:type="dxa"/>
            <w:tcBorders>
              <w:bottom w:val="single" w:sz="4" w:space="0" w:color="auto"/>
            </w:tcBorders>
          </w:tcPr>
          <w:p w14:paraId="23A34450" w14:textId="216ED373" w:rsidR="00055C01" w:rsidRPr="00467FE6" w:rsidRDefault="00055C01" w:rsidP="002E076A">
            <w:pPr>
              <w:widowControl w:val="0"/>
              <w:tabs>
                <w:tab w:val="left" w:pos="567"/>
              </w:tabs>
              <w:autoSpaceDE w:val="0"/>
              <w:autoSpaceDN w:val="0"/>
              <w:adjustRightInd w:val="0"/>
              <w:rPr>
                <w:sz w:val="22"/>
                <w:szCs w:val="22"/>
              </w:rPr>
            </w:pPr>
            <w:r w:rsidRPr="00467FE6">
              <w:rPr>
                <w:sz w:val="22"/>
                <w:szCs w:val="22"/>
              </w:rPr>
              <w:t xml:space="preserve">Number of </w:t>
            </w:r>
            <w:r w:rsidR="004C3A82" w:rsidRPr="00467FE6">
              <w:rPr>
                <w:sz w:val="22"/>
                <w:szCs w:val="22"/>
              </w:rPr>
              <w:t>C</w:t>
            </w:r>
            <w:r w:rsidRPr="00467FE6">
              <w:rPr>
                <w:sz w:val="22"/>
                <w:szCs w:val="22"/>
              </w:rPr>
              <w:t>ountries</w:t>
            </w:r>
          </w:p>
        </w:tc>
        <w:tc>
          <w:tcPr>
            <w:tcW w:w="1800" w:type="dxa"/>
            <w:tcBorders>
              <w:bottom w:val="single" w:sz="4" w:space="0" w:color="auto"/>
            </w:tcBorders>
          </w:tcPr>
          <w:p w14:paraId="4980898D" w14:textId="21DA5C4E" w:rsidR="00055C01" w:rsidRPr="00467FE6" w:rsidRDefault="00055C01" w:rsidP="00CA21A9">
            <w:pPr>
              <w:widowControl w:val="0"/>
              <w:tabs>
                <w:tab w:val="decimal" w:pos="772"/>
              </w:tabs>
              <w:autoSpaceDE w:val="0"/>
              <w:autoSpaceDN w:val="0"/>
              <w:adjustRightInd w:val="0"/>
              <w:jc w:val="both"/>
              <w:rPr>
                <w:sz w:val="22"/>
                <w:szCs w:val="22"/>
              </w:rPr>
            </w:pPr>
            <w:r w:rsidRPr="00467FE6">
              <w:rPr>
                <w:sz w:val="22"/>
                <w:szCs w:val="22"/>
              </w:rPr>
              <w:t>101</w:t>
            </w:r>
          </w:p>
        </w:tc>
        <w:tc>
          <w:tcPr>
            <w:tcW w:w="2341" w:type="dxa"/>
            <w:tcBorders>
              <w:bottom w:val="single" w:sz="4" w:space="0" w:color="auto"/>
            </w:tcBorders>
          </w:tcPr>
          <w:p w14:paraId="6329D3EA" w14:textId="6369341C" w:rsidR="00055C01" w:rsidRPr="00467FE6" w:rsidRDefault="00055C01" w:rsidP="00CA21A9">
            <w:pPr>
              <w:widowControl w:val="0"/>
              <w:autoSpaceDE w:val="0"/>
              <w:autoSpaceDN w:val="0"/>
              <w:adjustRightInd w:val="0"/>
              <w:jc w:val="center"/>
              <w:rPr>
                <w:sz w:val="22"/>
                <w:szCs w:val="22"/>
              </w:rPr>
            </w:pPr>
            <w:r w:rsidRPr="00467FE6">
              <w:rPr>
                <w:sz w:val="22"/>
                <w:szCs w:val="22"/>
              </w:rPr>
              <w:t>101</w:t>
            </w:r>
          </w:p>
        </w:tc>
        <w:tc>
          <w:tcPr>
            <w:tcW w:w="1846" w:type="dxa"/>
            <w:tcBorders>
              <w:bottom w:val="single" w:sz="4" w:space="0" w:color="auto"/>
            </w:tcBorders>
          </w:tcPr>
          <w:p w14:paraId="56B3B536" w14:textId="5875DBEC" w:rsidR="00055C01" w:rsidRPr="00467FE6" w:rsidRDefault="00055C01" w:rsidP="00CA21A9">
            <w:pPr>
              <w:widowControl w:val="0"/>
              <w:tabs>
                <w:tab w:val="decimal" w:pos="307"/>
              </w:tabs>
              <w:autoSpaceDE w:val="0"/>
              <w:autoSpaceDN w:val="0"/>
              <w:adjustRightInd w:val="0"/>
              <w:jc w:val="center"/>
              <w:rPr>
                <w:sz w:val="22"/>
                <w:szCs w:val="22"/>
              </w:rPr>
            </w:pPr>
            <w:r w:rsidRPr="00467FE6">
              <w:rPr>
                <w:sz w:val="22"/>
                <w:szCs w:val="22"/>
              </w:rPr>
              <w:t>101</w:t>
            </w:r>
          </w:p>
        </w:tc>
        <w:tc>
          <w:tcPr>
            <w:tcW w:w="1846" w:type="dxa"/>
            <w:tcBorders>
              <w:bottom w:val="single" w:sz="4" w:space="0" w:color="auto"/>
            </w:tcBorders>
          </w:tcPr>
          <w:p w14:paraId="473BC676" w14:textId="62B3DE0D" w:rsidR="00055C01" w:rsidRPr="00467FE6" w:rsidRDefault="00055C01" w:rsidP="00CA21A9">
            <w:pPr>
              <w:widowControl w:val="0"/>
              <w:tabs>
                <w:tab w:val="decimal" w:pos="452"/>
              </w:tabs>
              <w:autoSpaceDE w:val="0"/>
              <w:autoSpaceDN w:val="0"/>
              <w:adjustRightInd w:val="0"/>
              <w:jc w:val="center"/>
              <w:rPr>
                <w:sz w:val="22"/>
                <w:szCs w:val="22"/>
              </w:rPr>
            </w:pPr>
            <w:r w:rsidRPr="00467FE6">
              <w:rPr>
                <w:sz w:val="22"/>
                <w:szCs w:val="22"/>
              </w:rPr>
              <w:t>101</w:t>
            </w:r>
          </w:p>
        </w:tc>
        <w:tc>
          <w:tcPr>
            <w:tcW w:w="1846" w:type="dxa"/>
            <w:tcBorders>
              <w:bottom w:val="single" w:sz="4" w:space="0" w:color="auto"/>
            </w:tcBorders>
          </w:tcPr>
          <w:p w14:paraId="5B3981A5" w14:textId="25DB3BCC" w:rsidR="00055C01" w:rsidRPr="00467FE6" w:rsidRDefault="00055C01" w:rsidP="00CA21A9">
            <w:pPr>
              <w:widowControl w:val="0"/>
              <w:tabs>
                <w:tab w:val="decimal" w:pos="444"/>
              </w:tabs>
              <w:autoSpaceDE w:val="0"/>
              <w:autoSpaceDN w:val="0"/>
              <w:adjustRightInd w:val="0"/>
              <w:jc w:val="center"/>
              <w:rPr>
                <w:sz w:val="22"/>
                <w:szCs w:val="22"/>
              </w:rPr>
            </w:pPr>
            <w:r w:rsidRPr="00467FE6">
              <w:rPr>
                <w:sz w:val="22"/>
                <w:szCs w:val="22"/>
              </w:rPr>
              <w:t>101</w:t>
            </w:r>
          </w:p>
        </w:tc>
      </w:tr>
    </w:tbl>
    <w:p w14:paraId="53064AAB" w14:textId="77777777" w:rsidR="00055C01" w:rsidRPr="00467FE6" w:rsidRDefault="00055C01" w:rsidP="002E076A">
      <w:pPr>
        <w:widowControl w:val="0"/>
        <w:tabs>
          <w:tab w:val="left" w:pos="567"/>
        </w:tabs>
        <w:autoSpaceDE w:val="0"/>
        <w:autoSpaceDN w:val="0"/>
        <w:adjustRightInd w:val="0"/>
        <w:rPr>
          <w:sz w:val="20"/>
          <w:szCs w:val="20"/>
        </w:rPr>
      </w:pPr>
      <w:r w:rsidRPr="00467FE6">
        <w:rPr>
          <w:sz w:val="20"/>
          <w:szCs w:val="20"/>
        </w:rPr>
        <w:t>* p&lt;0.05; ** p&lt;0.01</w:t>
      </w:r>
    </w:p>
    <w:p w14:paraId="4F887595" w14:textId="77777777" w:rsidR="00467FE6" w:rsidRDefault="00055C01" w:rsidP="00A214AB">
      <w:pPr>
        <w:widowControl w:val="0"/>
        <w:tabs>
          <w:tab w:val="left" w:pos="567"/>
        </w:tabs>
        <w:autoSpaceDE w:val="0"/>
        <w:autoSpaceDN w:val="0"/>
        <w:adjustRightInd w:val="0"/>
        <w:rPr>
          <w:sz w:val="20"/>
          <w:szCs w:val="20"/>
        </w:rPr>
        <w:sectPr w:rsidR="00467FE6" w:rsidSect="00A214AB">
          <w:pgSz w:w="16838" w:h="11906" w:orient="landscape"/>
          <w:pgMar w:top="1134" w:right="1440" w:bottom="1135" w:left="1440" w:header="708" w:footer="708" w:gutter="0"/>
          <w:cols w:space="708"/>
          <w:docGrid w:linePitch="360"/>
        </w:sectPr>
      </w:pPr>
      <w:r w:rsidRPr="00467FE6">
        <w:rPr>
          <w:sz w:val="20"/>
          <w:szCs w:val="20"/>
        </w:rPr>
        <w:t>Country level clustered standard errors are in parentheses</w:t>
      </w:r>
      <w:r w:rsidR="00A214AB" w:rsidRPr="00467FE6">
        <w:rPr>
          <w:sz w:val="20"/>
          <w:szCs w:val="20"/>
        </w:rPr>
        <w:t>.</w:t>
      </w:r>
    </w:p>
    <w:p w14:paraId="60620C5D" w14:textId="35A088A9" w:rsidR="00D90549" w:rsidRDefault="00D90549" w:rsidP="00D90549">
      <w:pPr>
        <w:widowControl w:val="0"/>
        <w:autoSpaceDE w:val="0"/>
        <w:autoSpaceDN w:val="0"/>
        <w:adjustRightInd w:val="0"/>
        <w:jc w:val="center"/>
        <w:rPr>
          <w:rFonts w:asciiTheme="majorBidi" w:hAnsiTheme="majorBidi" w:cstheme="majorBidi"/>
          <w:b/>
          <w:sz w:val="22"/>
          <w:szCs w:val="22"/>
        </w:rPr>
      </w:pPr>
      <w:r w:rsidRPr="00D90549">
        <w:rPr>
          <w:rFonts w:asciiTheme="majorBidi" w:hAnsiTheme="majorBidi" w:cstheme="majorBidi"/>
          <w:b/>
          <w:sz w:val="22"/>
          <w:szCs w:val="22"/>
        </w:rPr>
        <w:lastRenderedPageBreak/>
        <w:t>Table A4</w:t>
      </w:r>
      <w:r>
        <w:rPr>
          <w:rFonts w:asciiTheme="majorBidi" w:hAnsiTheme="majorBidi" w:cstheme="majorBidi"/>
          <w:b/>
          <w:sz w:val="22"/>
          <w:szCs w:val="22"/>
        </w:rPr>
        <w:t>:</w:t>
      </w:r>
      <w:r w:rsidRPr="00D90549">
        <w:rPr>
          <w:rFonts w:asciiTheme="majorBidi" w:hAnsiTheme="majorBidi" w:cstheme="majorBidi"/>
          <w:b/>
          <w:sz w:val="22"/>
          <w:szCs w:val="22"/>
        </w:rPr>
        <w:t xml:space="preserve"> Correlation between Log of GDP and </w:t>
      </w:r>
      <w:r w:rsidR="0026334F">
        <w:rPr>
          <w:rFonts w:asciiTheme="majorBidi" w:hAnsiTheme="majorBidi" w:cstheme="majorBidi"/>
          <w:b/>
          <w:sz w:val="22"/>
          <w:szCs w:val="22"/>
        </w:rPr>
        <w:t>I</w:t>
      </w:r>
      <w:r w:rsidRPr="00D90549">
        <w:rPr>
          <w:rFonts w:asciiTheme="majorBidi" w:hAnsiTheme="majorBidi" w:cstheme="majorBidi"/>
          <w:b/>
          <w:sz w:val="22"/>
          <w:szCs w:val="22"/>
        </w:rPr>
        <w:t xml:space="preserve">nstrumental </w:t>
      </w:r>
      <w:r w:rsidR="0026334F">
        <w:rPr>
          <w:rFonts w:asciiTheme="majorBidi" w:hAnsiTheme="majorBidi" w:cstheme="majorBidi"/>
          <w:b/>
          <w:sz w:val="22"/>
          <w:szCs w:val="22"/>
        </w:rPr>
        <w:t>V</w:t>
      </w:r>
      <w:r w:rsidRPr="00D90549">
        <w:rPr>
          <w:rFonts w:asciiTheme="majorBidi" w:hAnsiTheme="majorBidi" w:cstheme="majorBidi"/>
          <w:b/>
          <w:sz w:val="22"/>
          <w:szCs w:val="22"/>
        </w:rPr>
        <w:t>ariables</w:t>
      </w:r>
    </w:p>
    <w:p w14:paraId="6AA795D5" w14:textId="77777777" w:rsidR="005B5B2A" w:rsidRPr="005B5B2A" w:rsidRDefault="005B5B2A" w:rsidP="00D90549">
      <w:pPr>
        <w:widowControl w:val="0"/>
        <w:autoSpaceDE w:val="0"/>
        <w:autoSpaceDN w:val="0"/>
        <w:adjustRightInd w:val="0"/>
        <w:jc w:val="center"/>
        <w:rPr>
          <w:rFonts w:asciiTheme="majorBidi" w:hAnsiTheme="majorBidi" w:cstheme="majorBidi"/>
          <w:b/>
          <w:sz w:val="6"/>
          <w:szCs w:val="6"/>
        </w:rPr>
      </w:pPr>
    </w:p>
    <w:tbl>
      <w:tblPr>
        <w:tblW w:w="9156" w:type="dxa"/>
        <w:jc w:val="center"/>
        <w:tblCellMar>
          <w:left w:w="144" w:type="dxa"/>
          <w:right w:w="144" w:type="dxa"/>
        </w:tblCellMar>
        <w:tblLook w:val="0000" w:firstRow="0" w:lastRow="0" w:firstColumn="0" w:lastColumn="0" w:noHBand="0" w:noVBand="0"/>
      </w:tblPr>
      <w:tblGrid>
        <w:gridCol w:w="7044"/>
        <w:gridCol w:w="2112"/>
      </w:tblGrid>
      <w:tr w:rsidR="00D90549" w:rsidRPr="00526795" w14:paraId="5F9356D6" w14:textId="77777777" w:rsidTr="00857F3B">
        <w:trPr>
          <w:trHeight w:val="436"/>
          <w:jc w:val="center"/>
        </w:trPr>
        <w:tc>
          <w:tcPr>
            <w:tcW w:w="7044" w:type="dxa"/>
            <w:tcBorders>
              <w:top w:val="single" w:sz="6" w:space="0" w:color="auto"/>
              <w:left w:val="nil"/>
              <w:bottom w:val="nil"/>
              <w:right w:val="nil"/>
            </w:tcBorders>
          </w:tcPr>
          <w:p w14:paraId="2C813D61" w14:textId="446E2612" w:rsidR="00D90549" w:rsidRPr="00526795" w:rsidRDefault="00D90549" w:rsidP="00857F3B">
            <w:pPr>
              <w:widowControl w:val="0"/>
              <w:autoSpaceDE w:val="0"/>
              <w:autoSpaceDN w:val="0"/>
              <w:adjustRightInd w:val="0"/>
              <w:spacing w:before="79" w:after="79"/>
              <w:rPr>
                <w:sz w:val="22"/>
                <w:szCs w:val="22"/>
              </w:rPr>
            </w:pPr>
            <w:r w:rsidRPr="00526795">
              <w:rPr>
                <w:sz w:val="22"/>
                <w:szCs w:val="22"/>
              </w:rPr>
              <w:t xml:space="preserve">Log GDP </w:t>
            </w:r>
            <w:r w:rsidR="00B424D7">
              <w:rPr>
                <w:sz w:val="22"/>
                <w:szCs w:val="22"/>
              </w:rPr>
              <w:t>P</w:t>
            </w:r>
            <w:r w:rsidRPr="00526795">
              <w:rPr>
                <w:sz w:val="22"/>
                <w:szCs w:val="22"/>
              </w:rPr>
              <w:t xml:space="preserve">er </w:t>
            </w:r>
            <w:r w:rsidR="00B424D7">
              <w:rPr>
                <w:sz w:val="22"/>
                <w:szCs w:val="22"/>
              </w:rPr>
              <w:t>C</w:t>
            </w:r>
            <w:r w:rsidRPr="00526795">
              <w:rPr>
                <w:sz w:val="22"/>
                <w:szCs w:val="22"/>
              </w:rPr>
              <w:t>apita</w:t>
            </w:r>
          </w:p>
        </w:tc>
        <w:tc>
          <w:tcPr>
            <w:tcW w:w="2112" w:type="dxa"/>
            <w:tcBorders>
              <w:top w:val="single" w:sz="6" w:space="0" w:color="auto"/>
              <w:left w:val="nil"/>
              <w:bottom w:val="nil"/>
              <w:right w:val="nil"/>
            </w:tcBorders>
          </w:tcPr>
          <w:p w14:paraId="751C73CC" w14:textId="77777777" w:rsidR="00D90549" w:rsidRPr="00526795" w:rsidRDefault="00D90549" w:rsidP="00857F3B">
            <w:pPr>
              <w:widowControl w:val="0"/>
              <w:autoSpaceDE w:val="0"/>
              <w:autoSpaceDN w:val="0"/>
              <w:adjustRightInd w:val="0"/>
              <w:spacing w:before="79" w:after="79"/>
              <w:jc w:val="center"/>
              <w:rPr>
                <w:sz w:val="22"/>
                <w:szCs w:val="22"/>
              </w:rPr>
            </w:pPr>
            <w:r w:rsidRPr="00526795">
              <w:rPr>
                <w:rFonts w:asciiTheme="majorBidi" w:hAnsiTheme="majorBidi" w:cstheme="majorBidi"/>
                <w:bCs/>
                <w:sz w:val="22"/>
                <w:szCs w:val="22"/>
                <w:lang w:val="en-NZ" w:eastAsia="zh-CN"/>
              </w:rPr>
              <w:t>Coefficients</w:t>
            </w:r>
          </w:p>
        </w:tc>
      </w:tr>
      <w:tr w:rsidR="00D90549" w:rsidRPr="00D90549" w14:paraId="1E7AF741" w14:textId="77777777" w:rsidTr="00857F3B">
        <w:trPr>
          <w:trHeight w:val="273"/>
          <w:jc w:val="center"/>
        </w:trPr>
        <w:tc>
          <w:tcPr>
            <w:tcW w:w="7044" w:type="dxa"/>
            <w:tcBorders>
              <w:top w:val="single" w:sz="6" w:space="0" w:color="auto"/>
              <w:left w:val="nil"/>
              <w:bottom w:val="nil"/>
              <w:right w:val="nil"/>
            </w:tcBorders>
          </w:tcPr>
          <w:p w14:paraId="428D541C" w14:textId="77777777" w:rsidR="005B5B2A" w:rsidRPr="005B5B2A" w:rsidRDefault="005B5B2A" w:rsidP="00857F3B">
            <w:pPr>
              <w:widowControl w:val="0"/>
              <w:autoSpaceDE w:val="0"/>
              <w:autoSpaceDN w:val="0"/>
              <w:adjustRightInd w:val="0"/>
              <w:rPr>
                <w:rFonts w:asciiTheme="majorBidi" w:hAnsiTheme="majorBidi" w:cstheme="majorBidi"/>
                <w:sz w:val="6"/>
                <w:szCs w:val="6"/>
                <w:lang w:val="en-NZ" w:eastAsia="zh-CN"/>
              </w:rPr>
            </w:pPr>
          </w:p>
          <w:p w14:paraId="32774827" w14:textId="3A2BEF6F" w:rsidR="00D90549" w:rsidRPr="00D90549" w:rsidRDefault="00D90549" w:rsidP="00857F3B">
            <w:pPr>
              <w:widowControl w:val="0"/>
              <w:autoSpaceDE w:val="0"/>
              <w:autoSpaceDN w:val="0"/>
              <w:adjustRightInd w:val="0"/>
              <w:rPr>
                <w:sz w:val="22"/>
                <w:szCs w:val="22"/>
              </w:rPr>
            </w:pPr>
            <w:r w:rsidRPr="00D90549">
              <w:rPr>
                <w:rFonts w:asciiTheme="majorBidi" w:hAnsiTheme="majorBidi" w:cstheme="majorBidi"/>
                <w:sz w:val="22"/>
                <w:szCs w:val="22"/>
                <w:lang w:val="en-NZ" w:eastAsia="zh-CN"/>
              </w:rPr>
              <w:t xml:space="preserve">Percentage </w:t>
            </w:r>
            <w:r w:rsidR="005B5B2A">
              <w:rPr>
                <w:rFonts w:asciiTheme="majorBidi" w:hAnsiTheme="majorBidi" w:cstheme="majorBidi"/>
                <w:sz w:val="22"/>
                <w:szCs w:val="22"/>
                <w:lang w:val="en-NZ" w:eastAsia="zh-CN"/>
              </w:rPr>
              <w:t>o</w:t>
            </w:r>
            <w:r w:rsidR="005B5B2A" w:rsidRPr="00D90549">
              <w:rPr>
                <w:rFonts w:asciiTheme="majorBidi" w:hAnsiTheme="majorBidi" w:cstheme="majorBidi"/>
                <w:sz w:val="22"/>
                <w:szCs w:val="22"/>
                <w:lang w:val="en-NZ" w:eastAsia="zh-CN"/>
              </w:rPr>
              <w:t xml:space="preserve">f Forest Land </w:t>
            </w:r>
            <w:r w:rsidR="005B5B2A">
              <w:rPr>
                <w:rFonts w:asciiTheme="majorBidi" w:hAnsiTheme="majorBidi" w:cstheme="majorBidi"/>
                <w:sz w:val="22"/>
                <w:szCs w:val="22"/>
                <w:lang w:val="en-NZ" w:eastAsia="zh-CN"/>
              </w:rPr>
              <w:t>o</w:t>
            </w:r>
            <w:r w:rsidR="005B5B2A" w:rsidRPr="00D90549">
              <w:rPr>
                <w:rFonts w:asciiTheme="majorBidi" w:hAnsiTheme="majorBidi" w:cstheme="majorBidi"/>
                <w:sz w:val="22"/>
                <w:szCs w:val="22"/>
                <w:lang w:val="en-NZ" w:eastAsia="zh-CN"/>
              </w:rPr>
              <w:t>f Total Land</w:t>
            </w:r>
          </w:p>
        </w:tc>
        <w:tc>
          <w:tcPr>
            <w:tcW w:w="2112" w:type="dxa"/>
            <w:tcBorders>
              <w:top w:val="single" w:sz="6" w:space="0" w:color="auto"/>
              <w:left w:val="nil"/>
              <w:bottom w:val="nil"/>
              <w:right w:val="nil"/>
            </w:tcBorders>
          </w:tcPr>
          <w:p w14:paraId="3AB703A3" w14:textId="77777777" w:rsidR="005B5B2A" w:rsidRPr="005B5B2A" w:rsidRDefault="005B5B2A" w:rsidP="00857F3B">
            <w:pPr>
              <w:widowControl w:val="0"/>
              <w:tabs>
                <w:tab w:val="decimal" w:pos="538"/>
              </w:tabs>
              <w:autoSpaceDE w:val="0"/>
              <w:autoSpaceDN w:val="0"/>
              <w:adjustRightInd w:val="0"/>
              <w:rPr>
                <w:sz w:val="6"/>
                <w:szCs w:val="6"/>
              </w:rPr>
            </w:pPr>
          </w:p>
          <w:p w14:paraId="2517D60A" w14:textId="42E08765" w:rsidR="00D90549" w:rsidRPr="00D90549" w:rsidRDefault="00D90549" w:rsidP="00857F3B">
            <w:pPr>
              <w:widowControl w:val="0"/>
              <w:tabs>
                <w:tab w:val="decimal" w:pos="538"/>
              </w:tabs>
              <w:autoSpaceDE w:val="0"/>
              <w:autoSpaceDN w:val="0"/>
              <w:adjustRightInd w:val="0"/>
              <w:rPr>
                <w:sz w:val="22"/>
                <w:szCs w:val="22"/>
              </w:rPr>
            </w:pPr>
            <w:r w:rsidRPr="00D90549">
              <w:rPr>
                <w:sz w:val="22"/>
                <w:szCs w:val="22"/>
              </w:rPr>
              <w:t>-0.008</w:t>
            </w:r>
          </w:p>
        </w:tc>
      </w:tr>
      <w:tr w:rsidR="00D90549" w:rsidRPr="00D90549" w14:paraId="137781DA" w14:textId="77777777" w:rsidTr="00857F3B">
        <w:trPr>
          <w:trHeight w:val="273"/>
          <w:jc w:val="center"/>
        </w:trPr>
        <w:tc>
          <w:tcPr>
            <w:tcW w:w="7044" w:type="dxa"/>
            <w:tcBorders>
              <w:top w:val="nil"/>
              <w:left w:val="nil"/>
              <w:bottom w:val="nil"/>
              <w:right w:val="nil"/>
            </w:tcBorders>
          </w:tcPr>
          <w:p w14:paraId="6E6C463D" w14:textId="77777777" w:rsidR="00D90549" w:rsidRPr="00D90549" w:rsidRDefault="00D90549" w:rsidP="00857F3B">
            <w:pPr>
              <w:widowControl w:val="0"/>
              <w:autoSpaceDE w:val="0"/>
              <w:autoSpaceDN w:val="0"/>
              <w:adjustRightInd w:val="0"/>
              <w:rPr>
                <w:sz w:val="22"/>
                <w:szCs w:val="22"/>
              </w:rPr>
            </w:pPr>
          </w:p>
        </w:tc>
        <w:tc>
          <w:tcPr>
            <w:tcW w:w="2112" w:type="dxa"/>
            <w:tcBorders>
              <w:top w:val="nil"/>
              <w:left w:val="nil"/>
              <w:bottom w:val="nil"/>
              <w:right w:val="nil"/>
            </w:tcBorders>
          </w:tcPr>
          <w:p w14:paraId="2D0FFA76" w14:textId="77777777" w:rsidR="00D90549" w:rsidRDefault="00D90549" w:rsidP="00857F3B">
            <w:pPr>
              <w:widowControl w:val="0"/>
              <w:tabs>
                <w:tab w:val="decimal" w:pos="538"/>
              </w:tabs>
              <w:autoSpaceDE w:val="0"/>
              <w:autoSpaceDN w:val="0"/>
              <w:adjustRightInd w:val="0"/>
              <w:rPr>
                <w:sz w:val="22"/>
                <w:szCs w:val="22"/>
              </w:rPr>
            </w:pPr>
            <w:r w:rsidRPr="00D90549">
              <w:rPr>
                <w:sz w:val="22"/>
                <w:szCs w:val="22"/>
              </w:rPr>
              <w:t>(0.017)</w:t>
            </w:r>
          </w:p>
          <w:p w14:paraId="4ACF72E4" w14:textId="792C218C" w:rsidR="00B424D7" w:rsidRPr="00B424D7" w:rsidRDefault="00B424D7" w:rsidP="00857F3B">
            <w:pPr>
              <w:widowControl w:val="0"/>
              <w:tabs>
                <w:tab w:val="decimal" w:pos="538"/>
              </w:tabs>
              <w:autoSpaceDE w:val="0"/>
              <w:autoSpaceDN w:val="0"/>
              <w:adjustRightInd w:val="0"/>
              <w:rPr>
                <w:sz w:val="10"/>
                <w:szCs w:val="10"/>
              </w:rPr>
            </w:pPr>
          </w:p>
        </w:tc>
      </w:tr>
      <w:tr w:rsidR="00D90549" w:rsidRPr="00D90549" w14:paraId="0D3930DA" w14:textId="77777777" w:rsidTr="00857F3B">
        <w:trPr>
          <w:trHeight w:val="273"/>
          <w:jc w:val="center"/>
        </w:trPr>
        <w:tc>
          <w:tcPr>
            <w:tcW w:w="7044" w:type="dxa"/>
            <w:tcBorders>
              <w:top w:val="nil"/>
              <w:left w:val="nil"/>
              <w:bottom w:val="nil"/>
              <w:right w:val="nil"/>
            </w:tcBorders>
          </w:tcPr>
          <w:p w14:paraId="6ABD46AF" w14:textId="5FC7AD3F" w:rsidR="00D90549" w:rsidRPr="00D90549" w:rsidRDefault="00D90549" w:rsidP="00857F3B">
            <w:pPr>
              <w:widowControl w:val="0"/>
              <w:autoSpaceDE w:val="0"/>
              <w:autoSpaceDN w:val="0"/>
              <w:adjustRightInd w:val="0"/>
              <w:rPr>
                <w:sz w:val="22"/>
                <w:szCs w:val="22"/>
              </w:rPr>
            </w:pPr>
            <w:r w:rsidRPr="00D90549">
              <w:rPr>
                <w:rFonts w:asciiTheme="majorBidi" w:hAnsiTheme="majorBidi" w:cstheme="majorBidi"/>
                <w:sz w:val="22"/>
                <w:szCs w:val="22"/>
                <w:lang w:val="en-NZ" w:eastAsia="zh-CN"/>
              </w:rPr>
              <w:t xml:space="preserve">Log </w:t>
            </w:r>
            <w:r w:rsidR="005B5B2A">
              <w:rPr>
                <w:rFonts w:asciiTheme="majorBidi" w:hAnsiTheme="majorBidi" w:cstheme="majorBidi"/>
                <w:sz w:val="22"/>
                <w:szCs w:val="22"/>
                <w:lang w:val="en-NZ" w:eastAsia="zh-CN"/>
              </w:rPr>
              <w:t>o</w:t>
            </w:r>
            <w:r w:rsidR="005B5B2A" w:rsidRPr="00D90549">
              <w:rPr>
                <w:rFonts w:asciiTheme="majorBidi" w:hAnsiTheme="majorBidi" w:cstheme="majorBidi"/>
                <w:sz w:val="22"/>
                <w:szCs w:val="22"/>
                <w:lang w:val="en-NZ" w:eastAsia="zh-CN"/>
              </w:rPr>
              <w:t xml:space="preserve">f </w:t>
            </w:r>
            <w:r w:rsidRPr="00D90549">
              <w:rPr>
                <w:rFonts w:asciiTheme="majorBidi" w:hAnsiTheme="majorBidi" w:cstheme="majorBidi"/>
                <w:sz w:val="22"/>
                <w:szCs w:val="22"/>
                <w:lang w:val="en-NZ" w:eastAsia="zh-CN"/>
              </w:rPr>
              <w:t xml:space="preserve">Natural </w:t>
            </w:r>
            <w:r w:rsidR="005B5B2A" w:rsidRPr="00D90549">
              <w:rPr>
                <w:rFonts w:asciiTheme="majorBidi" w:hAnsiTheme="majorBidi" w:cstheme="majorBidi"/>
                <w:sz w:val="22"/>
                <w:szCs w:val="22"/>
                <w:lang w:val="en-NZ" w:eastAsia="zh-CN"/>
              </w:rPr>
              <w:t xml:space="preserve">Gas, </w:t>
            </w:r>
            <w:r w:rsidRPr="00D90549">
              <w:rPr>
                <w:rFonts w:asciiTheme="majorBidi" w:hAnsiTheme="majorBidi" w:cstheme="majorBidi"/>
                <w:sz w:val="22"/>
                <w:szCs w:val="22"/>
                <w:lang w:val="en-NZ" w:eastAsia="zh-CN"/>
              </w:rPr>
              <w:t>LNG</w:t>
            </w:r>
            <w:r w:rsidR="005B5B2A" w:rsidRPr="00D90549">
              <w:rPr>
                <w:rFonts w:asciiTheme="majorBidi" w:hAnsiTheme="majorBidi" w:cstheme="majorBidi"/>
                <w:sz w:val="22"/>
                <w:szCs w:val="22"/>
                <w:lang w:val="en-NZ" w:eastAsia="zh-CN"/>
              </w:rPr>
              <w:t xml:space="preserve">, </w:t>
            </w:r>
            <w:r w:rsidRPr="00D90549">
              <w:rPr>
                <w:rFonts w:asciiTheme="majorBidi" w:hAnsiTheme="majorBidi" w:cstheme="majorBidi"/>
                <w:sz w:val="22"/>
                <w:szCs w:val="22"/>
                <w:lang w:val="en-NZ" w:eastAsia="zh-CN"/>
              </w:rPr>
              <w:t xml:space="preserve">LPG </w:t>
            </w:r>
            <w:r w:rsidR="005B5B2A" w:rsidRPr="00D90549">
              <w:rPr>
                <w:rFonts w:asciiTheme="majorBidi" w:hAnsiTheme="majorBidi" w:cstheme="majorBidi"/>
                <w:sz w:val="22"/>
                <w:szCs w:val="22"/>
                <w:lang w:val="en-NZ" w:eastAsia="zh-CN"/>
              </w:rPr>
              <w:t>Production</w:t>
            </w:r>
          </w:p>
        </w:tc>
        <w:tc>
          <w:tcPr>
            <w:tcW w:w="2112" w:type="dxa"/>
            <w:tcBorders>
              <w:top w:val="nil"/>
              <w:left w:val="nil"/>
              <w:bottom w:val="nil"/>
              <w:right w:val="nil"/>
            </w:tcBorders>
          </w:tcPr>
          <w:p w14:paraId="7A4D9424" w14:textId="77777777" w:rsidR="00D90549" w:rsidRPr="00D90549" w:rsidRDefault="00D90549" w:rsidP="00857F3B">
            <w:pPr>
              <w:widowControl w:val="0"/>
              <w:tabs>
                <w:tab w:val="decimal" w:pos="538"/>
              </w:tabs>
              <w:autoSpaceDE w:val="0"/>
              <w:autoSpaceDN w:val="0"/>
              <w:adjustRightInd w:val="0"/>
              <w:rPr>
                <w:sz w:val="22"/>
                <w:szCs w:val="22"/>
              </w:rPr>
            </w:pPr>
            <w:r w:rsidRPr="00D90549">
              <w:rPr>
                <w:sz w:val="22"/>
                <w:szCs w:val="22"/>
              </w:rPr>
              <w:t>0.100</w:t>
            </w:r>
          </w:p>
        </w:tc>
      </w:tr>
      <w:tr w:rsidR="00D90549" w:rsidRPr="00D90549" w14:paraId="73FEEE7C" w14:textId="77777777" w:rsidTr="00857F3B">
        <w:trPr>
          <w:trHeight w:val="273"/>
          <w:jc w:val="center"/>
        </w:trPr>
        <w:tc>
          <w:tcPr>
            <w:tcW w:w="7044" w:type="dxa"/>
            <w:tcBorders>
              <w:top w:val="nil"/>
              <w:left w:val="nil"/>
              <w:bottom w:val="nil"/>
              <w:right w:val="nil"/>
            </w:tcBorders>
          </w:tcPr>
          <w:p w14:paraId="6613D3C4" w14:textId="77777777" w:rsidR="00D90549" w:rsidRPr="00D90549" w:rsidRDefault="00D90549" w:rsidP="00857F3B">
            <w:pPr>
              <w:widowControl w:val="0"/>
              <w:autoSpaceDE w:val="0"/>
              <w:autoSpaceDN w:val="0"/>
              <w:adjustRightInd w:val="0"/>
              <w:rPr>
                <w:sz w:val="22"/>
                <w:szCs w:val="22"/>
              </w:rPr>
            </w:pPr>
          </w:p>
        </w:tc>
        <w:tc>
          <w:tcPr>
            <w:tcW w:w="2112" w:type="dxa"/>
            <w:tcBorders>
              <w:top w:val="nil"/>
              <w:left w:val="nil"/>
              <w:bottom w:val="nil"/>
              <w:right w:val="nil"/>
            </w:tcBorders>
          </w:tcPr>
          <w:p w14:paraId="2E423DCF" w14:textId="77777777" w:rsidR="00D90549" w:rsidRDefault="00D90549" w:rsidP="00857F3B">
            <w:pPr>
              <w:widowControl w:val="0"/>
              <w:tabs>
                <w:tab w:val="decimal" w:pos="538"/>
              </w:tabs>
              <w:autoSpaceDE w:val="0"/>
              <w:autoSpaceDN w:val="0"/>
              <w:adjustRightInd w:val="0"/>
              <w:rPr>
                <w:sz w:val="22"/>
                <w:szCs w:val="22"/>
              </w:rPr>
            </w:pPr>
            <w:r w:rsidRPr="00D90549">
              <w:rPr>
                <w:sz w:val="22"/>
                <w:szCs w:val="22"/>
              </w:rPr>
              <w:t>(</w:t>
            </w:r>
            <w:proofErr w:type="gramStart"/>
            <w:r w:rsidRPr="00D90549">
              <w:rPr>
                <w:sz w:val="22"/>
                <w:szCs w:val="22"/>
              </w:rPr>
              <w:t>0.014)*</w:t>
            </w:r>
            <w:proofErr w:type="gramEnd"/>
            <w:r w:rsidRPr="00D90549">
              <w:rPr>
                <w:sz w:val="22"/>
                <w:szCs w:val="22"/>
              </w:rPr>
              <w:t>*</w:t>
            </w:r>
          </w:p>
          <w:p w14:paraId="21AFE55D" w14:textId="59084B6B" w:rsidR="00B424D7" w:rsidRPr="00B424D7" w:rsidRDefault="00B424D7" w:rsidP="00857F3B">
            <w:pPr>
              <w:widowControl w:val="0"/>
              <w:tabs>
                <w:tab w:val="decimal" w:pos="538"/>
              </w:tabs>
              <w:autoSpaceDE w:val="0"/>
              <w:autoSpaceDN w:val="0"/>
              <w:adjustRightInd w:val="0"/>
              <w:rPr>
                <w:sz w:val="10"/>
                <w:szCs w:val="10"/>
              </w:rPr>
            </w:pPr>
          </w:p>
        </w:tc>
      </w:tr>
      <w:tr w:rsidR="00D90549" w:rsidRPr="00D90549" w14:paraId="498A5FE0" w14:textId="77777777" w:rsidTr="00857F3B">
        <w:trPr>
          <w:trHeight w:val="273"/>
          <w:jc w:val="center"/>
        </w:trPr>
        <w:tc>
          <w:tcPr>
            <w:tcW w:w="7044" w:type="dxa"/>
            <w:tcBorders>
              <w:top w:val="nil"/>
              <w:left w:val="nil"/>
              <w:bottom w:val="nil"/>
              <w:right w:val="nil"/>
            </w:tcBorders>
          </w:tcPr>
          <w:p w14:paraId="160FF2C0" w14:textId="3BFEB633" w:rsidR="00D90549" w:rsidRPr="00D90549" w:rsidRDefault="00D90549" w:rsidP="00857F3B">
            <w:pPr>
              <w:widowControl w:val="0"/>
              <w:autoSpaceDE w:val="0"/>
              <w:autoSpaceDN w:val="0"/>
              <w:adjustRightInd w:val="0"/>
              <w:rPr>
                <w:sz w:val="22"/>
                <w:szCs w:val="22"/>
              </w:rPr>
            </w:pPr>
            <w:r w:rsidRPr="00D90549">
              <w:rPr>
                <w:rFonts w:asciiTheme="majorBidi" w:hAnsiTheme="majorBidi" w:cstheme="majorBidi"/>
                <w:sz w:val="22"/>
                <w:szCs w:val="22"/>
                <w:lang w:val="en-NZ" w:eastAsia="zh-CN"/>
              </w:rPr>
              <w:t xml:space="preserve">Log </w:t>
            </w:r>
            <w:r w:rsidR="005B5B2A">
              <w:rPr>
                <w:rFonts w:asciiTheme="majorBidi" w:hAnsiTheme="majorBidi" w:cstheme="majorBidi"/>
                <w:sz w:val="22"/>
                <w:szCs w:val="22"/>
                <w:lang w:val="en-NZ" w:eastAsia="zh-CN"/>
              </w:rPr>
              <w:t>o</w:t>
            </w:r>
            <w:r w:rsidR="005B5B2A" w:rsidRPr="00D90549">
              <w:rPr>
                <w:rFonts w:asciiTheme="majorBidi" w:hAnsiTheme="majorBidi" w:cstheme="majorBidi"/>
                <w:sz w:val="22"/>
                <w:szCs w:val="22"/>
                <w:lang w:val="en-NZ" w:eastAsia="zh-CN"/>
              </w:rPr>
              <w:t xml:space="preserve">f Fuel Oil </w:t>
            </w:r>
            <w:r w:rsidR="005B5B2A">
              <w:rPr>
                <w:rFonts w:asciiTheme="majorBidi" w:hAnsiTheme="majorBidi" w:cstheme="majorBidi"/>
                <w:sz w:val="22"/>
                <w:szCs w:val="22"/>
                <w:lang w:val="en-NZ" w:eastAsia="zh-CN"/>
              </w:rPr>
              <w:t>a</w:t>
            </w:r>
            <w:r w:rsidR="005B5B2A" w:rsidRPr="00D90549">
              <w:rPr>
                <w:rFonts w:asciiTheme="majorBidi" w:hAnsiTheme="majorBidi" w:cstheme="majorBidi"/>
                <w:sz w:val="22"/>
                <w:szCs w:val="22"/>
                <w:lang w:val="en-NZ" w:eastAsia="zh-CN"/>
              </w:rPr>
              <w:t>nd Crude Oil Production</w:t>
            </w:r>
          </w:p>
        </w:tc>
        <w:tc>
          <w:tcPr>
            <w:tcW w:w="2112" w:type="dxa"/>
            <w:tcBorders>
              <w:top w:val="nil"/>
              <w:left w:val="nil"/>
              <w:bottom w:val="nil"/>
              <w:right w:val="nil"/>
            </w:tcBorders>
          </w:tcPr>
          <w:p w14:paraId="7CE07235" w14:textId="77777777" w:rsidR="00D90549" w:rsidRPr="00D90549" w:rsidRDefault="00D90549" w:rsidP="00857F3B">
            <w:pPr>
              <w:widowControl w:val="0"/>
              <w:tabs>
                <w:tab w:val="decimal" w:pos="538"/>
              </w:tabs>
              <w:autoSpaceDE w:val="0"/>
              <w:autoSpaceDN w:val="0"/>
              <w:adjustRightInd w:val="0"/>
              <w:rPr>
                <w:sz w:val="22"/>
                <w:szCs w:val="22"/>
              </w:rPr>
            </w:pPr>
            <w:r w:rsidRPr="00D90549">
              <w:rPr>
                <w:sz w:val="22"/>
                <w:szCs w:val="22"/>
              </w:rPr>
              <w:t>0.028</w:t>
            </w:r>
          </w:p>
        </w:tc>
      </w:tr>
      <w:tr w:rsidR="00D90549" w:rsidRPr="00D90549" w14:paraId="59E6BCA1" w14:textId="77777777" w:rsidTr="00857F3B">
        <w:trPr>
          <w:trHeight w:val="273"/>
          <w:jc w:val="center"/>
        </w:trPr>
        <w:tc>
          <w:tcPr>
            <w:tcW w:w="7044" w:type="dxa"/>
            <w:tcBorders>
              <w:top w:val="nil"/>
              <w:left w:val="nil"/>
              <w:bottom w:val="nil"/>
              <w:right w:val="nil"/>
            </w:tcBorders>
          </w:tcPr>
          <w:p w14:paraId="5C8D01B2" w14:textId="77777777" w:rsidR="00D90549" w:rsidRPr="00D90549" w:rsidRDefault="00D90549" w:rsidP="00857F3B">
            <w:pPr>
              <w:widowControl w:val="0"/>
              <w:autoSpaceDE w:val="0"/>
              <w:autoSpaceDN w:val="0"/>
              <w:adjustRightInd w:val="0"/>
              <w:rPr>
                <w:sz w:val="22"/>
                <w:szCs w:val="22"/>
              </w:rPr>
            </w:pPr>
          </w:p>
        </w:tc>
        <w:tc>
          <w:tcPr>
            <w:tcW w:w="2112" w:type="dxa"/>
            <w:tcBorders>
              <w:top w:val="nil"/>
              <w:left w:val="nil"/>
              <w:bottom w:val="nil"/>
              <w:right w:val="nil"/>
            </w:tcBorders>
          </w:tcPr>
          <w:p w14:paraId="38937FC6" w14:textId="77777777" w:rsidR="00D90549" w:rsidRDefault="00D90549" w:rsidP="00857F3B">
            <w:pPr>
              <w:widowControl w:val="0"/>
              <w:tabs>
                <w:tab w:val="decimal" w:pos="538"/>
              </w:tabs>
              <w:autoSpaceDE w:val="0"/>
              <w:autoSpaceDN w:val="0"/>
              <w:adjustRightInd w:val="0"/>
              <w:rPr>
                <w:sz w:val="22"/>
                <w:szCs w:val="22"/>
              </w:rPr>
            </w:pPr>
            <w:r w:rsidRPr="00D90549">
              <w:rPr>
                <w:sz w:val="22"/>
                <w:szCs w:val="22"/>
              </w:rPr>
              <w:t>(0.043)</w:t>
            </w:r>
          </w:p>
          <w:p w14:paraId="2886E408" w14:textId="3E4A044B" w:rsidR="00B424D7" w:rsidRPr="00B424D7" w:rsidRDefault="00B424D7" w:rsidP="00857F3B">
            <w:pPr>
              <w:widowControl w:val="0"/>
              <w:tabs>
                <w:tab w:val="decimal" w:pos="538"/>
              </w:tabs>
              <w:autoSpaceDE w:val="0"/>
              <w:autoSpaceDN w:val="0"/>
              <w:adjustRightInd w:val="0"/>
              <w:rPr>
                <w:sz w:val="10"/>
                <w:szCs w:val="10"/>
              </w:rPr>
            </w:pPr>
          </w:p>
        </w:tc>
      </w:tr>
      <w:tr w:rsidR="00D90549" w:rsidRPr="00D90549" w14:paraId="7302D598" w14:textId="77777777" w:rsidTr="00857F3B">
        <w:trPr>
          <w:trHeight w:val="273"/>
          <w:jc w:val="center"/>
        </w:trPr>
        <w:tc>
          <w:tcPr>
            <w:tcW w:w="7044" w:type="dxa"/>
            <w:tcBorders>
              <w:top w:val="nil"/>
              <w:left w:val="nil"/>
              <w:bottom w:val="nil"/>
              <w:right w:val="nil"/>
            </w:tcBorders>
          </w:tcPr>
          <w:p w14:paraId="03DF4F66" w14:textId="77777777" w:rsidR="00D90549" w:rsidRPr="00D90549" w:rsidRDefault="00D90549" w:rsidP="00857F3B">
            <w:pPr>
              <w:widowControl w:val="0"/>
              <w:autoSpaceDE w:val="0"/>
              <w:autoSpaceDN w:val="0"/>
              <w:adjustRightInd w:val="0"/>
              <w:rPr>
                <w:sz w:val="22"/>
                <w:szCs w:val="22"/>
              </w:rPr>
            </w:pPr>
            <w:r w:rsidRPr="00D90549">
              <w:rPr>
                <w:sz w:val="22"/>
                <w:szCs w:val="22"/>
              </w:rPr>
              <w:t>Constant</w:t>
            </w:r>
          </w:p>
        </w:tc>
        <w:tc>
          <w:tcPr>
            <w:tcW w:w="2112" w:type="dxa"/>
            <w:tcBorders>
              <w:top w:val="nil"/>
              <w:left w:val="nil"/>
              <w:bottom w:val="nil"/>
              <w:right w:val="nil"/>
            </w:tcBorders>
          </w:tcPr>
          <w:p w14:paraId="28F5A68A" w14:textId="77777777" w:rsidR="00D90549" w:rsidRPr="00D90549" w:rsidRDefault="00D90549" w:rsidP="00857F3B">
            <w:pPr>
              <w:widowControl w:val="0"/>
              <w:tabs>
                <w:tab w:val="decimal" w:pos="538"/>
              </w:tabs>
              <w:autoSpaceDE w:val="0"/>
              <w:autoSpaceDN w:val="0"/>
              <w:adjustRightInd w:val="0"/>
              <w:rPr>
                <w:sz w:val="22"/>
                <w:szCs w:val="22"/>
              </w:rPr>
            </w:pPr>
            <w:r w:rsidRPr="00D90549">
              <w:rPr>
                <w:sz w:val="22"/>
                <w:szCs w:val="22"/>
              </w:rPr>
              <w:t>7.760</w:t>
            </w:r>
          </w:p>
        </w:tc>
      </w:tr>
      <w:tr w:rsidR="00D90549" w:rsidRPr="00D90549" w14:paraId="44264052" w14:textId="77777777" w:rsidTr="00857F3B">
        <w:trPr>
          <w:trHeight w:val="273"/>
          <w:jc w:val="center"/>
        </w:trPr>
        <w:tc>
          <w:tcPr>
            <w:tcW w:w="7044" w:type="dxa"/>
            <w:tcBorders>
              <w:top w:val="nil"/>
              <w:left w:val="nil"/>
              <w:bottom w:val="nil"/>
              <w:right w:val="nil"/>
            </w:tcBorders>
          </w:tcPr>
          <w:p w14:paraId="4EC923C6" w14:textId="77777777" w:rsidR="00D90549" w:rsidRPr="00D90549" w:rsidRDefault="00D90549" w:rsidP="00857F3B">
            <w:pPr>
              <w:widowControl w:val="0"/>
              <w:autoSpaceDE w:val="0"/>
              <w:autoSpaceDN w:val="0"/>
              <w:adjustRightInd w:val="0"/>
              <w:rPr>
                <w:sz w:val="22"/>
                <w:szCs w:val="22"/>
              </w:rPr>
            </w:pPr>
          </w:p>
        </w:tc>
        <w:tc>
          <w:tcPr>
            <w:tcW w:w="2112" w:type="dxa"/>
            <w:tcBorders>
              <w:top w:val="nil"/>
              <w:left w:val="nil"/>
              <w:bottom w:val="nil"/>
              <w:right w:val="nil"/>
            </w:tcBorders>
          </w:tcPr>
          <w:p w14:paraId="573D89A8" w14:textId="77777777" w:rsidR="00D90549" w:rsidRDefault="00D90549" w:rsidP="00857F3B">
            <w:pPr>
              <w:widowControl w:val="0"/>
              <w:tabs>
                <w:tab w:val="decimal" w:pos="538"/>
              </w:tabs>
              <w:autoSpaceDE w:val="0"/>
              <w:autoSpaceDN w:val="0"/>
              <w:adjustRightInd w:val="0"/>
              <w:rPr>
                <w:sz w:val="22"/>
                <w:szCs w:val="22"/>
              </w:rPr>
            </w:pPr>
            <w:r w:rsidRPr="00D90549">
              <w:rPr>
                <w:sz w:val="22"/>
                <w:szCs w:val="22"/>
              </w:rPr>
              <w:t>(</w:t>
            </w:r>
            <w:proofErr w:type="gramStart"/>
            <w:r w:rsidRPr="00D90549">
              <w:rPr>
                <w:sz w:val="22"/>
                <w:szCs w:val="22"/>
              </w:rPr>
              <w:t>0.679)*</w:t>
            </w:r>
            <w:proofErr w:type="gramEnd"/>
            <w:r w:rsidRPr="00D90549">
              <w:rPr>
                <w:sz w:val="22"/>
                <w:szCs w:val="22"/>
              </w:rPr>
              <w:t>*</w:t>
            </w:r>
          </w:p>
          <w:p w14:paraId="156E5101" w14:textId="0D999032" w:rsidR="00B424D7" w:rsidRPr="00B424D7" w:rsidRDefault="00B424D7" w:rsidP="00857F3B">
            <w:pPr>
              <w:widowControl w:val="0"/>
              <w:tabs>
                <w:tab w:val="decimal" w:pos="538"/>
              </w:tabs>
              <w:autoSpaceDE w:val="0"/>
              <w:autoSpaceDN w:val="0"/>
              <w:adjustRightInd w:val="0"/>
              <w:rPr>
                <w:sz w:val="10"/>
                <w:szCs w:val="10"/>
              </w:rPr>
            </w:pPr>
          </w:p>
        </w:tc>
      </w:tr>
      <w:tr w:rsidR="00D90549" w:rsidRPr="00D90549" w14:paraId="6A8A5428" w14:textId="77777777" w:rsidTr="00857F3B">
        <w:trPr>
          <w:trHeight w:val="273"/>
          <w:jc w:val="center"/>
        </w:trPr>
        <w:tc>
          <w:tcPr>
            <w:tcW w:w="7044" w:type="dxa"/>
            <w:tcBorders>
              <w:top w:val="nil"/>
              <w:left w:val="nil"/>
              <w:bottom w:val="nil"/>
              <w:right w:val="nil"/>
            </w:tcBorders>
          </w:tcPr>
          <w:p w14:paraId="0A7E6308" w14:textId="77777777" w:rsidR="00D90549" w:rsidRPr="00D90549" w:rsidRDefault="00D90549" w:rsidP="00857F3B">
            <w:pPr>
              <w:widowControl w:val="0"/>
              <w:autoSpaceDE w:val="0"/>
              <w:autoSpaceDN w:val="0"/>
              <w:adjustRightInd w:val="0"/>
              <w:rPr>
                <w:sz w:val="22"/>
                <w:szCs w:val="22"/>
              </w:rPr>
            </w:pPr>
            <w:r w:rsidRPr="00D90549">
              <w:rPr>
                <w:sz w:val="22"/>
                <w:szCs w:val="22"/>
              </w:rPr>
              <w:t>R</w:t>
            </w:r>
            <w:r w:rsidRPr="00D90549">
              <w:rPr>
                <w:sz w:val="22"/>
                <w:szCs w:val="22"/>
                <w:vertAlign w:val="superscript"/>
              </w:rPr>
              <w:t>2</w:t>
            </w:r>
          </w:p>
        </w:tc>
        <w:tc>
          <w:tcPr>
            <w:tcW w:w="2112" w:type="dxa"/>
            <w:tcBorders>
              <w:top w:val="nil"/>
              <w:left w:val="nil"/>
              <w:bottom w:val="nil"/>
              <w:right w:val="nil"/>
            </w:tcBorders>
          </w:tcPr>
          <w:p w14:paraId="2DA9EA32" w14:textId="77777777" w:rsidR="00D90549" w:rsidRPr="00D90549" w:rsidRDefault="00D90549" w:rsidP="00857F3B">
            <w:pPr>
              <w:widowControl w:val="0"/>
              <w:tabs>
                <w:tab w:val="decimal" w:pos="538"/>
              </w:tabs>
              <w:autoSpaceDE w:val="0"/>
              <w:autoSpaceDN w:val="0"/>
              <w:adjustRightInd w:val="0"/>
              <w:rPr>
                <w:sz w:val="22"/>
                <w:szCs w:val="22"/>
              </w:rPr>
            </w:pPr>
            <w:r w:rsidRPr="00D90549">
              <w:rPr>
                <w:sz w:val="22"/>
                <w:szCs w:val="22"/>
              </w:rPr>
              <w:t>0.05</w:t>
            </w:r>
          </w:p>
        </w:tc>
      </w:tr>
      <w:tr w:rsidR="00D90549" w:rsidRPr="00D90549" w14:paraId="3AC455CE" w14:textId="77777777" w:rsidTr="00857F3B">
        <w:trPr>
          <w:trHeight w:val="273"/>
          <w:jc w:val="center"/>
        </w:trPr>
        <w:tc>
          <w:tcPr>
            <w:tcW w:w="7044" w:type="dxa"/>
            <w:tcBorders>
              <w:top w:val="nil"/>
              <w:left w:val="nil"/>
              <w:bottom w:val="nil"/>
              <w:right w:val="nil"/>
            </w:tcBorders>
          </w:tcPr>
          <w:p w14:paraId="57CB741F" w14:textId="77777777" w:rsidR="00D90549" w:rsidRPr="00D90549" w:rsidRDefault="00D90549" w:rsidP="00857F3B">
            <w:pPr>
              <w:widowControl w:val="0"/>
              <w:autoSpaceDE w:val="0"/>
              <w:autoSpaceDN w:val="0"/>
              <w:adjustRightInd w:val="0"/>
              <w:rPr>
                <w:sz w:val="22"/>
                <w:szCs w:val="22"/>
              </w:rPr>
            </w:pPr>
            <w:r w:rsidRPr="00D90549">
              <w:rPr>
                <w:sz w:val="22"/>
                <w:szCs w:val="22"/>
              </w:rPr>
              <w:t>N</w:t>
            </w:r>
          </w:p>
        </w:tc>
        <w:tc>
          <w:tcPr>
            <w:tcW w:w="2112" w:type="dxa"/>
            <w:tcBorders>
              <w:top w:val="nil"/>
              <w:left w:val="nil"/>
              <w:bottom w:val="nil"/>
              <w:right w:val="nil"/>
            </w:tcBorders>
          </w:tcPr>
          <w:p w14:paraId="3332B130" w14:textId="77777777" w:rsidR="00D90549" w:rsidRPr="00D90549" w:rsidRDefault="00D90549" w:rsidP="00857F3B">
            <w:pPr>
              <w:widowControl w:val="0"/>
              <w:tabs>
                <w:tab w:val="decimal" w:pos="538"/>
              </w:tabs>
              <w:autoSpaceDE w:val="0"/>
              <w:autoSpaceDN w:val="0"/>
              <w:adjustRightInd w:val="0"/>
              <w:rPr>
                <w:sz w:val="22"/>
                <w:szCs w:val="22"/>
              </w:rPr>
            </w:pPr>
            <w:r w:rsidRPr="00D90549">
              <w:rPr>
                <w:sz w:val="22"/>
                <w:szCs w:val="22"/>
              </w:rPr>
              <w:t xml:space="preserve">      1,233</w:t>
            </w:r>
          </w:p>
        </w:tc>
      </w:tr>
      <w:tr w:rsidR="00D90549" w:rsidRPr="00D90549" w14:paraId="0AA9164D" w14:textId="77777777" w:rsidTr="00857F3B">
        <w:trPr>
          <w:trHeight w:val="286"/>
          <w:jc w:val="center"/>
        </w:trPr>
        <w:tc>
          <w:tcPr>
            <w:tcW w:w="7044" w:type="dxa"/>
            <w:tcBorders>
              <w:top w:val="nil"/>
              <w:left w:val="nil"/>
              <w:bottom w:val="single" w:sz="6" w:space="0" w:color="auto"/>
              <w:right w:val="nil"/>
            </w:tcBorders>
            <w:vAlign w:val="center"/>
          </w:tcPr>
          <w:p w14:paraId="191C91BC" w14:textId="2A815137" w:rsidR="00D90549" w:rsidRPr="00D90549" w:rsidRDefault="00D90549" w:rsidP="00857F3B">
            <w:pPr>
              <w:widowControl w:val="0"/>
              <w:autoSpaceDE w:val="0"/>
              <w:autoSpaceDN w:val="0"/>
              <w:adjustRightInd w:val="0"/>
              <w:rPr>
                <w:sz w:val="22"/>
                <w:szCs w:val="22"/>
              </w:rPr>
            </w:pPr>
            <w:r w:rsidRPr="00D90549">
              <w:rPr>
                <w:rFonts w:asciiTheme="majorBidi" w:hAnsiTheme="majorBidi" w:cstheme="majorBidi"/>
                <w:sz w:val="22"/>
                <w:szCs w:val="22"/>
                <w:lang w:val="en-NZ" w:eastAsia="zh-CN"/>
              </w:rPr>
              <w:t xml:space="preserve">Number of </w:t>
            </w:r>
            <w:r w:rsidR="005B5B2A">
              <w:rPr>
                <w:rFonts w:asciiTheme="majorBidi" w:hAnsiTheme="majorBidi" w:cstheme="majorBidi"/>
                <w:sz w:val="22"/>
                <w:szCs w:val="22"/>
                <w:lang w:val="en-NZ" w:eastAsia="zh-CN"/>
              </w:rPr>
              <w:t>C</w:t>
            </w:r>
            <w:r w:rsidRPr="00D90549">
              <w:rPr>
                <w:rFonts w:asciiTheme="majorBidi" w:hAnsiTheme="majorBidi" w:cstheme="majorBidi"/>
                <w:sz w:val="22"/>
                <w:szCs w:val="22"/>
                <w:lang w:val="en-NZ" w:eastAsia="zh-CN"/>
              </w:rPr>
              <w:t>ountries</w:t>
            </w:r>
          </w:p>
        </w:tc>
        <w:tc>
          <w:tcPr>
            <w:tcW w:w="2112" w:type="dxa"/>
            <w:tcBorders>
              <w:top w:val="nil"/>
              <w:left w:val="nil"/>
              <w:bottom w:val="single" w:sz="6" w:space="0" w:color="auto"/>
              <w:right w:val="nil"/>
            </w:tcBorders>
            <w:vAlign w:val="center"/>
          </w:tcPr>
          <w:p w14:paraId="780FA13A" w14:textId="77777777" w:rsidR="00D90549" w:rsidRPr="00D90549" w:rsidRDefault="00D90549" w:rsidP="00857F3B">
            <w:pPr>
              <w:widowControl w:val="0"/>
              <w:tabs>
                <w:tab w:val="decimal" w:pos="538"/>
              </w:tabs>
              <w:autoSpaceDE w:val="0"/>
              <w:autoSpaceDN w:val="0"/>
              <w:adjustRightInd w:val="0"/>
              <w:rPr>
                <w:sz w:val="22"/>
                <w:szCs w:val="22"/>
              </w:rPr>
            </w:pPr>
            <w:r w:rsidRPr="00D90549">
              <w:rPr>
                <w:rFonts w:asciiTheme="majorBidi" w:hAnsiTheme="majorBidi" w:cstheme="majorBidi"/>
                <w:sz w:val="22"/>
                <w:szCs w:val="22"/>
                <w:lang w:val="en-NZ" w:eastAsia="zh-CN"/>
              </w:rPr>
              <w:t xml:space="preserve">       102</w:t>
            </w:r>
          </w:p>
        </w:tc>
      </w:tr>
    </w:tbl>
    <w:p w14:paraId="13C92E90" w14:textId="77777777" w:rsidR="00D90549" w:rsidRPr="00D90549" w:rsidRDefault="00D90549" w:rsidP="00D90549">
      <w:pPr>
        <w:rPr>
          <w:rFonts w:asciiTheme="majorBidi" w:hAnsiTheme="majorBidi" w:cstheme="majorBidi"/>
          <w:sz w:val="20"/>
          <w:szCs w:val="22"/>
        </w:rPr>
      </w:pPr>
      <w:r w:rsidRPr="00D90549">
        <w:rPr>
          <w:rFonts w:asciiTheme="majorBidi" w:hAnsiTheme="majorBidi" w:cstheme="majorBidi"/>
          <w:sz w:val="20"/>
          <w:szCs w:val="22"/>
        </w:rPr>
        <w:t>* p&lt;0.1; ** p&lt;0.05; *** p&lt;0.01</w:t>
      </w:r>
    </w:p>
    <w:p w14:paraId="280C12B2" w14:textId="77777777" w:rsidR="00D90549" w:rsidRPr="00D90549" w:rsidRDefault="00D90549" w:rsidP="00D90549">
      <w:pPr>
        <w:widowControl w:val="0"/>
        <w:autoSpaceDE w:val="0"/>
        <w:autoSpaceDN w:val="0"/>
        <w:adjustRightInd w:val="0"/>
        <w:rPr>
          <w:rFonts w:asciiTheme="majorBidi" w:hAnsiTheme="majorBidi" w:cstheme="majorBidi"/>
          <w:sz w:val="20"/>
          <w:szCs w:val="22"/>
        </w:rPr>
      </w:pPr>
      <w:r w:rsidRPr="00D90549">
        <w:rPr>
          <w:rFonts w:asciiTheme="majorBidi" w:hAnsiTheme="majorBidi" w:cstheme="majorBidi"/>
          <w:sz w:val="20"/>
          <w:szCs w:val="22"/>
        </w:rPr>
        <w:t>Country level clustered standard errors are in parentheses</w:t>
      </w:r>
    </w:p>
    <w:p w14:paraId="7235FBF8" w14:textId="77777777" w:rsidR="00D90549" w:rsidRPr="00D90549" w:rsidRDefault="00D90549" w:rsidP="00D90549">
      <w:pPr>
        <w:widowControl w:val="0"/>
        <w:autoSpaceDE w:val="0"/>
        <w:autoSpaceDN w:val="0"/>
        <w:adjustRightInd w:val="0"/>
        <w:spacing w:before="79" w:after="240"/>
        <w:rPr>
          <w:rFonts w:asciiTheme="majorBidi" w:hAnsiTheme="majorBidi" w:cstheme="majorBidi"/>
          <w:sz w:val="22"/>
          <w:szCs w:val="22"/>
        </w:rPr>
      </w:pPr>
    </w:p>
    <w:p w14:paraId="56BF1723" w14:textId="77777777" w:rsidR="00B424D7" w:rsidRDefault="00D90549" w:rsidP="00D90549">
      <w:pPr>
        <w:widowControl w:val="0"/>
        <w:autoSpaceDE w:val="0"/>
        <w:autoSpaceDN w:val="0"/>
        <w:adjustRightInd w:val="0"/>
        <w:jc w:val="center"/>
        <w:rPr>
          <w:rFonts w:asciiTheme="majorBidi" w:hAnsiTheme="majorBidi" w:cstheme="majorBidi"/>
          <w:b/>
          <w:sz w:val="22"/>
          <w:szCs w:val="22"/>
        </w:rPr>
      </w:pPr>
      <w:r w:rsidRPr="00D90549">
        <w:rPr>
          <w:rFonts w:asciiTheme="majorBidi" w:hAnsiTheme="majorBidi" w:cstheme="majorBidi"/>
          <w:b/>
          <w:sz w:val="22"/>
          <w:szCs w:val="22"/>
        </w:rPr>
        <w:t>Table A5</w:t>
      </w:r>
      <w:r>
        <w:rPr>
          <w:rFonts w:asciiTheme="majorBidi" w:hAnsiTheme="majorBidi" w:cstheme="majorBidi"/>
          <w:b/>
          <w:sz w:val="22"/>
          <w:szCs w:val="22"/>
        </w:rPr>
        <w:t>:</w:t>
      </w:r>
      <w:r w:rsidR="00B424D7" w:rsidRPr="00B424D7">
        <w:rPr>
          <w:rFonts w:asciiTheme="majorBidi" w:hAnsiTheme="majorBidi" w:cstheme="majorBidi"/>
          <w:b/>
          <w:sz w:val="22"/>
          <w:szCs w:val="22"/>
        </w:rPr>
        <w:t xml:space="preserve"> </w:t>
      </w:r>
      <w:r w:rsidRPr="00B424D7">
        <w:rPr>
          <w:rFonts w:asciiTheme="majorBidi" w:hAnsiTheme="majorBidi" w:cstheme="majorBidi"/>
          <w:b/>
          <w:sz w:val="22"/>
          <w:szCs w:val="22"/>
        </w:rPr>
        <w:t xml:space="preserve">First </w:t>
      </w:r>
      <w:r w:rsidR="00B424D7" w:rsidRPr="00B424D7">
        <w:rPr>
          <w:rFonts w:asciiTheme="majorBidi" w:hAnsiTheme="majorBidi" w:cstheme="majorBidi"/>
          <w:b/>
          <w:sz w:val="22"/>
          <w:szCs w:val="22"/>
        </w:rPr>
        <w:t xml:space="preserve">Stage Instrumental Variable Regression Results </w:t>
      </w:r>
    </w:p>
    <w:p w14:paraId="1C1059F9" w14:textId="2EF8853C" w:rsidR="00D90549" w:rsidRDefault="00B424D7" w:rsidP="00D90549">
      <w:pPr>
        <w:widowControl w:val="0"/>
        <w:autoSpaceDE w:val="0"/>
        <w:autoSpaceDN w:val="0"/>
        <w:adjustRightInd w:val="0"/>
        <w:jc w:val="center"/>
        <w:rPr>
          <w:rFonts w:asciiTheme="majorBidi" w:hAnsiTheme="majorBidi" w:cstheme="majorBidi"/>
          <w:b/>
          <w:sz w:val="22"/>
          <w:szCs w:val="22"/>
        </w:rPr>
      </w:pPr>
      <w:r>
        <w:rPr>
          <w:rFonts w:asciiTheme="majorBidi" w:hAnsiTheme="majorBidi" w:cstheme="majorBidi"/>
          <w:b/>
          <w:sz w:val="22"/>
          <w:szCs w:val="22"/>
        </w:rPr>
        <w:t>f</w:t>
      </w:r>
      <w:r w:rsidRPr="00B424D7">
        <w:rPr>
          <w:rFonts w:asciiTheme="majorBidi" w:hAnsiTheme="majorBidi" w:cstheme="majorBidi"/>
          <w:b/>
          <w:sz w:val="22"/>
          <w:szCs w:val="22"/>
        </w:rPr>
        <w:t xml:space="preserve">or All Five Models Without </w:t>
      </w:r>
      <w:r w:rsidR="00D90549" w:rsidRPr="00B424D7">
        <w:rPr>
          <w:rFonts w:asciiTheme="majorBidi" w:hAnsiTheme="majorBidi" w:cstheme="majorBidi"/>
          <w:b/>
          <w:sz w:val="22"/>
          <w:szCs w:val="22"/>
        </w:rPr>
        <w:t>GDP</w:t>
      </w:r>
    </w:p>
    <w:p w14:paraId="0F1C1DA0" w14:textId="77777777" w:rsidR="00692E0C" w:rsidRPr="00692E0C" w:rsidRDefault="00692E0C" w:rsidP="00D90549">
      <w:pPr>
        <w:widowControl w:val="0"/>
        <w:autoSpaceDE w:val="0"/>
        <w:autoSpaceDN w:val="0"/>
        <w:adjustRightInd w:val="0"/>
        <w:jc w:val="center"/>
        <w:rPr>
          <w:rFonts w:asciiTheme="majorBidi" w:hAnsiTheme="majorBidi" w:cstheme="majorBidi"/>
          <w:b/>
          <w:sz w:val="6"/>
          <w:szCs w:val="6"/>
        </w:rPr>
      </w:pPr>
    </w:p>
    <w:tbl>
      <w:tblPr>
        <w:tblW w:w="8890" w:type="dxa"/>
        <w:tblLook w:val="04A0" w:firstRow="1" w:lastRow="0" w:firstColumn="1" w:lastColumn="0" w:noHBand="0" w:noVBand="1"/>
      </w:tblPr>
      <w:tblGrid>
        <w:gridCol w:w="6653"/>
        <w:gridCol w:w="2237"/>
      </w:tblGrid>
      <w:tr w:rsidR="00D90549" w:rsidRPr="00526795" w14:paraId="6F952BE8" w14:textId="77777777" w:rsidTr="00857F3B">
        <w:trPr>
          <w:trHeight w:val="715"/>
        </w:trPr>
        <w:tc>
          <w:tcPr>
            <w:tcW w:w="6653" w:type="dxa"/>
            <w:tcBorders>
              <w:top w:val="single" w:sz="4" w:space="0" w:color="auto"/>
              <w:bottom w:val="single" w:sz="4" w:space="0" w:color="auto"/>
            </w:tcBorders>
            <w:shd w:val="clear" w:color="auto" w:fill="auto"/>
            <w:noWrap/>
            <w:vAlign w:val="center"/>
            <w:hideMark/>
          </w:tcPr>
          <w:p w14:paraId="3A58691E" w14:textId="1BD15D60" w:rsidR="00D90549" w:rsidRPr="00526795" w:rsidRDefault="00D90549" w:rsidP="00857F3B">
            <w:pPr>
              <w:rPr>
                <w:rFonts w:asciiTheme="majorBidi" w:hAnsiTheme="majorBidi" w:cstheme="majorBidi"/>
                <w:bCs/>
                <w:sz w:val="22"/>
                <w:szCs w:val="22"/>
                <w:lang w:val="en-NZ" w:eastAsia="zh-CN"/>
              </w:rPr>
            </w:pPr>
            <w:r w:rsidRPr="00526795">
              <w:rPr>
                <w:rFonts w:asciiTheme="majorBidi" w:hAnsiTheme="majorBidi" w:cstheme="majorBidi"/>
                <w:bCs/>
                <w:sz w:val="22"/>
                <w:szCs w:val="22"/>
                <w:lang w:val="en-NZ" w:eastAsia="zh-CN"/>
              </w:rPr>
              <w:t>Percentage of</w:t>
            </w:r>
            <w:r w:rsidR="00B424D7">
              <w:rPr>
                <w:rFonts w:asciiTheme="majorBidi" w:hAnsiTheme="majorBidi" w:cstheme="majorBidi"/>
                <w:bCs/>
                <w:sz w:val="22"/>
                <w:szCs w:val="22"/>
                <w:lang w:val="en-NZ" w:eastAsia="zh-CN"/>
              </w:rPr>
              <w:t xml:space="preserve"> S</w:t>
            </w:r>
            <w:r w:rsidRPr="00526795">
              <w:rPr>
                <w:rFonts w:asciiTheme="majorBidi" w:hAnsiTheme="majorBidi" w:cstheme="majorBidi"/>
                <w:bCs/>
                <w:sz w:val="22"/>
                <w:szCs w:val="22"/>
                <w:lang w:val="en-NZ" w:eastAsia="zh-CN"/>
              </w:rPr>
              <w:t xml:space="preserve">olid </w:t>
            </w:r>
            <w:r w:rsidR="00B424D7">
              <w:rPr>
                <w:rFonts w:asciiTheme="majorBidi" w:hAnsiTheme="majorBidi" w:cstheme="majorBidi"/>
                <w:bCs/>
                <w:sz w:val="22"/>
                <w:szCs w:val="22"/>
                <w:lang w:val="en-NZ" w:eastAsia="zh-CN"/>
              </w:rPr>
              <w:t>F</w:t>
            </w:r>
            <w:r w:rsidRPr="00526795">
              <w:rPr>
                <w:rFonts w:asciiTheme="majorBidi" w:hAnsiTheme="majorBidi" w:cstheme="majorBidi"/>
                <w:bCs/>
                <w:sz w:val="22"/>
                <w:szCs w:val="22"/>
                <w:lang w:val="en-NZ" w:eastAsia="zh-CN"/>
              </w:rPr>
              <w:t xml:space="preserve">uel </w:t>
            </w:r>
            <w:r w:rsidR="00B424D7">
              <w:rPr>
                <w:rFonts w:asciiTheme="majorBidi" w:hAnsiTheme="majorBidi" w:cstheme="majorBidi"/>
                <w:bCs/>
                <w:sz w:val="22"/>
                <w:szCs w:val="22"/>
                <w:lang w:val="en-NZ" w:eastAsia="zh-CN"/>
              </w:rPr>
              <w:t>C</w:t>
            </w:r>
            <w:r w:rsidRPr="00526795">
              <w:rPr>
                <w:rFonts w:asciiTheme="majorBidi" w:hAnsiTheme="majorBidi" w:cstheme="majorBidi"/>
                <w:bCs/>
                <w:sz w:val="22"/>
                <w:szCs w:val="22"/>
                <w:lang w:val="en-NZ" w:eastAsia="zh-CN"/>
              </w:rPr>
              <w:t>onsumption</w:t>
            </w:r>
          </w:p>
        </w:tc>
        <w:tc>
          <w:tcPr>
            <w:tcW w:w="2237" w:type="dxa"/>
            <w:tcBorders>
              <w:top w:val="single" w:sz="4" w:space="0" w:color="auto"/>
              <w:bottom w:val="single" w:sz="4" w:space="0" w:color="auto"/>
            </w:tcBorders>
            <w:shd w:val="clear" w:color="auto" w:fill="auto"/>
            <w:noWrap/>
            <w:vAlign w:val="center"/>
            <w:hideMark/>
          </w:tcPr>
          <w:p w14:paraId="6CC57E8F" w14:textId="77777777" w:rsidR="00D90549" w:rsidRPr="00526795" w:rsidRDefault="00D90549" w:rsidP="00857F3B">
            <w:pPr>
              <w:jc w:val="center"/>
              <w:rPr>
                <w:rFonts w:asciiTheme="majorBidi" w:hAnsiTheme="majorBidi" w:cstheme="majorBidi"/>
                <w:bCs/>
                <w:sz w:val="22"/>
                <w:szCs w:val="22"/>
                <w:lang w:val="en-NZ" w:eastAsia="zh-CN"/>
              </w:rPr>
            </w:pPr>
            <w:r w:rsidRPr="00526795">
              <w:rPr>
                <w:rFonts w:asciiTheme="majorBidi" w:hAnsiTheme="majorBidi" w:cstheme="majorBidi"/>
                <w:bCs/>
                <w:sz w:val="22"/>
                <w:szCs w:val="22"/>
                <w:lang w:val="en-NZ" w:eastAsia="zh-CN"/>
              </w:rPr>
              <w:t>Coefficients</w:t>
            </w:r>
          </w:p>
        </w:tc>
      </w:tr>
      <w:tr w:rsidR="00D90549" w:rsidRPr="00D90549" w14:paraId="68798BD1" w14:textId="77777777" w:rsidTr="00857F3B">
        <w:trPr>
          <w:trHeight w:val="715"/>
        </w:trPr>
        <w:tc>
          <w:tcPr>
            <w:tcW w:w="6653" w:type="dxa"/>
            <w:tcBorders>
              <w:top w:val="single" w:sz="4" w:space="0" w:color="auto"/>
            </w:tcBorders>
            <w:shd w:val="clear" w:color="auto" w:fill="auto"/>
            <w:noWrap/>
            <w:vAlign w:val="center"/>
            <w:hideMark/>
          </w:tcPr>
          <w:p w14:paraId="48C25C24" w14:textId="4ADA7A44" w:rsidR="00D90549" w:rsidRPr="00D90549" w:rsidRDefault="00D90549" w:rsidP="00857F3B">
            <w:pPr>
              <w:rPr>
                <w:rFonts w:asciiTheme="majorBidi" w:hAnsiTheme="majorBidi" w:cstheme="majorBidi"/>
                <w:sz w:val="22"/>
                <w:szCs w:val="22"/>
                <w:lang w:val="en-NZ" w:eastAsia="zh-CN"/>
              </w:rPr>
            </w:pPr>
            <w:r w:rsidRPr="00D90549">
              <w:rPr>
                <w:rFonts w:asciiTheme="majorBidi" w:hAnsiTheme="majorBidi" w:cstheme="majorBidi"/>
                <w:sz w:val="22"/>
                <w:szCs w:val="22"/>
                <w:lang w:val="en-NZ" w:eastAsia="zh-CN"/>
              </w:rPr>
              <w:t xml:space="preserve">Percentage </w:t>
            </w:r>
            <w:r w:rsidR="00B424D7">
              <w:rPr>
                <w:rFonts w:asciiTheme="majorBidi" w:hAnsiTheme="majorBidi" w:cstheme="majorBidi"/>
                <w:sz w:val="22"/>
                <w:szCs w:val="22"/>
                <w:lang w:val="en-NZ" w:eastAsia="zh-CN"/>
              </w:rPr>
              <w:t>o</w:t>
            </w:r>
            <w:r w:rsidR="00B424D7" w:rsidRPr="00D90549">
              <w:rPr>
                <w:rFonts w:asciiTheme="majorBidi" w:hAnsiTheme="majorBidi" w:cstheme="majorBidi"/>
                <w:sz w:val="22"/>
                <w:szCs w:val="22"/>
                <w:lang w:val="en-NZ" w:eastAsia="zh-CN"/>
              </w:rPr>
              <w:t xml:space="preserve">f Forest Land </w:t>
            </w:r>
            <w:r w:rsidR="00B424D7">
              <w:rPr>
                <w:rFonts w:asciiTheme="majorBidi" w:hAnsiTheme="majorBidi" w:cstheme="majorBidi"/>
                <w:sz w:val="22"/>
                <w:szCs w:val="22"/>
                <w:lang w:val="en-NZ" w:eastAsia="zh-CN"/>
              </w:rPr>
              <w:t>o</w:t>
            </w:r>
            <w:r w:rsidR="00B424D7" w:rsidRPr="00D90549">
              <w:rPr>
                <w:rFonts w:asciiTheme="majorBidi" w:hAnsiTheme="majorBidi" w:cstheme="majorBidi"/>
                <w:sz w:val="22"/>
                <w:szCs w:val="22"/>
                <w:lang w:val="en-NZ" w:eastAsia="zh-CN"/>
              </w:rPr>
              <w:t>f Total Land</w:t>
            </w:r>
          </w:p>
        </w:tc>
        <w:tc>
          <w:tcPr>
            <w:tcW w:w="2237" w:type="dxa"/>
            <w:tcBorders>
              <w:top w:val="single" w:sz="4" w:space="0" w:color="auto"/>
            </w:tcBorders>
            <w:shd w:val="clear" w:color="auto" w:fill="auto"/>
            <w:vAlign w:val="center"/>
            <w:hideMark/>
          </w:tcPr>
          <w:p w14:paraId="6355AA77" w14:textId="77777777" w:rsidR="00D90549" w:rsidRPr="00D90549" w:rsidRDefault="00D90549" w:rsidP="00857F3B">
            <w:pPr>
              <w:jc w:val="center"/>
              <w:rPr>
                <w:rFonts w:asciiTheme="majorBidi" w:hAnsiTheme="majorBidi" w:cstheme="majorBidi"/>
                <w:sz w:val="22"/>
                <w:szCs w:val="22"/>
                <w:lang w:val="en-NZ" w:eastAsia="zh-CN"/>
              </w:rPr>
            </w:pPr>
            <w:r w:rsidRPr="00D90549">
              <w:rPr>
                <w:rFonts w:asciiTheme="majorBidi" w:hAnsiTheme="majorBidi" w:cstheme="majorBidi"/>
                <w:sz w:val="22"/>
                <w:szCs w:val="22"/>
                <w:lang w:val="en-NZ" w:eastAsia="zh-CN"/>
              </w:rPr>
              <w:t>1.131</w:t>
            </w:r>
            <w:r w:rsidRPr="00D90549">
              <w:rPr>
                <w:rFonts w:asciiTheme="majorBidi" w:hAnsiTheme="majorBidi" w:cstheme="majorBidi"/>
                <w:sz w:val="22"/>
                <w:szCs w:val="22"/>
                <w:lang w:val="en-NZ" w:eastAsia="zh-CN"/>
              </w:rPr>
              <w:br/>
              <w:t xml:space="preserve">     (0.102)***</w:t>
            </w:r>
          </w:p>
        </w:tc>
      </w:tr>
      <w:tr w:rsidR="00D90549" w:rsidRPr="00D90549" w14:paraId="64245956" w14:textId="77777777" w:rsidTr="00857F3B">
        <w:trPr>
          <w:trHeight w:val="715"/>
        </w:trPr>
        <w:tc>
          <w:tcPr>
            <w:tcW w:w="6653" w:type="dxa"/>
            <w:shd w:val="clear" w:color="auto" w:fill="auto"/>
            <w:noWrap/>
            <w:vAlign w:val="center"/>
            <w:hideMark/>
          </w:tcPr>
          <w:p w14:paraId="19F5C30B" w14:textId="77777777" w:rsidR="00D90549" w:rsidRPr="00D90549" w:rsidRDefault="00D90549" w:rsidP="00857F3B">
            <w:pPr>
              <w:rPr>
                <w:rFonts w:asciiTheme="majorBidi" w:hAnsiTheme="majorBidi" w:cstheme="majorBidi"/>
                <w:sz w:val="22"/>
                <w:szCs w:val="22"/>
                <w:lang w:val="en-NZ" w:eastAsia="zh-CN"/>
              </w:rPr>
            </w:pPr>
            <w:r w:rsidRPr="00D90549">
              <w:rPr>
                <w:rFonts w:asciiTheme="majorBidi" w:hAnsiTheme="majorBidi" w:cstheme="majorBidi"/>
                <w:sz w:val="22"/>
                <w:szCs w:val="22"/>
                <w:lang w:val="en-NZ" w:eastAsia="zh-CN"/>
              </w:rPr>
              <w:t>Log of Natural gas, LNG, LPG production</w:t>
            </w:r>
          </w:p>
        </w:tc>
        <w:tc>
          <w:tcPr>
            <w:tcW w:w="2237" w:type="dxa"/>
            <w:shd w:val="clear" w:color="auto" w:fill="auto"/>
            <w:vAlign w:val="center"/>
            <w:hideMark/>
          </w:tcPr>
          <w:p w14:paraId="044848FA" w14:textId="77777777" w:rsidR="00D90549" w:rsidRPr="00D90549" w:rsidRDefault="00D90549" w:rsidP="00857F3B">
            <w:pPr>
              <w:jc w:val="center"/>
              <w:rPr>
                <w:rFonts w:asciiTheme="majorBidi" w:hAnsiTheme="majorBidi" w:cstheme="majorBidi"/>
                <w:sz w:val="22"/>
                <w:szCs w:val="22"/>
                <w:lang w:val="en-NZ" w:eastAsia="zh-CN"/>
              </w:rPr>
            </w:pPr>
            <w:r w:rsidRPr="00D90549">
              <w:rPr>
                <w:rFonts w:asciiTheme="majorBidi" w:hAnsiTheme="majorBidi" w:cstheme="majorBidi"/>
                <w:sz w:val="22"/>
                <w:szCs w:val="22"/>
                <w:lang w:val="en-NZ" w:eastAsia="zh-CN"/>
              </w:rPr>
              <w:t>-0.464</w:t>
            </w:r>
            <w:r w:rsidRPr="00D90549">
              <w:rPr>
                <w:rFonts w:asciiTheme="majorBidi" w:hAnsiTheme="majorBidi" w:cstheme="majorBidi"/>
                <w:sz w:val="22"/>
                <w:szCs w:val="22"/>
                <w:lang w:val="en-NZ" w:eastAsia="zh-CN"/>
              </w:rPr>
              <w:br/>
              <w:t xml:space="preserve">    (0.084)***</w:t>
            </w:r>
          </w:p>
        </w:tc>
      </w:tr>
      <w:tr w:rsidR="00D90549" w:rsidRPr="00D90549" w14:paraId="45D7AA25" w14:textId="77777777" w:rsidTr="00857F3B">
        <w:trPr>
          <w:trHeight w:val="715"/>
        </w:trPr>
        <w:tc>
          <w:tcPr>
            <w:tcW w:w="6653" w:type="dxa"/>
            <w:shd w:val="clear" w:color="auto" w:fill="auto"/>
            <w:noWrap/>
            <w:vAlign w:val="center"/>
            <w:hideMark/>
          </w:tcPr>
          <w:p w14:paraId="6184331F" w14:textId="218F0291" w:rsidR="00D90549" w:rsidRPr="00D90549" w:rsidRDefault="00D90549" w:rsidP="00857F3B">
            <w:pPr>
              <w:rPr>
                <w:rFonts w:asciiTheme="majorBidi" w:hAnsiTheme="majorBidi" w:cstheme="majorBidi"/>
                <w:sz w:val="22"/>
                <w:szCs w:val="22"/>
                <w:lang w:val="en-NZ" w:eastAsia="zh-CN"/>
              </w:rPr>
            </w:pPr>
            <w:r w:rsidRPr="00D90549">
              <w:rPr>
                <w:rFonts w:asciiTheme="majorBidi" w:hAnsiTheme="majorBidi" w:cstheme="majorBidi"/>
                <w:sz w:val="22"/>
                <w:szCs w:val="22"/>
                <w:lang w:val="en-NZ" w:eastAsia="zh-CN"/>
              </w:rPr>
              <w:t xml:space="preserve">Log </w:t>
            </w:r>
            <w:r w:rsidR="00B424D7">
              <w:rPr>
                <w:rFonts w:asciiTheme="majorBidi" w:hAnsiTheme="majorBidi" w:cstheme="majorBidi"/>
                <w:sz w:val="22"/>
                <w:szCs w:val="22"/>
                <w:lang w:val="en-NZ" w:eastAsia="zh-CN"/>
              </w:rPr>
              <w:t>o</w:t>
            </w:r>
            <w:r w:rsidR="00B424D7" w:rsidRPr="00D90549">
              <w:rPr>
                <w:rFonts w:asciiTheme="majorBidi" w:hAnsiTheme="majorBidi" w:cstheme="majorBidi"/>
                <w:sz w:val="22"/>
                <w:szCs w:val="22"/>
                <w:lang w:val="en-NZ" w:eastAsia="zh-CN"/>
              </w:rPr>
              <w:t xml:space="preserve">f Fuel Oil </w:t>
            </w:r>
            <w:r w:rsidR="00B424D7">
              <w:rPr>
                <w:rFonts w:asciiTheme="majorBidi" w:hAnsiTheme="majorBidi" w:cstheme="majorBidi"/>
                <w:sz w:val="22"/>
                <w:szCs w:val="22"/>
                <w:lang w:val="en-NZ" w:eastAsia="zh-CN"/>
              </w:rPr>
              <w:t>a</w:t>
            </w:r>
            <w:r w:rsidR="00B424D7" w:rsidRPr="00D90549">
              <w:rPr>
                <w:rFonts w:asciiTheme="majorBidi" w:hAnsiTheme="majorBidi" w:cstheme="majorBidi"/>
                <w:sz w:val="22"/>
                <w:szCs w:val="22"/>
                <w:lang w:val="en-NZ" w:eastAsia="zh-CN"/>
              </w:rPr>
              <w:t>nd Crude Oil Production</w:t>
            </w:r>
          </w:p>
        </w:tc>
        <w:tc>
          <w:tcPr>
            <w:tcW w:w="2237" w:type="dxa"/>
            <w:shd w:val="clear" w:color="auto" w:fill="auto"/>
            <w:vAlign w:val="center"/>
            <w:hideMark/>
          </w:tcPr>
          <w:p w14:paraId="27AA2845" w14:textId="77777777" w:rsidR="00D90549" w:rsidRPr="00D90549" w:rsidRDefault="00D90549" w:rsidP="00857F3B">
            <w:pPr>
              <w:jc w:val="center"/>
              <w:rPr>
                <w:rFonts w:asciiTheme="majorBidi" w:hAnsiTheme="majorBidi" w:cstheme="majorBidi"/>
                <w:sz w:val="22"/>
                <w:szCs w:val="22"/>
                <w:lang w:val="en-NZ" w:eastAsia="zh-CN"/>
              </w:rPr>
            </w:pPr>
            <w:r w:rsidRPr="00D90549">
              <w:rPr>
                <w:rFonts w:asciiTheme="majorBidi" w:hAnsiTheme="majorBidi" w:cstheme="majorBidi"/>
                <w:sz w:val="22"/>
                <w:szCs w:val="22"/>
                <w:lang w:val="en-NZ" w:eastAsia="zh-CN"/>
              </w:rPr>
              <w:t>-0.592</w:t>
            </w:r>
            <w:r w:rsidRPr="00D90549">
              <w:rPr>
                <w:rFonts w:asciiTheme="majorBidi" w:hAnsiTheme="majorBidi" w:cstheme="majorBidi"/>
                <w:sz w:val="22"/>
                <w:szCs w:val="22"/>
                <w:lang w:val="en-NZ" w:eastAsia="zh-CN"/>
              </w:rPr>
              <w:br/>
              <w:t xml:space="preserve">  (0.254)**</w:t>
            </w:r>
          </w:p>
        </w:tc>
      </w:tr>
      <w:tr w:rsidR="00D90549" w:rsidRPr="00D90549" w14:paraId="7957602F" w14:textId="77777777" w:rsidTr="00857F3B">
        <w:trPr>
          <w:trHeight w:val="715"/>
        </w:trPr>
        <w:tc>
          <w:tcPr>
            <w:tcW w:w="6653" w:type="dxa"/>
            <w:shd w:val="clear" w:color="auto" w:fill="auto"/>
            <w:noWrap/>
            <w:vAlign w:val="center"/>
            <w:hideMark/>
          </w:tcPr>
          <w:p w14:paraId="7DA7276D" w14:textId="795FBF3F" w:rsidR="00D90549" w:rsidRPr="00D90549" w:rsidRDefault="00D90549" w:rsidP="00857F3B">
            <w:pPr>
              <w:rPr>
                <w:rFonts w:asciiTheme="majorBidi" w:hAnsiTheme="majorBidi" w:cstheme="majorBidi"/>
                <w:sz w:val="22"/>
                <w:szCs w:val="22"/>
                <w:lang w:val="en-NZ" w:eastAsia="zh-CN"/>
              </w:rPr>
            </w:pPr>
            <w:r w:rsidRPr="00D90549">
              <w:rPr>
                <w:rFonts w:asciiTheme="majorBidi" w:hAnsiTheme="majorBidi" w:cstheme="majorBidi"/>
                <w:sz w:val="22"/>
                <w:szCs w:val="22"/>
              </w:rPr>
              <w:t xml:space="preserve">Female </w:t>
            </w:r>
            <w:r w:rsidR="00B424D7" w:rsidRPr="00D90549">
              <w:rPr>
                <w:rFonts w:asciiTheme="majorBidi" w:hAnsiTheme="majorBidi" w:cstheme="majorBidi"/>
                <w:sz w:val="22"/>
                <w:szCs w:val="22"/>
              </w:rPr>
              <w:t>Primary Sc</w:t>
            </w:r>
            <w:r w:rsidR="00B424D7">
              <w:rPr>
                <w:rFonts w:asciiTheme="majorBidi" w:hAnsiTheme="majorBidi" w:cstheme="majorBidi"/>
                <w:sz w:val="22"/>
                <w:szCs w:val="22"/>
              </w:rPr>
              <w:t xml:space="preserve">hool </w:t>
            </w:r>
            <w:r w:rsidR="00B424D7" w:rsidRPr="00D90549">
              <w:rPr>
                <w:rFonts w:asciiTheme="majorBidi" w:hAnsiTheme="majorBidi" w:cstheme="majorBidi"/>
                <w:sz w:val="22"/>
                <w:szCs w:val="22"/>
              </w:rPr>
              <w:t>Enrolment</w:t>
            </w:r>
          </w:p>
        </w:tc>
        <w:tc>
          <w:tcPr>
            <w:tcW w:w="2237" w:type="dxa"/>
            <w:shd w:val="clear" w:color="auto" w:fill="auto"/>
            <w:vAlign w:val="center"/>
            <w:hideMark/>
          </w:tcPr>
          <w:p w14:paraId="10A08693" w14:textId="77777777" w:rsidR="00D90549" w:rsidRPr="00D90549" w:rsidRDefault="00D90549" w:rsidP="00857F3B">
            <w:pPr>
              <w:jc w:val="center"/>
              <w:rPr>
                <w:rFonts w:asciiTheme="majorBidi" w:hAnsiTheme="majorBidi" w:cstheme="majorBidi"/>
                <w:sz w:val="22"/>
                <w:szCs w:val="22"/>
                <w:lang w:val="en-NZ" w:eastAsia="zh-CN"/>
              </w:rPr>
            </w:pPr>
            <w:r w:rsidRPr="00D90549">
              <w:rPr>
                <w:rFonts w:asciiTheme="majorBidi" w:hAnsiTheme="majorBidi" w:cstheme="majorBidi"/>
                <w:sz w:val="22"/>
                <w:szCs w:val="22"/>
                <w:lang w:val="en-NZ" w:eastAsia="zh-CN"/>
              </w:rPr>
              <w:t>0.006</w:t>
            </w:r>
            <w:r w:rsidRPr="00D90549">
              <w:rPr>
                <w:rFonts w:asciiTheme="majorBidi" w:hAnsiTheme="majorBidi" w:cstheme="majorBidi"/>
                <w:sz w:val="22"/>
                <w:szCs w:val="22"/>
                <w:lang w:val="en-NZ" w:eastAsia="zh-CN"/>
              </w:rPr>
              <w:br/>
              <w:t>(0.029)</w:t>
            </w:r>
          </w:p>
        </w:tc>
      </w:tr>
      <w:tr w:rsidR="00D90549" w:rsidRPr="00D90549" w14:paraId="7DB67836" w14:textId="77777777" w:rsidTr="00857F3B">
        <w:trPr>
          <w:trHeight w:val="715"/>
        </w:trPr>
        <w:tc>
          <w:tcPr>
            <w:tcW w:w="6653" w:type="dxa"/>
            <w:shd w:val="clear" w:color="auto" w:fill="auto"/>
            <w:noWrap/>
            <w:vAlign w:val="center"/>
            <w:hideMark/>
          </w:tcPr>
          <w:p w14:paraId="2811E06A" w14:textId="61BFC938" w:rsidR="00D90549" w:rsidRPr="00D90549" w:rsidRDefault="00D90549" w:rsidP="00857F3B">
            <w:pPr>
              <w:rPr>
                <w:rFonts w:asciiTheme="majorBidi" w:hAnsiTheme="majorBidi" w:cstheme="majorBidi"/>
                <w:sz w:val="22"/>
                <w:szCs w:val="22"/>
                <w:lang w:val="en-NZ" w:eastAsia="zh-CN"/>
              </w:rPr>
            </w:pPr>
            <w:r w:rsidRPr="00D90549">
              <w:rPr>
                <w:rFonts w:asciiTheme="majorBidi" w:hAnsiTheme="majorBidi" w:cstheme="majorBidi"/>
                <w:sz w:val="22"/>
                <w:szCs w:val="22"/>
              </w:rPr>
              <w:t xml:space="preserve">Male </w:t>
            </w:r>
            <w:r w:rsidR="00B424D7" w:rsidRPr="00D90549">
              <w:rPr>
                <w:rFonts w:asciiTheme="majorBidi" w:hAnsiTheme="majorBidi" w:cstheme="majorBidi"/>
                <w:sz w:val="22"/>
                <w:szCs w:val="22"/>
              </w:rPr>
              <w:t>Primary S</w:t>
            </w:r>
            <w:r w:rsidR="00B424D7">
              <w:rPr>
                <w:rFonts w:asciiTheme="majorBidi" w:hAnsiTheme="majorBidi" w:cstheme="majorBidi"/>
                <w:sz w:val="22"/>
                <w:szCs w:val="22"/>
              </w:rPr>
              <w:t xml:space="preserve">chool </w:t>
            </w:r>
            <w:r w:rsidR="00B424D7" w:rsidRPr="00D90549">
              <w:rPr>
                <w:rFonts w:asciiTheme="majorBidi" w:hAnsiTheme="majorBidi" w:cstheme="majorBidi"/>
                <w:sz w:val="22"/>
                <w:szCs w:val="22"/>
              </w:rPr>
              <w:t>Enrolment</w:t>
            </w:r>
          </w:p>
        </w:tc>
        <w:tc>
          <w:tcPr>
            <w:tcW w:w="2237" w:type="dxa"/>
            <w:shd w:val="clear" w:color="auto" w:fill="auto"/>
            <w:vAlign w:val="center"/>
            <w:hideMark/>
          </w:tcPr>
          <w:p w14:paraId="50DB075E" w14:textId="77777777" w:rsidR="00D90549" w:rsidRPr="00D90549" w:rsidRDefault="00D90549" w:rsidP="00857F3B">
            <w:pPr>
              <w:jc w:val="center"/>
              <w:rPr>
                <w:rFonts w:asciiTheme="majorBidi" w:hAnsiTheme="majorBidi" w:cstheme="majorBidi"/>
                <w:sz w:val="22"/>
                <w:szCs w:val="22"/>
                <w:lang w:val="en-NZ" w:eastAsia="zh-CN"/>
              </w:rPr>
            </w:pPr>
            <w:r w:rsidRPr="00D90549">
              <w:rPr>
                <w:rFonts w:asciiTheme="majorBidi" w:hAnsiTheme="majorBidi" w:cstheme="majorBidi"/>
                <w:sz w:val="22"/>
                <w:szCs w:val="22"/>
                <w:lang w:val="en-NZ" w:eastAsia="zh-CN"/>
              </w:rPr>
              <w:t>-0.011</w:t>
            </w:r>
            <w:r w:rsidRPr="00D90549">
              <w:rPr>
                <w:rFonts w:asciiTheme="majorBidi" w:hAnsiTheme="majorBidi" w:cstheme="majorBidi"/>
                <w:sz w:val="22"/>
                <w:szCs w:val="22"/>
                <w:lang w:val="en-NZ" w:eastAsia="zh-CN"/>
              </w:rPr>
              <w:br/>
              <w:t>(0.028)</w:t>
            </w:r>
          </w:p>
        </w:tc>
      </w:tr>
      <w:tr w:rsidR="00D90549" w:rsidRPr="00D90549" w14:paraId="1B5592EA" w14:textId="77777777" w:rsidTr="00857F3B">
        <w:trPr>
          <w:trHeight w:val="715"/>
        </w:trPr>
        <w:tc>
          <w:tcPr>
            <w:tcW w:w="6653" w:type="dxa"/>
            <w:shd w:val="clear" w:color="auto" w:fill="auto"/>
            <w:noWrap/>
            <w:vAlign w:val="center"/>
            <w:hideMark/>
          </w:tcPr>
          <w:p w14:paraId="5C2EB25E" w14:textId="50443B8E" w:rsidR="00D90549" w:rsidRPr="00D90549" w:rsidRDefault="00D90549" w:rsidP="00857F3B">
            <w:pPr>
              <w:rPr>
                <w:rFonts w:asciiTheme="majorBidi" w:hAnsiTheme="majorBidi" w:cstheme="majorBidi"/>
                <w:sz w:val="22"/>
                <w:szCs w:val="22"/>
                <w:lang w:val="en-NZ" w:eastAsia="zh-CN"/>
              </w:rPr>
            </w:pPr>
            <w:r w:rsidRPr="00D90549">
              <w:rPr>
                <w:rFonts w:asciiTheme="majorBidi" w:hAnsiTheme="majorBidi" w:cstheme="majorBidi"/>
                <w:sz w:val="22"/>
                <w:szCs w:val="22"/>
              </w:rPr>
              <w:t xml:space="preserve">Log of GDP </w:t>
            </w:r>
            <w:r w:rsidR="00B424D7">
              <w:rPr>
                <w:rFonts w:asciiTheme="majorBidi" w:hAnsiTheme="majorBidi" w:cstheme="majorBidi"/>
                <w:sz w:val="22"/>
                <w:szCs w:val="22"/>
              </w:rPr>
              <w:t>P</w:t>
            </w:r>
            <w:r w:rsidRPr="00D90549">
              <w:rPr>
                <w:rFonts w:asciiTheme="majorBidi" w:hAnsiTheme="majorBidi" w:cstheme="majorBidi"/>
                <w:sz w:val="22"/>
                <w:szCs w:val="22"/>
              </w:rPr>
              <w:t xml:space="preserve">er </w:t>
            </w:r>
            <w:r w:rsidR="00B424D7">
              <w:rPr>
                <w:rFonts w:asciiTheme="majorBidi" w:hAnsiTheme="majorBidi" w:cstheme="majorBidi"/>
                <w:sz w:val="22"/>
                <w:szCs w:val="22"/>
              </w:rPr>
              <w:t>C</w:t>
            </w:r>
            <w:r w:rsidRPr="00D90549">
              <w:rPr>
                <w:rFonts w:asciiTheme="majorBidi" w:hAnsiTheme="majorBidi" w:cstheme="majorBidi"/>
                <w:sz w:val="22"/>
                <w:szCs w:val="22"/>
              </w:rPr>
              <w:t>apita</w:t>
            </w:r>
          </w:p>
        </w:tc>
        <w:tc>
          <w:tcPr>
            <w:tcW w:w="2237" w:type="dxa"/>
            <w:shd w:val="clear" w:color="auto" w:fill="auto"/>
            <w:vAlign w:val="center"/>
            <w:hideMark/>
          </w:tcPr>
          <w:p w14:paraId="067D98A5" w14:textId="77777777" w:rsidR="00D90549" w:rsidRPr="00D90549" w:rsidRDefault="00D90549" w:rsidP="00857F3B">
            <w:pPr>
              <w:jc w:val="center"/>
              <w:rPr>
                <w:rFonts w:asciiTheme="majorBidi" w:hAnsiTheme="majorBidi" w:cstheme="majorBidi"/>
                <w:sz w:val="22"/>
                <w:szCs w:val="22"/>
                <w:lang w:val="en-NZ" w:eastAsia="zh-CN"/>
              </w:rPr>
            </w:pPr>
            <w:r w:rsidRPr="00D90549">
              <w:rPr>
                <w:rFonts w:asciiTheme="majorBidi" w:hAnsiTheme="majorBidi" w:cstheme="majorBidi"/>
                <w:sz w:val="22"/>
                <w:szCs w:val="22"/>
                <w:lang w:val="en-NZ" w:eastAsia="zh-CN"/>
              </w:rPr>
              <w:t>-1.767</w:t>
            </w:r>
            <w:r w:rsidRPr="00D90549">
              <w:rPr>
                <w:rFonts w:asciiTheme="majorBidi" w:hAnsiTheme="majorBidi" w:cstheme="majorBidi"/>
                <w:sz w:val="22"/>
                <w:szCs w:val="22"/>
                <w:lang w:val="en-NZ" w:eastAsia="zh-CN"/>
              </w:rPr>
              <w:br/>
              <w:t xml:space="preserve">     (0.370)***</w:t>
            </w:r>
          </w:p>
        </w:tc>
      </w:tr>
      <w:tr w:rsidR="00D90549" w:rsidRPr="00D90549" w14:paraId="74A4AC9B" w14:textId="77777777" w:rsidTr="00857F3B">
        <w:trPr>
          <w:trHeight w:val="715"/>
        </w:trPr>
        <w:tc>
          <w:tcPr>
            <w:tcW w:w="6653" w:type="dxa"/>
            <w:shd w:val="clear" w:color="auto" w:fill="auto"/>
            <w:noWrap/>
            <w:vAlign w:val="center"/>
            <w:hideMark/>
          </w:tcPr>
          <w:p w14:paraId="3CF1CB7D" w14:textId="71B3B3F0" w:rsidR="00D90549" w:rsidRPr="00D90549" w:rsidRDefault="00D90549" w:rsidP="00857F3B">
            <w:pPr>
              <w:rPr>
                <w:rFonts w:asciiTheme="majorBidi" w:hAnsiTheme="majorBidi" w:cstheme="majorBidi"/>
                <w:sz w:val="22"/>
                <w:szCs w:val="22"/>
                <w:lang w:val="en-NZ" w:eastAsia="zh-CN"/>
              </w:rPr>
            </w:pPr>
            <w:r w:rsidRPr="00D90549">
              <w:rPr>
                <w:rFonts w:asciiTheme="majorBidi" w:hAnsiTheme="majorBidi" w:cstheme="majorBidi"/>
                <w:sz w:val="22"/>
                <w:szCs w:val="22"/>
              </w:rPr>
              <w:t xml:space="preserve">Urban </w:t>
            </w:r>
            <w:r w:rsidR="00B424D7">
              <w:rPr>
                <w:rFonts w:asciiTheme="majorBidi" w:hAnsiTheme="majorBidi" w:cstheme="majorBidi"/>
                <w:sz w:val="22"/>
                <w:szCs w:val="22"/>
              </w:rPr>
              <w:t>Percent</w:t>
            </w:r>
            <w:r w:rsidRPr="00D90549">
              <w:rPr>
                <w:rFonts w:asciiTheme="majorBidi" w:hAnsiTheme="majorBidi" w:cstheme="majorBidi"/>
                <w:sz w:val="22"/>
                <w:szCs w:val="22"/>
              </w:rPr>
              <w:t xml:space="preserve"> of </w:t>
            </w:r>
            <w:r w:rsidR="00B424D7">
              <w:rPr>
                <w:rFonts w:asciiTheme="majorBidi" w:hAnsiTheme="majorBidi" w:cstheme="majorBidi"/>
                <w:sz w:val="22"/>
                <w:szCs w:val="22"/>
              </w:rPr>
              <w:t>P</w:t>
            </w:r>
            <w:r w:rsidRPr="00D90549">
              <w:rPr>
                <w:rFonts w:asciiTheme="majorBidi" w:hAnsiTheme="majorBidi" w:cstheme="majorBidi"/>
                <w:sz w:val="22"/>
                <w:szCs w:val="22"/>
              </w:rPr>
              <w:t>opulation</w:t>
            </w:r>
          </w:p>
        </w:tc>
        <w:tc>
          <w:tcPr>
            <w:tcW w:w="2237" w:type="dxa"/>
            <w:shd w:val="clear" w:color="auto" w:fill="auto"/>
            <w:vAlign w:val="center"/>
            <w:hideMark/>
          </w:tcPr>
          <w:p w14:paraId="231841E5" w14:textId="77777777" w:rsidR="00D90549" w:rsidRPr="00D90549" w:rsidRDefault="00D90549" w:rsidP="00857F3B">
            <w:pPr>
              <w:jc w:val="center"/>
              <w:rPr>
                <w:rFonts w:asciiTheme="majorBidi" w:hAnsiTheme="majorBidi" w:cstheme="majorBidi"/>
                <w:sz w:val="22"/>
                <w:szCs w:val="22"/>
                <w:lang w:val="en-NZ" w:eastAsia="zh-CN"/>
              </w:rPr>
            </w:pPr>
            <w:r w:rsidRPr="00D90549">
              <w:rPr>
                <w:rFonts w:asciiTheme="majorBidi" w:hAnsiTheme="majorBidi" w:cstheme="majorBidi"/>
                <w:sz w:val="22"/>
                <w:szCs w:val="22"/>
                <w:lang w:val="en-NZ" w:eastAsia="zh-CN"/>
              </w:rPr>
              <w:t>-0.444</w:t>
            </w:r>
            <w:r w:rsidRPr="00D90549">
              <w:rPr>
                <w:rFonts w:asciiTheme="majorBidi" w:hAnsiTheme="majorBidi" w:cstheme="majorBidi"/>
                <w:sz w:val="22"/>
                <w:szCs w:val="22"/>
                <w:lang w:val="en-NZ" w:eastAsia="zh-CN"/>
              </w:rPr>
              <w:br/>
              <w:t xml:space="preserve">     (0.059)***</w:t>
            </w:r>
          </w:p>
        </w:tc>
      </w:tr>
      <w:tr w:rsidR="00D90549" w:rsidRPr="00D90549" w14:paraId="6128B99E" w14:textId="77777777" w:rsidTr="00857F3B">
        <w:trPr>
          <w:trHeight w:val="389"/>
        </w:trPr>
        <w:tc>
          <w:tcPr>
            <w:tcW w:w="6653" w:type="dxa"/>
            <w:shd w:val="clear" w:color="auto" w:fill="auto"/>
            <w:noWrap/>
            <w:vAlign w:val="center"/>
          </w:tcPr>
          <w:p w14:paraId="6C7E9BE9" w14:textId="77777777" w:rsidR="00D90549" w:rsidRPr="00D90549" w:rsidRDefault="00D90549" w:rsidP="00857F3B">
            <w:pPr>
              <w:rPr>
                <w:rFonts w:asciiTheme="majorBidi" w:hAnsiTheme="majorBidi" w:cstheme="majorBidi"/>
                <w:sz w:val="22"/>
                <w:szCs w:val="22"/>
                <w:lang w:val="en-NZ" w:eastAsia="zh-CN"/>
              </w:rPr>
            </w:pPr>
            <w:r w:rsidRPr="00D90549">
              <w:rPr>
                <w:rFonts w:asciiTheme="majorBidi" w:hAnsiTheme="majorBidi" w:cstheme="majorBidi"/>
                <w:sz w:val="22"/>
                <w:szCs w:val="22"/>
                <w:lang w:val="en-NZ" w:eastAsia="zh-CN"/>
              </w:rPr>
              <w:t>N</w:t>
            </w:r>
          </w:p>
        </w:tc>
        <w:tc>
          <w:tcPr>
            <w:tcW w:w="2237" w:type="dxa"/>
            <w:shd w:val="clear" w:color="auto" w:fill="auto"/>
            <w:vAlign w:val="center"/>
          </w:tcPr>
          <w:p w14:paraId="50301F2C" w14:textId="77777777" w:rsidR="00D90549" w:rsidRPr="00D90549" w:rsidRDefault="00D90549" w:rsidP="00857F3B">
            <w:pPr>
              <w:jc w:val="center"/>
              <w:rPr>
                <w:rFonts w:asciiTheme="majorBidi" w:hAnsiTheme="majorBidi" w:cstheme="majorBidi"/>
                <w:sz w:val="22"/>
                <w:szCs w:val="22"/>
                <w:lang w:val="en-NZ" w:eastAsia="zh-CN"/>
              </w:rPr>
            </w:pPr>
            <w:r w:rsidRPr="00D90549">
              <w:rPr>
                <w:rFonts w:asciiTheme="majorBidi" w:hAnsiTheme="majorBidi" w:cstheme="majorBidi"/>
                <w:sz w:val="22"/>
                <w:szCs w:val="22"/>
                <w:lang w:val="en-NZ" w:eastAsia="zh-CN"/>
              </w:rPr>
              <w:t>1242</w:t>
            </w:r>
          </w:p>
        </w:tc>
      </w:tr>
      <w:tr w:rsidR="00D90549" w:rsidRPr="00D90549" w14:paraId="4A3AA8C6" w14:textId="77777777" w:rsidTr="00857F3B">
        <w:trPr>
          <w:trHeight w:val="377"/>
        </w:trPr>
        <w:tc>
          <w:tcPr>
            <w:tcW w:w="6653" w:type="dxa"/>
            <w:tcBorders>
              <w:bottom w:val="single" w:sz="4" w:space="0" w:color="auto"/>
            </w:tcBorders>
            <w:shd w:val="clear" w:color="auto" w:fill="auto"/>
            <w:noWrap/>
            <w:vAlign w:val="center"/>
          </w:tcPr>
          <w:p w14:paraId="7265CC0B" w14:textId="44DE95C4" w:rsidR="00D90549" w:rsidRPr="00D90549" w:rsidRDefault="00D90549" w:rsidP="00857F3B">
            <w:pPr>
              <w:rPr>
                <w:rFonts w:asciiTheme="majorBidi" w:hAnsiTheme="majorBidi" w:cstheme="majorBidi"/>
                <w:sz w:val="22"/>
                <w:szCs w:val="22"/>
                <w:lang w:val="en-NZ" w:eastAsia="zh-CN"/>
              </w:rPr>
            </w:pPr>
            <w:r w:rsidRPr="00D90549">
              <w:rPr>
                <w:rFonts w:asciiTheme="majorBidi" w:hAnsiTheme="majorBidi" w:cstheme="majorBidi"/>
                <w:sz w:val="22"/>
                <w:szCs w:val="22"/>
                <w:lang w:val="en-NZ" w:eastAsia="zh-CN"/>
              </w:rPr>
              <w:t xml:space="preserve">Number of </w:t>
            </w:r>
            <w:r w:rsidR="00B424D7">
              <w:rPr>
                <w:rFonts w:asciiTheme="majorBidi" w:hAnsiTheme="majorBidi" w:cstheme="majorBidi"/>
                <w:sz w:val="22"/>
                <w:szCs w:val="22"/>
                <w:lang w:val="en-NZ" w:eastAsia="zh-CN"/>
              </w:rPr>
              <w:t>C</w:t>
            </w:r>
            <w:r w:rsidRPr="00D90549">
              <w:rPr>
                <w:rFonts w:asciiTheme="majorBidi" w:hAnsiTheme="majorBidi" w:cstheme="majorBidi"/>
                <w:sz w:val="22"/>
                <w:szCs w:val="22"/>
                <w:lang w:val="en-NZ" w:eastAsia="zh-CN"/>
              </w:rPr>
              <w:t>ountries</w:t>
            </w:r>
          </w:p>
        </w:tc>
        <w:tc>
          <w:tcPr>
            <w:tcW w:w="2237" w:type="dxa"/>
            <w:tcBorders>
              <w:bottom w:val="single" w:sz="4" w:space="0" w:color="auto"/>
            </w:tcBorders>
            <w:shd w:val="clear" w:color="auto" w:fill="auto"/>
            <w:vAlign w:val="center"/>
          </w:tcPr>
          <w:p w14:paraId="4651C68B" w14:textId="77777777" w:rsidR="00D90549" w:rsidRPr="00D90549" w:rsidRDefault="00D90549" w:rsidP="00857F3B">
            <w:pPr>
              <w:jc w:val="center"/>
              <w:rPr>
                <w:rFonts w:asciiTheme="majorBidi" w:hAnsiTheme="majorBidi" w:cstheme="majorBidi"/>
                <w:sz w:val="22"/>
                <w:szCs w:val="22"/>
                <w:lang w:val="en-NZ" w:eastAsia="zh-CN"/>
              </w:rPr>
            </w:pPr>
            <w:r w:rsidRPr="00D90549">
              <w:rPr>
                <w:rFonts w:asciiTheme="majorBidi" w:hAnsiTheme="majorBidi" w:cstheme="majorBidi"/>
                <w:sz w:val="22"/>
                <w:szCs w:val="22"/>
                <w:lang w:val="en-NZ" w:eastAsia="zh-CN"/>
              </w:rPr>
              <w:t>101</w:t>
            </w:r>
          </w:p>
        </w:tc>
      </w:tr>
    </w:tbl>
    <w:p w14:paraId="47698B72" w14:textId="77777777" w:rsidR="00D90549" w:rsidRPr="00D90549" w:rsidRDefault="00D90549" w:rsidP="00D90549">
      <w:pPr>
        <w:rPr>
          <w:rFonts w:asciiTheme="majorBidi" w:hAnsiTheme="majorBidi" w:cstheme="majorBidi"/>
          <w:sz w:val="20"/>
          <w:szCs w:val="22"/>
        </w:rPr>
      </w:pPr>
      <w:r w:rsidRPr="00D90549">
        <w:rPr>
          <w:rFonts w:asciiTheme="majorBidi" w:hAnsiTheme="majorBidi" w:cstheme="majorBidi"/>
          <w:sz w:val="20"/>
          <w:szCs w:val="22"/>
        </w:rPr>
        <w:t>* p&lt;0.1; ** p&lt;0.05; *** p&lt;0.01</w:t>
      </w:r>
    </w:p>
    <w:p w14:paraId="37177440" w14:textId="77777777" w:rsidR="00D90549" w:rsidRPr="00D90549" w:rsidRDefault="00D90549" w:rsidP="00D90549">
      <w:pPr>
        <w:widowControl w:val="0"/>
        <w:autoSpaceDE w:val="0"/>
        <w:autoSpaceDN w:val="0"/>
        <w:adjustRightInd w:val="0"/>
        <w:rPr>
          <w:rFonts w:asciiTheme="majorBidi" w:hAnsiTheme="majorBidi" w:cstheme="majorBidi"/>
          <w:sz w:val="20"/>
          <w:szCs w:val="22"/>
        </w:rPr>
      </w:pPr>
      <w:r w:rsidRPr="00D90549">
        <w:rPr>
          <w:rFonts w:asciiTheme="majorBidi" w:hAnsiTheme="majorBidi" w:cstheme="majorBidi"/>
          <w:sz w:val="20"/>
          <w:szCs w:val="22"/>
        </w:rPr>
        <w:t>Country level clustered standard errors are in parentheses</w:t>
      </w:r>
    </w:p>
    <w:p w14:paraId="19D37AF1" w14:textId="77777777" w:rsidR="00D90549" w:rsidRPr="00D90549" w:rsidRDefault="00D90549" w:rsidP="00D90549">
      <w:pPr>
        <w:rPr>
          <w:rFonts w:asciiTheme="majorBidi" w:hAnsiTheme="majorBidi" w:cstheme="majorBidi"/>
          <w:sz w:val="22"/>
          <w:szCs w:val="22"/>
        </w:rPr>
      </w:pPr>
    </w:p>
    <w:p w14:paraId="7E182345" w14:textId="6D00B764" w:rsidR="00467FE6" w:rsidRPr="00C925C5" w:rsidRDefault="00467FE6" w:rsidP="00A214AB">
      <w:pPr>
        <w:widowControl w:val="0"/>
        <w:tabs>
          <w:tab w:val="left" w:pos="567"/>
        </w:tabs>
        <w:autoSpaceDE w:val="0"/>
        <w:autoSpaceDN w:val="0"/>
        <w:adjustRightInd w:val="0"/>
        <w:rPr>
          <w:sz w:val="22"/>
          <w:szCs w:val="22"/>
        </w:rPr>
      </w:pPr>
    </w:p>
    <w:sectPr w:rsidR="00467FE6" w:rsidRPr="00C925C5" w:rsidSect="00857F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332E" w14:textId="77777777" w:rsidR="00D531A2" w:rsidRDefault="00D531A2" w:rsidP="00041B51">
      <w:r>
        <w:separator/>
      </w:r>
    </w:p>
  </w:endnote>
  <w:endnote w:type="continuationSeparator" w:id="0">
    <w:p w14:paraId="49EAE6DE" w14:textId="77777777" w:rsidR="00D531A2" w:rsidRDefault="00D531A2" w:rsidP="0004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SABOR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506127"/>
      <w:docPartObj>
        <w:docPartGallery w:val="Page Numbers (Bottom of Page)"/>
        <w:docPartUnique/>
      </w:docPartObj>
    </w:sdtPr>
    <w:sdtEndPr>
      <w:rPr>
        <w:noProof/>
      </w:rPr>
    </w:sdtEndPr>
    <w:sdtContent>
      <w:p w14:paraId="40A93279" w14:textId="636D1F6F" w:rsidR="005A611B" w:rsidRDefault="005A611B">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36022DE4" w14:textId="77777777" w:rsidR="005A611B" w:rsidRDefault="005A611B" w:rsidP="00C764AE">
    <w:pPr>
      <w:pStyle w:val="Footer"/>
      <w:tabs>
        <w:tab w:val="clear" w:pos="4513"/>
        <w:tab w:val="clear" w:pos="9026"/>
        <w:tab w:val="left" w:pos="32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29259" w14:textId="77777777" w:rsidR="00D531A2" w:rsidRDefault="00D531A2" w:rsidP="00041B51">
      <w:r>
        <w:separator/>
      </w:r>
    </w:p>
  </w:footnote>
  <w:footnote w:type="continuationSeparator" w:id="0">
    <w:p w14:paraId="6F2482E5" w14:textId="77777777" w:rsidR="00D531A2" w:rsidRDefault="00D531A2" w:rsidP="00041B51">
      <w:r>
        <w:continuationSeparator/>
      </w:r>
    </w:p>
  </w:footnote>
  <w:footnote w:id="1">
    <w:p w14:paraId="4BF23150" w14:textId="77777777" w:rsidR="005A611B" w:rsidRPr="00467FE6" w:rsidRDefault="005A611B" w:rsidP="00FE18A8">
      <w:pPr>
        <w:pStyle w:val="FootnoteText"/>
        <w:ind w:left="284" w:hanging="284"/>
        <w:jc w:val="both"/>
        <w:rPr>
          <w:rStyle w:val="Hyperlink"/>
          <w:rFonts w:eastAsiaTheme="majorEastAsia"/>
          <w:color w:val="auto"/>
          <w:sz w:val="22"/>
          <w:szCs w:val="22"/>
          <w:u w:val="none"/>
        </w:rPr>
      </w:pPr>
      <w:r w:rsidRPr="00467FE6">
        <w:rPr>
          <w:rStyle w:val="FootnoteReference"/>
          <w:sz w:val="22"/>
          <w:szCs w:val="22"/>
        </w:rPr>
        <w:footnoteRef/>
      </w:r>
      <w:r w:rsidRPr="00467FE6">
        <w:rPr>
          <w:sz w:val="22"/>
          <w:szCs w:val="22"/>
        </w:rPr>
        <w:t xml:space="preserve"> </w:t>
      </w:r>
      <w:r w:rsidRPr="00467FE6">
        <w:rPr>
          <w:sz w:val="22"/>
          <w:szCs w:val="22"/>
        </w:rPr>
        <w:tab/>
      </w:r>
      <w:hyperlink r:id="rId1" w:history="1">
        <w:r w:rsidRPr="00467FE6">
          <w:rPr>
            <w:rStyle w:val="Hyperlink"/>
            <w:rFonts w:eastAsiaTheme="majorEastAsia"/>
            <w:color w:val="auto"/>
            <w:sz w:val="22"/>
            <w:szCs w:val="22"/>
            <w:u w:val="none"/>
          </w:rPr>
          <w:t>https://data.worldbank.org/data-catalog/world-development-indicators</w:t>
        </w:r>
      </w:hyperlink>
    </w:p>
    <w:p w14:paraId="255AAD1F" w14:textId="77777777" w:rsidR="005A611B" w:rsidRPr="00025D28" w:rsidRDefault="005A611B" w:rsidP="00FE18A8">
      <w:pPr>
        <w:pStyle w:val="FootnoteText"/>
        <w:ind w:left="284" w:hanging="284"/>
        <w:jc w:val="both"/>
        <w:rPr>
          <w:sz w:val="10"/>
          <w:szCs w:val="10"/>
        </w:rPr>
      </w:pPr>
    </w:p>
  </w:footnote>
  <w:footnote w:id="2">
    <w:p w14:paraId="22B036AF" w14:textId="77777777" w:rsidR="005A611B" w:rsidRPr="00467FE6" w:rsidRDefault="005A611B" w:rsidP="00FE18A8">
      <w:pPr>
        <w:pStyle w:val="FootnoteText"/>
        <w:ind w:left="284" w:hanging="284"/>
        <w:jc w:val="both"/>
        <w:rPr>
          <w:rStyle w:val="Hyperlink"/>
          <w:rFonts w:eastAsiaTheme="majorEastAsia"/>
          <w:color w:val="auto"/>
          <w:sz w:val="22"/>
          <w:szCs w:val="22"/>
          <w:u w:val="none"/>
        </w:rPr>
      </w:pPr>
      <w:r w:rsidRPr="00467FE6">
        <w:rPr>
          <w:rStyle w:val="FootnoteReference"/>
          <w:sz w:val="22"/>
          <w:szCs w:val="22"/>
        </w:rPr>
        <w:footnoteRef/>
      </w:r>
      <w:r w:rsidRPr="00467FE6">
        <w:rPr>
          <w:sz w:val="22"/>
          <w:szCs w:val="22"/>
        </w:rPr>
        <w:t xml:space="preserve"> </w:t>
      </w:r>
      <w:r w:rsidRPr="00467FE6">
        <w:rPr>
          <w:sz w:val="22"/>
          <w:szCs w:val="22"/>
        </w:rPr>
        <w:tab/>
      </w:r>
      <w:hyperlink r:id="rId2" w:history="1">
        <w:r w:rsidRPr="00467FE6">
          <w:rPr>
            <w:rStyle w:val="Hyperlink"/>
            <w:rFonts w:eastAsiaTheme="majorEastAsia"/>
            <w:color w:val="auto"/>
            <w:sz w:val="22"/>
            <w:szCs w:val="22"/>
            <w:u w:val="none"/>
          </w:rPr>
          <w:t>http://www.who.int/gho/en/</w:t>
        </w:r>
      </w:hyperlink>
    </w:p>
    <w:p w14:paraId="5D2EA8CC" w14:textId="77777777" w:rsidR="005A611B" w:rsidRPr="00025D28" w:rsidRDefault="005A611B" w:rsidP="00FE18A8">
      <w:pPr>
        <w:pStyle w:val="FootnoteText"/>
        <w:ind w:left="284" w:hanging="284"/>
        <w:jc w:val="both"/>
        <w:rPr>
          <w:sz w:val="10"/>
          <w:szCs w:val="10"/>
        </w:rPr>
      </w:pPr>
    </w:p>
  </w:footnote>
  <w:footnote w:id="3">
    <w:p w14:paraId="620E700D" w14:textId="77777777" w:rsidR="005A611B" w:rsidRPr="00467FE6" w:rsidRDefault="005A611B" w:rsidP="00FE18A8">
      <w:pPr>
        <w:pStyle w:val="FootnoteText"/>
        <w:ind w:left="284" w:hanging="284"/>
        <w:jc w:val="both"/>
        <w:rPr>
          <w:rStyle w:val="Hyperlink"/>
          <w:rFonts w:eastAsiaTheme="majorEastAsia"/>
          <w:color w:val="auto"/>
          <w:sz w:val="22"/>
          <w:szCs w:val="22"/>
          <w:u w:val="none"/>
        </w:rPr>
      </w:pPr>
      <w:r w:rsidRPr="00467FE6">
        <w:rPr>
          <w:rStyle w:val="FootnoteReference"/>
          <w:sz w:val="22"/>
          <w:szCs w:val="22"/>
        </w:rPr>
        <w:footnoteRef/>
      </w:r>
      <w:r w:rsidRPr="00467FE6">
        <w:rPr>
          <w:sz w:val="22"/>
          <w:szCs w:val="22"/>
        </w:rPr>
        <w:t xml:space="preserve"> </w:t>
      </w:r>
      <w:r w:rsidRPr="00467FE6">
        <w:rPr>
          <w:sz w:val="22"/>
          <w:szCs w:val="22"/>
        </w:rPr>
        <w:tab/>
      </w:r>
      <w:hyperlink r:id="rId3" w:history="1">
        <w:r w:rsidRPr="00467FE6">
          <w:rPr>
            <w:rStyle w:val="Hyperlink"/>
            <w:rFonts w:eastAsiaTheme="majorEastAsia"/>
            <w:color w:val="auto"/>
            <w:sz w:val="22"/>
            <w:szCs w:val="22"/>
            <w:u w:val="none"/>
          </w:rPr>
          <w:t>https://unstats.un.org/unsd/energy/edbase.htm</w:t>
        </w:r>
      </w:hyperlink>
    </w:p>
    <w:p w14:paraId="5EED89AC" w14:textId="77777777" w:rsidR="005A611B" w:rsidRPr="00025D28" w:rsidRDefault="005A611B" w:rsidP="00FE18A8">
      <w:pPr>
        <w:pStyle w:val="FootnoteText"/>
        <w:ind w:left="284" w:hanging="284"/>
        <w:jc w:val="both"/>
        <w:rPr>
          <w:sz w:val="10"/>
          <w:szCs w:val="10"/>
        </w:rPr>
      </w:pPr>
    </w:p>
  </w:footnote>
  <w:footnote w:id="4">
    <w:p w14:paraId="6CA7C89B" w14:textId="13C27386" w:rsidR="005A611B" w:rsidRPr="009337B3" w:rsidRDefault="005A611B" w:rsidP="00875B83">
      <w:pPr>
        <w:pStyle w:val="FootnoteText"/>
        <w:ind w:left="284" w:hanging="284"/>
        <w:rPr>
          <w:sz w:val="22"/>
          <w:szCs w:val="22"/>
        </w:rPr>
      </w:pPr>
      <w:r w:rsidRPr="00467FE6">
        <w:rPr>
          <w:rStyle w:val="FootnoteReference"/>
          <w:sz w:val="22"/>
          <w:szCs w:val="22"/>
        </w:rPr>
        <w:footnoteRef/>
      </w:r>
      <w:r w:rsidRPr="00467FE6">
        <w:rPr>
          <w:sz w:val="22"/>
          <w:szCs w:val="22"/>
        </w:rPr>
        <w:t xml:space="preserve"> </w:t>
      </w:r>
      <w:r w:rsidRPr="00467FE6">
        <w:rPr>
          <w:sz w:val="22"/>
          <w:szCs w:val="22"/>
        </w:rPr>
        <w:tab/>
        <w:t>We used an online calculator for this conversion</w:t>
      </w:r>
      <w:r>
        <w:rPr>
          <w:sz w:val="22"/>
          <w:szCs w:val="22"/>
        </w:rPr>
        <w:t xml:space="preserve">, namely, </w:t>
      </w:r>
      <w:hyperlink r:id="rId4" w:history="1">
        <w:r w:rsidRPr="009337B3">
          <w:rPr>
            <w:rStyle w:val="Hyperlink"/>
            <w:color w:val="auto"/>
            <w:sz w:val="22"/>
            <w:szCs w:val="22"/>
          </w:rPr>
          <w:t>https://www.convertunits.com/from/tons/to/terajoule</w:t>
        </w:r>
      </w:hyperlink>
    </w:p>
    <w:p w14:paraId="786B64B3" w14:textId="77777777" w:rsidR="005A611B" w:rsidRPr="009337B3" w:rsidRDefault="005A611B" w:rsidP="00875B83">
      <w:pPr>
        <w:pStyle w:val="FootnoteText"/>
        <w:ind w:left="284" w:hanging="284"/>
        <w:rPr>
          <w:sz w:val="10"/>
          <w:szCs w:val="10"/>
        </w:rPr>
      </w:pPr>
    </w:p>
  </w:footnote>
  <w:footnote w:id="5">
    <w:p w14:paraId="2E642EE9" w14:textId="34F0205A" w:rsidR="005A611B" w:rsidRPr="00467FE6" w:rsidRDefault="005A611B" w:rsidP="00C07215">
      <w:pPr>
        <w:pStyle w:val="FootnoteText"/>
        <w:ind w:left="284" w:hanging="284"/>
        <w:rPr>
          <w:sz w:val="22"/>
          <w:szCs w:val="22"/>
        </w:rPr>
      </w:pPr>
      <w:r w:rsidRPr="00467FE6">
        <w:rPr>
          <w:rStyle w:val="FootnoteReference"/>
          <w:sz w:val="22"/>
          <w:szCs w:val="22"/>
        </w:rPr>
        <w:footnoteRef/>
      </w:r>
      <w:r w:rsidRPr="00467FE6">
        <w:rPr>
          <w:sz w:val="22"/>
          <w:szCs w:val="22"/>
        </w:rPr>
        <w:t xml:space="preserve"> </w:t>
      </w:r>
      <w:r w:rsidRPr="00467FE6">
        <w:rPr>
          <w:sz w:val="22"/>
          <w:szCs w:val="22"/>
        </w:rPr>
        <w:tab/>
        <w:t>The World Bank classifies these categories based on mainly Gross National Income (GNI). For details see: https://datahelpdesk.worldbank.org/knowledgebase/articles/378833-how-are-the-income-group-thresholds-determined.</w:t>
      </w:r>
    </w:p>
  </w:footnote>
  <w:footnote w:id="6">
    <w:p w14:paraId="0D1A008B" w14:textId="016D8625" w:rsidR="005A611B" w:rsidRDefault="005A611B" w:rsidP="00A52CC9">
      <w:pPr>
        <w:pStyle w:val="FootnoteText"/>
        <w:ind w:left="284" w:hanging="284"/>
        <w:jc w:val="both"/>
        <w:rPr>
          <w:sz w:val="22"/>
          <w:szCs w:val="22"/>
        </w:rPr>
      </w:pPr>
      <w:r w:rsidRPr="00467FE6">
        <w:rPr>
          <w:rStyle w:val="FootnoteReference"/>
          <w:sz w:val="22"/>
          <w:szCs w:val="22"/>
        </w:rPr>
        <w:footnoteRef/>
      </w:r>
      <w:r w:rsidRPr="00467FE6">
        <w:rPr>
          <w:sz w:val="22"/>
          <w:szCs w:val="22"/>
        </w:rPr>
        <w:t xml:space="preserve">  </w:t>
      </w:r>
      <w:r w:rsidRPr="00467FE6">
        <w:rPr>
          <w:sz w:val="22"/>
          <w:szCs w:val="22"/>
        </w:rPr>
        <w:tab/>
        <w:t>Armenia, Austria, Belarus, Bulgaria, Croatia, Czech Republic, Estonia, Finland, France, Great Britain, Hungary, Italy, Kazakhstan, Kyrgyzstan, Latvia, Liechtenstein, Lithuania, Moldova, Mongolia, Netherlands, New Zealand, Poland, Romania, Russia, Singapore, Slovenia, Sweden, Switzerland, Ukraine, USA and Vietnam.</w:t>
      </w:r>
    </w:p>
    <w:p w14:paraId="47D1F823" w14:textId="77777777" w:rsidR="005A611B" w:rsidRPr="00532B57" w:rsidRDefault="005A611B" w:rsidP="00A52CC9">
      <w:pPr>
        <w:pStyle w:val="FootnoteText"/>
        <w:ind w:left="284" w:hanging="284"/>
        <w:jc w:val="both"/>
        <w:rPr>
          <w:sz w:val="10"/>
          <w:szCs w:val="10"/>
        </w:rPr>
      </w:pPr>
    </w:p>
  </w:footnote>
  <w:footnote w:id="7">
    <w:p w14:paraId="60FDDAA5" w14:textId="61BFDB9B" w:rsidR="005A611B" w:rsidRPr="00467FE6" w:rsidRDefault="005A611B" w:rsidP="00A52CC9">
      <w:pPr>
        <w:pStyle w:val="FootnoteText"/>
        <w:ind w:left="284" w:hanging="284"/>
        <w:jc w:val="both"/>
        <w:rPr>
          <w:sz w:val="22"/>
          <w:szCs w:val="22"/>
        </w:rPr>
      </w:pPr>
      <w:r w:rsidRPr="00467FE6">
        <w:rPr>
          <w:rStyle w:val="FootnoteReference"/>
          <w:sz w:val="22"/>
          <w:szCs w:val="22"/>
        </w:rPr>
        <w:footnoteRef/>
      </w:r>
      <w:r w:rsidRPr="00467FE6">
        <w:rPr>
          <w:sz w:val="22"/>
          <w:szCs w:val="22"/>
        </w:rPr>
        <w:t xml:space="preserve"> </w:t>
      </w:r>
      <w:r w:rsidRPr="00467FE6">
        <w:rPr>
          <w:sz w:val="22"/>
          <w:szCs w:val="22"/>
        </w:rPr>
        <w:tab/>
        <w:t>Afghanistan, Brazil, Egypt, Mexico, Philippines, Russia and South Korea.</w:t>
      </w:r>
    </w:p>
  </w:footnote>
  <w:footnote w:id="8">
    <w:p w14:paraId="305DC903" w14:textId="5C02D30C" w:rsidR="005A611B" w:rsidRPr="00467FE6" w:rsidRDefault="005A611B" w:rsidP="00C925C5">
      <w:pPr>
        <w:pStyle w:val="FootnoteText"/>
        <w:ind w:left="284" w:hanging="284"/>
        <w:rPr>
          <w:sz w:val="22"/>
          <w:szCs w:val="22"/>
          <w:lang w:val="en-NZ"/>
        </w:rPr>
      </w:pPr>
      <w:r w:rsidRPr="00467FE6">
        <w:rPr>
          <w:rStyle w:val="FootnoteReference"/>
          <w:sz w:val="22"/>
          <w:szCs w:val="22"/>
        </w:rPr>
        <w:footnoteRef/>
      </w:r>
      <w:r w:rsidRPr="00467FE6">
        <w:rPr>
          <w:sz w:val="22"/>
          <w:szCs w:val="22"/>
        </w:rPr>
        <w:t xml:space="preserve"> </w:t>
      </w:r>
      <w:r w:rsidRPr="00467FE6">
        <w:rPr>
          <w:sz w:val="22"/>
          <w:szCs w:val="22"/>
        </w:rPr>
        <w:tab/>
        <w:t xml:space="preserve">Results were Prob&gt;chi2 &lt; 0.001 suggesting to apply fixed effect models. </w:t>
      </w:r>
    </w:p>
  </w:footnote>
  <w:footnote w:id="9">
    <w:p w14:paraId="7F495949" w14:textId="4A40B8DC" w:rsidR="005A611B" w:rsidRDefault="005A611B" w:rsidP="00467FE6">
      <w:pPr>
        <w:pStyle w:val="FootnoteText"/>
        <w:ind w:left="284" w:hanging="284"/>
        <w:rPr>
          <w:sz w:val="22"/>
          <w:szCs w:val="22"/>
        </w:rPr>
      </w:pPr>
      <w:r w:rsidRPr="00467FE6">
        <w:rPr>
          <w:rStyle w:val="FootnoteReference"/>
          <w:sz w:val="22"/>
          <w:szCs w:val="22"/>
        </w:rPr>
        <w:footnoteRef/>
      </w:r>
      <w:r w:rsidRPr="00467FE6">
        <w:rPr>
          <w:sz w:val="22"/>
          <w:szCs w:val="22"/>
        </w:rPr>
        <w:t xml:space="preserve"> </w:t>
      </w:r>
      <w:r>
        <w:rPr>
          <w:sz w:val="22"/>
          <w:szCs w:val="22"/>
        </w:rPr>
        <w:tab/>
      </w:r>
      <w:r w:rsidRPr="00467FE6">
        <w:rPr>
          <w:sz w:val="22"/>
          <w:szCs w:val="22"/>
        </w:rPr>
        <w:t>Coefficients of infant and child mortality from causal regressions (</w:t>
      </w:r>
      <w:r>
        <w:rPr>
          <w:sz w:val="22"/>
          <w:szCs w:val="22"/>
        </w:rPr>
        <w:t>T</w:t>
      </w:r>
      <w:r w:rsidRPr="00467FE6">
        <w:rPr>
          <w:sz w:val="22"/>
          <w:szCs w:val="22"/>
        </w:rPr>
        <w:t>able 4) are multiplied by the reduced gap.</w:t>
      </w:r>
    </w:p>
    <w:p w14:paraId="2B54C4BD" w14:textId="77777777" w:rsidR="005A611B" w:rsidRPr="00CA21A9" w:rsidRDefault="005A611B" w:rsidP="00467FE6">
      <w:pPr>
        <w:pStyle w:val="FootnoteText"/>
        <w:ind w:left="284" w:hanging="284"/>
        <w:rPr>
          <w:sz w:val="10"/>
          <w:szCs w:val="10"/>
        </w:rPr>
      </w:pPr>
    </w:p>
  </w:footnote>
  <w:footnote w:id="10">
    <w:p w14:paraId="3BF33B88" w14:textId="2C25B784" w:rsidR="005A611B" w:rsidRPr="00CA21A9" w:rsidRDefault="005A611B" w:rsidP="00467FE6">
      <w:pPr>
        <w:pStyle w:val="FootnoteText"/>
        <w:ind w:left="284" w:hanging="284"/>
        <w:rPr>
          <w:sz w:val="22"/>
          <w:szCs w:val="22"/>
          <w:lang w:val="en-NZ"/>
        </w:rPr>
      </w:pPr>
      <w:r w:rsidRPr="00467FE6">
        <w:rPr>
          <w:rStyle w:val="FootnoteReference"/>
          <w:sz w:val="22"/>
          <w:szCs w:val="22"/>
        </w:rPr>
        <w:footnoteRef/>
      </w:r>
      <w:r w:rsidRPr="00467FE6">
        <w:rPr>
          <w:sz w:val="22"/>
          <w:szCs w:val="22"/>
        </w:rPr>
        <w:t xml:space="preserve"> </w:t>
      </w:r>
      <w:r>
        <w:rPr>
          <w:sz w:val="22"/>
          <w:szCs w:val="22"/>
        </w:rPr>
        <w:tab/>
      </w:r>
      <w:hyperlink r:id="rId5" w:history="1">
        <w:r w:rsidRPr="00CA21A9">
          <w:rPr>
            <w:rStyle w:val="Hyperlink"/>
            <w:color w:val="auto"/>
            <w:sz w:val="22"/>
            <w:szCs w:val="22"/>
          </w:rPr>
          <w:t>https://esa.un.org/unpd/wpp/Download/Standard/Population/</w:t>
        </w:r>
      </w:hyperlink>
      <w:r w:rsidRPr="00CA21A9">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A50"/>
    <w:multiLevelType w:val="multilevel"/>
    <w:tmpl w:val="F22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A4AFA"/>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173509CA"/>
    <w:multiLevelType w:val="hybridMultilevel"/>
    <w:tmpl w:val="9B743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BE179F"/>
    <w:multiLevelType w:val="hybridMultilevel"/>
    <w:tmpl w:val="D1A8A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72436E"/>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2AD618F2"/>
    <w:multiLevelType w:val="hybridMultilevel"/>
    <w:tmpl w:val="6AC45CA4"/>
    <w:lvl w:ilvl="0" w:tplc="83168C5E">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93A49"/>
    <w:multiLevelType w:val="hybridMultilevel"/>
    <w:tmpl w:val="5E3CB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EB0D51"/>
    <w:multiLevelType w:val="hybridMultilevel"/>
    <w:tmpl w:val="00562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3FF0590"/>
    <w:multiLevelType w:val="multilevel"/>
    <w:tmpl w:val="48A0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C31CD"/>
    <w:multiLevelType w:val="multilevel"/>
    <w:tmpl w:val="778E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4770BF"/>
    <w:multiLevelType w:val="hybridMultilevel"/>
    <w:tmpl w:val="1DF4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FE132C0"/>
    <w:multiLevelType w:val="hybridMultilevel"/>
    <w:tmpl w:val="5900E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3454BC6"/>
    <w:multiLevelType w:val="hybridMultilevel"/>
    <w:tmpl w:val="FCEC80A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5102168"/>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5D9A2D08"/>
    <w:multiLevelType w:val="hybridMultilevel"/>
    <w:tmpl w:val="B44E94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FD36E40"/>
    <w:multiLevelType w:val="multilevel"/>
    <w:tmpl w:val="149E4A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5D229A"/>
    <w:multiLevelType w:val="hybridMultilevel"/>
    <w:tmpl w:val="3D66D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22A3114"/>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15:restartNumberingAfterBreak="0">
    <w:nsid w:val="68C76C36"/>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764B7D26"/>
    <w:multiLevelType w:val="multilevel"/>
    <w:tmpl w:val="CB2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D230D6"/>
    <w:multiLevelType w:val="hybridMultilevel"/>
    <w:tmpl w:val="700A9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1"/>
  </w:num>
  <w:num w:numId="5">
    <w:abstractNumId w:val="17"/>
  </w:num>
  <w:num w:numId="6">
    <w:abstractNumId w:val="4"/>
  </w:num>
  <w:num w:numId="7">
    <w:abstractNumId w:val="13"/>
  </w:num>
  <w:num w:numId="8">
    <w:abstractNumId w:val="8"/>
  </w:num>
  <w:num w:numId="9">
    <w:abstractNumId w:val="0"/>
  </w:num>
  <w:num w:numId="10">
    <w:abstractNumId w:val="9"/>
  </w:num>
  <w:num w:numId="11">
    <w:abstractNumId w:val="11"/>
  </w:num>
  <w:num w:numId="12">
    <w:abstractNumId w:val="10"/>
  </w:num>
  <w:num w:numId="13">
    <w:abstractNumId w:val="16"/>
  </w:num>
  <w:num w:numId="14">
    <w:abstractNumId w:val="2"/>
  </w:num>
  <w:num w:numId="15">
    <w:abstractNumId w:val="3"/>
  </w:num>
  <w:num w:numId="16">
    <w:abstractNumId w:val="14"/>
  </w:num>
  <w:num w:numId="17">
    <w:abstractNumId w:val="7"/>
  </w:num>
  <w:num w:numId="18">
    <w:abstractNumId w:val="15"/>
  </w:num>
  <w:num w:numId="19">
    <w:abstractNumId w:val="5"/>
  </w:num>
  <w:num w:numId="20">
    <w:abstractNumId w:val="12"/>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3B"/>
    <w:rsid w:val="000020AD"/>
    <w:rsid w:val="00010AB0"/>
    <w:rsid w:val="00011A3C"/>
    <w:rsid w:val="00013D8D"/>
    <w:rsid w:val="00013EE5"/>
    <w:rsid w:val="00014472"/>
    <w:rsid w:val="00014512"/>
    <w:rsid w:val="000145B7"/>
    <w:rsid w:val="000159DE"/>
    <w:rsid w:val="00021243"/>
    <w:rsid w:val="00023B26"/>
    <w:rsid w:val="00025D28"/>
    <w:rsid w:val="0003128B"/>
    <w:rsid w:val="00033032"/>
    <w:rsid w:val="000348E6"/>
    <w:rsid w:val="000367C1"/>
    <w:rsid w:val="00041B51"/>
    <w:rsid w:val="00050CF8"/>
    <w:rsid w:val="000532BA"/>
    <w:rsid w:val="0005451C"/>
    <w:rsid w:val="00054AB1"/>
    <w:rsid w:val="00055C01"/>
    <w:rsid w:val="00055FF2"/>
    <w:rsid w:val="00060CCE"/>
    <w:rsid w:val="00061CE8"/>
    <w:rsid w:val="00063F3F"/>
    <w:rsid w:val="000660E4"/>
    <w:rsid w:val="000675D8"/>
    <w:rsid w:val="000720B8"/>
    <w:rsid w:val="00073911"/>
    <w:rsid w:val="0007506F"/>
    <w:rsid w:val="00076DD0"/>
    <w:rsid w:val="00077434"/>
    <w:rsid w:val="0008060D"/>
    <w:rsid w:val="00082B6E"/>
    <w:rsid w:val="00083200"/>
    <w:rsid w:val="00083408"/>
    <w:rsid w:val="00085255"/>
    <w:rsid w:val="00096511"/>
    <w:rsid w:val="000A02E0"/>
    <w:rsid w:val="000A0646"/>
    <w:rsid w:val="000A5911"/>
    <w:rsid w:val="000A5983"/>
    <w:rsid w:val="000A60D8"/>
    <w:rsid w:val="000A7EAF"/>
    <w:rsid w:val="000B1CA9"/>
    <w:rsid w:val="000B4F8F"/>
    <w:rsid w:val="000B5C3B"/>
    <w:rsid w:val="000C1658"/>
    <w:rsid w:val="000C2275"/>
    <w:rsid w:val="000D0230"/>
    <w:rsid w:val="000D3A42"/>
    <w:rsid w:val="000D4CBB"/>
    <w:rsid w:val="000D6E62"/>
    <w:rsid w:val="000D7123"/>
    <w:rsid w:val="000E5968"/>
    <w:rsid w:val="000F0A62"/>
    <w:rsid w:val="000F3E7B"/>
    <w:rsid w:val="000F681C"/>
    <w:rsid w:val="000F6F83"/>
    <w:rsid w:val="000F760B"/>
    <w:rsid w:val="00101ECD"/>
    <w:rsid w:val="00105055"/>
    <w:rsid w:val="0010523C"/>
    <w:rsid w:val="00107A8C"/>
    <w:rsid w:val="00110401"/>
    <w:rsid w:val="00112072"/>
    <w:rsid w:val="001132DC"/>
    <w:rsid w:val="001148D8"/>
    <w:rsid w:val="00114F12"/>
    <w:rsid w:val="00117759"/>
    <w:rsid w:val="00120EDE"/>
    <w:rsid w:val="00122E4C"/>
    <w:rsid w:val="00124AE9"/>
    <w:rsid w:val="001272C5"/>
    <w:rsid w:val="00134F1E"/>
    <w:rsid w:val="0013636D"/>
    <w:rsid w:val="00137D44"/>
    <w:rsid w:val="001403E9"/>
    <w:rsid w:val="00141615"/>
    <w:rsid w:val="00142CF9"/>
    <w:rsid w:val="00147297"/>
    <w:rsid w:val="001479C2"/>
    <w:rsid w:val="00156256"/>
    <w:rsid w:val="00156F35"/>
    <w:rsid w:val="001619D0"/>
    <w:rsid w:val="00162059"/>
    <w:rsid w:val="00162DC2"/>
    <w:rsid w:val="0016482F"/>
    <w:rsid w:val="0016579C"/>
    <w:rsid w:val="00167A9B"/>
    <w:rsid w:val="00170E71"/>
    <w:rsid w:val="00171669"/>
    <w:rsid w:val="00177A0A"/>
    <w:rsid w:val="00182222"/>
    <w:rsid w:val="00182776"/>
    <w:rsid w:val="001851FD"/>
    <w:rsid w:val="0019079E"/>
    <w:rsid w:val="001931A9"/>
    <w:rsid w:val="00195037"/>
    <w:rsid w:val="001A1E05"/>
    <w:rsid w:val="001A5D60"/>
    <w:rsid w:val="001B2987"/>
    <w:rsid w:val="001B3915"/>
    <w:rsid w:val="001B4595"/>
    <w:rsid w:val="001C2937"/>
    <w:rsid w:val="001C463F"/>
    <w:rsid w:val="001C5335"/>
    <w:rsid w:val="001D0113"/>
    <w:rsid w:val="001D0327"/>
    <w:rsid w:val="001D5FD3"/>
    <w:rsid w:val="001D63B4"/>
    <w:rsid w:val="001E06C7"/>
    <w:rsid w:val="001E0D12"/>
    <w:rsid w:val="001E1A56"/>
    <w:rsid w:val="001E4444"/>
    <w:rsid w:val="001E4C07"/>
    <w:rsid w:val="001F021F"/>
    <w:rsid w:val="001F1806"/>
    <w:rsid w:val="001F1D26"/>
    <w:rsid w:val="001F2293"/>
    <w:rsid w:val="001F2377"/>
    <w:rsid w:val="001F2DCD"/>
    <w:rsid w:val="001F2E45"/>
    <w:rsid w:val="001F2E70"/>
    <w:rsid w:val="001F60EE"/>
    <w:rsid w:val="001F6FC2"/>
    <w:rsid w:val="001F7B7E"/>
    <w:rsid w:val="00205527"/>
    <w:rsid w:val="00205E0B"/>
    <w:rsid w:val="00205ECD"/>
    <w:rsid w:val="002071B0"/>
    <w:rsid w:val="00210AC1"/>
    <w:rsid w:val="002148F8"/>
    <w:rsid w:val="00214D6D"/>
    <w:rsid w:val="0021571F"/>
    <w:rsid w:val="00217343"/>
    <w:rsid w:val="00224222"/>
    <w:rsid w:val="0022498D"/>
    <w:rsid w:val="00226636"/>
    <w:rsid w:val="00233325"/>
    <w:rsid w:val="0023533F"/>
    <w:rsid w:val="0024032F"/>
    <w:rsid w:val="00243CC3"/>
    <w:rsid w:val="00243E0C"/>
    <w:rsid w:val="00244BC7"/>
    <w:rsid w:val="002457BD"/>
    <w:rsid w:val="00246754"/>
    <w:rsid w:val="00247F9D"/>
    <w:rsid w:val="002523C8"/>
    <w:rsid w:val="002529C2"/>
    <w:rsid w:val="00257762"/>
    <w:rsid w:val="0026001B"/>
    <w:rsid w:val="0026014A"/>
    <w:rsid w:val="00260F09"/>
    <w:rsid w:val="0026334F"/>
    <w:rsid w:val="00263A09"/>
    <w:rsid w:val="00265548"/>
    <w:rsid w:val="00272F9F"/>
    <w:rsid w:val="00280920"/>
    <w:rsid w:val="00282F35"/>
    <w:rsid w:val="00283459"/>
    <w:rsid w:val="0028382E"/>
    <w:rsid w:val="00284AFD"/>
    <w:rsid w:val="00285A45"/>
    <w:rsid w:val="00285ED8"/>
    <w:rsid w:val="00291242"/>
    <w:rsid w:val="00293DD7"/>
    <w:rsid w:val="002944AE"/>
    <w:rsid w:val="00294517"/>
    <w:rsid w:val="002A55BA"/>
    <w:rsid w:val="002B0321"/>
    <w:rsid w:val="002B0764"/>
    <w:rsid w:val="002B527D"/>
    <w:rsid w:val="002C655B"/>
    <w:rsid w:val="002D704E"/>
    <w:rsid w:val="002D7CE4"/>
    <w:rsid w:val="002E05FD"/>
    <w:rsid w:val="002E069C"/>
    <w:rsid w:val="002E076A"/>
    <w:rsid w:val="002E15C8"/>
    <w:rsid w:val="002E4254"/>
    <w:rsid w:val="002E44AE"/>
    <w:rsid w:val="002F0F43"/>
    <w:rsid w:val="002F4875"/>
    <w:rsid w:val="002F6035"/>
    <w:rsid w:val="002F6C68"/>
    <w:rsid w:val="002F7097"/>
    <w:rsid w:val="002F76E5"/>
    <w:rsid w:val="003026FA"/>
    <w:rsid w:val="00310C15"/>
    <w:rsid w:val="0031344B"/>
    <w:rsid w:val="003170C4"/>
    <w:rsid w:val="0032089C"/>
    <w:rsid w:val="00322D60"/>
    <w:rsid w:val="003232A5"/>
    <w:rsid w:val="00324486"/>
    <w:rsid w:val="00324713"/>
    <w:rsid w:val="00324ABE"/>
    <w:rsid w:val="00333C06"/>
    <w:rsid w:val="0033513B"/>
    <w:rsid w:val="00335834"/>
    <w:rsid w:val="00350A25"/>
    <w:rsid w:val="00350E66"/>
    <w:rsid w:val="0035147F"/>
    <w:rsid w:val="00352716"/>
    <w:rsid w:val="0035498F"/>
    <w:rsid w:val="00355AEB"/>
    <w:rsid w:val="0035759D"/>
    <w:rsid w:val="003618E9"/>
    <w:rsid w:val="00362E36"/>
    <w:rsid w:val="003674E0"/>
    <w:rsid w:val="00370A1F"/>
    <w:rsid w:val="003746FB"/>
    <w:rsid w:val="00374CCA"/>
    <w:rsid w:val="00380742"/>
    <w:rsid w:val="003821B4"/>
    <w:rsid w:val="00393824"/>
    <w:rsid w:val="003953B5"/>
    <w:rsid w:val="00396FB7"/>
    <w:rsid w:val="003A23AC"/>
    <w:rsid w:val="003A41AA"/>
    <w:rsid w:val="003A62DC"/>
    <w:rsid w:val="003A7564"/>
    <w:rsid w:val="003B0836"/>
    <w:rsid w:val="003B1E78"/>
    <w:rsid w:val="003B1FA6"/>
    <w:rsid w:val="003B4F3D"/>
    <w:rsid w:val="003C56AB"/>
    <w:rsid w:val="003C677A"/>
    <w:rsid w:val="003C7637"/>
    <w:rsid w:val="003D0392"/>
    <w:rsid w:val="003D25F7"/>
    <w:rsid w:val="003D40CF"/>
    <w:rsid w:val="003D47EB"/>
    <w:rsid w:val="003D6181"/>
    <w:rsid w:val="003E60DB"/>
    <w:rsid w:val="003F1DD4"/>
    <w:rsid w:val="003F5953"/>
    <w:rsid w:val="003F68B6"/>
    <w:rsid w:val="003F7445"/>
    <w:rsid w:val="004016F2"/>
    <w:rsid w:val="00401AAA"/>
    <w:rsid w:val="00403B5D"/>
    <w:rsid w:val="004065E4"/>
    <w:rsid w:val="00410804"/>
    <w:rsid w:val="004150C8"/>
    <w:rsid w:val="0042026C"/>
    <w:rsid w:val="0042061B"/>
    <w:rsid w:val="004211BE"/>
    <w:rsid w:val="00422688"/>
    <w:rsid w:val="0043027A"/>
    <w:rsid w:val="00440662"/>
    <w:rsid w:val="0044110D"/>
    <w:rsid w:val="004411EA"/>
    <w:rsid w:val="00442E6E"/>
    <w:rsid w:val="00443B74"/>
    <w:rsid w:val="00446566"/>
    <w:rsid w:val="0045221C"/>
    <w:rsid w:val="0046561B"/>
    <w:rsid w:val="00465D02"/>
    <w:rsid w:val="00467FE6"/>
    <w:rsid w:val="00476448"/>
    <w:rsid w:val="00477D23"/>
    <w:rsid w:val="00482F82"/>
    <w:rsid w:val="00485DCC"/>
    <w:rsid w:val="004908BC"/>
    <w:rsid w:val="0049242D"/>
    <w:rsid w:val="004924B9"/>
    <w:rsid w:val="00496091"/>
    <w:rsid w:val="004966CA"/>
    <w:rsid w:val="00497625"/>
    <w:rsid w:val="004A0A25"/>
    <w:rsid w:val="004A179D"/>
    <w:rsid w:val="004A323D"/>
    <w:rsid w:val="004A7217"/>
    <w:rsid w:val="004B0C58"/>
    <w:rsid w:val="004B61F7"/>
    <w:rsid w:val="004C1E1F"/>
    <w:rsid w:val="004C3A82"/>
    <w:rsid w:val="004C3AC7"/>
    <w:rsid w:val="004C466B"/>
    <w:rsid w:val="004C65D7"/>
    <w:rsid w:val="004D3F41"/>
    <w:rsid w:val="004D6270"/>
    <w:rsid w:val="004D679B"/>
    <w:rsid w:val="004D7BD5"/>
    <w:rsid w:val="004E02FD"/>
    <w:rsid w:val="004E0672"/>
    <w:rsid w:val="004E2C9C"/>
    <w:rsid w:val="004E3DF5"/>
    <w:rsid w:val="004E5E11"/>
    <w:rsid w:val="004F017D"/>
    <w:rsid w:val="004F427C"/>
    <w:rsid w:val="004F53D3"/>
    <w:rsid w:val="004F7051"/>
    <w:rsid w:val="004F70AD"/>
    <w:rsid w:val="004F7B43"/>
    <w:rsid w:val="00500654"/>
    <w:rsid w:val="0050259F"/>
    <w:rsid w:val="00505496"/>
    <w:rsid w:val="00510609"/>
    <w:rsid w:val="005123E3"/>
    <w:rsid w:val="00517C59"/>
    <w:rsid w:val="005255AC"/>
    <w:rsid w:val="00526795"/>
    <w:rsid w:val="00526E8E"/>
    <w:rsid w:val="0053079B"/>
    <w:rsid w:val="00531146"/>
    <w:rsid w:val="005316A4"/>
    <w:rsid w:val="00532B57"/>
    <w:rsid w:val="005333F2"/>
    <w:rsid w:val="00542183"/>
    <w:rsid w:val="005429F0"/>
    <w:rsid w:val="005431C8"/>
    <w:rsid w:val="0054551C"/>
    <w:rsid w:val="005560AB"/>
    <w:rsid w:val="00562C53"/>
    <w:rsid w:val="0056383A"/>
    <w:rsid w:val="00565AA2"/>
    <w:rsid w:val="00572FAE"/>
    <w:rsid w:val="00574485"/>
    <w:rsid w:val="00575557"/>
    <w:rsid w:val="00580498"/>
    <w:rsid w:val="00581D4D"/>
    <w:rsid w:val="00587C76"/>
    <w:rsid w:val="00596920"/>
    <w:rsid w:val="005A048E"/>
    <w:rsid w:val="005A15B4"/>
    <w:rsid w:val="005A39B6"/>
    <w:rsid w:val="005A41E2"/>
    <w:rsid w:val="005A611B"/>
    <w:rsid w:val="005A7261"/>
    <w:rsid w:val="005B3E63"/>
    <w:rsid w:val="005B3E8F"/>
    <w:rsid w:val="005B438A"/>
    <w:rsid w:val="005B5B2A"/>
    <w:rsid w:val="005C5052"/>
    <w:rsid w:val="005C524D"/>
    <w:rsid w:val="005C5CDB"/>
    <w:rsid w:val="005D0939"/>
    <w:rsid w:val="005D5355"/>
    <w:rsid w:val="005D6B9A"/>
    <w:rsid w:val="005D7826"/>
    <w:rsid w:val="005E0C33"/>
    <w:rsid w:val="005E0F58"/>
    <w:rsid w:val="005E4B3C"/>
    <w:rsid w:val="005E6822"/>
    <w:rsid w:val="005F7684"/>
    <w:rsid w:val="006013B9"/>
    <w:rsid w:val="00610414"/>
    <w:rsid w:val="00613B3B"/>
    <w:rsid w:val="006158F0"/>
    <w:rsid w:val="00615F17"/>
    <w:rsid w:val="00616953"/>
    <w:rsid w:val="006175DF"/>
    <w:rsid w:val="00621095"/>
    <w:rsid w:val="00622D99"/>
    <w:rsid w:val="006235D0"/>
    <w:rsid w:val="00627577"/>
    <w:rsid w:val="00630258"/>
    <w:rsid w:val="00630515"/>
    <w:rsid w:val="00633298"/>
    <w:rsid w:val="0063420A"/>
    <w:rsid w:val="006414D6"/>
    <w:rsid w:val="006427DA"/>
    <w:rsid w:val="0064624B"/>
    <w:rsid w:val="00650254"/>
    <w:rsid w:val="00651B36"/>
    <w:rsid w:val="006524A3"/>
    <w:rsid w:val="00656CE1"/>
    <w:rsid w:val="00656E11"/>
    <w:rsid w:val="006604D6"/>
    <w:rsid w:val="00660838"/>
    <w:rsid w:val="00660CB9"/>
    <w:rsid w:val="00661EAC"/>
    <w:rsid w:val="0066381E"/>
    <w:rsid w:val="00663A39"/>
    <w:rsid w:val="00664292"/>
    <w:rsid w:val="0067086D"/>
    <w:rsid w:val="00670E01"/>
    <w:rsid w:val="00671103"/>
    <w:rsid w:val="006752D5"/>
    <w:rsid w:val="00675423"/>
    <w:rsid w:val="006765C7"/>
    <w:rsid w:val="006814E7"/>
    <w:rsid w:val="006823AB"/>
    <w:rsid w:val="00684AA6"/>
    <w:rsid w:val="006851CA"/>
    <w:rsid w:val="00687AB0"/>
    <w:rsid w:val="00687BBF"/>
    <w:rsid w:val="00692810"/>
    <w:rsid w:val="00692E0C"/>
    <w:rsid w:val="00693715"/>
    <w:rsid w:val="00694B75"/>
    <w:rsid w:val="00695EDB"/>
    <w:rsid w:val="00697248"/>
    <w:rsid w:val="006A42ED"/>
    <w:rsid w:val="006A4C7C"/>
    <w:rsid w:val="006B114B"/>
    <w:rsid w:val="006B3D2A"/>
    <w:rsid w:val="006B4FE7"/>
    <w:rsid w:val="006B5796"/>
    <w:rsid w:val="006B5973"/>
    <w:rsid w:val="006C25B1"/>
    <w:rsid w:val="006C4BB6"/>
    <w:rsid w:val="006C5DE5"/>
    <w:rsid w:val="006D0C5D"/>
    <w:rsid w:val="006D39CB"/>
    <w:rsid w:val="006E06D4"/>
    <w:rsid w:val="006E2903"/>
    <w:rsid w:val="006E36A8"/>
    <w:rsid w:val="006E6044"/>
    <w:rsid w:val="006E7692"/>
    <w:rsid w:val="006E76BE"/>
    <w:rsid w:val="006F0003"/>
    <w:rsid w:val="006F0C81"/>
    <w:rsid w:val="006F1417"/>
    <w:rsid w:val="006F1E0D"/>
    <w:rsid w:val="006F2F0A"/>
    <w:rsid w:val="006F3636"/>
    <w:rsid w:val="006F377B"/>
    <w:rsid w:val="006F3B4E"/>
    <w:rsid w:val="006F4398"/>
    <w:rsid w:val="006F6232"/>
    <w:rsid w:val="006F7A1E"/>
    <w:rsid w:val="007029BF"/>
    <w:rsid w:val="00702F1D"/>
    <w:rsid w:val="00705B70"/>
    <w:rsid w:val="0070776F"/>
    <w:rsid w:val="00714ED0"/>
    <w:rsid w:val="007168B6"/>
    <w:rsid w:val="00717796"/>
    <w:rsid w:val="0072192D"/>
    <w:rsid w:val="00721A99"/>
    <w:rsid w:val="007258AB"/>
    <w:rsid w:val="00732CBE"/>
    <w:rsid w:val="00733423"/>
    <w:rsid w:val="00733771"/>
    <w:rsid w:val="00733776"/>
    <w:rsid w:val="007359A5"/>
    <w:rsid w:val="007404B8"/>
    <w:rsid w:val="007411EF"/>
    <w:rsid w:val="00742333"/>
    <w:rsid w:val="0075767E"/>
    <w:rsid w:val="00760083"/>
    <w:rsid w:val="007616F1"/>
    <w:rsid w:val="00763BEE"/>
    <w:rsid w:val="00774997"/>
    <w:rsid w:val="007830C0"/>
    <w:rsid w:val="00796C19"/>
    <w:rsid w:val="00797145"/>
    <w:rsid w:val="00797446"/>
    <w:rsid w:val="007A35CF"/>
    <w:rsid w:val="007A6306"/>
    <w:rsid w:val="007A6663"/>
    <w:rsid w:val="007A6DA4"/>
    <w:rsid w:val="007B05A6"/>
    <w:rsid w:val="007B5265"/>
    <w:rsid w:val="007C01EB"/>
    <w:rsid w:val="007C309F"/>
    <w:rsid w:val="007E1C47"/>
    <w:rsid w:val="007E202C"/>
    <w:rsid w:val="007E2A1D"/>
    <w:rsid w:val="007E4A46"/>
    <w:rsid w:val="007E7918"/>
    <w:rsid w:val="007F11E9"/>
    <w:rsid w:val="007F202A"/>
    <w:rsid w:val="007F2094"/>
    <w:rsid w:val="007F261C"/>
    <w:rsid w:val="007F3E7C"/>
    <w:rsid w:val="007F571E"/>
    <w:rsid w:val="007F6E63"/>
    <w:rsid w:val="007F794E"/>
    <w:rsid w:val="008030B2"/>
    <w:rsid w:val="00806391"/>
    <w:rsid w:val="008070BB"/>
    <w:rsid w:val="008078E1"/>
    <w:rsid w:val="00810135"/>
    <w:rsid w:val="008101BA"/>
    <w:rsid w:val="0081190F"/>
    <w:rsid w:val="008140B9"/>
    <w:rsid w:val="00816CB7"/>
    <w:rsid w:val="0082542B"/>
    <w:rsid w:val="0083119C"/>
    <w:rsid w:val="00834013"/>
    <w:rsid w:val="00836436"/>
    <w:rsid w:val="00836FF7"/>
    <w:rsid w:val="008379CD"/>
    <w:rsid w:val="00841DCF"/>
    <w:rsid w:val="00843DAC"/>
    <w:rsid w:val="00844671"/>
    <w:rsid w:val="00850CB2"/>
    <w:rsid w:val="0085176E"/>
    <w:rsid w:val="00853202"/>
    <w:rsid w:val="00857AF2"/>
    <w:rsid w:val="00857F3B"/>
    <w:rsid w:val="00861859"/>
    <w:rsid w:val="00863860"/>
    <w:rsid w:val="00864EB4"/>
    <w:rsid w:val="00865075"/>
    <w:rsid w:val="00866573"/>
    <w:rsid w:val="008672DB"/>
    <w:rsid w:val="008731EB"/>
    <w:rsid w:val="00875B83"/>
    <w:rsid w:val="00876F9D"/>
    <w:rsid w:val="00880F5A"/>
    <w:rsid w:val="008818CC"/>
    <w:rsid w:val="008830D8"/>
    <w:rsid w:val="008837EB"/>
    <w:rsid w:val="00884238"/>
    <w:rsid w:val="00884FAF"/>
    <w:rsid w:val="0089140D"/>
    <w:rsid w:val="00892831"/>
    <w:rsid w:val="00895989"/>
    <w:rsid w:val="00897496"/>
    <w:rsid w:val="008A21D9"/>
    <w:rsid w:val="008B2791"/>
    <w:rsid w:val="008B2EB8"/>
    <w:rsid w:val="008B3AB5"/>
    <w:rsid w:val="008B5F0C"/>
    <w:rsid w:val="008C02E1"/>
    <w:rsid w:val="008C24EA"/>
    <w:rsid w:val="008C28D2"/>
    <w:rsid w:val="008C3BAA"/>
    <w:rsid w:val="008C4606"/>
    <w:rsid w:val="008C5ADA"/>
    <w:rsid w:val="008C7CD1"/>
    <w:rsid w:val="008D0D7A"/>
    <w:rsid w:val="008D36A3"/>
    <w:rsid w:val="008D3E72"/>
    <w:rsid w:val="008D5474"/>
    <w:rsid w:val="008D6E8C"/>
    <w:rsid w:val="008D7835"/>
    <w:rsid w:val="008E163B"/>
    <w:rsid w:val="008E32A1"/>
    <w:rsid w:val="008E4728"/>
    <w:rsid w:val="008E771A"/>
    <w:rsid w:val="008F1037"/>
    <w:rsid w:val="008F457D"/>
    <w:rsid w:val="008F48DC"/>
    <w:rsid w:val="008F5543"/>
    <w:rsid w:val="00901EA2"/>
    <w:rsid w:val="00904B84"/>
    <w:rsid w:val="00905692"/>
    <w:rsid w:val="0091062F"/>
    <w:rsid w:val="00913C30"/>
    <w:rsid w:val="00914A86"/>
    <w:rsid w:val="009152CA"/>
    <w:rsid w:val="00916749"/>
    <w:rsid w:val="00916D80"/>
    <w:rsid w:val="0091742C"/>
    <w:rsid w:val="0092220B"/>
    <w:rsid w:val="0092587E"/>
    <w:rsid w:val="009275A6"/>
    <w:rsid w:val="00930F8F"/>
    <w:rsid w:val="0093137B"/>
    <w:rsid w:val="009337B3"/>
    <w:rsid w:val="0093570A"/>
    <w:rsid w:val="00936617"/>
    <w:rsid w:val="00936E35"/>
    <w:rsid w:val="00937950"/>
    <w:rsid w:val="00942F5A"/>
    <w:rsid w:val="009430F1"/>
    <w:rsid w:val="00945785"/>
    <w:rsid w:val="00946805"/>
    <w:rsid w:val="00946C25"/>
    <w:rsid w:val="009504FF"/>
    <w:rsid w:val="00951D6A"/>
    <w:rsid w:val="00953B60"/>
    <w:rsid w:val="00957EA8"/>
    <w:rsid w:val="00960FC0"/>
    <w:rsid w:val="00962827"/>
    <w:rsid w:val="00963249"/>
    <w:rsid w:val="009652E4"/>
    <w:rsid w:val="00967265"/>
    <w:rsid w:val="0096791A"/>
    <w:rsid w:val="00967FC1"/>
    <w:rsid w:val="0097214C"/>
    <w:rsid w:val="00976907"/>
    <w:rsid w:val="009840B6"/>
    <w:rsid w:val="00984814"/>
    <w:rsid w:val="0098634A"/>
    <w:rsid w:val="00986E59"/>
    <w:rsid w:val="00990B97"/>
    <w:rsid w:val="00991469"/>
    <w:rsid w:val="009A1144"/>
    <w:rsid w:val="009A472E"/>
    <w:rsid w:val="009A5CAA"/>
    <w:rsid w:val="009B2A8D"/>
    <w:rsid w:val="009B57B3"/>
    <w:rsid w:val="009C2F9B"/>
    <w:rsid w:val="009C3EC5"/>
    <w:rsid w:val="009D3405"/>
    <w:rsid w:val="009D408E"/>
    <w:rsid w:val="009E264F"/>
    <w:rsid w:val="009E2FBB"/>
    <w:rsid w:val="009E6859"/>
    <w:rsid w:val="009E7187"/>
    <w:rsid w:val="009E7FA4"/>
    <w:rsid w:val="009F2AA5"/>
    <w:rsid w:val="009F4E13"/>
    <w:rsid w:val="00A01B86"/>
    <w:rsid w:val="00A056AA"/>
    <w:rsid w:val="00A056B9"/>
    <w:rsid w:val="00A06DFA"/>
    <w:rsid w:val="00A102B7"/>
    <w:rsid w:val="00A12156"/>
    <w:rsid w:val="00A12988"/>
    <w:rsid w:val="00A12E5F"/>
    <w:rsid w:val="00A13024"/>
    <w:rsid w:val="00A13FA8"/>
    <w:rsid w:val="00A14FD0"/>
    <w:rsid w:val="00A1658C"/>
    <w:rsid w:val="00A167E6"/>
    <w:rsid w:val="00A214AB"/>
    <w:rsid w:val="00A22447"/>
    <w:rsid w:val="00A22544"/>
    <w:rsid w:val="00A232D9"/>
    <w:rsid w:val="00A23578"/>
    <w:rsid w:val="00A24157"/>
    <w:rsid w:val="00A246A2"/>
    <w:rsid w:val="00A24DFE"/>
    <w:rsid w:val="00A25C2D"/>
    <w:rsid w:val="00A26280"/>
    <w:rsid w:val="00A26314"/>
    <w:rsid w:val="00A33D3D"/>
    <w:rsid w:val="00A4246B"/>
    <w:rsid w:val="00A42E1D"/>
    <w:rsid w:val="00A43AA9"/>
    <w:rsid w:val="00A44C4F"/>
    <w:rsid w:val="00A45E49"/>
    <w:rsid w:val="00A4641D"/>
    <w:rsid w:val="00A46546"/>
    <w:rsid w:val="00A47F73"/>
    <w:rsid w:val="00A5257B"/>
    <w:rsid w:val="00A52CC9"/>
    <w:rsid w:val="00A53F4E"/>
    <w:rsid w:val="00A55C19"/>
    <w:rsid w:val="00A57D15"/>
    <w:rsid w:val="00A62669"/>
    <w:rsid w:val="00A6373D"/>
    <w:rsid w:val="00A6624F"/>
    <w:rsid w:val="00A70F30"/>
    <w:rsid w:val="00A75581"/>
    <w:rsid w:val="00A76F6C"/>
    <w:rsid w:val="00A91023"/>
    <w:rsid w:val="00A91FCC"/>
    <w:rsid w:val="00A978F6"/>
    <w:rsid w:val="00AA1236"/>
    <w:rsid w:val="00AA53D6"/>
    <w:rsid w:val="00AB6003"/>
    <w:rsid w:val="00AD24A6"/>
    <w:rsid w:val="00AD3A1D"/>
    <w:rsid w:val="00AD56D0"/>
    <w:rsid w:val="00AE0444"/>
    <w:rsid w:val="00AE3B39"/>
    <w:rsid w:val="00AE4AF9"/>
    <w:rsid w:val="00AF4EF0"/>
    <w:rsid w:val="00B021C0"/>
    <w:rsid w:val="00B035B5"/>
    <w:rsid w:val="00B0499C"/>
    <w:rsid w:val="00B07238"/>
    <w:rsid w:val="00B12265"/>
    <w:rsid w:val="00B14FFC"/>
    <w:rsid w:val="00B20C56"/>
    <w:rsid w:val="00B22566"/>
    <w:rsid w:val="00B23E77"/>
    <w:rsid w:val="00B26545"/>
    <w:rsid w:val="00B3346F"/>
    <w:rsid w:val="00B33AE7"/>
    <w:rsid w:val="00B33FD3"/>
    <w:rsid w:val="00B34BCF"/>
    <w:rsid w:val="00B34EC5"/>
    <w:rsid w:val="00B360B4"/>
    <w:rsid w:val="00B400B1"/>
    <w:rsid w:val="00B424D7"/>
    <w:rsid w:val="00B44A2C"/>
    <w:rsid w:val="00B45A35"/>
    <w:rsid w:val="00B47EB0"/>
    <w:rsid w:val="00B47FF3"/>
    <w:rsid w:val="00B50527"/>
    <w:rsid w:val="00B5062E"/>
    <w:rsid w:val="00B5498C"/>
    <w:rsid w:val="00B54B68"/>
    <w:rsid w:val="00B553ED"/>
    <w:rsid w:val="00B613CF"/>
    <w:rsid w:val="00B656AC"/>
    <w:rsid w:val="00B65C46"/>
    <w:rsid w:val="00B65D24"/>
    <w:rsid w:val="00B66CC5"/>
    <w:rsid w:val="00B66E89"/>
    <w:rsid w:val="00B738FB"/>
    <w:rsid w:val="00B73D85"/>
    <w:rsid w:val="00B745A5"/>
    <w:rsid w:val="00B7535B"/>
    <w:rsid w:val="00B75857"/>
    <w:rsid w:val="00B77FB7"/>
    <w:rsid w:val="00B8061C"/>
    <w:rsid w:val="00B8330B"/>
    <w:rsid w:val="00B8391E"/>
    <w:rsid w:val="00B83D9B"/>
    <w:rsid w:val="00B84BF2"/>
    <w:rsid w:val="00B86A26"/>
    <w:rsid w:val="00B87D89"/>
    <w:rsid w:val="00B900D5"/>
    <w:rsid w:val="00B924B6"/>
    <w:rsid w:val="00B96975"/>
    <w:rsid w:val="00B97B17"/>
    <w:rsid w:val="00BA65E8"/>
    <w:rsid w:val="00BB31EE"/>
    <w:rsid w:val="00BB3E51"/>
    <w:rsid w:val="00BB43DA"/>
    <w:rsid w:val="00BC3C6A"/>
    <w:rsid w:val="00BC58C0"/>
    <w:rsid w:val="00BC710A"/>
    <w:rsid w:val="00BD2183"/>
    <w:rsid w:val="00BD2802"/>
    <w:rsid w:val="00BD7430"/>
    <w:rsid w:val="00BE2E19"/>
    <w:rsid w:val="00BE4E87"/>
    <w:rsid w:val="00BE6227"/>
    <w:rsid w:val="00BF098B"/>
    <w:rsid w:val="00BF1A30"/>
    <w:rsid w:val="00BF1EC8"/>
    <w:rsid w:val="00BF2B75"/>
    <w:rsid w:val="00BF328C"/>
    <w:rsid w:val="00BF3415"/>
    <w:rsid w:val="00BF3F84"/>
    <w:rsid w:val="00BF68B8"/>
    <w:rsid w:val="00C01E2E"/>
    <w:rsid w:val="00C030C2"/>
    <w:rsid w:val="00C03FE2"/>
    <w:rsid w:val="00C05C88"/>
    <w:rsid w:val="00C07215"/>
    <w:rsid w:val="00C10075"/>
    <w:rsid w:val="00C105A1"/>
    <w:rsid w:val="00C11CF1"/>
    <w:rsid w:val="00C1462A"/>
    <w:rsid w:val="00C272C9"/>
    <w:rsid w:val="00C30391"/>
    <w:rsid w:val="00C30E79"/>
    <w:rsid w:val="00C324E6"/>
    <w:rsid w:val="00C3565C"/>
    <w:rsid w:val="00C376E6"/>
    <w:rsid w:val="00C434E1"/>
    <w:rsid w:val="00C44AC9"/>
    <w:rsid w:val="00C4674E"/>
    <w:rsid w:val="00C53C9C"/>
    <w:rsid w:val="00C53CFB"/>
    <w:rsid w:val="00C5486F"/>
    <w:rsid w:val="00C57F2C"/>
    <w:rsid w:val="00C61EFB"/>
    <w:rsid w:val="00C6613A"/>
    <w:rsid w:val="00C67FD5"/>
    <w:rsid w:val="00C71D18"/>
    <w:rsid w:val="00C727D2"/>
    <w:rsid w:val="00C72C5E"/>
    <w:rsid w:val="00C764AE"/>
    <w:rsid w:val="00C7736A"/>
    <w:rsid w:val="00C80577"/>
    <w:rsid w:val="00C805E9"/>
    <w:rsid w:val="00C82FD2"/>
    <w:rsid w:val="00C85B2C"/>
    <w:rsid w:val="00C925C5"/>
    <w:rsid w:val="00CA13EE"/>
    <w:rsid w:val="00CA21A9"/>
    <w:rsid w:val="00CB686C"/>
    <w:rsid w:val="00CC08BB"/>
    <w:rsid w:val="00CC193C"/>
    <w:rsid w:val="00CC3AB4"/>
    <w:rsid w:val="00CC5CA4"/>
    <w:rsid w:val="00CD6E5B"/>
    <w:rsid w:val="00CD7208"/>
    <w:rsid w:val="00CD733F"/>
    <w:rsid w:val="00CE0CBE"/>
    <w:rsid w:val="00CE25E5"/>
    <w:rsid w:val="00CE311F"/>
    <w:rsid w:val="00CE438C"/>
    <w:rsid w:val="00CE43A0"/>
    <w:rsid w:val="00CE533A"/>
    <w:rsid w:val="00CE773C"/>
    <w:rsid w:val="00CF32C6"/>
    <w:rsid w:val="00D03FA2"/>
    <w:rsid w:val="00D05D03"/>
    <w:rsid w:val="00D10FB3"/>
    <w:rsid w:val="00D205FD"/>
    <w:rsid w:val="00D21BFB"/>
    <w:rsid w:val="00D229FB"/>
    <w:rsid w:val="00D24B9F"/>
    <w:rsid w:val="00D3104D"/>
    <w:rsid w:val="00D31152"/>
    <w:rsid w:val="00D31498"/>
    <w:rsid w:val="00D31D8A"/>
    <w:rsid w:val="00D364CD"/>
    <w:rsid w:val="00D364F9"/>
    <w:rsid w:val="00D409E4"/>
    <w:rsid w:val="00D41E9E"/>
    <w:rsid w:val="00D42315"/>
    <w:rsid w:val="00D44B25"/>
    <w:rsid w:val="00D46C84"/>
    <w:rsid w:val="00D4754F"/>
    <w:rsid w:val="00D4798D"/>
    <w:rsid w:val="00D47B5F"/>
    <w:rsid w:val="00D508FA"/>
    <w:rsid w:val="00D5268B"/>
    <w:rsid w:val="00D531A2"/>
    <w:rsid w:val="00D55152"/>
    <w:rsid w:val="00D55176"/>
    <w:rsid w:val="00D56E82"/>
    <w:rsid w:val="00D57845"/>
    <w:rsid w:val="00D60673"/>
    <w:rsid w:val="00D6209F"/>
    <w:rsid w:val="00D64647"/>
    <w:rsid w:val="00D66F92"/>
    <w:rsid w:val="00D674FA"/>
    <w:rsid w:val="00D7239C"/>
    <w:rsid w:val="00D834D6"/>
    <w:rsid w:val="00D83871"/>
    <w:rsid w:val="00D84611"/>
    <w:rsid w:val="00D86966"/>
    <w:rsid w:val="00D87A0A"/>
    <w:rsid w:val="00D90549"/>
    <w:rsid w:val="00D90FE8"/>
    <w:rsid w:val="00D96F39"/>
    <w:rsid w:val="00DA0EB6"/>
    <w:rsid w:val="00DA2223"/>
    <w:rsid w:val="00DA38E7"/>
    <w:rsid w:val="00DA45F2"/>
    <w:rsid w:val="00DA539C"/>
    <w:rsid w:val="00DA639F"/>
    <w:rsid w:val="00DB2552"/>
    <w:rsid w:val="00DB6E11"/>
    <w:rsid w:val="00DC3031"/>
    <w:rsid w:val="00DC4A41"/>
    <w:rsid w:val="00DD0777"/>
    <w:rsid w:val="00DD28A0"/>
    <w:rsid w:val="00DD2C3A"/>
    <w:rsid w:val="00DD5068"/>
    <w:rsid w:val="00DD696B"/>
    <w:rsid w:val="00DD7F2F"/>
    <w:rsid w:val="00DE52B4"/>
    <w:rsid w:val="00DE6E93"/>
    <w:rsid w:val="00DF00E4"/>
    <w:rsid w:val="00DF0D0D"/>
    <w:rsid w:val="00DF177C"/>
    <w:rsid w:val="00DF1F0A"/>
    <w:rsid w:val="00DF539F"/>
    <w:rsid w:val="00E03E44"/>
    <w:rsid w:val="00E0604D"/>
    <w:rsid w:val="00E11294"/>
    <w:rsid w:val="00E11F63"/>
    <w:rsid w:val="00E13414"/>
    <w:rsid w:val="00E13D8D"/>
    <w:rsid w:val="00E160BD"/>
    <w:rsid w:val="00E163E1"/>
    <w:rsid w:val="00E16DD2"/>
    <w:rsid w:val="00E23A86"/>
    <w:rsid w:val="00E26478"/>
    <w:rsid w:val="00E272FA"/>
    <w:rsid w:val="00E3182A"/>
    <w:rsid w:val="00E365A5"/>
    <w:rsid w:val="00E37FED"/>
    <w:rsid w:val="00E40B8D"/>
    <w:rsid w:val="00E45C2E"/>
    <w:rsid w:val="00E47E51"/>
    <w:rsid w:val="00E5013A"/>
    <w:rsid w:val="00E52A0F"/>
    <w:rsid w:val="00E5327B"/>
    <w:rsid w:val="00E56AE2"/>
    <w:rsid w:val="00E648DE"/>
    <w:rsid w:val="00E664C7"/>
    <w:rsid w:val="00E66B18"/>
    <w:rsid w:val="00E70E27"/>
    <w:rsid w:val="00E73FCE"/>
    <w:rsid w:val="00E74B37"/>
    <w:rsid w:val="00E762D7"/>
    <w:rsid w:val="00E773FC"/>
    <w:rsid w:val="00E802EB"/>
    <w:rsid w:val="00E83504"/>
    <w:rsid w:val="00E858F0"/>
    <w:rsid w:val="00E86638"/>
    <w:rsid w:val="00E8679B"/>
    <w:rsid w:val="00E90F6C"/>
    <w:rsid w:val="00E911BB"/>
    <w:rsid w:val="00E925E8"/>
    <w:rsid w:val="00E92B83"/>
    <w:rsid w:val="00E95122"/>
    <w:rsid w:val="00E956F3"/>
    <w:rsid w:val="00E96ACD"/>
    <w:rsid w:val="00E97B23"/>
    <w:rsid w:val="00EA0988"/>
    <w:rsid w:val="00EA357E"/>
    <w:rsid w:val="00EA66AA"/>
    <w:rsid w:val="00EB1F62"/>
    <w:rsid w:val="00EB734E"/>
    <w:rsid w:val="00EC2540"/>
    <w:rsid w:val="00EC2B2B"/>
    <w:rsid w:val="00EC3457"/>
    <w:rsid w:val="00EC77E4"/>
    <w:rsid w:val="00EE0664"/>
    <w:rsid w:val="00EE2F6A"/>
    <w:rsid w:val="00EE72E3"/>
    <w:rsid w:val="00EF24A5"/>
    <w:rsid w:val="00EF6CC6"/>
    <w:rsid w:val="00F032C1"/>
    <w:rsid w:val="00F0479E"/>
    <w:rsid w:val="00F10E0F"/>
    <w:rsid w:val="00F11044"/>
    <w:rsid w:val="00F1285C"/>
    <w:rsid w:val="00F12930"/>
    <w:rsid w:val="00F1625A"/>
    <w:rsid w:val="00F20B6F"/>
    <w:rsid w:val="00F21934"/>
    <w:rsid w:val="00F22B6C"/>
    <w:rsid w:val="00F2327B"/>
    <w:rsid w:val="00F25097"/>
    <w:rsid w:val="00F2540D"/>
    <w:rsid w:val="00F25819"/>
    <w:rsid w:val="00F259B4"/>
    <w:rsid w:val="00F260E5"/>
    <w:rsid w:val="00F26788"/>
    <w:rsid w:val="00F26A99"/>
    <w:rsid w:val="00F26E08"/>
    <w:rsid w:val="00F31E43"/>
    <w:rsid w:val="00F354B4"/>
    <w:rsid w:val="00F427AA"/>
    <w:rsid w:val="00F45C91"/>
    <w:rsid w:val="00F501F0"/>
    <w:rsid w:val="00F54DAE"/>
    <w:rsid w:val="00F6111B"/>
    <w:rsid w:val="00F61C72"/>
    <w:rsid w:val="00F62564"/>
    <w:rsid w:val="00F6270C"/>
    <w:rsid w:val="00F65A4C"/>
    <w:rsid w:val="00F65F4B"/>
    <w:rsid w:val="00F67B66"/>
    <w:rsid w:val="00F702B6"/>
    <w:rsid w:val="00F73E79"/>
    <w:rsid w:val="00F74B3D"/>
    <w:rsid w:val="00F80F0B"/>
    <w:rsid w:val="00F80FAE"/>
    <w:rsid w:val="00F81186"/>
    <w:rsid w:val="00F85D7D"/>
    <w:rsid w:val="00F879E8"/>
    <w:rsid w:val="00F92DC2"/>
    <w:rsid w:val="00F9321A"/>
    <w:rsid w:val="00FA070D"/>
    <w:rsid w:val="00FA196B"/>
    <w:rsid w:val="00FA3025"/>
    <w:rsid w:val="00FA65DE"/>
    <w:rsid w:val="00FA72AF"/>
    <w:rsid w:val="00FB3BD3"/>
    <w:rsid w:val="00FB4F27"/>
    <w:rsid w:val="00FB7386"/>
    <w:rsid w:val="00FC2895"/>
    <w:rsid w:val="00FC446A"/>
    <w:rsid w:val="00FD0668"/>
    <w:rsid w:val="00FD1989"/>
    <w:rsid w:val="00FD1C16"/>
    <w:rsid w:val="00FD2332"/>
    <w:rsid w:val="00FD2A3E"/>
    <w:rsid w:val="00FD2F85"/>
    <w:rsid w:val="00FD362D"/>
    <w:rsid w:val="00FE170A"/>
    <w:rsid w:val="00FE18A8"/>
    <w:rsid w:val="00FE55C0"/>
    <w:rsid w:val="00FE7CF3"/>
    <w:rsid w:val="00FF0794"/>
    <w:rsid w:val="00FF1F9E"/>
    <w:rsid w:val="00FF2D5F"/>
    <w:rsid w:val="00FF53EC"/>
    <w:rsid w:val="00FF5648"/>
    <w:rsid w:val="00FF594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ADB36"/>
  <w15:chartTrackingRefBased/>
  <w15:docId w15:val="{68573A45-5774-4EAA-91A6-FA4BE2D0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C3B"/>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F73E79"/>
    <w:pPr>
      <w:keepNext/>
      <w:keepLines/>
      <w:spacing w:before="240"/>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unhideWhenUsed/>
    <w:qFormat/>
    <w:rsid w:val="003F5953"/>
    <w:pPr>
      <w:keepNext/>
      <w:keepLines/>
      <w:spacing w:before="40"/>
      <w:outlineLvl w:val="1"/>
    </w:pPr>
    <w:rPr>
      <w:rFonts w:asciiTheme="majorBidi" w:eastAsiaTheme="majorEastAsia" w:hAnsiTheme="majorBidi" w:cstheme="majorBidi"/>
      <w:b/>
      <w:szCs w:val="26"/>
    </w:rPr>
  </w:style>
  <w:style w:type="paragraph" w:styleId="Heading3">
    <w:name w:val="heading 3"/>
    <w:basedOn w:val="Normal"/>
    <w:link w:val="Heading3Char"/>
    <w:uiPriority w:val="9"/>
    <w:qFormat/>
    <w:rsid w:val="00EC3457"/>
    <w:pPr>
      <w:spacing w:before="100" w:beforeAutospacing="1" w:after="100" w:afterAutospacing="1"/>
      <w:outlineLvl w:val="2"/>
    </w:pPr>
    <w:rPr>
      <w:b/>
      <w:bCs/>
      <w:i/>
      <w:szCs w:val="27"/>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B5C3B"/>
    <w:pPr>
      <w:spacing w:before="100" w:beforeAutospacing="1" w:after="100" w:afterAutospacing="1"/>
    </w:pPr>
  </w:style>
  <w:style w:type="paragraph" w:styleId="Bibliography">
    <w:name w:val="Bibliography"/>
    <w:basedOn w:val="Normal"/>
    <w:next w:val="Normal"/>
    <w:uiPriority w:val="37"/>
    <w:unhideWhenUsed/>
    <w:rsid w:val="000B5C3B"/>
    <w:pPr>
      <w:spacing w:line="480" w:lineRule="auto"/>
      <w:ind w:left="720" w:hanging="720"/>
    </w:pPr>
  </w:style>
  <w:style w:type="character" w:customStyle="1" w:styleId="apple-converted-space">
    <w:name w:val="apple-converted-space"/>
    <w:basedOn w:val="DefaultParagraphFont"/>
    <w:rsid w:val="000B5C3B"/>
  </w:style>
  <w:style w:type="paragraph" w:styleId="FootnoteText">
    <w:name w:val="footnote text"/>
    <w:basedOn w:val="Normal"/>
    <w:link w:val="FootnoteTextChar"/>
    <w:uiPriority w:val="99"/>
    <w:semiHidden/>
    <w:unhideWhenUsed/>
    <w:rsid w:val="00041B51"/>
    <w:rPr>
      <w:sz w:val="20"/>
      <w:szCs w:val="20"/>
    </w:rPr>
  </w:style>
  <w:style w:type="character" w:customStyle="1" w:styleId="FootnoteTextChar">
    <w:name w:val="Footnote Text Char"/>
    <w:basedOn w:val="DefaultParagraphFont"/>
    <w:link w:val="FootnoteText"/>
    <w:uiPriority w:val="99"/>
    <w:semiHidden/>
    <w:rsid w:val="00041B51"/>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041B51"/>
    <w:rPr>
      <w:vertAlign w:val="superscript"/>
    </w:rPr>
  </w:style>
  <w:style w:type="paragraph" w:styleId="ListParagraph">
    <w:name w:val="List Paragraph"/>
    <w:basedOn w:val="Normal"/>
    <w:uiPriority w:val="34"/>
    <w:qFormat/>
    <w:rsid w:val="004E5E11"/>
    <w:pPr>
      <w:ind w:left="720"/>
      <w:contextualSpacing/>
    </w:pPr>
  </w:style>
  <w:style w:type="table" w:styleId="TableGrid">
    <w:name w:val="Table Grid"/>
    <w:basedOn w:val="TableNormal"/>
    <w:uiPriority w:val="59"/>
    <w:rsid w:val="0033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4AE"/>
    <w:pPr>
      <w:tabs>
        <w:tab w:val="center" w:pos="4513"/>
        <w:tab w:val="right" w:pos="9026"/>
      </w:tabs>
    </w:pPr>
  </w:style>
  <w:style w:type="character" w:customStyle="1" w:styleId="HeaderChar">
    <w:name w:val="Header Char"/>
    <w:basedOn w:val="DefaultParagraphFont"/>
    <w:link w:val="Header"/>
    <w:uiPriority w:val="99"/>
    <w:rsid w:val="00C764A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C764AE"/>
    <w:pPr>
      <w:tabs>
        <w:tab w:val="center" w:pos="4513"/>
        <w:tab w:val="right" w:pos="9026"/>
      </w:tabs>
    </w:pPr>
  </w:style>
  <w:style w:type="character" w:customStyle="1" w:styleId="FooterChar">
    <w:name w:val="Footer Char"/>
    <w:basedOn w:val="DefaultParagraphFont"/>
    <w:link w:val="Footer"/>
    <w:uiPriority w:val="99"/>
    <w:rsid w:val="00C764AE"/>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F6111B"/>
    <w:rPr>
      <w:color w:val="0000FF"/>
      <w:u w:val="single"/>
    </w:rPr>
  </w:style>
  <w:style w:type="character" w:customStyle="1" w:styleId="Heading3Char">
    <w:name w:val="Heading 3 Char"/>
    <w:basedOn w:val="DefaultParagraphFont"/>
    <w:link w:val="Heading3"/>
    <w:uiPriority w:val="9"/>
    <w:rsid w:val="00EC3457"/>
    <w:rPr>
      <w:rFonts w:ascii="Times New Roman" w:eastAsia="Times New Roman" w:hAnsi="Times New Roman" w:cs="Times New Roman"/>
      <w:b/>
      <w:bCs/>
      <w:i/>
      <w:sz w:val="24"/>
      <w:szCs w:val="27"/>
    </w:rPr>
  </w:style>
  <w:style w:type="paragraph" w:styleId="BalloonText">
    <w:name w:val="Balloon Text"/>
    <w:basedOn w:val="Normal"/>
    <w:link w:val="BalloonTextChar"/>
    <w:uiPriority w:val="99"/>
    <w:semiHidden/>
    <w:unhideWhenUsed/>
    <w:rsid w:val="00F22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B6C"/>
    <w:rPr>
      <w:rFonts w:ascii="Segoe UI" w:eastAsia="Times New Roman" w:hAnsi="Segoe UI" w:cs="Segoe UI"/>
      <w:sz w:val="18"/>
      <w:szCs w:val="18"/>
      <w:lang w:val="en-US" w:eastAsia="en-US"/>
    </w:rPr>
  </w:style>
  <w:style w:type="character" w:styleId="Emphasis">
    <w:name w:val="Emphasis"/>
    <w:basedOn w:val="DefaultParagraphFont"/>
    <w:uiPriority w:val="20"/>
    <w:qFormat/>
    <w:rsid w:val="00E92B83"/>
    <w:rPr>
      <w:i/>
      <w:iCs/>
    </w:rPr>
  </w:style>
  <w:style w:type="character" w:customStyle="1" w:styleId="Heading2Char">
    <w:name w:val="Heading 2 Char"/>
    <w:basedOn w:val="DefaultParagraphFont"/>
    <w:link w:val="Heading2"/>
    <w:uiPriority w:val="9"/>
    <w:rsid w:val="003F5953"/>
    <w:rPr>
      <w:rFonts w:asciiTheme="majorBidi" w:eastAsiaTheme="majorEastAsia" w:hAnsiTheme="majorBidi" w:cstheme="majorBidi"/>
      <w:b/>
      <w:sz w:val="24"/>
      <w:szCs w:val="26"/>
      <w:lang w:val="en-US" w:eastAsia="en-US"/>
    </w:rPr>
  </w:style>
  <w:style w:type="paragraph" w:customStyle="1" w:styleId="Default">
    <w:name w:val="Default"/>
    <w:rsid w:val="001403E9"/>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PlaceholderText">
    <w:name w:val="Placeholder Text"/>
    <w:basedOn w:val="DefaultParagraphFont"/>
    <w:uiPriority w:val="99"/>
    <w:semiHidden/>
    <w:rsid w:val="00714ED0"/>
    <w:rPr>
      <w:color w:val="808080"/>
    </w:rPr>
  </w:style>
  <w:style w:type="character" w:customStyle="1" w:styleId="Heading1Char">
    <w:name w:val="Heading 1 Char"/>
    <w:basedOn w:val="DefaultParagraphFont"/>
    <w:link w:val="Heading1"/>
    <w:uiPriority w:val="9"/>
    <w:rsid w:val="00F73E79"/>
    <w:rPr>
      <w:rFonts w:asciiTheme="majorBidi" w:eastAsiaTheme="majorEastAsia" w:hAnsiTheme="majorBidi" w:cstheme="majorBidi"/>
      <w:b/>
      <w:sz w:val="28"/>
      <w:szCs w:val="32"/>
      <w:lang w:val="en-US" w:eastAsia="en-US"/>
    </w:rPr>
  </w:style>
  <w:style w:type="paragraph" w:styleId="NoSpacing">
    <w:name w:val="No Spacing"/>
    <w:link w:val="NoSpacingChar"/>
    <w:uiPriority w:val="1"/>
    <w:qFormat/>
    <w:rsid w:val="00F73E79"/>
    <w:pPr>
      <w:spacing w:after="0" w:line="240" w:lineRule="auto"/>
    </w:pPr>
    <w:rPr>
      <w:lang w:val="en-US" w:eastAsia="en-US"/>
    </w:rPr>
  </w:style>
  <w:style w:type="character" w:customStyle="1" w:styleId="NoSpacingChar">
    <w:name w:val="No Spacing Char"/>
    <w:basedOn w:val="DefaultParagraphFont"/>
    <w:link w:val="NoSpacing"/>
    <w:uiPriority w:val="1"/>
    <w:rsid w:val="00F73E79"/>
    <w:rPr>
      <w:lang w:val="en-US" w:eastAsia="en-US"/>
    </w:rPr>
  </w:style>
  <w:style w:type="paragraph" w:styleId="TOCHeading">
    <w:name w:val="TOC Heading"/>
    <w:basedOn w:val="Heading1"/>
    <w:next w:val="Normal"/>
    <w:uiPriority w:val="39"/>
    <w:unhideWhenUsed/>
    <w:qFormat/>
    <w:rsid w:val="00B07238"/>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07238"/>
    <w:pPr>
      <w:spacing w:after="100"/>
    </w:pPr>
  </w:style>
  <w:style w:type="paragraph" w:styleId="TOC3">
    <w:name w:val="toc 3"/>
    <w:basedOn w:val="Normal"/>
    <w:next w:val="Normal"/>
    <w:autoRedefine/>
    <w:uiPriority w:val="39"/>
    <w:unhideWhenUsed/>
    <w:rsid w:val="00B07238"/>
    <w:pPr>
      <w:spacing w:after="100"/>
      <w:ind w:left="480"/>
    </w:pPr>
  </w:style>
  <w:style w:type="paragraph" w:styleId="TOC2">
    <w:name w:val="toc 2"/>
    <w:basedOn w:val="Normal"/>
    <w:next w:val="Normal"/>
    <w:autoRedefine/>
    <w:uiPriority w:val="39"/>
    <w:unhideWhenUsed/>
    <w:rsid w:val="00B07238"/>
    <w:pPr>
      <w:spacing w:after="100"/>
      <w:ind w:left="240"/>
    </w:pPr>
  </w:style>
  <w:style w:type="paragraph" w:styleId="Caption">
    <w:name w:val="caption"/>
    <w:basedOn w:val="Normal"/>
    <w:next w:val="Normal"/>
    <w:uiPriority w:val="35"/>
    <w:unhideWhenUsed/>
    <w:qFormat/>
    <w:rsid w:val="00957EA8"/>
    <w:pPr>
      <w:spacing w:after="200"/>
    </w:pPr>
    <w:rPr>
      <w:i/>
      <w:iCs/>
      <w:color w:val="44546A" w:themeColor="text2"/>
      <w:sz w:val="18"/>
      <w:szCs w:val="18"/>
    </w:rPr>
  </w:style>
  <w:style w:type="paragraph" w:styleId="TableofFigures">
    <w:name w:val="table of figures"/>
    <w:basedOn w:val="Normal"/>
    <w:next w:val="Normal"/>
    <w:uiPriority w:val="99"/>
    <w:unhideWhenUsed/>
    <w:rsid w:val="00EA0988"/>
  </w:style>
  <w:style w:type="character" w:styleId="CommentReference">
    <w:name w:val="annotation reference"/>
    <w:basedOn w:val="DefaultParagraphFont"/>
    <w:uiPriority w:val="99"/>
    <w:semiHidden/>
    <w:unhideWhenUsed/>
    <w:rsid w:val="005B3E8F"/>
    <w:rPr>
      <w:sz w:val="16"/>
      <w:szCs w:val="16"/>
    </w:rPr>
  </w:style>
  <w:style w:type="paragraph" w:styleId="CommentText">
    <w:name w:val="annotation text"/>
    <w:basedOn w:val="Normal"/>
    <w:link w:val="CommentTextChar"/>
    <w:uiPriority w:val="99"/>
    <w:semiHidden/>
    <w:unhideWhenUsed/>
    <w:rsid w:val="005B3E8F"/>
    <w:rPr>
      <w:sz w:val="20"/>
      <w:szCs w:val="20"/>
    </w:rPr>
  </w:style>
  <w:style w:type="character" w:customStyle="1" w:styleId="CommentTextChar">
    <w:name w:val="Comment Text Char"/>
    <w:basedOn w:val="DefaultParagraphFont"/>
    <w:link w:val="CommentText"/>
    <w:uiPriority w:val="99"/>
    <w:semiHidden/>
    <w:rsid w:val="005B3E8F"/>
    <w:rPr>
      <w:rFonts w:ascii="Times New Roman" w:eastAsia="Times New Roman" w:hAnsi="Times New Roman" w:cs="Times New Roman"/>
      <w:sz w:val="20"/>
      <w:szCs w:val="20"/>
      <w:lang w:val="en-US" w:eastAsia="en-US"/>
    </w:rPr>
  </w:style>
  <w:style w:type="character" w:styleId="EndnoteReference">
    <w:name w:val="endnote reference"/>
    <w:basedOn w:val="DefaultParagraphFont"/>
    <w:uiPriority w:val="99"/>
    <w:semiHidden/>
    <w:unhideWhenUsed/>
    <w:rsid w:val="00082B6E"/>
    <w:rPr>
      <w:vertAlign w:val="superscript"/>
    </w:rPr>
  </w:style>
  <w:style w:type="paragraph" w:styleId="CommentSubject">
    <w:name w:val="annotation subject"/>
    <w:basedOn w:val="CommentText"/>
    <w:next w:val="CommentText"/>
    <w:link w:val="CommentSubjectChar"/>
    <w:uiPriority w:val="99"/>
    <w:semiHidden/>
    <w:unhideWhenUsed/>
    <w:rsid w:val="0083119C"/>
    <w:rPr>
      <w:b/>
      <w:bCs/>
    </w:rPr>
  </w:style>
  <w:style w:type="character" w:customStyle="1" w:styleId="CommentSubjectChar">
    <w:name w:val="Comment Subject Char"/>
    <w:basedOn w:val="CommentTextChar"/>
    <w:link w:val="CommentSubject"/>
    <w:uiPriority w:val="99"/>
    <w:semiHidden/>
    <w:rsid w:val="0083119C"/>
    <w:rPr>
      <w:rFonts w:ascii="Times New Roman" w:eastAsia="Times New Roman" w:hAnsi="Times New Roman" w:cs="Times New Roman"/>
      <w:b/>
      <w:bCs/>
      <w:sz w:val="20"/>
      <w:szCs w:val="20"/>
      <w:lang w:val="en-US" w:eastAsia="en-US"/>
    </w:rPr>
  </w:style>
  <w:style w:type="paragraph" w:styleId="PlainText">
    <w:name w:val="Plain Text"/>
    <w:basedOn w:val="Normal"/>
    <w:link w:val="PlainTextChar"/>
    <w:uiPriority w:val="99"/>
    <w:rsid w:val="00A25C2D"/>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A25C2D"/>
    <w:rPr>
      <w:rFonts w:ascii="Courier New" w:eastAsia="SimSun" w:hAnsi="Courier New" w:cs="Courier New"/>
      <w:sz w:val="20"/>
      <w:szCs w:val="20"/>
      <w:lang w:val="en-US"/>
    </w:rPr>
  </w:style>
  <w:style w:type="character" w:customStyle="1" w:styleId="UnresolvedMention1">
    <w:name w:val="Unresolved Mention1"/>
    <w:basedOn w:val="DefaultParagraphFont"/>
    <w:uiPriority w:val="99"/>
    <w:semiHidden/>
    <w:unhideWhenUsed/>
    <w:rsid w:val="0089140D"/>
    <w:rPr>
      <w:color w:val="605E5C"/>
      <w:shd w:val="clear" w:color="auto" w:fill="E1DFDD"/>
    </w:rPr>
  </w:style>
  <w:style w:type="character" w:styleId="UnresolvedMention">
    <w:name w:val="Unresolved Mention"/>
    <w:basedOn w:val="DefaultParagraphFont"/>
    <w:uiPriority w:val="99"/>
    <w:semiHidden/>
    <w:unhideWhenUsed/>
    <w:rsid w:val="00025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2734">
      <w:bodyDiv w:val="1"/>
      <w:marLeft w:val="0"/>
      <w:marRight w:val="0"/>
      <w:marTop w:val="0"/>
      <w:marBottom w:val="0"/>
      <w:divBdr>
        <w:top w:val="none" w:sz="0" w:space="0" w:color="auto"/>
        <w:left w:val="none" w:sz="0" w:space="0" w:color="auto"/>
        <w:bottom w:val="none" w:sz="0" w:space="0" w:color="auto"/>
        <w:right w:val="none" w:sz="0" w:space="0" w:color="auto"/>
      </w:divBdr>
    </w:div>
    <w:div w:id="48312484">
      <w:bodyDiv w:val="1"/>
      <w:marLeft w:val="0"/>
      <w:marRight w:val="0"/>
      <w:marTop w:val="0"/>
      <w:marBottom w:val="0"/>
      <w:divBdr>
        <w:top w:val="none" w:sz="0" w:space="0" w:color="auto"/>
        <w:left w:val="none" w:sz="0" w:space="0" w:color="auto"/>
        <w:bottom w:val="none" w:sz="0" w:space="0" w:color="auto"/>
        <w:right w:val="none" w:sz="0" w:space="0" w:color="auto"/>
      </w:divBdr>
    </w:div>
    <w:div w:id="363945202">
      <w:bodyDiv w:val="1"/>
      <w:marLeft w:val="0"/>
      <w:marRight w:val="0"/>
      <w:marTop w:val="0"/>
      <w:marBottom w:val="0"/>
      <w:divBdr>
        <w:top w:val="none" w:sz="0" w:space="0" w:color="auto"/>
        <w:left w:val="none" w:sz="0" w:space="0" w:color="auto"/>
        <w:bottom w:val="none" w:sz="0" w:space="0" w:color="auto"/>
        <w:right w:val="none" w:sz="0" w:space="0" w:color="auto"/>
      </w:divBdr>
    </w:div>
    <w:div w:id="497110714">
      <w:bodyDiv w:val="1"/>
      <w:marLeft w:val="0"/>
      <w:marRight w:val="0"/>
      <w:marTop w:val="0"/>
      <w:marBottom w:val="0"/>
      <w:divBdr>
        <w:top w:val="none" w:sz="0" w:space="0" w:color="auto"/>
        <w:left w:val="none" w:sz="0" w:space="0" w:color="auto"/>
        <w:bottom w:val="none" w:sz="0" w:space="0" w:color="auto"/>
        <w:right w:val="none" w:sz="0" w:space="0" w:color="auto"/>
      </w:divBdr>
    </w:div>
    <w:div w:id="663584130">
      <w:bodyDiv w:val="1"/>
      <w:marLeft w:val="0"/>
      <w:marRight w:val="0"/>
      <w:marTop w:val="0"/>
      <w:marBottom w:val="0"/>
      <w:divBdr>
        <w:top w:val="none" w:sz="0" w:space="0" w:color="auto"/>
        <w:left w:val="none" w:sz="0" w:space="0" w:color="auto"/>
        <w:bottom w:val="none" w:sz="0" w:space="0" w:color="auto"/>
        <w:right w:val="none" w:sz="0" w:space="0" w:color="auto"/>
      </w:divBdr>
    </w:div>
    <w:div w:id="867640039">
      <w:bodyDiv w:val="1"/>
      <w:marLeft w:val="0"/>
      <w:marRight w:val="0"/>
      <w:marTop w:val="0"/>
      <w:marBottom w:val="0"/>
      <w:divBdr>
        <w:top w:val="none" w:sz="0" w:space="0" w:color="auto"/>
        <w:left w:val="none" w:sz="0" w:space="0" w:color="auto"/>
        <w:bottom w:val="none" w:sz="0" w:space="0" w:color="auto"/>
        <w:right w:val="none" w:sz="0" w:space="0" w:color="auto"/>
      </w:divBdr>
    </w:div>
    <w:div w:id="887646842">
      <w:bodyDiv w:val="1"/>
      <w:marLeft w:val="0"/>
      <w:marRight w:val="0"/>
      <w:marTop w:val="0"/>
      <w:marBottom w:val="0"/>
      <w:divBdr>
        <w:top w:val="none" w:sz="0" w:space="0" w:color="auto"/>
        <w:left w:val="none" w:sz="0" w:space="0" w:color="auto"/>
        <w:bottom w:val="none" w:sz="0" w:space="0" w:color="auto"/>
        <w:right w:val="none" w:sz="0" w:space="0" w:color="auto"/>
      </w:divBdr>
      <w:divsChild>
        <w:div w:id="2052150845">
          <w:marLeft w:val="0"/>
          <w:marRight w:val="0"/>
          <w:marTop w:val="0"/>
          <w:marBottom w:val="0"/>
          <w:divBdr>
            <w:top w:val="none" w:sz="0" w:space="0" w:color="auto"/>
            <w:left w:val="none" w:sz="0" w:space="0" w:color="auto"/>
            <w:bottom w:val="none" w:sz="0" w:space="0" w:color="auto"/>
            <w:right w:val="none" w:sz="0" w:space="0" w:color="auto"/>
          </w:divBdr>
        </w:div>
      </w:divsChild>
    </w:div>
    <w:div w:id="1023441139">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320696514">
      <w:bodyDiv w:val="1"/>
      <w:marLeft w:val="0"/>
      <w:marRight w:val="0"/>
      <w:marTop w:val="0"/>
      <w:marBottom w:val="0"/>
      <w:divBdr>
        <w:top w:val="none" w:sz="0" w:space="0" w:color="auto"/>
        <w:left w:val="none" w:sz="0" w:space="0" w:color="auto"/>
        <w:bottom w:val="none" w:sz="0" w:space="0" w:color="auto"/>
        <w:right w:val="none" w:sz="0" w:space="0" w:color="auto"/>
      </w:divBdr>
    </w:div>
    <w:div w:id="1472862150">
      <w:bodyDiv w:val="1"/>
      <w:marLeft w:val="0"/>
      <w:marRight w:val="0"/>
      <w:marTop w:val="0"/>
      <w:marBottom w:val="0"/>
      <w:divBdr>
        <w:top w:val="none" w:sz="0" w:space="0" w:color="auto"/>
        <w:left w:val="none" w:sz="0" w:space="0" w:color="auto"/>
        <w:bottom w:val="none" w:sz="0" w:space="0" w:color="auto"/>
        <w:right w:val="none" w:sz="0" w:space="0" w:color="auto"/>
      </w:divBdr>
    </w:div>
    <w:div w:id="1543832507">
      <w:bodyDiv w:val="1"/>
      <w:marLeft w:val="0"/>
      <w:marRight w:val="0"/>
      <w:marTop w:val="0"/>
      <w:marBottom w:val="0"/>
      <w:divBdr>
        <w:top w:val="none" w:sz="0" w:space="0" w:color="auto"/>
        <w:left w:val="none" w:sz="0" w:space="0" w:color="auto"/>
        <w:bottom w:val="none" w:sz="0" w:space="0" w:color="auto"/>
        <w:right w:val="none" w:sz="0" w:space="0" w:color="auto"/>
      </w:divBdr>
    </w:div>
    <w:div w:id="1800105316">
      <w:bodyDiv w:val="1"/>
      <w:marLeft w:val="0"/>
      <w:marRight w:val="0"/>
      <w:marTop w:val="0"/>
      <w:marBottom w:val="0"/>
      <w:divBdr>
        <w:top w:val="none" w:sz="0" w:space="0" w:color="auto"/>
        <w:left w:val="none" w:sz="0" w:space="0" w:color="auto"/>
        <w:bottom w:val="none" w:sz="0" w:space="0" w:color="auto"/>
        <w:right w:val="none" w:sz="0" w:space="0" w:color="auto"/>
      </w:divBdr>
    </w:div>
    <w:div w:id="1855218581">
      <w:bodyDiv w:val="1"/>
      <w:marLeft w:val="0"/>
      <w:marRight w:val="0"/>
      <w:marTop w:val="0"/>
      <w:marBottom w:val="0"/>
      <w:divBdr>
        <w:top w:val="none" w:sz="0" w:space="0" w:color="auto"/>
        <w:left w:val="none" w:sz="0" w:space="0" w:color="auto"/>
        <w:bottom w:val="none" w:sz="0" w:space="0" w:color="auto"/>
        <w:right w:val="none" w:sz="0" w:space="0" w:color="auto"/>
      </w:divBdr>
    </w:div>
    <w:div w:id="1964798457">
      <w:bodyDiv w:val="1"/>
      <w:marLeft w:val="0"/>
      <w:marRight w:val="0"/>
      <w:marTop w:val="0"/>
      <w:marBottom w:val="0"/>
      <w:divBdr>
        <w:top w:val="none" w:sz="0" w:space="0" w:color="auto"/>
        <w:left w:val="none" w:sz="0" w:space="0" w:color="auto"/>
        <w:bottom w:val="none" w:sz="0" w:space="0" w:color="auto"/>
        <w:right w:val="none" w:sz="0" w:space="0" w:color="auto"/>
      </w:divBdr>
    </w:div>
    <w:div w:id="1965849635">
      <w:bodyDiv w:val="1"/>
      <w:marLeft w:val="0"/>
      <w:marRight w:val="0"/>
      <w:marTop w:val="0"/>
      <w:marBottom w:val="0"/>
      <w:divBdr>
        <w:top w:val="none" w:sz="0" w:space="0" w:color="auto"/>
        <w:left w:val="none" w:sz="0" w:space="0" w:color="auto"/>
        <w:bottom w:val="none" w:sz="0" w:space="0" w:color="auto"/>
        <w:right w:val="none" w:sz="0" w:space="0" w:color="auto"/>
      </w:divBdr>
    </w:div>
    <w:div w:id="20161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stats.un.org/unsd/energy/edbase.htm" TargetMode="External"/><Relationship Id="rId2" Type="http://schemas.openxmlformats.org/officeDocument/2006/relationships/hyperlink" Target="http://www.who.int/gho/en/" TargetMode="External"/><Relationship Id="rId1" Type="http://schemas.openxmlformats.org/officeDocument/2006/relationships/hyperlink" Target="https://data.worldbank.org/data-catalog/world-development-indicators" TargetMode="External"/><Relationship Id="rId5" Type="http://schemas.openxmlformats.org/officeDocument/2006/relationships/hyperlink" Target="https://esa.un.org/unpd/wpp/Download/Standard/Population/" TargetMode="External"/><Relationship Id="rId4" Type="http://schemas.openxmlformats.org/officeDocument/2006/relationships/hyperlink" Target="https://www.convertunits.com/from/tons/to/terajo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66549-C4CF-4F17-85B2-F77B203B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8905</Words>
  <Characters>50763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59549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Muhammad</dc:creator>
  <cp:keywords/>
  <dc:description/>
  <cp:lastModifiedBy> </cp:lastModifiedBy>
  <cp:revision>25</cp:revision>
  <cp:lastPrinted>2018-08-28T23:09:00Z</cp:lastPrinted>
  <dcterms:created xsi:type="dcterms:W3CDTF">2018-08-27T06:46:00Z</dcterms:created>
  <dcterms:modified xsi:type="dcterms:W3CDTF">2018-08-28T23:09:00Z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id="TzO81MjY"/&gt;&lt;style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value="true"/&gt;&lt;/prefs&gt;&lt;/data&gt;</vt:lpwstr>
  </property>
</Properties>
</file>