
<file path=[Content_Types].xml><?xml version="1.0" encoding="utf-8"?>
<Types xmlns="http://schemas.openxmlformats.org/package/2006/content-types">
  <Default Extension="rels" ContentType="application/vnd.openxmlformats-package.relationships+xml"/>
  <Default Extension="tif" ContentType="image/tiff"/>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7CD2" w:rsidRDefault="00717CD2" w:rsidP="002976A3">
      <w:pPr>
        <w:jc w:val="center"/>
        <w:rPr>
          <w:rFonts w:asciiTheme="majorBidi" w:hAnsiTheme="majorBidi" w:cstheme="majorBidi"/>
          <w:b/>
          <w:sz w:val="28"/>
        </w:rPr>
      </w:pPr>
    </w:p>
    <w:p w:rsidR="00717CD2" w:rsidRDefault="00717CD2" w:rsidP="002976A3">
      <w:pPr>
        <w:jc w:val="center"/>
        <w:rPr>
          <w:rFonts w:asciiTheme="majorBidi" w:hAnsiTheme="majorBidi" w:cstheme="majorBidi"/>
          <w:b/>
          <w:sz w:val="28"/>
        </w:rPr>
      </w:pPr>
    </w:p>
    <w:p w:rsidR="002976A3" w:rsidRPr="00FF1F9E" w:rsidRDefault="002976A3" w:rsidP="002976A3">
      <w:pPr>
        <w:jc w:val="center"/>
        <w:rPr>
          <w:rFonts w:asciiTheme="majorBidi" w:hAnsiTheme="majorBidi" w:cstheme="majorBidi"/>
          <w:b/>
          <w:sz w:val="28"/>
        </w:rPr>
      </w:pPr>
      <w:r w:rsidRPr="00FF1F9E">
        <w:rPr>
          <w:rFonts w:asciiTheme="majorBidi" w:hAnsiTheme="majorBidi" w:cstheme="majorBidi"/>
          <w:b/>
          <w:sz w:val="28"/>
        </w:rPr>
        <w:t>UNIVERSITY OF WAIKATO</w:t>
      </w:r>
    </w:p>
    <w:p w:rsidR="002976A3" w:rsidRPr="00FF1F9E" w:rsidRDefault="002976A3" w:rsidP="002976A3">
      <w:pPr>
        <w:pStyle w:val="PlainText"/>
        <w:tabs>
          <w:tab w:val="left" w:pos="284"/>
          <w:tab w:val="left" w:pos="426"/>
        </w:tabs>
        <w:spacing w:line="288" w:lineRule="auto"/>
        <w:jc w:val="center"/>
        <w:rPr>
          <w:rFonts w:asciiTheme="majorBidi" w:hAnsiTheme="majorBidi" w:cstheme="majorBidi"/>
          <w:b/>
          <w:sz w:val="14"/>
          <w:szCs w:val="14"/>
        </w:rPr>
      </w:pPr>
    </w:p>
    <w:p w:rsidR="002976A3" w:rsidRPr="00FF1F9E" w:rsidRDefault="002976A3" w:rsidP="002976A3">
      <w:pPr>
        <w:pStyle w:val="PlainText"/>
        <w:tabs>
          <w:tab w:val="left" w:pos="284"/>
          <w:tab w:val="left" w:pos="426"/>
        </w:tabs>
        <w:spacing w:line="288" w:lineRule="auto"/>
        <w:jc w:val="center"/>
        <w:rPr>
          <w:rFonts w:asciiTheme="majorBidi" w:hAnsiTheme="majorBidi" w:cstheme="majorBidi"/>
          <w:b/>
          <w:sz w:val="28"/>
        </w:rPr>
      </w:pPr>
      <w:smartTag w:uri="urn:schemas-microsoft-com:office:smarttags" w:element="City">
        <w:smartTag w:uri="urn:schemas-microsoft-com:office:smarttags" w:element="place">
          <w:r w:rsidRPr="00FF1F9E">
            <w:rPr>
              <w:rFonts w:asciiTheme="majorBidi" w:hAnsiTheme="majorBidi" w:cstheme="majorBidi"/>
              <w:b/>
              <w:sz w:val="28"/>
            </w:rPr>
            <w:t>Hamilton</w:t>
          </w:r>
        </w:smartTag>
      </w:smartTag>
    </w:p>
    <w:p w:rsidR="002976A3" w:rsidRPr="00FF1F9E" w:rsidRDefault="002976A3" w:rsidP="002976A3">
      <w:pPr>
        <w:pStyle w:val="PlainText"/>
        <w:tabs>
          <w:tab w:val="left" w:pos="284"/>
          <w:tab w:val="left" w:pos="426"/>
        </w:tabs>
        <w:spacing w:line="288" w:lineRule="auto"/>
        <w:jc w:val="center"/>
        <w:rPr>
          <w:rFonts w:asciiTheme="majorBidi" w:hAnsiTheme="majorBidi" w:cstheme="majorBidi"/>
          <w:b/>
          <w:sz w:val="28"/>
        </w:rPr>
      </w:pPr>
      <w:smartTag w:uri="urn:schemas-microsoft-com:office:smarttags" w:element="country-region">
        <w:smartTag w:uri="urn:schemas-microsoft-com:office:smarttags" w:element="place">
          <w:r w:rsidRPr="00FF1F9E">
            <w:rPr>
              <w:rFonts w:asciiTheme="majorBidi" w:hAnsiTheme="majorBidi" w:cstheme="majorBidi"/>
              <w:b/>
              <w:sz w:val="28"/>
            </w:rPr>
            <w:t>New Zealand</w:t>
          </w:r>
        </w:smartTag>
      </w:smartTag>
    </w:p>
    <w:p w:rsidR="002976A3" w:rsidRPr="00FF1F9E" w:rsidRDefault="002976A3" w:rsidP="002976A3">
      <w:pPr>
        <w:pStyle w:val="PlainText"/>
        <w:tabs>
          <w:tab w:val="left" w:pos="284"/>
          <w:tab w:val="left" w:pos="426"/>
        </w:tabs>
        <w:spacing w:line="288" w:lineRule="auto"/>
        <w:jc w:val="center"/>
        <w:rPr>
          <w:rFonts w:asciiTheme="majorBidi" w:hAnsiTheme="majorBidi" w:cstheme="majorBidi"/>
          <w:b/>
          <w:sz w:val="28"/>
        </w:rPr>
      </w:pPr>
    </w:p>
    <w:p w:rsidR="002976A3" w:rsidRPr="00FF1F9E" w:rsidRDefault="002976A3" w:rsidP="002976A3">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 w:val="left" w:pos="426"/>
        </w:tabs>
        <w:spacing w:line="288" w:lineRule="auto"/>
        <w:jc w:val="center"/>
        <w:rPr>
          <w:rFonts w:asciiTheme="majorBidi" w:hAnsiTheme="majorBidi" w:cstheme="majorBidi"/>
          <w:b/>
          <w:sz w:val="24"/>
          <w:szCs w:val="24"/>
        </w:rPr>
      </w:pPr>
    </w:p>
    <w:p w:rsidR="002976A3" w:rsidRDefault="006C5E17" w:rsidP="006C5E17">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 w:val="left" w:pos="426"/>
        </w:tabs>
        <w:spacing w:line="288" w:lineRule="auto"/>
        <w:jc w:val="center"/>
        <w:rPr>
          <w:rFonts w:asciiTheme="majorBidi" w:hAnsiTheme="majorBidi" w:cstheme="majorBidi"/>
          <w:b/>
          <w:sz w:val="28"/>
          <w:szCs w:val="28"/>
        </w:rPr>
      </w:pPr>
      <w:r>
        <w:rPr>
          <w:rFonts w:asciiTheme="majorBidi" w:hAnsiTheme="majorBidi" w:cstheme="majorBidi"/>
          <w:b/>
          <w:sz w:val="28"/>
          <w:szCs w:val="28"/>
        </w:rPr>
        <w:t>A Test of DMPS and VIIRS Night Lights Data</w:t>
      </w:r>
    </w:p>
    <w:p w:rsidR="006C5E17" w:rsidRDefault="006C5E17" w:rsidP="006C5E17">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 w:val="left" w:pos="426"/>
        </w:tabs>
        <w:spacing w:line="288" w:lineRule="auto"/>
        <w:jc w:val="center"/>
        <w:rPr>
          <w:rFonts w:asciiTheme="majorBidi" w:hAnsiTheme="majorBidi" w:cstheme="majorBidi"/>
          <w:b/>
          <w:sz w:val="28"/>
          <w:szCs w:val="28"/>
        </w:rPr>
      </w:pPr>
      <w:r>
        <w:rPr>
          <w:rFonts w:asciiTheme="majorBidi" w:hAnsiTheme="majorBidi" w:cstheme="majorBidi"/>
          <w:b/>
          <w:sz w:val="28"/>
          <w:szCs w:val="28"/>
        </w:rPr>
        <w:t>for Estimating GDP and Spatial Inequality</w:t>
      </w:r>
    </w:p>
    <w:p w:rsidR="006C5E17" w:rsidRDefault="006C5E17" w:rsidP="006C5E17">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 w:val="left" w:pos="426"/>
        </w:tabs>
        <w:spacing w:line="288" w:lineRule="auto"/>
        <w:jc w:val="center"/>
        <w:rPr>
          <w:rFonts w:asciiTheme="majorBidi" w:hAnsiTheme="majorBidi" w:cstheme="majorBidi"/>
          <w:b/>
          <w:sz w:val="28"/>
          <w:szCs w:val="28"/>
        </w:rPr>
      </w:pPr>
      <w:r>
        <w:rPr>
          <w:rFonts w:asciiTheme="majorBidi" w:hAnsiTheme="majorBidi" w:cstheme="majorBidi"/>
          <w:b/>
          <w:sz w:val="28"/>
          <w:szCs w:val="28"/>
        </w:rPr>
        <w:t>for Rural and Urban Areas</w:t>
      </w:r>
    </w:p>
    <w:p w:rsidR="002976A3" w:rsidRPr="00F00EE1" w:rsidRDefault="002976A3" w:rsidP="002976A3">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 w:val="left" w:pos="426"/>
        </w:tabs>
        <w:spacing w:line="288" w:lineRule="auto"/>
        <w:jc w:val="center"/>
        <w:rPr>
          <w:rFonts w:asciiTheme="majorBidi" w:hAnsiTheme="majorBidi" w:cstheme="majorBidi"/>
          <w:b/>
          <w:sz w:val="14"/>
          <w:szCs w:val="14"/>
        </w:rPr>
      </w:pPr>
    </w:p>
    <w:p w:rsidR="002976A3" w:rsidRPr="00FF1F9E" w:rsidRDefault="002976A3" w:rsidP="002976A3">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 w:val="left" w:pos="426"/>
        </w:tabs>
        <w:spacing w:line="288" w:lineRule="auto"/>
        <w:jc w:val="center"/>
        <w:rPr>
          <w:rFonts w:asciiTheme="majorBidi" w:hAnsiTheme="majorBidi" w:cstheme="majorBidi"/>
          <w:bCs/>
          <w:sz w:val="28"/>
          <w:szCs w:val="28"/>
        </w:rPr>
      </w:pPr>
      <w:r w:rsidRPr="00095743">
        <w:rPr>
          <w:rFonts w:asciiTheme="majorBidi" w:hAnsiTheme="majorBidi" w:cstheme="majorBidi"/>
          <w:bCs/>
          <w:sz w:val="28"/>
          <w:szCs w:val="28"/>
        </w:rPr>
        <w:t xml:space="preserve">John Gibson, </w:t>
      </w:r>
      <w:r>
        <w:rPr>
          <w:rFonts w:asciiTheme="majorBidi" w:hAnsiTheme="majorBidi" w:cstheme="majorBidi"/>
          <w:bCs/>
          <w:sz w:val="28"/>
          <w:szCs w:val="28"/>
        </w:rPr>
        <w:t xml:space="preserve"> </w:t>
      </w:r>
      <w:r w:rsidRPr="00095743">
        <w:rPr>
          <w:rFonts w:asciiTheme="majorBidi" w:hAnsiTheme="majorBidi" w:cstheme="majorBidi"/>
          <w:bCs/>
          <w:sz w:val="28"/>
          <w:szCs w:val="28"/>
        </w:rPr>
        <w:t>S</w:t>
      </w:r>
      <w:r w:rsidR="000459A1">
        <w:rPr>
          <w:rFonts w:asciiTheme="majorBidi" w:hAnsiTheme="majorBidi" w:cstheme="majorBidi"/>
          <w:bCs/>
          <w:sz w:val="28"/>
          <w:szCs w:val="28"/>
        </w:rPr>
        <w:t xml:space="preserve">usan Olivia </w:t>
      </w:r>
      <w:r w:rsidRPr="00095743">
        <w:rPr>
          <w:rFonts w:asciiTheme="majorBidi" w:hAnsiTheme="majorBidi" w:cstheme="majorBidi"/>
          <w:bCs/>
          <w:sz w:val="28"/>
          <w:szCs w:val="28"/>
        </w:rPr>
        <w:t xml:space="preserve"> and </w:t>
      </w:r>
      <w:r>
        <w:rPr>
          <w:rFonts w:asciiTheme="majorBidi" w:hAnsiTheme="majorBidi" w:cstheme="majorBidi"/>
          <w:bCs/>
          <w:sz w:val="28"/>
          <w:szCs w:val="28"/>
        </w:rPr>
        <w:t xml:space="preserve"> </w:t>
      </w:r>
      <w:proofErr w:type="spellStart"/>
      <w:r w:rsidRPr="00095743">
        <w:rPr>
          <w:rFonts w:asciiTheme="majorBidi" w:hAnsiTheme="majorBidi" w:cstheme="majorBidi"/>
          <w:bCs/>
          <w:sz w:val="28"/>
          <w:szCs w:val="28"/>
        </w:rPr>
        <w:t>Geua</w:t>
      </w:r>
      <w:proofErr w:type="spellEnd"/>
      <w:r w:rsidRPr="00095743">
        <w:rPr>
          <w:rFonts w:asciiTheme="majorBidi" w:hAnsiTheme="majorBidi" w:cstheme="majorBidi"/>
          <w:bCs/>
          <w:sz w:val="28"/>
          <w:szCs w:val="28"/>
        </w:rPr>
        <w:t xml:space="preserve"> </w:t>
      </w:r>
      <w:proofErr w:type="spellStart"/>
      <w:r w:rsidRPr="00095743">
        <w:rPr>
          <w:rFonts w:asciiTheme="majorBidi" w:hAnsiTheme="majorBidi" w:cstheme="majorBidi"/>
          <w:bCs/>
          <w:sz w:val="28"/>
          <w:szCs w:val="28"/>
        </w:rPr>
        <w:t>Boe</w:t>
      </w:r>
      <w:proofErr w:type="spellEnd"/>
      <w:r w:rsidRPr="00095743">
        <w:rPr>
          <w:rFonts w:asciiTheme="majorBidi" w:hAnsiTheme="majorBidi" w:cstheme="majorBidi"/>
          <w:bCs/>
          <w:sz w:val="28"/>
          <w:szCs w:val="28"/>
        </w:rPr>
        <w:t>-Gibson</w:t>
      </w:r>
    </w:p>
    <w:p w:rsidR="002976A3" w:rsidRPr="00FF1F9E" w:rsidRDefault="002976A3" w:rsidP="002976A3">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 w:val="left" w:pos="426"/>
        </w:tabs>
        <w:spacing w:line="288" w:lineRule="auto"/>
        <w:jc w:val="center"/>
        <w:rPr>
          <w:rFonts w:asciiTheme="majorBidi" w:hAnsiTheme="majorBidi" w:cstheme="majorBidi"/>
          <w:bCs/>
          <w:i/>
          <w:iCs/>
          <w:sz w:val="24"/>
          <w:szCs w:val="24"/>
        </w:rPr>
      </w:pPr>
    </w:p>
    <w:p w:rsidR="002976A3" w:rsidRPr="00FF1F9E" w:rsidRDefault="002976A3" w:rsidP="002976A3">
      <w:pPr>
        <w:pStyle w:val="PlainText"/>
        <w:tabs>
          <w:tab w:val="left" w:pos="284"/>
          <w:tab w:val="left" w:pos="426"/>
        </w:tabs>
        <w:spacing w:line="288" w:lineRule="auto"/>
        <w:jc w:val="both"/>
        <w:rPr>
          <w:rFonts w:asciiTheme="majorBidi" w:hAnsiTheme="majorBidi" w:cstheme="majorBidi"/>
          <w:b/>
        </w:rPr>
      </w:pPr>
    </w:p>
    <w:p w:rsidR="002976A3" w:rsidRPr="00FF1F9E" w:rsidRDefault="002976A3" w:rsidP="002976A3">
      <w:pPr>
        <w:pStyle w:val="PlainText"/>
        <w:tabs>
          <w:tab w:val="left" w:pos="284"/>
          <w:tab w:val="left" w:pos="426"/>
        </w:tabs>
        <w:spacing w:line="288" w:lineRule="auto"/>
        <w:jc w:val="center"/>
        <w:rPr>
          <w:rFonts w:asciiTheme="majorBidi" w:hAnsiTheme="majorBidi" w:cstheme="majorBidi"/>
          <w:b/>
          <w:bCs/>
          <w:sz w:val="28"/>
        </w:rPr>
      </w:pPr>
    </w:p>
    <w:p w:rsidR="002976A3" w:rsidRPr="00FF1F9E" w:rsidRDefault="002976A3" w:rsidP="002976A3">
      <w:pPr>
        <w:pStyle w:val="PlainText"/>
        <w:tabs>
          <w:tab w:val="left" w:pos="284"/>
          <w:tab w:val="left" w:pos="426"/>
        </w:tabs>
        <w:spacing w:line="288" w:lineRule="auto"/>
        <w:jc w:val="center"/>
        <w:rPr>
          <w:rFonts w:asciiTheme="majorBidi" w:hAnsiTheme="majorBidi" w:cstheme="majorBidi"/>
          <w:b/>
          <w:bCs/>
          <w:sz w:val="28"/>
        </w:rPr>
      </w:pPr>
    </w:p>
    <w:p w:rsidR="002976A3" w:rsidRPr="00FF1F9E" w:rsidRDefault="002976A3" w:rsidP="002976A3">
      <w:pPr>
        <w:pStyle w:val="PlainText"/>
        <w:tabs>
          <w:tab w:val="left" w:pos="284"/>
          <w:tab w:val="left" w:pos="426"/>
        </w:tabs>
        <w:spacing w:line="288" w:lineRule="auto"/>
        <w:jc w:val="center"/>
        <w:rPr>
          <w:rFonts w:asciiTheme="majorBidi" w:hAnsiTheme="majorBidi" w:cstheme="majorBidi"/>
          <w:b/>
          <w:bCs/>
          <w:sz w:val="28"/>
        </w:rPr>
      </w:pPr>
      <w:r w:rsidRPr="00FF1F9E">
        <w:rPr>
          <w:rFonts w:asciiTheme="majorBidi" w:hAnsiTheme="majorBidi" w:cstheme="majorBidi"/>
          <w:b/>
          <w:bCs/>
          <w:sz w:val="28"/>
        </w:rPr>
        <w:t xml:space="preserve">Working Paper in Economics </w:t>
      </w:r>
      <w:r>
        <w:rPr>
          <w:rFonts w:asciiTheme="majorBidi" w:hAnsiTheme="majorBidi" w:cstheme="majorBidi"/>
          <w:b/>
          <w:bCs/>
          <w:sz w:val="28"/>
        </w:rPr>
        <w:t>11</w:t>
      </w:r>
      <w:r w:rsidRPr="00BF2AB8">
        <w:rPr>
          <w:rFonts w:asciiTheme="majorBidi" w:hAnsiTheme="majorBidi" w:cstheme="majorBidi"/>
          <w:b/>
          <w:bCs/>
          <w:sz w:val="28"/>
        </w:rPr>
        <w:t>/1</w:t>
      </w:r>
      <w:r>
        <w:rPr>
          <w:rFonts w:asciiTheme="majorBidi" w:hAnsiTheme="majorBidi" w:cstheme="majorBidi"/>
          <w:b/>
          <w:bCs/>
          <w:sz w:val="28"/>
        </w:rPr>
        <w:t>9</w:t>
      </w:r>
    </w:p>
    <w:p w:rsidR="002976A3" w:rsidRPr="00FF1F9E" w:rsidRDefault="002976A3" w:rsidP="002976A3">
      <w:pPr>
        <w:pStyle w:val="PlainText"/>
        <w:tabs>
          <w:tab w:val="left" w:pos="284"/>
          <w:tab w:val="left" w:pos="426"/>
        </w:tabs>
        <w:spacing w:line="288" w:lineRule="auto"/>
        <w:jc w:val="center"/>
        <w:rPr>
          <w:rFonts w:asciiTheme="majorBidi" w:hAnsiTheme="majorBidi" w:cstheme="majorBidi"/>
          <w:b/>
          <w:bCs/>
          <w:sz w:val="28"/>
        </w:rPr>
      </w:pPr>
    </w:p>
    <w:p w:rsidR="002976A3" w:rsidRPr="00FF1F9E" w:rsidRDefault="002976A3" w:rsidP="002976A3">
      <w:pPr>
        <w:pStyle w:val="PlainText"/>
        <w:tabs>
          <w:tab w:val="left" w:pos="284"/>
          <w:tab w:val="left" w:pos="426"/>
        </w:tabs>
        <w:spacing w:line="288" w:lineRule="auto"/>
        <w:jc w:val="center"/>
        <w:rPr>
          <w:rFonts w:asciiTheme="majorBidi" w:hAnsiTheme="majorBidi" w:cstheme="majorBidi"/>
          <w:sz w:val="28"/>
        </w:rPr>
      </w:pPr>
      <w:r>
        <w:rPr>
          <w:rFonts w:asciiTheme="majorBidi" w:hAnsiTheme="majorBidi" w:cstheme="majorBidi"/>
          <w:sz w:val="28"/>
        </w:rPr>
        <w:t xml:space="preserve">September </w:t>
      </w:r>
      <w:r w:rsidRPr="00FF1F9E">
        <w:rPr>
          <w:rFonts w:asciiTheme="majorBidi" w:hAnsiTheme="majorBidi" w:cstheme="majorBidi"/>
          <w:sz w:val="28"/>
        </w:rPr>
        <w:t xml:space="preserve"> 201</w:t>
      </w:r>
      <w:r>
        <w:rPr>
          <w:rFonts w:asciiTheme="majorBidi" w:hAnsiTheme="majorBidi" w:cstheme="majorBidi"/>
          <w:sz w:val="28"/>
        </w:rPr>
        <w:t>9</w:t>
      </w:r>
    </w:p>
    <w:p w:rsidR="002976A3" w:rsidRPr="00FF1F9E" w:rsidRDefault="002976A3" w:rsidP="002976A3">
      <w:pPr>
        <w:pStyle w:val="PlainText"/>
        <w:tabs>
          <w:tab w:val="left" w:pos="284"/>
          <w:tab w:val="left" w:pos="426"/>
        </w:tabs>
        <w:spacing w:line="288" w:lineRule="auto"/>
        <w:jc w:val="center"/>
        <w:rPr>
          <w:rFonts w:asciiTheme="majorBidi" w:hAnsiTheme="majorBidi" w:cstheme="majorBidi"/>
          <w:sz w:val="28"/>
        </w:rPr>
      </w:pPr>
    </w:p>
    <w:p w:rsidR="002976A3" w:rsidRPr="004905BA" w:rsidRDefault="002976A3" w:rsidP="002976A3">
      <w:pPr>
        <w:pStyle w:val="PlainText"/>
        <w:tabs>
          <w:tab w:val="left" w:pos="284"/>
          <w:tab w:val="left" w:pos="567"/>
        </w:tabs>
        <w:jc w:val="center"/>
        <w:rPr>
          <w:rFonts w:asciiTheme="majorBidi" w:hAnsiTheme="majorBidi" w:cstheme="majorBidi"/>
          <w:bCs/>
          <w:i/>
          <w:sz w:val="24"/>
          <w:szCs w:val="24"/>
        </w:rPr>
      </w:pPr>
      <w:r w:rsidRPr="004905BA">
        <w:rPr>
          <w:rFonts w:asciiTheme="majorBidi" w:hAnsiTheme="majorBidi" w:cstheme="majorBidi"/>
          <w:bCs/>
          <w:i/>
          <w:sz w:val="24"/>
          <w:szCs w:val="24"/>
        </w:rPr>
        <w:t>Corresponding Author</w:t>
      </w:r>
    </w:p>
    <w:p w:rsidR="002976A3" w:rsidRPr="00507A35" w:rsidRDefault="002976A3" w:rsidP="002976A3">
      <w:pPr>
        <w:pStyle w:val="PlainText"/>
        <w:tabs>
          <w:tab w:val="left" w:pos="284"/>
          <w:tab w:val="left" w:pos="567"/>
        </w:tabs>
        <w:jc w:val="center"/>
        <w:rPr>
          <w:rFonts w:asciiTheme="majorBidi" w:hAnsiTheme="majorBidi" w:cstheme="majorBidi"/>
          <w:b/>
          <w:bCs/>
          <w:sz w:val="8"/>
          <w:szCs w:val="8"/>
        </w:rPr>
      </w:pPr>
    </w:p>
    <w:p w:rsidR="002976A3" w:rsidRPr="004905BA" w:rsidRDefault="002976A3" w:rsidP="002976A3">
      <w:pPr>
        <w:pStyle w:val="PlainText"/>
        <w:tabs>
          <w:tab w:val="left" w:pos="284"/>
          <w:tab w:val="left" w:pos="567"/>
        </w:tabs>
        <w:jc w:val="center"/>
        <w:rPr>
          <w:rFonts w:asciiTheme="majorBidi" w:hAnsiTheme="majorBidi" w:cstheme="majorBidi"/>
          <w:b/>
          <w:bCs/>
          <w:sz w:val="24"/>
          <w:szCs w:val="24"/>
        </w:rPr>
      </w:pPr>
      <w:r w:rsidRPr="004905BA">
        <w:rPr>
          <w:rFonts w:asciiTheme="majorBidi" w:hAnsiTheme="majorBidi" w:cstheme="majorBidi"/>
          <w:bCs/>
          <w:sz w:val="24"/>
          <w:szCs w:val="24"/>
        </w:rPr>
        <w:t>John Gibson</w:t>
      </w:r>
    </w:p>
    <w:p w:rsidR="002976A3" w:rsidRPr="004905BA" w:rsidRDefault="002976A3" w:rsidP="002976A3">
      <w:pPr>
        <w:tabs>
          <w:tab w:val="left" w:pos="567"/>
        </w:tabs>
        <w:autoSpaceDE w:val="0"/>
        <w:autoSpaceDN w:val="0"/>
        <w:adjustRightInd w:val="0"/>
        <w:jc w:val="center"/>
        <w:rPr>
          <w:rFonts w:asciiTheme="majorBidi" w:hAnsiTheme="majorBidi" w:cstheme="majorBidi"/>
          <w:color w:val="595959"/>
          <w:shd w:val="clear" w:color="auto" w:fill="FFFFFF"/>
        </w:rPr>
      </w:pPr>
      <w:r>
        <w:rPr>
          <w:rFonts w:asciiTheme="majorBidi" w:hAnsiTheme="majorBidi" w:cstheme="majorBidi"/>
          <w:shd w:val="clear" w:color="auto" w:fill="FFFFFF"/>
        </w:rPr>
        <w:t>jkgibson</w:t>
      </w:r>
      <w:r w:rsidRPr="004905BA">
        <w:rPr>
          <w:rFonts w:asciiTheme="majorBidi" w:hAnsiTheme="majorBidi" w:cstheme="majorBidi"/>
          <w:shd w:val="clear" w:color="auto" w:fill="FFFFFF"/>
        </w:rPr>
        <w:t>@waikato.ac.nz</w:t>
      </w:r>
    </w:p>
    <w:p w:rsidR="002976A3" w:rsidRPr="004905BA" w:rsidRDefault="002976A3" w:rsidP="002976A3">
      <w:pPr>
        <w:pStyle w:val="PlainText"/>
        <w:tabs>
          <w:tab w:val="left" w:pos="284"/>
          <w:tab w:val="left" w:pos="567"/>
        </w:tabs>
        <w:jc w:val="center"/>
        <w:rPr>
          <w:rFonts w:asciiTheme="majorBidi" w:hAnsiTheme="majorBidi" w:cstheme="majorBidi"/>
          <w:b/>
          <w:bCs/>
          <w:sz w:val="24"/>
          <w:szCs w:val="24"/>
        </w:rPr>
      </w:pPr>
    </w:p>
    <w:p w:rsidR="002976A3" w:rsidRPr="004905BA" w:rsidRDefault="000459A1" w:rsidP="002976A3">
      <w:pPr>
        <w:pStyle w:val="PlainText"/>
        <w:tabs>
          <w:tab w:val="left" w:pos="284"/>
          <w:tab w:val="left" w:pos="567"/>
        </w:tabs>
        <w:jc w:val="center"/>
        <w:rPr>
          <w:rFonts w:asciiTheme="majorBidi" w:hAnsiTheme="majorBidi" w:cstheme="majorBidi"/>
          <w:b/>
          <w:bCs/>
          <w:sz w:val="24"/>
          <w:szCs w:val="24"/>
        </w:rPr>
      </w:pPr>
      <w:r>
        <w:rPr>
          <w:rFonts w:asciiTheme="majorBidi" w:hAnsiTheme="majorBidi" w:cstheme="majorBidi"/>
          <w:bCs/>
          <w:sz w:val="24"/>
          <w:szCs w:val="24"/>
        </w:rPr>
        <w:t>Susan Olivia</w:t>
      </w:r>
    </w:p>
    <w:p w:rsidR="002976A3" w:rsidRPr="004905BA" w:rsidRDefault="00717CD2" w:rsidP="002976A3">
      <w:pPr>
        <w:tabs>
          <w:tab w:val="left" w:pos="567"/>
        </w:tabs>
        <w:autoSpaceDE w:val="0"/>
        <w:autoSpaceDN w:val="0"/>
        <w:adjustRightInd w:val="0"/>
        <w:jc w:val="center"/>
        <w:rPr>
          <w:rFonts w:asciiTheme="majorBidi" w:hAnsiTheme="majorBidi" w:cstheme="majorBidi"/>
          <w:color w:val="595959"/>
          <w:shd w:val="clear" w:color="auto" w:fill="FFFFFF"/>
        </w:rPr>
      </w:pPr>
      <w:r>
        <w:rPr>
          <w:rFonts w:asciiTheme="majorBidi" w:hAnsiTheme="majorBidi" w:cstheme="majorBidi"/>
          <w:shd w:val="clear" w:color="auto" w:fill="FFFFFF"/>
        </w:rPr>
        <w:t>susan.olivia</w:t>
      </w:r>
      <w:r w:rsidR="002976A3" w:rsidRPr="004905BA">
        <w:rPr>
          <w:rFonts w:asciiTheme="majorBidi" w:hAnsiTheme="majorBidi" w:cstheme="majorBidi"/>
          <w:shd w:val="clear" w:color="auto" w:fill="FFFFFF"/>
        </w:rPr>
        <w:t>@waikato.ac.nz</w:t>
      </w:r>
    </w:p>
    <w:p w:rsidR="002976A3" w:rsidRPr="004905BA" w:rsidRDefault="002976A3" w:rsidP="002976A3">
      <w:pPr>
        <w:pStyle w:val="PlainText"/>
        <w:tabs>
          <w:tab w:val="left" w:pos="284"/>
          <w:tab w:val="left" w:pos="567"/>
        </w:tabs>
        <w:jc w:val="center"/>
        <w:rPr>
          <w:rFonts w:asciiTheme="majorBidi" w:hAnsiTheme="majorBidi" w:cstheme="majorBidi"/>
          <w:b/>
          <w:bCs/>
          <w:sz w:val="24"/>
          <w:szCs w:val="24"/>
        </w:rPr>
      </w:pPr>
    </w:p>
    <w:p w:rsidR="002976A3" w:rsidRPr="004905BA" w:rsidRDefault="002976A3" w:rsidP="002976A3">
      <w:pPr>
        <w:pStyle w:val="PlainText"/>
        <w:tabs>
          <w:tab w:val="left" w:pos="284"/>
          <w:tab w:val="left" w:pos="567"/>
        </w:tabs>
        <w:jc w:val="center"/>
        <w:rPr>
          <w:rFonts w:asciiTheme="majorBidi" w:hAnsiTheme="majorBidi" w:cstheme="majorBidi"/>
          <w:b/>
          <w:bCs/>
          <w:sz w:val="24"/>
          <w:szCs w:val="24"/>
        </w:rPr>
      </w:pPr>
      <w:proofErr w:type="spellStart"/>
      <w:r w:rsidRPr="004905BA">
        <w:rPr>
          <w:rFonts w:asciiTheme="majorBidi" w:hAnsiTheme="majorBidi" w:cstheme="majorBidi"/>
          <w:bCs/>
          <w:sz w:val="24"/>
          <w:szCs w:val="24"/>
        </w:rPr>
        <w:t>Geua</w:t>
      </w:r>
      <w:proofErr w:type="spellEnd"/>
      <w:r w:rsidRPr="004905BA">
        <w:rPr>
          <w:rFonts w:asciiTheme="majorBidi" w:hAnsiTheme="majorBidi" w:cstheme="majorBidi"/>
          <w:bCs/>
          <w:sz w:val="24"/>
          <w:szCs w:val="24"/>
        </w:rPr>
        <w:t xml:space="preserve"> </w:t>
      </w:r>
      <w:proofErr w:type="spellStart"/>
      <w:r w:rsidRPr="004905BA">
        <w:rPr>
          <w:rFonts w:asciiTheme="majorBidi" w:hAnsiTheme="majorBidi" w:cstheme="majorBidi"/>
          <w:bCs/>
          <w:sz w:val="24"/>
          <w:szCs w:val="24"/>
        </w:rPr>
        <w:t>Boe</w:t>
      </w:r>
      <w:proofErr w:type="spellEnd"/>
      <w:r w:rsidRPr="004905BA">
        <w:rPr>
          <w:rFonts w:asciiTheme="majorBidi" w:hAnsiTheme="majorBidi" w:cstheme="majorBidi"/>
          <w:bCs/>
          <w:sz w:val="24"/>
          <w:szCs w:val="24"/>
        </w:rPr>
        <w:t>-Gibson</w:t>
      </w:r>
    </w:p>
    <w:p w:rsidR="002976A3" w:rsidRPr="004905BA" w:rsidRDefault="002976A3" w:rsidP="002976A3">
      <w:pPr>
        <w:tabs>
          <w:tab w:val="left" w:pos="567"/>
        </w:tabs>
        <w:autoSpaceDE w:val="0"/>
        <w:autoSpaceDN w:val="0"/>
        <w:adjustRightInd w:val="0"/>
        <w:jc w:val="center"/>
        <w:rPr>
          <w:rFonts w:asciiTheme="majorBidi" w:hAnsiTheme="majorBidi" w:cstheme="majorBidi"/>
        </w:rPr>
      </w:pPr>
      <w:r w:rsidRPr="004905BA">
        <w:rPr>
          <w:rFonts w:asciiTheme="majorBidi" w:hAnsiTheme="majorBidi" w:cstheme="majorBidi"/>
        </w:rPr>
        <w:t>g</w:t>
      </w:r>
      <w:r>
        <w:rPr>
          <w:rFonts w:asciiTheme="majorBidi" w:hAnsiTheme="majorBidi" w:cstheme="majorBidi"/>
        </w:rPr>
        <w:t>euaboe</w:t>
      </w:r>
      <w:r w:rsidRPr="004905BA">
        <w:rPr>
          <w:rFonts w:asciiTheme="majorBidi" w:hAnsiTheme="majorBidi" w:cstheme="majorBidi"/>
        </w:rPr>
        <w:t xml:space="preserve">@waikato.ac.nz </w:t>
      </w:r>
    </w:p>
    <w:p w:rsidR="002976A3" w:rsidRPr="004905BA" w:rsidRDefault="002976A3" w:rsidP="002976A3">
      <w:pPr>
        <w:pStyle w:val="PlainText"/>
        <w:tabs>
          <w:tab w:val="left" w:pos="284"/>
          <w:tab w:val="left" w:pos="567"/>
        </w:tabs>
        <w:jc w:val="center"/>
        <w:rPr>
          <w:rFonts w:asciiTheme="majorBidi" w:hAnsiTheme="majorBidi" w:cstheme="majorBidi"/>
          <w:b/>
          <w:bCs/>
          <w:sz w:val="24"/>
          <w:szCs w:val="24"/>
        </w:rPr>
      </w:pPr>
    </w:p>
    <w:p w:rsidR="002976A3" w:rsidRPr="004905BA" w:rsidRDefault="002976A3" w:rsidP="002976A3">
      <w:pPr>
        <w:pStyle w:val="PlainText"/>
        <w:tabs>
          <w:tab w:val="left" w:pos="284"/>
          <w:tab w:val="left" w:pos="567"/>
        </w:tabs>
        <w:jc w:val="center"/>
        <w:rPr>
          <w:rFonts w:asciiTheme="majorBidi" w:hAnsiTheme="majorBidi" w:cstheme="majorBidi"/>
          <w:b/>
          <w:bCs/>
          <w:sz w:val="24"/>
          <w:szCs w:val="24"/>
        </w:rPr>
      </w:pPr>
    </w:p>
    <w:p w:rsidR="002976A3" w:rsidRPr="004905BA" w:rsidRDefault="002976A3" w:rsidP="002976A3">
      <w:pPr>
        <w:pStyle w:val="PlainText"/>
        <w:tabs>
          <w:tab w:val="left" w:pos="284"/>
          <w:tab w:val="left" w:pos="567"/>
        </w:tabs>
        <w:jc w:val="center"/>
        <w:rPr>
          <w:rFonts w:asciiTheme="majorBidi" w:hAnsiTheme="majorBidi" w:cstheme="majorBidi"/>
          <w:sz w:val="24"/>
          <w:szCs w:val="24"/>
        </w:rPr>
      </w:pPr>
      <w:r w:rsidRPr="004905BA">
        <w:rPr>
          <w:rFonts w:asciiTheme="majorBidi" w:hAnsiTheme="majorBidi" w:cstheme="majorBidi"/>
          <w:sz w:val="24"/>
          <w:szCs w:val="24"/>
        </w:rPr>
        <w:t xml:space="preserve">School of Accounting, Finance and Economics </w:t>
      </w:r>
    </w:p>
    <w:p w:rsidR="002976A3" w:rsidRPr="004905BA" w:rsidRDefault="002976A3" w:rsidP="002976A3">
      <w:pPr>
        <w:pStyle w:val="PlainText"/>
        <w:tabs>
          <w:tab w:val="left" w:pos="284"/>
          <w:tab w:val="left" w:pos="567"/>
        </w:tabs>
        <w:jc w:val="center"/>
        <w:rPr>
          <w:rFonts w:asciiTheme="majorBidi" w:hAnsiTheme="majorBidi" w:cstheme="majorBidi"/>
          <w:sz w:val="24"/>
          <w:szCs w:val="24"/>
        </w:rPr>
      </w:pPr>
      <w:r w:rsidRPr="004905BA">
        <w:rPr>
          <w:rFonts w:asciiTheme="majorBidi" w:hAnsiTheme="majorBidi" w:cstheme="majorBidi"/>
          <w:sz w:val="24"/>
          <w:szCs w:val="24"/>
        </w:rPr>
        <w:t xml:space="preserve">University of Waikato </w:t>
      </w:r>
    </w:p>
    <w:p w:rsidR="002976A3" w:rsidRPr="004905BA" w:rsidRDefault="002976A3" w:rsidP="002976A3">
      <w:pPr>
        <w:pStyle w:val="PlainText"/>
        <w:tabs>
          <w:tab w:val="left" w:pos="284"/>
          <w:tab w:val="left" w:pos="567"/>
        </w:tabs>
        <w:jc w:val="center"/>
        <w:rPr>
          <w:rFonts w:asciiTheme="majorBidi" w:hAnsiTheme="majorBidi" w:cstheme="majorBidi"/>
          <w:sz w:val="24"/>
          <w:szCs w:val="24"/>
        </w:rPr>
      </w:pPr>
      <w:r w:rsidRPr="004905BA">
        <w:rPr>
          <w:rFonts w:asciiTheme="majorBidi" w:hAnsiTheme="majorBidi" w:cstheme="majorBidi"/>
          <w:sz w:val="24"/>
          <w:szCs w:val="24"/>
        </w:rPr>
        <w:t>Private Bag 3105</w:t>
      </w:r>
    </w:p>
    <w:p w:rsidR="002976A3" w:rsidRPr="004905BA" w:rsidRDefault="002976A3" w:rsidP="002976A3">
      <w:pPr>
        <w:pStyle w:val="PlainText"/>
        <w:tabs>
          <w:tab w:val="left" w:pos="284"/>
          <w:tab w:val="left" w:pos="567"/>
        </w:tabs>
        <w:jc w:val="center"/>
        <w:rPr>
          <w:rFonts w:asciiTheme="majorBidi" w:hAnsiTheme="majorBidi" w:cstheme="majorBidi"/>
          <w:sz w:val="24"/>
          <w:szCs w:val="24"/>
        </w:rPr>
      </w:pPr>
      <w:r w:rsidRPr="004905BA">
        <w:rPr>
          <w:rFonts w:asciiTheme="majorBidi" w:hAnsiTheme="majorBidi" w:cstheme="majorBidi"/>
          <w:sz w:val="24"/>
          <w:szCs w:val="24"/>
        </w:rPr>
        <w:t>Hamilton 3240</w:t>
      </w:r>
    </w:p>
    <w:p w:rsidR="002976A3" w:rsidRPr="00FF1F9E" w:rsidRDefault="002976A3" w:rsidP="002976A3">
      <w:pPr>
        <w:pStyle w:val="PlainText"/>
        <w:tabs>
          <w:tab w:val="left" w:pos="284"/>
          <w:tab w:val="left" w:pos="567"/>
        </w:tabs>
        <w:jc w:val="center"/>
        <w:rPr>
          <w:rFonts w:asciiTheme="majorBidi" w:hAnsiTheme="majorBidi" w:cstheme="majorBidi"/>
          <w:sz w:val="24"/>
          <w:szCs w:val="24"/>
        </w:rPr>
      </w:pPr>
      <w:r w:rsidRPr="004905BA">
        <w:rPr>
          <w:rFonts w:asciiTheme="majorBidi" w:hAnsiTheme="majorBidi" w:cstheme="majorBidi"/>
          <w:sz w:val="24"/>
          <w:szCs w:val="24"/>
        </w:rPr>
        <w:t>NEW ZEALAND</w:t>
      </w:r>
    </w:p>
    <w:p w:rsidR="002976A3" w:rsidRDefault="002976A3">
      <w:pPr>
        <w:rPr>
          <w:rFonts w:eastAsia="Times New Roman" w:cs="Arial"/>
          <w:snapToGrid w:val="0"/>
          <w:sz w:val="32"/>
          <w:szCs w:val="32"/>
          <w:lang w:val="en-AU"/>
        </w:rPr>
      </w:pPr>
    </w:p>
    <w:p w:rsidR="002C5B8B" w:rsidRPr="00467A48" w:rsidRDefault="002C5B8B" w:rsidP="00E11DD1">
      <w:pPr>
        <w:pStyle w:val="1AutoList2"/>
        <w:spacing w:line="360" w:lineRule="auto"/>
        <w:ind w:left="0" w:firstLine="0"/>
        <w:jc w:val="center"/>
        <w:rPr>
          <w:rFonts w:cs="Arial"/>
          <w:sz w:val="32"/>
          <w:szCs w:val="32"/>
        </w:rPr>
      </w:pPr>
    </w:p>
    <w:p w:rsidR="00D01924" w:rsidRDefault="00D01924" w:rsidP="00D01924">
      <w:pPr>
        <w:spacing w:after="0" w:line="360" w:lineRule="auto"/>
        <w:jc w:val="center"/>
      </w:pPr>
    </w:p>
    <w:p w:rsidR="005017BD" w:rsidRDefault="005017BD" w:rsidP="00E11DD1">
      <w:pPr>
        <w:spacing w:after="0" w:line="360" w:lineRule="auto"/>
        <w:jc w:val="center"/>
        <w:rPr>
          <w:b/>
        </w:rPr>
      </w:pPr>
    </w:p>
    <w:p w:rsidR="00047C60" w:rsidRDefault="00D01924" w:rsidP="00A56289">
      <w:pPr>
        <w:spacing w:after="0" w:line="360" w:lineRule="auto"/>
        <w:ind w:left="142" w:right="95"/>
        <w:jc w:val="center"/>
        <w:rPr>
          <w:b/>
        </w:rPr>
      </w:pPr>
      <w:r w:rsidRPr="002C5B8B">
        <w:rPr>
          <w:b/>
        </w:rPr>
        <w:t>Abstract</w:t>
      </w:r>
    </w:p>
    <w:p w:rsidR="00E11630" w:rsidRDefault="00E11630" w:rsidP="00A62A6B">
      <w:pPr>
        <w:spacing w:after="0" w:line="360" w:lineRule="auto"/>
        <w:ind w:right="-45"/>
        <w:jc w:val="both"/>
        <w:rPr>
          <w:bCs/>
          <w:lang w:val="en-US"/>
        </w:rPr>
      </w:pPr>
      <w:r>
        <w:t xml:space="preserve">Night lights, as detected by satellites, are </w:t>
      </w:r>
      <w:r w:rsidR="00047C60">
        <w:t xml:space="preserve">increasingly </w:t>
      </w:r>
      <w:r>
        <w:t xml:space="preserve">used </w:t>
      </w:r>
      <w:r w:rsidR="00047C60">
        <w:t>by economi</w:t>
      </w:r>
      <w:r>
        <w:t>s</w:t>
      </w:r>
      <w:r w:rsidR="00047C60">
        <w:t>ts</w:t>
      </w:r>
      <w:r>
        <w:t xml:space="preserve">, </w:t>
      </w:r>
      <w:r w:rsidR="00437255">
        <w:t>especially to</w:t>
      </w:r>
      <w:r>
        <w:t xml:space="preserve"> proxy for economic activity</w:t>
      </w:r>
      <w:r w:rsidR="00437255">
        <w:t xml:space="preserve"> in poor countries</w:t>
      </w:r>
      <w:r>
        <w:t xml:space="preserve">. </w:t>
      </w:r>
      <w:r w:rsidR="00437255">
        <w:t xml:space="preserve">Widely </w:t>
      </w:r>
      <w:r w:rsidR="00437255">
        <w:rPr>
          <w:bCs/>
          <w:lang w:val="en-US"/>
        </w:rPr>
        <w:t xml:space="preserve">used data from the Defense Meteorological Satellite Program (DMSP) have several </w:t>
      </w:r>
      <w:r w:rsidR="007F7137">
        <w:rPr>
          <w:bCs/>
          <w:lang w:val="en-US"/>
        </w:rPr>
        <w:t>flaws;</w:t>
      </w:r>
      <w:r w:rsidR="00437255">
        <w:rPr>
          <w:bCs/>
          <w:lang w:val="en-US"/>
        </w:rPr>
        <w:t xml:space="preserve"> blurring, top-coding, lack of calibration</w:t>
      </w:r>
      <w:r w:rsidR="007F7137">
        <w:rPr>
          <w:bCs/>
          <w:lang w:val="en-US"/>
        </w:rPr>
        <w:t>,</w:t>
      </w:r>
      <w:r w:rsidR="00437255">
        <w:rPr>
          <w:bCs/>
          <w:lang w:val="en-US"/>
        </w:rPr>
        <w:t xml:space="preserve"> and variation in sensor amplification that </w:t>
      </w:r>
      <w:r w:rsidR="00303F15">
        <w:rPr>
          <w:bCs/>
          <w:lang w:val="en-US"/>
        </w:rPr>
        <w:t>impair</w:t>
      </w:r>
      <w:r w:rsidR="007F7137">
        <w:rPr>
          <w:bCs/>
          <w:lang w:val="en-US"/>
        </w:rPr>
        <w:t>s</w:t>
      </w:r>
      <w:r w:rsidR="00437255">
        <w:rPr>
          <w:bCs/>
          <w:lang w:val="en-US"/>
        </w:rPr>
        <w:t xml:space="preserve"> </w:t>
      </w:r>
      <w:r w:rsidR="007F7137">
        <w:rPr>
          <w:bCs/>
          <w:lang w:val="en-US"/>
        </w:rPr>
        <w:t xml:space="preserve">comparability </w:t>
      </w:r>
      <w:r w:rsidR="00437255">
        <w:rPr>
          <w:bCs/>
          <w:lang w:val="en-US"/>
        </w:rPr>
        <w:t>over time and space.</w:t>
      </w:r>
      <w:r w:rsidR="007F7137">
        <w:rPr>
          <w:bCs/>
          <w:lang w:val="en-US"/>
        </w:rPr>
        <w:t xml:space="preserve"> These flaws are not present in newer data from the Visible Infrared Imaging Radiometer Suite (VIIRS) that is widely used</w:t>
      </w:r>
      <w:r w:rsidR="000B69D0">
        <w:rPr>
          <w:bCs/>
          <w:lang w:val="en-US"/>
        </w:rPr>
        <w:t xml:space="preserve"> in other disciplines. E</w:t>
      </w:r>
      <w:r w:rsidR="007F7137">
        <w:rPr>
          <w:bCs/>
          <w:lang w:val="en-US"/>
        </w:rPr>
        <w:t xml:space="preserve">conomists </w:t>
      </w:r>
      <w:r w:rsidR="000B69D0">
        <w:rPr>
          <w:bCs/>
          <w:lang w:val="en-US"/>
        </w:rPr>
        <w:t>have been slow to switch</w:t>
      </w:r>
      <w:r w:rsidR="007F7137">
        <w:rPr>
          <w:bCs/>
          <w:lang w:val="en-US"/>
        </w:rPr>
        <w:t xml:space="preserve"> </w:t>
      </w:r>
      <w:r w:rsidR="00303F15">
        <w:rPr>
          <w:bCs/>
          <w:lang w:val="en-US"/>
        </w:rPr>
        <w:t xml:space="preserve">to these </w:t>
      </w:r>
      <w:r w:rsidR="007F7137">
        <w:rPr>
          <w:bCs/>
          <w:lang w:val="en-US"/>
        </w:rPr>
        <w:t>better VIIRS data</w:t>
      </w:r>
      <w:r w:rsidR="000B69D0">
        <w:rPr>
          <w:bCs/>
          <w:lang w:val="en-US"/>
        </w:rPr>
        <w:t>, perhaps bec</w:t>
      </w:r>
      <w:r w:rsidR="00DB03A4">
        <w:rPr>
          <w:bCs/>
          <w:lang w:val="en-US"/>
        </w:rPr>
        <w:t>ause flaws in DMSP are rarely emphasized</w:t>
      </w:r>
      <w:r w:rsidR="007F7137">
        <w:rPr>
          <w:bCs/>
          <w:lang w:val="en-US"/>
        </w:rPr>
        <w:t xml:space="preserve">. </w:t>
      </w:r>
      <w:r w:rsidR="00B13A4D">
        <w:rPr>
          <w:bCs/>
          <w:lang w:val="en-US"/>
        </w:rPr>
        <w:t>W</w:t>
      </w:r>
      <w:r w:rsidR="00DB03A4">
        <w:rPr>
          <w:bCs/>
          <w:lang w:val="en-US"/>
        </w:rPr>
        <w:t xml:space="preserve">e show </w:t>
      </w:r>
      <w:r w:rsidR="007F7137">
        <w:rPr>
          <w:bCs/>
          <w:lang w:val="en-US"/>
        </w:rPr>
        <w:t>the relationship between night lights and Indonesian GDP at the second sub-national level f</w:t>
      </w:r>
      <w:r w:rsidR="00DB03A4">
        <w:rPr>
          <w:bCs/>
          <w:lang w:val="en-US"/>
        </w:rPr>
        <w:t xml:space="preserve">or </w:t>
      </w:r>
      <w:r w:rsidR="00F2581B">
        <w:rPr>
          <w:bCs/>
          <w:lang w:val="en-US"/>
        </w:rPr>
        <w:t>497</w:t>
      </w:r>
      <w:r w:rsidR="00DB03A4">
        <w:rPr>
          <w:bCs/>
          <w:lang w:val="en-US"/>
        </w:rPr>
        <w:t xml:space="preserve"> spatial units. The </w:t>
      </w:r>
      <w:r w:rsidR="007F7137">
        <w:rPr>
          <w:bCs/>
          <w:lang w:val="en-US"/>
        </w:rPr>
        <w:t>DMSP data are not a suitable proxy for GD</w:t>
      </w:r>
      <w:r w:rsidR="001224B2">
        <w:rPr>
          <w:bCs/>
          <w:lang w:val="en-US"/>
        </w:rPr>
        <w:t>P outside of</w:t>
      </w:r>
      <w:r w:rsidR="00EF5434">
        <w:rPr>
          <w:bCs/>
          <w:lang w:val="en-US"/>
        </w:rPr>
        <w:t xml:space="preserve"> cities</w:t>
      </w:r>
      <w:r w:rsidR="001224B2">
        <w:rPr>
          <w:bCs/>
          <w:lang w:val="en-US"/>
        </w:rPr>
        <w:t>. W</w:t>
      </w:r>
      <w:r w:rsidR="007F7137">
        <w:rPr>
          <w:bCs/>
          <w:lang w:val="en-US"/>
        </w:rPr>
        <w:t xml:space="preserve">ithin </w:t>
      </w:r>
      <w:r w:rsidR="00EF5434">
        <w:rPr>
          <w:bCs/>
          <w:lang w:val="en-US"/>
        </w:rPr>
        <w:t>the urban sector</w:t>
      </w:r>
      <w:r w:rsidR="00303F15">
        <w:rPr>
          <w:bCs/>
          <w:lang w:val="en-US"/>
        </w:rPr>
        <w:t>,</w:t>
      </w:r>
      <w:r w:rsidR="007F7137">
        <w:rPr>
          <w:bCs/>
          <w:lang w:val="en-US"/>
        </w:rPr>
        <w:t xml:space="preserve"> the lights-GDP relationship is twice as </w:t>
      </w:r>
      <w:r w:rsidR="00303F15">
        <w:rPr>
          <w:bCs/>
          <w:lang w:val="en-US"/>
        </w:rPr>
        <w:t>noisy</w:t>
      </w:r>
      <w:r w:rsidR="00DB03A4">
        <w:rPr>
          <w:bCs/>
          <w:lang w:val="en-US"/>
        </w:rPr>
        <w:t xml:space="preserve"> using DMSP as using VIIRS. S</w:t>
      </w:r>
      <w:r w:rsidR="00303F15">
        <w:rPr>
          <w:bCs/>
          <w:lang w:val="en-US"/>
        </w:rPr>
        <w:t xml:space="preserve">patial inequality </w:t>
      </w:r>
      <w:r w:rsidR="000B69D0">
        <w:rPr>
          <w:bCs/>
          <w:lang w:val="en-US"/>
        </w:rPr>
        <w:t xml:space="preserve">is considerably understated </w:t>
      </w:r>
      <w:r w:rsidR="00DB03A4">
        <w:rPr>
          <w:bCs/>
          <w:lang w:val="en-US"/>
        </w:rPr>
        <w:t xml:space="preserve">by the </w:t>
      </w:r>
      <w:r w:rsidR="00303F15">
        <w:rPr>
          <w:bCs/>
          <w:lang w:val="en-US"/>
        </w:rPr>
        <w:t>DMSP data.</w:t>
      </w:r>
      <w:r w:rsidR="00DB03A4">
        <w:rPr>
          <w:bCs/>
          <w:lang w:val="en-US"/>
        </w:rPr>
        <w:t xml:space="preserve"> A Pareto adjustment to correct for t</w:t>
      </w:r>
      <w:r w:rsidR="00630706">
        <w:rPr>
          <w:bCs/>
          <w:lang w:val="en-US"/>
        </w:rPr>
        <w:t>op-coding in DMSP data has a modest</w:t>
      </w:r>
      <w:r w:rsidR="00DB03A4">
        <w:rPr>
          <w:bCs/>
          <w:lang w:val="en-US"/>
        </w:rPr>
        <w:t xml:space="preserve"> effect </w:t>
      </w:r>
      <w:r w:rsidR="00630706">
        <w:rPr>
          <w:bCs/>
          <w:lang w:val="en-US"/>
        </w:rPr>
        <w:t xml:space="preserve">but </w:t>
      </w:r>
      <w:r w:rsidR="00EF5434">
        <w:rPr>
          <w:bCs/>
          <w:lang w:val="en-US"/>
        </w:rPr>
        <w:t xml:space="preserve">still understates </w:t>
      </w:r>
      <w:r w:rsidR="00DB03A4">
        <w:rPr>
          <w:bCs/>
          <w:lang w:val="en-US"/>
        </w:rPr>
        <w:t xml:space="preserve">spatial inequality </w:t>
      </w:r>
      <w:r w:rsidR="00EF5434">
        <w:rPr>
          <w:bCs/>
          <w:lang w:val="en-US"/>
        </w:rPr>
        <w:t>and misses much of the intra-city heterogeneity in the brightness of lights for Jakarta.</w:t>
      </w:r>
    </w:p>
    <w:p w:rsidR="00E46501" w:rsidRDefault="00E46501" w:rsidP="00A62A6B">
      <w:pPr>
        <w:spacing w:after="0" w:line="360" w:lineRule="auto"/>
        <w:ind w:right="-45"/>
        <w:jc w:val="both"/>
      </w:pPr>
    </w:p>
    <w:p w:rsidR="00E46501" w:rsidRDefault="00E46501" w:rsidP="00A62A6B">
      <w:pPr>
        <w:spacing w:after="0" w:line="360" w:lineRule="auto"/>
        <w:ind w:right="-45"/>
        <w:jc w:val="both"/>
      </w:pPr>
    </w:p>
    <w:p w:rsidR="00A56289" w:rsidRDefault="0064256F" w:rsidP="00A62A6B">
      <w:pPr>
        <w:spacing w:after="0" w:line="240" w:lineRule="auto"/>
        <w:ind w:right="-46"/>
        <w:jc w:val="center"/>
        <w:rPr>
          <w:rFonts w:eastAsia="Batang"/>
          <w:b/>
          <w:lang w:val="en-US" w:eastAsia="ko-KR"/>
        </w:rPr>
      </w:pPr>
      <w:r w:rsidRPr="0064256F">
        <w:rPr>
          <w:rFonts w:eastAsia="Batang"/>
          <w:b/>
          <w:lang w:val="en-US" w:eastAsia="ko-KR"/>
        </w:rPr>
        <w:t>JEL Codes</w:t>
      </w:r>
    </w:p>
    <w:p w:rsidR="0064256F" w:rsidRDefault="0064256F" w:rsidP="00A62A6B">
      <w:pPr>
        <w:spacing w:after="0" w:line="240" w:lineRule="auto"/>
        <w:ind w:right="-46"/>
        <w:jc w:val="center"/>
        <w:rPr>
          <w:rFonts w:eastAsia="Batang"/>
          <w:lang w:val="en-US" w:eastAsia="ko-KR"/>
        </w:rPr>
      </w:pPr>
      <w:r w:rsidRPr="0064256F">
        <w:rPr>
          <w:rFonts w:eastAsia="Batang"/>
          <w:lang w:val="en-US" w:eastAsia="ko-KR"/>
        </w:rPr>
        <w:t xml:space="preserve"> </w:t>
      </w:r>
      <w:r w:rsidR="00735A9C">
        <w:rPr>
          <w:rFonts w:eastAsia="Batang"/>
          <w:lang w:val="en-US" w:eastAsia="ko-KR"/>
        </w:rPr>
        <w:t>O15, R12</w:t>
      </w:r>
    </w:p>
    <w:p w:rsidR="00E46501" w:rsidRDefault="00E46501" w:rsidP="00A62A6B">
      <w:pPr>
        <w:spacing w:after="0" w:line="240" w:lineRule="auto"/>
        <w:ind w:right="-46"/>
        <w:jc w:val="center"/>
        <w:rPr>
          <w:rFonts w:eastAsia="Batang"/>
          <w:lang w:val="en-US" w:eastAsia="ko-KR"/>
        </w:rPr>
      </w:pPr>
    </w:p>
    <w:p w:rsidR="00060AB4" w:rsidRDefault="00060AB4" w:rsidP="00A62A6B">
      <w:pPr>
        <w:spacing w:after="0" w:line="240" w:lineRule="auto"/>
        <w:ind w:right="-46"/>
        <w:jc w:val="center"/>
        <w:rPr>
          <w:rFonts w:eastAsia="Batang"/>
          <w:lang w:val="en-US" w:eastAsia="ko-KR"/>
        </w:rPr>
      </w:pPr>
    </w:p>
    <w:p w:rsidR="00060AB4" w:rsidRDefault="00AC2473" w:rsidP="00A62A6B">
      <w:pPr>
        <w:spacing w:after="0" w:line="240" w:lineRule="auto"/>
        <w:ind w:right="-46"/>
        <w:jc w:val="center"/>
        <w:rPr>
          <w:rFonts w:eastAsia="Batang"/>
          <w:b/>
          <w:bCs/>
          <w:lang w:val="en-US" w:eastAsia="ko-KR"/>
        </w:rPr>
      </w:pPr>
      <w:r w:rsidRPr="00AC2473">
        <w:rPr>
          <w:rFonts w:eastAsia="Batang"/>
          <w:b/>
          <w:bCs/>
          <w:lang w:val="en-US" w:eastAsia="ko-KR"/>
        </w:rPr>
        <w:t>Keywords</w:t>
      </w:r>
    </w:p>
    <w:p w:rsidR="00A62A6B" w:rsidRDefault="00A62A6B" w:rsidP="00A62A6B">
      <w:pPr>
        <w:spacing w:after="0" w:line="240" w:lineRule="auto"/>
        <w:ind w:right="-46"/>
        <w:jc w:val="center"/>
        <w:rPr>
          <w:rFonts w:eastAsia="Batang"/>
          <w:lang w:val="en-US" w:eastAsia="ko-KR"/>
        </w:rPr>
      </w:pPr>
      <w:r>
        <w:rPr>
          <w:rFonts w:eastAsia="Batang"/>
          <w:lang w:val="en-US" w:eastAsia="ko-KR"/>
        </w:rPr>
        <w:t>density</w:t>
      </w:r>
    </w:p>
    <w:p w:rsidR="00A62A6B" w:rsidRDefault="00A62A6B" w:rsidP="00A62A6B">
      <w:pPr>
        <w:spacing w:after="0" w:line="240" w:lineRule="auto"/>
        <w:ind w:right="-46"/>
        <w:jc w:val="center"/>
        <w:rPr>
          <w:rFonts w:eastAsia="Batang"/>
          <w:lang w:val="en-US" w:eastAsia="ko-KR"/>
        </w:rPr>
      </w:pPr>
      <w:r>
        <w:rPr>
          <w:rFonts w:eastAsia="Batang"/>
          <w:lang w:val="en-US" w:eastAsia="ko-KR"/>
        </w:rPr>
        <w:t>DMSP</w:t>
      </w:r>
    </w:p>
    <w:p w:rsidR="00A62A6B" w:rsidRDefault="00A62A6B" w:rsidP="00A62A6B">
      <w:pPr>
        <w:spacing w:after="0" w:line="240" w:lineRule="auto"/>
        <w:ind w:right="-46"/>
        <w:jc w:val="center"/>
        <w:rPr>
          <w:rFonts w:eastAsia="Batang"/>
          <w:lang w:val="en-US" w:eastAsia="ko-KR"/>
        </w:rPr>
      </w:pPr>
      <w:r>
        <w:rPr>
          <w:rFonts w:eastAsia="Batang"/>
          <w:lang w:val="en-US" w:eastAsia="ko-KR"/>
        </w:rPr>
        <w:t>inequality</w:t>
      </w:r>
    </w:p>
    <w:p w:rsidR="00A62A6B" w:rsidRDefault="00A62A6B" w:rsidP="00A62A6B">
      <w:pPr>
        <w:spacing w:after="0" w:line="240" w:lineRule="auto"/>
        <w:ind w:right="-46"/>
        <w:jc w:val="center"/>
        <w:rPr>
          <w:rFonts w:eastAsia="Batang"/>
          <w:lang w:val="en-US" w:eastAsia="ko-KR"/>
        </w:rPr>
      </w:pPr>
      <w:r>
        <w:rPr>
          <w:rFonts w:eastAsia="Batang"/>
          <w:lang w:val="en-US" w:eastAsia="ko-KR"/>
        </w:rPr>
        <w:t>night lights</w:t>
      </w:r>
    </w:p>
    <w:p w:rsidR="00A62A6B" w:rsidRDefault="00A62A6B" w:rsidP="00A62A6B">
      <w:pPr>
        <w:spacing w:after="0" w:line="240" w:lineRule="auto"/>
        <w:ind w:right="-46"/>
        <w:jc w:val="center"/>
        <w:rPr>
          <w:rFonts w:eastAsia="Batang"/>
          <w:lang w:val="en-US" w:eastAsia="ko-KR"/>
        </w:rPr>
      </w:pPr>
      <w:r>
        <w:rPr>
          <w:rFonts w:eastAsia="Batang"/>
          <w:lang w:val="en-US" w:eastAsia="ko-KR"/>
        </w:rPr>
        <w:t>VIIRS</w:t>
      </w:r>
    </w:p>
    <w:p w:rsidR="00A62A6B" w:rsidRDefault="00A62A6B" w:rsidP="00A62A6B">
      <w:pPr>
        <w:spacing w:after="0" w:line="240" w:lineRule="auto"/>
        <w:ind w:right="-46"/>
        <w:jc w:val="center"/>
        <w:rPr>
          <w:rFonts w:eastAsia="Batang"/>
          <w:lang w:val="en-US" w:eastAsia="ko-KR"/>
        </w:rPr>
      </w:pPr>
      <w:r>
        <w:rPr>
          <w:rFonts w:eastAsia="Batang"/>
          <w:lang w:val="en-US" w:eastAsia="ko-KR"/>
        </w:rPr>
        <w:t>Indonesia</w:t>
      </w:r>
    </w:p>
    <w:p w:rsidR="00A62A6B" w:rsidRPr="00AC2473" w:rsidRDefault="00A62A6B" w:rsidP="00A62A6B">
      <w:pPr>
        <w:spacing w:after="0" w:line="240" w:lineRule="auto"/>
        <w:ind w:right="-46"/>
        <w:jc w:val="center"/>
        <w:rPr>
          <w:rFonts w:eastAsia="Batang"/>
          <w:b/>
          <w:bCs/>
          <w:lang w:val="en-US" w:eastAsia="ko-KR"/>
        </w:rPr>
      </w:pPr>
    </w:p>
    <w:p w:rsidR="0064256F" w:rsidRDefault="0064256F" w:rsidP="00A62A6B">
      <w:pPr>
        <w:spacing w:after="0" w:line="240" w:lineRule="auto"/>
        <w:ind w:right="-46"/>
        <w:jc w:val="center"/>
        <w:rPr>
          <w:rFonts w:eastAsia="Batang"/>
          <w:lang w:val="en-US" w:eastAsia="ko-KR"/>
        </w:rPr>
      </w:pPr>
    </w:p>
    <w:p w:rsidR="00060AB4" w:rsidRDefault="00060AB4" w:rsidP="00A62A6B">
      <w:pPr>
        <w:spacing w:after="0" w:line="360" w:lineRule="auto"/>
        <w:ind w:right="-46"/>
        <w:jc w:val="center"/>
        <w:rPr>
          <w:rFonts w:cs="Arial"/>
          <w:b/>
        </w:rPr>
      </w:pPr>
      <w:r w:rsidRPr="00060AB4">
        <w:rPr>
          <w:rFonts w:cs="Arial"/>
          <w:b/>
        </w:rPr>
        <w:t>Acknowledgements</w:t>
      </w:r>
    </w:p>
    <w:p w:rsidR="00060AB4" w:rsidRPr="0012339B" w:rsidRDefault="00060AB4" w:rsidP="0012339B">
      <w:pPr>
        <w:spacing w:after="0" w:line="240" w:lineRule="auto"/>
        <w:ind w:right="-46"/>
        <w:jc w:val="center"/>
        <w:rPr>
          <w:rFonts w:cs="Arial"/>
          <w:bCs/>
        </w:rPr>
      </w:pPr>
      <w:r>
        <w:rPr>
          <w:rFonts w:cs="Arial"/>
          <w:bCs/>
        </w:rPr>
        <w:t xml:space="preserve">This paper was written while Gibson was visiting the </w:t>
      </w:r>
      <w:r w:rsidR="0012339B">
        <w:rPr>
          <w:rFonts w:cs="Arial"/>
          <w:bCs/>
        </w:rPr>
        <w:t xml:space="preserve">Centre for the </w:t>
      </w:r>
      <w:r>
        <w:rPr>
          <w:rFonts w:cs="Arial"/>
          <w:bCs/>
        </w:rPr>
        <w:t>Study of African Economi</w:t>
      </w:r>
      <w:r w:rsidR="00746F54">
        <w:rPr>
          <w:rFonts w:cs="Arial"/>
          <w:bCs/>
        </w:rPr>
        <w:t>es</w:t>
      </w:r>
      <w:r>
        <w:rPr>
          <w:rFonts w:cs="Arial"/>
          <w:bCs/>
        </w:rPr>
        <w:t>, Department of Economics, University of Oxford, whos</w:t>
      </w:r>
      <w:r w:rsidR="0012339B">
        <w:rPr>
          <w:rFonts w:cs="Arial"/>
          <w:bCs/>
        </w:rPr>
        <w:t xml:space="preserve">e hospitality he acknowledges. </w:t>
      </w:r>
      <w:r>
        <w:rPr>
          <w:rFonts w:cs="Arial"/>
          <w:bCs/>
        </w:rPr>
        <w:t>The views in this paper are those of the authors.</w:t>
      </w:r>
    </w:p>
    <w:p w:rsidR="00A56289" w:rsidRPr="0064256F" w:rsidRDefault="00A56289" w:rsidP="00A56289">
      <w:pPr>
        <w:spacing w:after="0" w:line="240" w:lineRule="auto"/>
        <w:ind w:left="720"/>
        <w:jc w:val="center"/>
        <w:rPr>
          <w:rFonts w:eastAsia="Batang"/>
          <w:lang w:val="en-US" w:eastAsia="ko-KR"/>
        </w:rPr>
      </w:pPr>
    </w:p>
    <w:p w:rsidR="00060AB4" w:rsidRDefault="00060AB4">
      <w:pPr>
        <w:rPr>
          <w:rFonts w:cs="Arial"/>
          <w:b/>
          <w:bCs/>
        </w:rPr>
      </w:pPr>
      <w:r>
        <w:rPr>
          <w:rFonts w:cs="Arial"/>
          <w:b/>
          <w:bCs/>
        </w:rPr>
        <w:br w:type="page"/>
      </w:r>
    </w:p>
    <w:p w:rsidR="002C5B8B" w:rsidRPr="00FB4A05" w:rsidRDefault="004327EE" w:rsidP="00FB4A05">
      <w:pPr>
        <w:tabs>
          <w:tab w:val="left" w:pos="284"/>
        </w:tabs>
        <w:spacing w:after="0" w:line="360" w:lineRule="auto"/>
        <w:rPr>
          <w:bCs/>
          <w:lang w:val="en-AU"/>
        </w:rPr>
      </w:pPr>
      <w:r w:rsidRPr="00FB4A05">
        <w:rPr>
          <w:rFonts w:cs="Arial"/>
          <w:b/>
          <w:bCs/>
        </w:rPr>
        <w:lastRenderedPageBreak/>
        <w:t>I.</w:t>
      </w:r>
      <w:r w:rsidRPr="00FB4A05">
        <w:rPr>
          <w:rFonts w:cs="Arial"/>
          <w:b/>
          <w:bCs/>
        </w:rPr>
        <w:tab/>
        <w:t>Introduction</w:t>
      </w:r>
      <w:r w:rsidRPr="00FB4A05">
        <w:rPr>
          <w:bCs/>
          <w:lang w:val="en-AU"/>
        </w:rPr>
        <w:t xml:space="preserve"> </w:t>
      </w:r>
    </w:p>
    <w:p w:rsidR="00AF07D5" w:rsidRDefault="00AF07D5" w:rsidP="00BA4001">
      <w:pPr>
        <w:spacing w:after="0" w:line="288" w:lineRule="auto"/>
        <w:jc w:val="both"/>
        <w:rPr>
          <w:bCs/>
          <w:lang w:val="en-US"/>
        </w:rPr>
      </w:pPr>
      <w:r>
        <w:t xml:space="preserve">Night lights, as detected by satellites, are increasingly used by economists, especially to proxy for economic activity in poor countries. A recent review finds more than 150 studies </w:t>
      </w:r>
      <w:r w:rsidR="00070934">
        <w:t>in economics using</w:t>
      </w:r>
      <w:r>
        <w:t xml:space="preserve"> night lights, almost all of which use the </w:t>
      </w:r>
      <w:r>
        <w:rPr>
          <w:bCs/>
          <w:lang w:val="en-US"/>
        </w:rPr>
        <w:t xml:space="preserve">Defense Meteorological Satellite Program (DMSP) data </w:t>
      </w:r>
      <w:r w:rsidR="00070934">
        <w:rPr>
          <w:bCs/>
          <w:lang w:val="en-US"/>
        </w:rPr>
        <w:t>even as there i</w:t>
      </w:r>
      <w:r>
        <w:rPr>
          <w:bCs/>
          <w:lang w:val="en-US"/>
        </w:rPr>
        <w:t xml:space="preserve">s a rapid switch to using newer and better data from the Visible Infrared Imaging Radiometer Suite (VIIRS) in other disciplines (Gibson </w:t>
      </w:r>
      <w:r w:rsidRPr="00BA4001">
        <w:rPr>
          <w:bCs/>
          <w:i/>
          <w:iCs/>
          <w:lang w:val="en-US"/>
        </w:rPr>
        <w:t>et al</w:t>
      </w:r>
      <w:r w:rsidR="00BA4001" w:rsidRPr="00BA4001">
        <w:rPr>
          <w:bCs/>
          <w:i/>
          <w:iCs/>
          <w:lang w:val="en-US"/>
        </w:rPr>
        <w:t>.</w:t>
      </w:r>
      <w:r>
        <w:rPr>
          <w:bCs/>
          <w:lang w:val="en-US"/>
        </w:rPr>
        <w:t xml:space="preserve"> 2019). </w:t>
      </w:r>
      <w:r w:rsidR="00FE51E0">
        <w:rPr>
          <w:bCs/>
          <w:lang w:val="en-US"/>
        </w:rPr>
        <w:t xml:space="preserve">Flaws in </w:t>
      </w:r>
      <w:r w:rsidR="00070934">
        <w:rPr>
          <w:bCs/>
          <w:lang w:val="en-US"/>
        </w:rPr>
        <w:t xml:space="preserve">DMSP data include blurring, </w:t>
      </w:r>
      <w:r w:rsidR="00BE534D">
        <w:rPr>
          <w:bCs/>
          <w:lang w:val="en-US"/>
        </w:rPr>
        <w:t xml:space="preserve">coarse resolution, </w:t>
      </w:r>
      <w:r w:rsidR="00B24D38">
        <w:rPr>
          <w:bCs/>
          <w:lang w:val="en-US"/>
        </w:rPr>
        <w:t xml:space="preserve">no calibration, low dynamic range, </w:t>
      </w:r>
      <w:r w:rsidR="00BE534D">
        <w:rPr>
          <w:bCs/>
          <w:lang w:val="en-US"/>
        </w:rPr>
        <w:t xml:space="preserve">top-coding, </w:t>
      </w:r>
      <w:r w:rsidR="00070934">
        <w:rPr>
          <w:bCs/>
          <w:lang w:val="en-US"/>
        </w:rPr>
        <w:t xml:space="preserve">and </w:t>
      </w:r>
      <w:r w:rsidR="00FE51E0">
        <w:rPr>
          <w:bCs/>
          <w:lang w:val="en-US"/>
        </w:rPr>
        <w:t xml:space="preserve">unrecorded </w:t>
      </w:r>
      <w:r w:rsidR="00070934">
        <w:rPr>
          <w:bCs/>
          <w:lang w:val="en-US"/>
        </w:rPr>
        <w:t>variation in sensor amplification that impairs comparability over time and space</w:t>
      </w:r>
      <w:r w:rsidR="00FE51E0">
        <w:rPr>
          <w:bCs/>
          <w:lang w:val="en-US"/>
        </w:rPr>
        <w:t xml:space="preserve"> (</w:t>
      </w:r>
      <w:proofErr w:type="spellStart"/>
      <w:r w:rsidR="00FE51E0">
        <w:rPr>
          <w:bCs/>
          <w:lang w:val="en-US"/>
        </w:rPr>
        <w:t>Elvidge</w:t>
      </w:r>
      <w:proofErr w:type="spellEnd"/>
      <w:r w:rsidR="00FE51E0">
        <w:rPr>
          <w:bCs/>
          <w:lang w:val="en-US"/>
        </w:rPr>
        <w:t xml:space="preserve"> </w:t>
      </w:r>
      <w:r w:rsidR="00BA4001" w:rsidRPr="00BA4001">
        <w:rPr>
          <w:bCs/>
          <w:i/>
          <w:iCs/>
          <w:lang w:val="en-US"/>
        </w:rPr>
        <w:t>et al.</w:t>
      </w:r>
      <w:r w:rsidR="00FE51E0">
        <w:rPr>
          <w:bCs/>
          <w:lang w:val="en-US"/>
        </w:rPr>
        <w:t xml:space="preserve"> 2013</w:t>
      </w:r>
      <w:r w:rsidR="00BA4001">
        <w:rPr>
          <w:bCs/>
          <w:lang w:val="en-US"/>
        </w:rPr>
        <w:t>,</w:t>
      </w:r>
      <w:r w:rsidR="00FE51E0">
        <w:rPr>
          <w:bCs/>
          <w:lang w:val="en-US"/>
        </w:rPr>
        <w:t xml:space="preserve"> Abrahams </w:t>
      </w:r>
      <w:r w:rsidR="00BA4001" w:rsidRPr="00BA4001">
        <w:rPr>
          <w:bCs/>
          <w:i/>
          <w:iCs/>
          <w:lang w:val="en-US"/>
        </w:rPr>
        <w:t>et al.</w:t>
      </w:r>
      <w:r w:rsidR="00FE51E0">
        <w:rPr>
          <w:bCs/>
          <w:lang w:val="en-US"/>
        </w:rPr>
        <w:t xml:space="preserve"> 2018</w:t>
      </w:r>
      <w:r w:rsidR="00C24E9E">
        <w:rPr>
          <w:bCs/>
          <w:lang w:val="en-US"/>
        </w:rPr>
        <w:t>,</w:t>
      </w:r>
      <w:r w:rsidR="00FE51E0">
        <w:rPr>
          <w:bCs/>
          <w:lang w:val="en-US"/>
        </w:rPr>
        <w:t xml:space="preserve"> Bluhm and Krause</w:t>
      </w:r>
      <w:r w:rsidR="00BA4001">
        <w:rPr>
          <w:bCs/>
          <w:lang w:val="en-US"/>
        </w:rPr>
        <w:t xml:space="preserve"> </w:t>
      </w:r>
      <w:r w:rsidR="00FE51E0">
        <w:rPr>
          <w:bCs/>
          <w:lang w:val="en-US"/>
        </w:rPr>
        <w:t>2018)</w:t>
      </w:r>
      <w:r w:rsidR="00070934">
        <w:rPr>
          <w:bCs/>
          <w:lang w:val="en-US"/>
        </w:rPr>
        <w:t>.</w:t>
      </w:r>
    </w:p>
    <w:p w:rsidR="00420535" w:rsidRDefault="00420535" w:rsidP="00BA4001">
      <w:pPr>
        <w:spacing w:after="0" w:line="288" w:lineRule="auto"/>
        <w:ind w:firstLine="720"/>
        <w:jc w:val="both"/>
        <w:rPr>
          <w:bCs/>
          <w:lang w:val="en-US"/>
        </w:rPr>
      </w:pPr>
    </w:p>
    <w:p w:rsidR="00B24D38" w:rsidRDefault="00FE51E0" w:rsidP="00BA4001">
      <w:pPr>
        <w:spacing w:after="0" w:line="288" w:lineRule="auto"/>
        <w:ind w:firstLine="720"/>
        <w:jc w:val="both"/>
        <w:rPr>
          <w:bCs/>
          <w:lang w:val="en-US"/>
        </w:rPr>
      </w:pPr>
      <w:r>
        <w:rPr>
          <w:bCs/>
          <w:lang w:val="en-US"/>
        </w:rPr>
        <w:t xml:space="preserve">Many of these flaws stem from the original purpose of DMSP, which was to detect clouds to assist with short-term weather forecasts for the Air Force. </w:t>
      </w:r>
      <w:r w:rsidR="00284756">
        <w:rPr>
          <w:bCs/>
          <w:lang w:val="en-US"/>
        </w:rPr>
        <w:t xml:space="preserve"> </w:t>
      </w:r>
      <w:r>
        <w:rPr>
          <w:bCs/>
          <w:lang w:val="en-US"/>
        </w:rPr>
        <w:t xml:space="preserve">In contrast, the VIIRS Day-Night </w:t>
      </w:r>
      <w:r w:rsidR="00BE534D">
        <w:rPr>
          <w:bCs/>
          <w:lang w:val="en-US"/>
        </w:rPr>
        <w:t>Band (DNB) wa</w:t>
      </w:r>
      <w:r>
        <w:rPr>
          <w:bCs/>
          <w:lang w:val="en-US"/>
        </w:rPr>
        <w:t xml:space="preserve">s designed to </w:t>
      </w:r>
      <w:r w:rsidR="00576CF1">
        <w:rPr>
          <w:bCs/>
          <w:lang w:val="en-US"/>
        </w:rPr>
        <w:t xml:space="preserve">help researchers consistently measure </w:t>
      </w:r>
      <w:r w:rsidR="00BE534D">
        <w:rPr>
          <w:bCs/>
          <w:lang w:val="en-US"/>
        </w:rPr>
        <w:t xml:space="preserve">the radiance of </w:t>
      </w:r>
      <w:r w:rsidR="00576CF1">
        <w:rPr>
          <w:bCs/>
          <w:lang w:val="en-US"/>
        </w:rPr>
        <w:t xml:space="preserve">light coming from earth, in a wide range of lighting conditions (covering almost seven orders of magnitude while DMSP </w:t>
      </w:r>
      <w:r w:rsidR="00BE534D">
        <w:rPr>
          <w:bCs/>
          <w:lang w:val="en-US"/>
        </w:rPr>
        <w:t xml:space="preserve">covers </w:t>
      </w:r>
      <w:r w:rsidR="00576CF1">
        <w:rPr>
          <w:bCs/>
          <w:lang w:val="en-US"/>
        </w:rPr>
        <w:t>less than two), with high spatial accuracy</w:t>
      </w:r>
      <w:r w:rsidR="00D20FE3">
        <w:rPr>
          <w:bCs/>
          <w:lang w:val="en-US"/>
        </w:rPr>
        <w:t xml:space="preserve"> and </w:t>
      </w:r>
      <w:r w:rsidR="00BE534D">
        <w:rPr>
          <w:bCs/>
          <w:lang w:val="en-US"/>
        </w:rPr>
        <w:t xml:space="preserve">with </w:t>
      </w:r>
      <w:r w:rsidR="00D20FE3">
        <w:rPr>
          <w:bCs/>
          <w:lang w:val="en-US"/>
        </w:rPr>
        <w:t>temporally comparable data</w:t>
      </w:r>
      <w:r w:rsidR="00576CF1">
        <w:rPr>
          <w:bCs/>
          <w:lang w:val="en-US"/>
        </w:rPr>
        <w:t>.</w:t>
      </w:r>
      <w:r w:rsidR="00B24D38">
        <w:rPr>
          <w:bCs/>
          <w:lang w:val="en-US"/>
        </w:rPr>
        <w:t xml:space="preserve"> The superiority of VIIRS has resulted in a rapid switch in the scientific literature and now almost twice as many articles per year publish using the VIIRS night lights data compared to those using the older and less suitable DMSP data, even while economists increasingly use DMSP data and largely ignore VIIRS (Gibson </w:t>
      </w:r>
      <w:r w:rsidR="00074F67" w:rsidRPr="00DB5D7D">
        <w:rPr>
          <w:bCs/>
          <w:i/>
          <w:lang w:val="en-AU"/>
        </w:rPr>
        <w:t>et al.</w:t>
      </w:r>
      <w:r w:rsidR="00B24D38">
        <w:rPr>
          <w:bCs/>
          <w:lang w:val="en-US"/>
        </w:rPr>
        <w:t xml:space="preserve"> 2019). </w:t>
      </w:r>
    </w:p>
    <w:p w:rsidR="00420535" w:rsidRDefault="00420535" w:rsidP="00BA4001">
      <w:pPr>
        <w:spacing w:after="0" w:line="288" w:lineRule="auto"/>
        <w:ind w:firstLine="720"/>
        <w:jc w:val="both"/>
        <w:rPr>
          <w:bCs/>
          <w:lang w:val="en-US"/>
        </w:rPr>
      </w:pPr>
    </w:p>
    <w:p w:rsidR="001D52FC" w:rsidRDefault="00B24D38" w:rsidP="00BA4001">
      <w:pPr>
        <w:spacing w:after="0" w:line="288" w:lineRule="auto"/>
        <w:ind w:firstLine="720"/>
        <w:jc w:val="both"/>
      </w:pPr>
      <w:r>
        <w:rPr>
          <w:bCs/>
          <w:lang w:val="en-US"/>
        </w:rPr>
        <w:t>The c</w:t>
      </w:r>
      <w:r w:rsidR="0012339B">
        <w:rPr>
          <w:bCs/>
          <w:lang w:val="en-US"/>
        </w:rPr>
        <w:t>ontinued, and even rising, use</w:t>
      </w:r>
      <w:r>
        <w:rPr>
          <w:bCs/>
          <w:lang w:val="en-US"/>
        </w:rPr>
        <w:t xml:space="preserve"> of DMSP data by economists reflects several factors. First, there has been a larger scholarly impact, in terms of citations, from studies such as Henderson </w:t>
      </w:r>
      <w:r w:rsidR="00074F67" w:rsidRPr="00DB5D7D">
        <w:rPr>
          <w:bCs/>
          <w:i/>
          <w:lang w:val="en-AU"/>
        </w:rPr>
        <w:t>et al.</w:t>
      </w:r>
      <w:r w:rsidR="00074F67">
        <w:rPr>
          <w:bCs/>
          <w:lang w:val="en-US"/>
        </w:rPr>
        <w:t xml:space="preserve"> </w:t>
      </w:r>
      <w:r>
        <w:rPr>
          <w:bCs/>
          <w:lang w:val="en-US"/>
        </w:rPr>
        <w:t>(2012) that suggest that DMS</w:t>
      </w:r>
      <w:r w:rsidR="005338E9">
        <w:rPr>
          <w:bCs/>
          <w:lang w:val="en-US"/>
        </w:rPr>
        <w:t xml:space="preserve">P lights </w:t>
      </w:r>
      <w:r w:rsidR="004529B6">
        <w:rPr>
          <w:bCs/>
          <w:lang w:val="en-US"/>
        </w:rPr>
        <w:t xml:space="preserve">data </w:t>
      </w:r>
      <w:r w:rsidR="005338E9">
        <w:rPr>
          <w:bCs/>
          <w:lang w:val="en-US"/>
        </w:rPr>
        <w:t xml:space="preserve">can be </w:t>
      </w:r>
      <w:r w:rsidR="004529B6">
        <w:rPr>
          <w:bCs/>
          <w:lang w:val="en-US"/>
        </w:rPr>
        <w:t xml:space="preserve">used </w:t>
      </w:r>
      <w:r w:rsidR="005338E9">
        <w:rPr>
          <w:bCs/>
          <w:lang w:val="en-US"/>
        </w:rPr>
        <w:t>successful</w:t>
      </w:r>
      <w:r>
        <w:rPr>
          <w:bCs/>
          <w:lang w:val="en-US"/>
        </w:rPr>
        <w:t xml:space="preserve">ly in a wide range of circumstances, than for studies such as Chen and Nordhaus (2011) that are far more limited in the support they offer for </w:t>
      </w:r>
      <w:r w:rsidR="005338E9">
        <w:rPr>
          <w:bCs/>
          <w:lang w:val="en-US"/>
        </w:rPr>
        <w:t xml:space="preserve">using </w:t>
      </w:r>
      <w:r>
        <w:rPr>
          <w:bCs/>
          <w:lang w:val="en-US"/>
        </w:rPr>
        <w:t>DMSP data</w:t>
      </w:r>
      <w:r w:rsidR="005338E9">
        <w:rPr>
          <w:bCs/>
          <w:lang w:val="en-US"/>
        </w:rPr>
        <w:t>.</w:t>
      </w:r>
      <w:r w:rsidR="005338E9">
        <w:rPr>
          <w:rStyle w:val="FootnoteReference"/>
          <w:bCs/>
          <w:lang w:val="en-US"/>
        </w:rPr>
        <w:footnoteReference w:id="1"/>
      </w:r>
      <w:r w:rsidR="005338E9">
        <w:rPr>
          <w:bCs/>
          <w:lang w:val="en-US"/>
        </w:rPr>
        <w:t xml:space="preserve"> Second, the DMSP data have a long time series, from 1992 to 2013, which may be attra</w:t>
      </w:r>
      <w:r w:rsidR="00112AC7">
        <w:rPr>
          <w:bCs/>
          <w:lang w:val="en-US"/>
        </w:rPr>
        <w:t>ctive to economists. T</w:t>
      </w:r>
      <w:r w:rsidR="005338E9">
        <w:rPr>
          <w:bCs/>
          <w:lang w:val="en-US"/>
        </w:rPr>
        <w:t>wo caveats to that potential advantage</w:t>
      </w:r>
      <w:r w:rsidR="00112AC7">
        <w:rPr>
          <w:bCs/>
          <w:lang w:val="en-US"/>
        </w:rPr>
        <w:t xml:space="preserve"> are that</w:t>
      </w:r>
      <w:r w:rsidR="005338E9">
        <w:rPr>
          <w:bCs/>
          <w:lang w:val="en-US"/>
        </w:rPr>
        <w:t xml:space="preserve"> </w:t>
      </w:r>
      <w:r w:rsidR="00112AC7">
        <w:rPr>
          <w:bCs/>
          <w:lang w:val="en-US"/>
        </w:rPr>
        <w:t xml:space="preserve">night lights are a much better predictor of GDP </w:t>
      </w:r>
      <w:r w:rsidR="009760A6">
        <w:rPr>
          <w:bCs/>
          <w:lang w:val="en-US"/>
        </w:rPr>
        <w:t xml:space="preserve">and other economic variables </w:t>
      </w:r>
      <w:r w:rsidR="006C52D9">
        <w:rPr>
          <w:bCs/>
          <w:lang w:val="en-US"/>
        </w:rPr>
        <w:t>cross-</w:t>
      </w:r>
      <w:r w:rsidR="00112AC7">
        <w:rPr>
          <w:bCs/>
          <w:lang w:val="en-US"/>
        </w:rPr>
        <w:t>section</w:t>
      </w:r>
      <w:r w:rsidR="006C52D9">
        <w:rPr>
          <w:bCs/>
          <w:lang w:val="en-US"/>
        </w:rPr>
        <w:t>ally</w:t>
      </w:r>
      <w:r w:rsidR="00112AC7">
        <w:rPr>
          <w:bCs/>
          <w:lang w:val="en-US"/>
        </w:rPr>
        <w:t xml:space="preserve"> than </w:t>
      </w:r>
      <w:r w:rsidR="006C52D9">
        <w:rPr>
          <w:bCs/>
          <w:lang w:val="en-US"/>
        </w:rPr>
        <w:t xml:space="preserve">temporally </w:t>
      </w:r>
      <w:r w:rsidR="00112AC7">
        <w:rPr>
          <w:bCs/>
          <w:lang w:val="en-US"/>
        </w:rPr>
        <w:t>(</w:t>
      </w:r>
      <w:r w:rsidR="009760A6">
        <w:t>Addison and Stewart 2015</w:t>
      </w:r>
      <w:r w:rsidR="00074F67">
        <w:t>,</w:t>
      </w:r>
      <w:r w:rsidR="009760A6">
        <w:t xml:space="preserve"> </w:t>
      </w:r>
      <w:r w:rsidR="00112AC7">
        <w:rPr>
          <w:bCs/>
          <w:lang w:val="en-US"/>
        </w:rPr>
        <w:t xml:space="preserve">Nordhaus and Chen 2015), and </w:t>
      </w:r>
      <w:r w:rsidR="005338E9">
        <w:rPr>
          <w:bCs/>
          <w:lang w:val="en-US"/>
        </w:rPr>
        <w:t>the time series will become outdated</w:t>
      </w:r>
      <w:r w:rsidR="00112AC7">
        <w:rPr>
          <w:bCs/>
          <w:lang w:val="en-US"/>
        </w:rPr>
        <w:t>,</w:t>
      </w:r>
      <w:r w:rsidR="005338E9">
        <w:rPr>
          <w:bCs/>
          <w:lang w:val="en-US"/>
        </w:rPr>
        <w:t xml:space="preserve"> with </w:t>
      </w:r>
      <w:r w:rsidR="0093367E">
        <w:rPr>
          <w:bCs/>
          <w:lang w:val="en-US"/>
        </w:rPr>
        <w:t xml:space="preserve">the </w:t>
      </w:r>
      <w:r w:rsidR="005338E9">
        <w:rPr>
          <w:bCs/>
          <w:lang w:val="en-US"/>
        </w:rPr>
        <w:t xml:space="preserve">DMSP data </w:t>
      </w:r>
      <w:r w:rsidR="0093367E">
        <w:rPr>
          <w:bCs/>
          <w:lang w:val="en-US"/>
        </w:rPr>
        <w:t xml:space="preserve">stopping in </w:t>
      </w:r>
      <w:r w:rsidR="005338E9">
        <w:rPr>
          <w:bCs/>
          <w:lang w:val="en-US"/>
        </w:rPr>
        <w:t xml:space="preserve">2013 while </w:t>
      </w:r>
      <w:r w:rsidR="0093367E">
        <w:rPr>
          <w:bCs/>
          <w:lang w:val="en-US"/>
        </w:rPr>
        <w:t xml:space="preserve">the </w:t>
      </w:r>
      <w:r w:rsidR="005338E9">
        <w:rPr>
          <w:bCs/>
          <w:lang w:val="en-US"/>
        </w:rPr>
        <w:t>VIIRS data are available</w:t>
      </w:r>
      <w:r w:rsidR="00112AC7">
        <w:rPr>
          <w:bCs/>
          <w:lang w:val="en-US"/>
        </w:rPr>
        <w:t xml:space="preserve"> monthly with only a slight lag.</w:t>
      </w:r>
      <w:r w:rsidR="005338E9">
        <w:rPr>
          <w:rStyle w:val="FootnoteReference"/>
          <w:bCs/>
          <w:lang w:val="en-US"/>
        </w:rPr>
        <w:footnoteReference w:id="2"/>
      </w:r>
      <w:r w:rsidR="00D633AE">
        <w:rPr>
          <w:bCs/>
          <w:lang w:val="en-US"/>
        </w:rPr>
        <w:t xml:space="preserve"> A third rea</w:t>
      </w:r>
      <w:r w:rsidR="006C52D9">
        <w:rPr>
          <w:bCs/>
          <w:lang w:val="en-US"/>
        </w:rPr>
        <w:t>son why economics may be</w:t>
      </w:r>
      <w:r w:rsidR="00D633AE">
        <w:rPr>
          <w:bCs/>
          <w:lang w:val="en-US"/>
        </w:rPr>
        <w:t xml:space="preserve"> slower to switch to using VIIRS night light</w:t>
      </w:r>
      <w:r w:rsidR="004A1E78">
        <w:rPr>
          <w:bCs/>
          <w:lang w:val="en-US"/>
        </w:rPr>
        <w:t>s</w:t>
      </w:r>
      <w:r w:rsidR="00D633AE">
        <w:rPr>
          <w:bCs/>
          <w:lang w:val="en-US"/>
        </w:rPr>
        <w:t xml:space="preserve"> data, compared to other disciplines, is that flaws in the DMSP data are rarely </w:t>
      </w:r>
      <w:r w:rsidR="00032B6E">
        <w:rPr>
          <w:bCs/>
          <w:lang w:val="en-US"/>
        </w:rPr>
        <w:t xml:space="preserve">highlighted in </w:t>
      </w:r>
      <w:r w:rsidR="00D633AE">
        <w:rPr>
          <w:bCs/>
          <w:lang w:val="en-US"/>
        </w:rPr>
        <w:t xml:space="preserve">the economics literature. </w:t>
      </w:r>
      <w:r w:rsidR="009A3C97">
        <w:rPr>
          <w:bCs/>
          <w:lang w:val="en-US"/>
        </w:rPr>
        <w:t>While the remote sensing literature has several comparisons that highlight the superiority of VIIRS (</w:t>
      </w:r>
      <w:r w:rsidR="00DB5D7D">
        <w:rPr>
          <w:bCs/>
          <w:lang w:val="en-US"/>
        </w:rPr>
        <w:t xml:space="preserve">for example, </w:t>
      </w:r>
      <w:proofErr w:type="spellStart"/>
      <w:r w:rsidR="009A3C97">
        <w:rPr>
          <w:bCs/>
          <w:lang w:val="en-US"/>
        </w:rPr>
        <w:t>Elvidge</w:t>
      </w:r>
      <w:proofErr w:type="spellEnd"/>
      <w:r w:rsidR="009A3C97">
        <w:rPr>
          <w:bCs/>
          <w:lang w:val="en-US"/>
        </w:rPr>
        <w:t xml:space="preserve"> </w:t>
      </w:r>
      <w:r w:rsidR="00DB5D7D" w:rsidRPr="00DB5D7D">
        <w:rPr>
          <w:bCs/>
          <w:i/>
          <w:lang w:val="en-AU"/>
        </w:rPr>
        <w:t>et al.</w:t>
      </w:r>
      <w:r w:rsidR="009A3C97">
        <w:rPr>
          <w:bCs/>
          <w:lang w:val="en-US"/>
        </w:rPr>
        <w:t xml:space="preserve"> 2013) and sometimes even in studies authored by economists (</w:t>
      </w:r>
      <w:r w:rsidR="00DB5D7D">
        <w:rPr>
          <w:bCs/>
          <w:lang w:val="en-US"/>
        </w:rPr>
        <w:t>for example,</w:t>
      </w:r>
      <w:r w:rsidR="00675115">
        <w:rPr>
          <w:bCs/>
          <w:lang w:val="en-US"/>
        </w:rPr>
        <w:t xml:space="preserve"> Chen and Nordhaus 2019), </w:t>
      </w:r>
      <w:r w:rsidR="009A3C97">
        <w:rPr>
          <w:bCs/>
          <w:lang w:val="en-US"/>
        </w:rPr>
        <w:t xml:space="preserve">there </w:t>
      </w:r>
      <w:r w:rsidR="00C40E8E">
        <w:rPr>
          <w:bCs/>
          <w:lang w:val="en-US"/>
        </w:rPr>
        <w:t xml:space="preserve">are </w:t>
      </w:r>
      <w:r w:rsidR="009A3C97">
        <w:rPr>
          <w:bCs/>
          <w:lang w:val="en-US"/>
        </w:rPr>
        <w:t>no similar studies in economics</w:t>
      </w:r>
      <w:r w:rsidR="00675115">
        <w:rPr>
          <w:bCs/>
          <w:lang w:val="en-US"/>
        </w:rPr>
        <w:t xml:space="preserve"> journals</w:t>
      </w:r>
      <w:r w:rsidR="009A3C97">
        <w:rPr>
          <w:bCs/>
          <w:lang w:val="en-US"/>
        </w:rPr>
        <w:t>.</w:t>
      </w:r>
    </w:p>
    <w:p w:rsidR="00284756" w:rsidRDefault="00B24D38" w:rsidP="00284756">
      <w:pPr>
        <w:spacing w:after="0" w:line="288" w:lineRule="auto"/>
        <w:ind w:firstLine="720"/>
        <w:jc w:val="both"/>
        <w:rPr>
          <w:bCs/>
          <w:lang w:val="en-US"/>
        </w:rPr>
      </w:pPr>
      <w:r>
        <w:rPr>
          <w:bCs/>
          <w:lang w:val="en-US"/>
        </w:rPr>
        <w:lastRenderedPageBreak/>
        <w:t xml:space="preserve">In light of the limited comparisons between DMSP and VIIRS within economics, the current paper presents a test of these data for estimating </w:t>
      </w:r>
      <w:r w:rsidR="00AC7E1F">
        <w:rPr>
          <w:bCs/>
          <w:lang w:val="en-US"/>
        </w:rPr>
        <w:t xml:space="preserve">regional </w:t>
      </w:r>
      <w:r>
        <w:rPr>
          <w:bCs/>
          <w:lang w:val="en-US"/>
        </w:rPr>
        <w:t>GDP and inequality for rural and urban areas. Specifically, w</w:t>
      </w:r>
      <w:r w:rsidRPr="00B24D38">
        <w:rPr>
          <w:bCs/>
          <w:lang w:val="en-US"/>
        </w:rPr>
        <w:t xml:space="preserve">e </w:t>
      </w:r>
      <w:r>
        <w:rPr>
          <w:bCs/>
          <w:lang w:val="en-US"/>
        </w:rPr>
        <w:t>estimate</w:t>
      </w:r>
      <w:r w:rsidRPr="00B24D38">
        <w:rPr>
          <w:bCs/>
          <w:lang w:val="en-US"/>
        </w:rPr>
        <w:t xml:space="preserve"> relationship</w:t>
      </w:r>
      <w:r>
        <w:rPr>
          <w:bCs/>
          <w:lang w:val="en-US"/>
        </w:rPr>
        <w:t>s</w:t>
      </w:r>
      <w:r w:rsidRPr="00B24D38">
        <w:rPr>
          <w:bCs/>
          <w:lang w:val="en-US"/>
        </w:rPr>
        <w:t xml:space="preserve"> between night lights and Indonesian GDP at the second sub-national level for 497</w:t>
      </w:r>
      <w:r>
        <w:rPr>
          <w:bCs/>
          <w:lang w:val="en-US"/>
        </w:rPr>
        <w:t xml:space="preserve"> spatial units. </w:t>
      </w:r>
      <w:r w:rsidR="0044662D">
        <w:rPr>
          <w:bCs/>
          <w:lang w:val="en-US"/>
        </w:rPr>
        <w:t xml:space="preserve">Indonesia is one of </w:t>
      </w:r>
      <w:r w:rsidR="001D52FC">
        <w:rPr>
          <w:bCs/>
          <w:lang w:val="en-US"/>
        </w:rPr>
        <w:t xml:space="preserve">few </w:t>
      </w:r>
      <w:r w:rsidR="0044662D">
        <w:rPr>
          <w:bCs/>
          <w:lang w:val="en-US"/>
        </w:rPr>
        <w:t xml:space="preserve">developing </w:t>
      </w:r>
      <w:r w:rsidR="001D52FC">
        <w:rPr>
          <w:bCs/>
          <w:lang w:val="en-US"/>
        </w:rPr>
        <w:t>countries with reliable GDP data at the second sub-national level</w:t>
      </w:r>
      <w:r w:rsidR="004529B6">
        <w:rPr>
          <w:bCs/>
          <w:lang w:val="en-US"/>
        </w:rPr>
        <w:t>,</w:t>
      </w:r>
      <w:r w:rsidR="009A3C97">
        <w:rPr>
          <w:bCs/>
          <w:lang w:val="en-US"/>
        </w:rPr>
        <w:t xml:space="preserve"> and it is for such countries that night lights data are potentially the most useful, give</w:t>
      </w:r>
      <w:r w:rsidR="00C40E8E">
        <w:rPr>
          <w:bCs/>
          <w:lang w:val="en-US"/>
        </w:rPr>
        <w:t xml:space="preserve">n </w:t>
      </w:r>
      <w:r w:rsidR="004529B6">
        <w:rPr>
          <w:bCs/>
          <w:lang w:val="en-US"/>
        </w:rPr>
        <w:t xml:space="preserve">more </w:t>
      </w:r>
      <w:r w:rsidR="00C40E8E">
        <w:rPr>
          <w:bCs/>
          <w:lang w:val="en-US"/>
        </w:rPr>
        <w:t>abundant data available f</w:t>
      </w:r>
      <w:r w:rsidR="004529B6">
        <w:rPr>
          <w:bCs/>
          <w:lang w:val="en-US"/>
        </w:rPr>
        <w:t>or</w:t>
      </w:r>
      <w:r w:rsidR="009A3C97">
        <w:rPr>
          <w:bCs/>
          <w:lang w:val="en-US"/>
        </w:rPr>
        <w:t xml:space="preserve"> richer countries</w:t>
      </w:r>
      <w:r w:rsidR="001D52FC">
        <w:rPr>
          <w:bCs/>
          <w:lang w:val="en-US"/>
        </w:rPr>
        <w:t>. We find</w:t>
      </w:r>
      <w:r w:rsidR="0044662D">
        <w:rPr>
          <w:bCs/>
          <w:lang w:val="en-US"/>
        </w:rPr>
        <w:t xml:space="preserve"> </w:t>
      </w:r>
      <w:r>
        <w:rPr>
          <w:bCs/>
          <w:lang w:val="en-US"/>
        </w:rPr>
        <w:t>t</w:t>
      </w:r>
      <w:r w:rsidRPr="00B24D38">
        <w:rPr>
          <w:bCs/>
          <w:lang w:val="en-US"/>
        </w:rPr>
        <w:t>he DMSP data are not a suitable proxy for GDP outside of cities</w:t>
      </w:r>
      <w:r>
        <w:rPr>
          <w:bCs/>
          <w:lang w:val="en-US"/>
        </w:rPr>
        <w:t>, with a statistically significant negative re</w:t>
      </w:r>
      <w:r w:rsidR="001D52FC">
        <w:rPr>
          <w:bCs/>
          <w:lang w:val="en-US"/>
        </w:rPr>
        <w:t>lationship between real GDP and DMSP lights for the 399 spatial units that are</w:t>
      </w:r>
      <w:r w:rsidR="0044662D">
        <w:rPr>
          <w:bCs/>
          <w:lang w:val="en-US"/>
        </w:rPr>
        <w:t xml:space="preserve"> rural</w:t>
      </w:r>
      <w:r w:rsidR="001D52FC">
        <w:rPr>
          <w:bCs/>
          <w:lang w:val="en-US"/>
        </w:rPr>
        <w:t xml:space="preserve">. This echoes a finding of </w:t>
      </w:r>
      <w:proofErr w:type="spellStart"/>
      <w:r w:rsidR="001D52FC">
        <w:rPr>
          <w:bCs/>
          <w:lang w:val="en-US"/>
        </w:rPr>
        <w:t>Keola</w:t>
      </w:r>
      <w:proofErr w:type="spellEnd"/>
      <w:r w:rsidR="001D52FC">
        <w:rPr>
          <w:bCs/>
          <w:lang w:val="en-US"/>
        </w:rPr>
        <w:t xml:space="preserve"> </w:t>
      </w:r>
      <w:r w:rsidR="00DB5D7D" w:rsidRPr="00DB5D7D">
        <w:rPr>
          <w:bCs/>
          <w:i/>
          <w:lang w:val="en-AU"/>
        </w:rPr>
        <w:t>et al.</w:t>
      </w:r>
      <w:r w:rsidR="00DB5D7D">
        <w:rPr>
          <w:bCs/>
          <w:lang w:val="en-US"/>
        </w:rPr>
        <w:t xml:space="preserve"> </w:t>
      </w:r>
      <w:r w:rsidR="001D52FC">
        <w:rPr>
          <w:bCs/>
          <w:lang w:val="en-US"/>
        </w:rPr>
        <w:t>(2015)</w:t>
      </w:r>
      <w:r w:rsidR="004529B6">
        <w:rPr>
          <w:bCs/>
          <w:lang w:val="en-US"/>
        </w:rPr>
        <w:t>,</w:t>
      </w:r>
      <w:r w:rsidR="001D52FC">
        <w:rPr>
          <w:bCs/>
          <w:lang w:val="en-US"/>
        </w:rPr>
        <w:t xml:space="preserve"> who</w:t>
      </w:r>
      <w:r w:rsidR="0044662D">
        <w:rPr>
          <w:bCs/>
          <w:lang w:val="en-US"/>
        </w:rPr>
        <w:t>se</w:t>
      </w:r>
      <w:r w:rsidR="001D52FC">
        <w:rPr>
          <w:bCs/>
          <w:lang w:val="en-US"/>
        </w:rPr>
        <w:t xml:space="preserve"> cross-country </w:t>
      </w:r>
      <w:r w:rsidR="0044662D">
        <w:rPr>
          <w:bCs/>
          <w:lang w:val="en-US"/>
        </w:rPr>
        <w:t xml:space="preserve">analysis </w:t>
      </w:r>
      <w:r w:rsidR="001D52FC">
        <w:rPr>
          <w:bCs/>
          <w:lang w:val="en-US"/>
        </w:rPr>
        <w:t>show</w:t>
      </w:r>
      <w:r w:rsidR="0044662D">
        <w:rPr>
          <w:bCs/>
          <w:lang w:val="en-US"/>
        </w:rPr>
        <w:t xml:space="preserve">ed </w:t>
      </w:r>
      <w:r w:rsidR="001D52FC">
        <w:rPr>
          <w:bCs/>
          <w:lang w:val="en-US"/>
        </w:rPr>
        <w:t xml:space="preserve">the relationship of DMSP night lights to GDP was negative where and when agriculture is a large share of GDP, even as it is positive elsewhere. </w:t>
      </w:r>
    </w:p>
    <w:p w:rsidR="00284756" w:rsidRDefault="00284756" w:rsidP="00284756">
      <w:pPr>
        <w:spacing w:after="0" w:line="288" w:lineRule="auto"/>
        <w:ind w:firstLine="720"/>
        <w:jc w:val="both"/>
        <w:rPr>
          <w:bCs/>
          <w:lang w:val="en-US"/>
        </w:rPr>
      </w:pPr>
    </w:p>
    <w:p w:rsidR="00342A26" w:rsidRDefault="001D52FC" w:rsidP="00284756">
      <w:pPr>
        <w:spacing w:after="0" w:line="288" w:lineRule="auto"/>
        <w:ind w:firstLine="720"/>
        <w:jc w:val="both"/>
        <w:rPr>
          <w:bCs/>
          <w:lang w:val="en-US"/>
        </w:rPr>
      </w:pPr>
      <w:r>
        <w:rPr>
          <w:bCs/>
          <w:lang w:val="en-US"/>
        </w:rPr>
        <w:t xml:space="preserve">While there is a positive relationship between lights and GDP in </w:t>
      </w:r>
      <w:r w:rsidR="00032B6E">
        <w:rPr>
          <w:bCs/>
          <w:lang w:val="en-US"/>
        </w:rPr>
        <w:t xml:space="preserve">Indonesia’s </w:t>
      </w:r>
      <w:r w:rsidR="00B24D38" w:rsidRPr="00B24D38">
        <w:rPr>
          <w:bCs/>
          <w:lang w:val="en-US"/>
        </w:rPr>
        <w:t xml:space="preserve">urban sector, the lights-GDP relationship is twice as noisy </w:t>
      </w:r>
      <w:r>
        <w:rPr>
          <w:bCs/>
          <w:lang w:val="en-US"/>
        </w:rPr>
        <w:t xml:space="preserve">if estimated with </w:t>
      </w:r>
      <w:r w:rsidR="00B24D38" w:rsidRPr="00B24D38">
        <w:rPr>
          <w:bCs/>
          <w:lang w:val="en-US"/>
        </w:rPr>
        <w:t xml:space="preserve">DMSP </w:t>
      </w:r>
      <w:r>
        <w:rPr>
          <w:bCs/>
          <w:lang w:val="en-US"/>
        </w:rPr>
        <w:t>data rather than VIIRS. We also find that s</w:t>
      </w:r>
      <w:r w:rsidR="00B24D38" w:rsidRPr="00B24D38">
        <w:rPr>
          <w:bCs/>
          <w:lang w:val="en-US"/>
        </w:rPr>
        <w:t>patial inequality is considerably understated by the DMSP data</w:t>
      </w:r>
      <w:r>
        <w:rPr>
          <w:bCs/>
          <w:lang w:val="en-US"/>
        </w:rPr>
        <w:t>, especially in the urban sector</w:t>
      </w:r>
      <w:r w:rsidR="00B24D38" w:rsidRPr="00B24D38">
        <w:rPr>
          <w:bCs/>
          <w:lang w:val="en-US"/>
        </w:rPr>
        <w:t>.</w:t>
      </w:r>
      <w:r>
        <w:rPr>
          <w:bCs/>
          <w:lang w:val="en-US"/>
        </w:rPr>
        <w:t xml:space="preserve"> While a</w:t>
      </w:r>
      <w:r w:rsidR="00B24D38" w:rsidRPr="00B24D38">
        <w:rPr>
          <w:bCs/>
          <w:lang w:val="en-US"/>
        </w:rPr>
        <w:t xml:space="preserve"> Pareto adjustment </w:t>
      </w:r>
      <w:r w:rsidR="00032B6E">
        <w:rPr>
          <w:bCs/>
          <w:lang w:val="en-US"/>
        </w:rPr>
        <w:t xml:space="preserve">developed by Bluhm and Krause (2018) </w:t>
      </w:r>
      <w:r w:rsidR="00B24D38" w:rsidRPr="00B24D38">
        <w:rPr>
          <w:bCs/>
          <w:lang w:val="en-US"/>
        </w:rPr>
        <w:t xml:space="preserve">to </w:t>
      </w:r>
      <w:r w:rsidR="00032B6E">
        <w:rPr>
          <w:bCs/>
          <w:lang w:val="en-US"/>
        </w:rPr>
        <w:t xml:space="preserve">deal with </w:t>
      </w:r>
      <w:r w:rsidR="00B24D38" w:rsidRPr="00B24D38">
        <w:rPr>
          <w:bCs/>
          <w:lang w:val="en-US"/>
        </w:rPr>
        <w:t>top-coding in DMSP data has a modest effect</w:t>
      </w:r>
      <w:r w:rsidR="0012339B">
        <w:rPr>
          <w:bCs/>
          <w:lang w:val="en-US"/>
        </w:rPr>
        <w:t>,</w:t>
      </w:r>
      <w:r w:rsidR="00B24D38" w:rsidRPr="00B24D38">
        <w:rPr>
          <w:bCs/>
          <w:lang w:val="en-US"/>
        </w:rPr>
        <w:t xml:space="preserve"> </w:t>
      </w:r>
      <w:r>
        <w:rPr>
          <w:bCs/>
          <w:lang w:val="en-US"/>
        </w:rPr>
        <w:t xml:space="preserve">the adjusted data </w:t>
      </w:r>
      <w:r w:rsidR="0012339B">
        <w:rPr>
          <w:bCs/>
          <w:lang w:val="en-US"/>
        </w:rPr>
        <w:t>still understate spatial inequality and miss</w:t>
      </w:r>
      <w:r w:rsidR="00B24D38" w:rsidRPr="00B24D38">
        <w:rPr>
          <w:bCs/>
          <w:lang w:val="en-US"/>
        </w:rPr>
        <w:t xml:space="preserve"> much of the intra-city heterogeneity in the brightness of lights for Jakarta.</w:t>
      </w:r>
    </w:p>
    <w:p w:rsidR="00DB5D7D" w:rsidRPr="0044662D" w:rsidRDefault="00DB5D7D" w:rsidP="00BA4001">
      <w:pPr>
        <w:spacing w:after="0" w:line="288" w:lineRule="auto"/>
        <w:ind w:firstLine="720"/>
        <w:rPr>
          <w:bCs/>
          <w:lang w:val="en-US"/>
        </w:rPr>
      </w:pPr>
    </w:p>
    <w:p w:rsidR="00FE51E0" w:rsidRPr="00F7101D" w:rsidRDefault="00CE27EF" w:rsidP="00BA4001">
      <w:pPr>
        <w:tabs>
          <w:tab w:val="left" w:pos="426"/>
        </w:tabs>
        <w:spacing w:after="0" w:line="288" w:lineRule="auto"/>
        <w:rPr>
          <w:b/>
          <w:lang w:val="en-US"/>
        </w:rPr>
      </w:pPr>
      <w:r w:rsidRPr="00F7101D">
        <w:rPr>
          <w:b/>
          <w:lang w:val="en-US"/>
        </w:rPr>
        <w:t>II.</w:t>
      </w:r>
      <w:r w:rsidRPr="00F7101D">
        <w:rPr>
          <w:b/>
          <w:lang w:val="en-US"/>
        </w:rPr>
        <w:tab/>
      </w:r>
      <w:r w:rsidR="00FE51E0" w:rsidRPr="00F7101D">
        <w:rPr>
          <w:b/>
          <w:lang w:val="en-US"/>
        </w:rPr>
        <w:t>Background</w:t>
      </w:r>
      <w:r w:rsidR="00956EED" w:rsidRPr="00F7101D">
        <w:rPr>
          <w:b/>
          <w:lang w:val="en-US"/>
        </w:rPr>
        <w:t xml:space="preserve"> and Related Literature</w:t>
      </w:r>
      <w:r w:rsidR="00CC1F37" w:rsidRPr="00F7101D">
        <w:rPr>
          <w:bCs/>
          <w:iCs/>
          <w:lang w:val="en-AU"/>
        </w:rPr>
        <w:tab/>
      </w:r>
    </w:p>
    <w:p w:rsidR="00284756" w:rsidRPr="00284756" w:rsidRDefault="00284756" w:rsidP="00BA4001">
      <w:pPr>
        <w:spacing w:after="0" w:line="288" w:lineRule="auto"/>
        <w:jc w:val="both"/>
        <w:rPr>
          <w:bCs/>
          <w:iCs/>
          <w:sz w:val="8"/>
          <w:szCs w:val="8"/>
          <w:lang w:val="en-AU"/>
        </w:rPr>
      </w:pPr>
    </w:p>
    <w:p w:rsidR="00675115" w:rsidRDefault="00675115" w:rsidP="00BA4001">
      <w:pPr>
        <w:spacing w:after="0" w:line="288" w:lineRule="auto"/>
        <w:jc w:val="both"/>
        <w:rPr>
          <w:bCs/>
          <w:lang w:val="en-US"/>
        </w:rPr>
      </w:pPr>
      <w:r>
        <w:rPr>
          <w:bCs/>
          <w:iCs/>
          <w:lang w:val="en-AU"/>
        </w:rPr>
        <w:t xml:space="preserve">Researchers have used </w:t>
      </w:r>
      <w:r w:rsidR="00CC1F37">
        <w:rPr>
          <w:bCs/>
          <w:iCs/>
          <w:lang w:val="en-AU"/>
        </w:rPr>
        <w:t xml:space="preserve">night lights data </w:t>
      </w:r>
      <w:r>
        <w:rPr>
          <w:bCs/>
          <w:iCs/>
          <w:lang w:val="en-AU"/>
        </w:rPr>
        <w:t xml:space="preserve">from </w:t>
      </w:r>
      <w:r w:rsidR="00CC1F37">
        <w:rPr>
          <w:bCs/>
          <w:iCs/>
          <w:lang w:val="en-AU"/>
        </w:rPr>
        <w:t xml:space="preserve">the </w:t>
      </w:r>
      <w:r w:rsidR="00CC1F37">
        <w:rPr>
          <w:bCs/>
          <w:lang w:val="en-US"/>
        </w:rPr>
        <w:t xml:space="preserve">Defense Meteorological Satellite Program Operational </w:t>
      </w:r>
      <w:proofErr w:type="spellStart"/>
      <w:r w:rsidR="00CC1F37">
        <w:rPr>
          <w:bCs/>
          <w:lang w:val="en-US"/>
        </w:rPr>
        <w:t>Linescan</w:t>
      </w:r>
      <w:proofErr w:type="spellEnd"/>
      <w:r w:rsidR="00CC1F37">
        <w:rPr>
          <w:bCs/>
          <w:lang w:val="en-US"/>
        </w:rPr>
        <w:t xml:space="preserve"> System (DMSP for short)</w:t>
      </w:r>
      <w:r>
        <w:rPr>
          <w:bCs/>
          <w:lang w:val="en-US"/>
        </w:rPr>
        <w:t xml:space="preserve"> for over 40 years, even though these satellites were designed to observe clouds for short-term weather forecasts rather than to give a consistent long-term record of lights on earth. While a few earlier studies by remote sensing researchers had an economics focus, it was not until Henderson </w:t>
      </w:r>
      <w:r w:rsidR="00DB5D7D" w:rsidRPr="00DB5D7D">
        <w:rPr>
          <w:bCs/>
          <w:i/>
          <w:lang w:val="en-AU"/>
        </w:rPr>
        <w:t>et al.</w:t>
      </w:r>
      <w:r w:rsidR="00DB5D7D">
        <w:rPr>
          <w:bCs/>
          <w:lang w:val="en-US"/>
        </w:rPr>
        <w:t xml:space="preserve"> </w:t>
      </w:r>
      <w:r>
        <w:rPr>
          <w:bCs/>
          <w:lang w:val="en-US"/>
        </w:rPr>
        <w:t>(2012), and to a lesser extent Chen and Nordhaus (2011), developed ways to optimally weight data on night lights and reported GDP, in order to predict true GDP, that many economists paid attention to night lights data.</w:t>
      </w:r>
      <w:r>
        <w:rPr>
          <w:rStyle w:val="FootnoteReference"/>
          <w:bCs/>
          <w:lang w:val="en-US"/>
        </w:rPr>
        <w:footnoteReference w:id="3"/>
      </w:r>
      <w:r w:rsidR="0091664F">
        <w:rPr>
          <w:bCs/>
          <w:lang w:val="en-US"/>
        </w:rPr>
        <w:t xml:space="preserve"> </w:t>
      </w:r>
      <w:r w:rsidR="00284756">
        <w:rPr>
          <w:bCs/>
          <w:lang w:val="en-US"/>
        </w:rPr>
        <w:t xml:space="preserve"> </w:t>
      </w:r>
      <w:r w:rsidR="0091664F">
        <w:rPr>
          <w:bCs/>
          <w:lang w:val="en-US"/>
        </w:rPr>
        <w:t>These key studies noted that the night lights data were noisy but concluded that in a fairly wide range of</w:t>
      </w:r>
      <w:r w:rsidR="00745450">
        <w:rPr>
          <w:bCs/>
          <w:lang w:val="en-US"/>
        </w:rPr>
        <w:t xml:space="preserve"> contexts</w:t>
      </w:r>
      <w:r w:rsidR="0091664F">
        <w:rPr>
          <w:bCs/>
          <w:lang w:val="en-US"/>
        </w:rPr>
        <w:t xml:space="preserve"> (Henderson </w:t>
      </w:r>
      <w:r w:rsidR="00284756" w:rsidRPr="00DB5D7D">
        <w:rPr>
          <w:bCs/>
          <w:i/>
          <w:lang w:val="en-AU"/>
        </w:rPr>
        <w:t>et al.</w:t>
      </w:r>
      <w:r w:rsidR="00284756">
        <w:rPr>
          <w:bCs/>
          <w:i/>
          <w:lang w:val="en-AU"/>
        </w:rPr>
        <w:t xml:space="preserve"> </w:t>
      </w:r>
      <w:r w:rsidR="00456343">
        <w:rPr>
          <w:bCs/>
          <w:lang w:val="en-US"/>
        </w:rPr>
        <w:t>2012), or, alternatively,</w:t>
      </w:r>
      <w:r w:rsidR="0091664F">
        <w:rPr>
          <w:bCs/>
          <w:lang w:val="en-US"/>
        </w:rPr>
        <w:t xml:space="preserve"> </w:t>
      </w:r>
      <w:r w:rsidR="00456343">
        <w:rPr>
          <w:bCs/>
          <w:lang w:val="en-US"/>
        </w:rPr>
        <w:t xml:space="preserve">in </w:t>
      </w:r>
      <w:r w:rsidR="0091664F">
        <w:rPr>
          <w:bCs/>
          <w:lang w:val="en-US"/>
        </w:rPr>
        <w:t xml:space="preserve">a narrower set of </w:t>
      </w:r>
      <w:r w:rsidR="00745450">
        <w:rPr>
          <w:bCs/>
          <w:lang w:val="en-US"/>
        </w:rPr>
        <w:t xml:space="preserve">contexts (Chen and Nordhaus 2011), </w:t>
      </w:r>
      <w:r w:rsidR="0091664F">
        <w:rPr>
          <w:bCs/>
          <w:lang w:val="en-US"/>
        </w:rPr>
        <w:t>DMSP lights data could add value to conventional economic statistics like national and regional GDP.</w:t>
      </w:r>
      <w:r w:rsidR="00C1162C">
        <w:rPr>
          <w:bCs/>
          <w:lang w:val="en-US"/>
        </w:rPr>
        <w:t xml:space="preserve"> A few subsequent studies in economics highlighted noise in DMSP data, with low explanatory power and unstable growth elasticities for long differenced economic variables (Addison and Steward</w:t>
      </w:r>
      <w:r w:rsidR="00284756">
        <w:rPr>
          <w:bCs/>
          <w:lang w:val="en-US"/>
        </w:rPr>
        <w:t xml:space="preserve"> </w:t>
      </w:r>
      <w:r w:rsidR="00C1162C">
        <w:rPr>
          <w:bCs/>
          <w:lang w:val="en-US"/>
        </w:rPr>
        <w:t>2015)</w:t>
      </w:r>
      <w:r w:rsidR="00C40E8E">
        <w:rPr>
          <w:bCs/>
          <w:lang w:val="en-US"/>
        </w:rPr>
        <w:t xml:space="preserve">, </w:t>
      </w:r>
      <w:r w:rsidR="00745450">
        <w:rPr>
          <w:bCs/>
          <w:lang w:val="en-US"/>
        </w:rPr>
        <w:t xml:space="preserve">greater </w:t>
      </w:r>
      <w:r w:rsidR="0099494D">
        <w:rPr>
          <w:bCs/>
          <w:lang w:val="en-US"/>
        </w:rPr>
        <w:t xml:space="preserve">uncertainty in lights-based </w:t>
      </w:r>
      <w:r w:rsidR="00745450">
        <w:rPr>
          <w:bCs/>
          <w:lang w:val="en-US"/>
        </w:rPr>
        <w:t>time-</w:t>
      </w:r>
      <w:r w:rsidR="00C40E8E">
        <w:rPr>
          <w:bCs/>
          <w:lang w:val="en-US"/>
        </w:rPr>
        <w:t xml:space="preserve">series of </w:t>
      </w:r>
      <w:r w:rsidR="0099494D">
        <w:rPr>
          <w:bCs/>
          <w:lang w:val="en-US"/>
        </w:rPr>
        <w:t>GDP estimates than for cross-sections</w:t>
      </w:r>
      <w:r w:rsidR="00C40E8E">
        <w:rPr>
          <w:bCs/>
          <w:lang w:val="en-US"/>
        </w:rPr>
        <w:t xml:space="preserve"> </w:t>
      </w:r>
      <w:r w:rsidR="003226F2">
        <w:rPr>
          <w:bCs/>
          <w:lang w:val="en-US"/>
        </w:rPr>
        <w:t xml:space="preserve">of GDP </w:t>
      </w:r>
      <w:r w:rsidR="00C40E8E">
        <w:rPr>
          <w:bCs/>
          <w:lang w:val="en-US"/>
        </w:rPr>
        <w:t>(Nordhaus and Chen 2015), and u</w:t>
      </w:r>
      <w:r w:rsidR="00456343">
        <w:rPr>
          <w:bCs/>
          <w:lang w:val="en-US"/>
        </w:rPr>
        <w:t xml:space="preserve">nstable relationships between </w:t>
      </w:r>
      <w:r w:rsidR="0099494D">
        <w:rPr>
          <w:bCs/>
          <w:lang w:val="en-US"/>
        </w:rPr>
        <w:t xml:space="preserve">DMSP data and </w:t>
      </w:r>
      <w:r w:rsidR="00456343">
        <w:rPr>
          <w:bCs/>
          <w:lang w:val="en-US"/>
        </w:rPr>
        <w:t>regional GDP</w:t>
      </w:r>
      <w:r w:rsidR="00C40E8E">
        <w:rPr>
          <w:bCs/>
          <w:lang w:val="en-US"/>
        </w:rPr>
        <w:t xml:space="preserve"> making</w:t>
      </w:r>
      <w:r w:rsidR="0099494D">
        <w:rPr>
          <w:bCs/>
          <w:lang w:val="en-US"/>
        </w:rPr>
        <w:t xml:space="preserve"> </w:t>
      </w:r>
      <w:r w:rsidR="003226F2">
        <w:rPr>
          <w:bCs/>
          <w:lang w:val="en-US"/>
        </w:rPr>
        <w:t xml:space="preserve">the </w:t>
      </w:r>
      <w:r w:rsidR="0099494D">
        <w:rPr>
          <w:bCs/>
          <w:lang w:val="en-US"/>
        </w:rPr>
        <w:t>DMSP data a poor proxy for regional economic activity (</w:t>
      </w:r>
      <w:proofErr w:type="spellStart"/>
      <w:r w:rsidR="0099494D">
        <w:rPr>
          <w:bCs/>
          <w:lang w:val="en-US"/>
        </w:rPr>
        <w:t>Bickenbach</w:t>
      </w:r>
      <w:proofErr w:type="spellEnd"/>
      <w:r w:rsidR="0099494D">
        <w:rPr>
          <w:bCs/>
          <w:lang w:val="en-US"/>
        </w:rPr>
        <w:t xml:space="preserve"> </w:t>
      </w:r>
      <w:r w:rsidR="00DB5D7D" w:rsidRPr="00DB5D7D">
        <w:rPr>
          <w:bCs/>
          <w:i/>
          <w:lang w:val="en-AU"/>
        </w:rPr>
        <w:t>et al.</w:t>
      </w:r>
      <w:r w:rsidR="0099494D">
        <w:rPr>
          <w:bCs/>
          <w:lang w:val="en-US"/>
        </w:rPr>
        <w:t xml:space="preserve"> 2016).</w:t>
      </w:r>
    </w:p>
    <w:p w:rsidR="00BA7790" w:rsidRDefault="0099494D" w:rsidP="00BA4001">
      <w:pPr>
        <w:spacing w:after="0" w:line="288" w:lineRule="auto"/>
        <w:ind w:firstLine="720"/>
        <w:jc w:val="both"/>
        <w:rPr>
          <w:bCs/>
          <w:lang w:val="en-US"/>
        </w:rPr>
      </w:pPr>
      <w:r>
        <w:rPr>
          <w:bCs/>
          <w:lang w:val="en-US"/>
        </w:rPr>
        <w:lastRenderedPageBreak/>
        <w:t>Despite these critical findings</w:t>
      </w:r>
      <w:r w:rsidR="00C40E8E">
        <w:rPr>
          <w:bCs/>
          <w:lang w:val="en-US"/>
        </w:rPr>
        <w:t xml:space="preserve">, many more studies in applied economics have used the DMSP data to study a wide range of topics (see Gibson </w:t>
      </w:r>
      <w:r w:rsidR="00C40E8E" w:rsidRPr="00727065">
        <w:rPr>
          <w:bCs/>
          <w:i/>
          <w:iCs/>
          <w:lang w:val="en-US"/>
        </w:rPr>
        <w:t>et al</w:t>
      </w:r>
      <w:r w:rsidR="00727065" w:rsidRPr="00727065">
        <w:rPr>
          <w:bCs/>
          <w:i/>
          <w:iCs/>
          <w:lang w:val="en-US"/>
        </w:rPr>
        <w:t>.</w:t>
      </w:r>
      <w:r w:rsidR="00C40E8E" w:rsidRPr="00727065">
        <w:rPr>
          <w:bCs/>
          <w:i/>
          <w:iCs/>
          <w:lang w:val="en-US"/>
        </w:rPr>
        <w:t xml:space="preserve"> </w:t>
      </w:r>
      <w:r w:rsidR="00C40E8E">
        <w:rPr>
          <w:bCs/>
          <w:lang w:val="en-US"/>
        </w:rPr>
        <w:t xml:space="preserve">2019 for a selective survey). It was not until more recently, in Abrahams </w:t>
      </w:r>
      <w:r w:rsidR="00DB5D7D" w:rsidRPr="00DB5D7D">
        <w:rPr>
          <w:bCs/>
          <w:i/>
          <w:lang w:val="en-AU"/>
        </w:rPr>
        <w:t>et al.</w:t>
      </w:r>
      <w:r w:rsidR="00C40E8E">
        <w:rPr>
          <w:bCs/>
          <w:lang w:val="en-US"/>
        </w:rPr>
        <w:t xml:space="preserve"> (2018) and Bluhm and Krause (2018), that </w:t>
      </w:r>
      <w:r w:rsidR="004C1709">
        <w:rPr>
          <w:bCs/>
          <w:lang w:val="en-US"/>
        </w:rPr>
        <w:t xml:space="preserve">the </w:t>
      </w:r>
      <w:r w:rsidR="00C23955">
        <w:rPr>
          <w:bCs/>
          <w:lang w:val="en-US"/>
        </w:rPr>
        <w:t xml:space="preserve">measurement errors </w:t>
      </w:r>
      <w:r w:rsidR="00C40E8E">
        <w:rPr>
          <w:bCs/>
          <w:lang w:val="en-US"/>
        </w:rPr>
        <w:t xml:space="preserve">in </w:t>
      </w:r>
      <w:r w:rsidR="00C23955">
        <w:rPr>
          <w:bCs/>
          <w:lang w:val="en-US"/>
        </w:rPr>
        <w:t xml:space="preserve">the </w:t>
      </w:r>
      <w:r w:rsidR="00C40E8E">
        <w:rPr>
          <w:bCs/>
          <w:lang w:val="en-US"/>
        </w:rPr>
        <w:t>DMSP data</w:t>
      </w:r>
      <w:r w:rsidR="00C23955">
        <w:rPr>
          <w:bCs/>
          <w:lang w:val="en-US"/>
        </w:rPr>
        <w:t xml:space="preserve"> were </w:t>
      </w:r>
      <w:r w:rsidR="004C1709">
        <w:rPr>
          <w:bCs/>
          <w:lang w:val="en-US"/>
        </w:rPr>
        <w:t xml:space="preserve">more fully linked </w:t>
      </w:r>
      <w:r w:rsidR="00C40E8E">
        <w:rPr>
          <w:bCs/>
          <w:lang w:val="en-US"/>
        </w:rPr>
        <w:t xml:space="preserve">to </w:t>
      </w:r>
      <w:r w:rsidR="004C1709">
        <w:rPr>
          <w:bCs/>
          <w:lang w:val="en-US"/>
        </w:rPr>
        <w:t xml:space="preserve">some </w:t>
      </w:r>
      <w:r w:rsidR="00C40E8E">
        <w:rPr>
          <w:bCs/>
          <w:lang w:val="en-US"/>
        </w:rPr>
        <w:t xml:space="preserve">inherent flaws in the sensors and data processing, and </w:t>
      </w:r>
      <w:r w:rsidR="004C1709">
        <w:rPr>
          <w:bCs/>
          <w:lang w:val="en-US"/>
        </w:rPr>
        <w:t xml:space="preserve">that </w:t>
      </w:r>
      <w:r w:rsidR="00C40E8E">
        <w:rPr>
          <w:bCs/>
          <w:lang w:val="en-US"/>
        </w:rPr>
        <w:t>possible correction methods</w:t>
      </w:r>
      <w:r w:rsidR="004C1709">
        <w:rPr>
          <w:bCs/>
          <w:lang w:val="en-US"/>
        </w:rPr>
        <w:t xml:space="preserve"> were proposed</w:t>
      </w:r>
      <w:r w:rsidR="00C40E8E">
        <w:rPr>
          <w:bCs/>
          <w:lang w:val="en-US"/>
        </w:rPr>
        <w:t>.</w:t>
      </w:r>
      <w:r w:rsidR="004C1709">
        <w:rPr>
          <w:bCs/>
          <w:lang w:val="en-US"/>
        </w:rPr>
        <w:t xml:space="preserve"> We briefly summarize some of these flaws, and contrast DMSP with features of the </w:t>
      </w:r>
      <w:r w:rsidR="00A55FF2">
        <w:rPr>
          <w:bCs/>
          <w:lang w:val="en-US"/>
        </w:rPr>
        <w:t xml:space="preserve">Day-Night Band (DNB) of the </w:t>
      </w:r>
      <w:r w:rsidR="00CC1F37">
        <w:rPr>
          <w:bCs/>
          <w:lang w:val="en-US"/>
        </w:rPr>
        <w:t>Visible Infrared Imaging Radiometer Suite (VIIRS)</w:t>
      </w:r>
      <w:r w:rsidR="00B71CDD">
        <w:rPr>
          <w:bCs/>
          <w:lang w:val="en-US"/>
        </w:rPr>
        <w:t>,</w:t>
      </w:r>
      <w:r w:rsidR="004C1709">
        <w:rPr>
          <w:bCs/>
          <w:lang w:val="en-US"/>
        </w:rPr>
        <w:t xml:space="preserve"> which is</w:t>
      </w:r>
      <w:r w:rsidR="00CC1F37">
        <w:rPr>
          <w:bCs/>
          <w:lang w:val="en-US"/>
        </w:rPr>
        <w:t xml:space="preserve"> </w:t>
      </w:r>
      <w:r w:rsidR="004C1709">
        <w:rPr>
          <w:bCs/>
          <w:lang w:val="en-US"/>
        </w:rPr>
        <w:t xml:space="preserve">a more accurate source of </w:t>
      </w:r>
      <w:r w:rsidR="0093367E">
        <w:rPr>
          <w:bCs/>
          <w:lang w:val="en-US"/>
        </w:rPr>
        <w:t xml:space="preserve">night </w:t>
      </w:r>
      <w:r w:rsidR="004C1709">
        <w:rPr>
          <w:bCs/>
          <w:lang w:val="en-US"/>
        </w:rPr>
        <w:t xml:space="preserve">lights </w:t>
      </w:r>
      <w:r w:rsidR="00745450">
        <w:rPr>
          <w:bCs/>
          <w:lang w:val="en-US"/>
        </w:rPr>
        <w:t xml:space="preserve">data </w:t>
      </w:r>
      <w:r w:rsidR="004529B6">
        <w:rPr>
          <w:bCs/>
          <w:lang w:val="en-US"/>
        </w:rPr>
        <w:t xml:space="preserve">from </w:t>
      </w:r>
      <w:r w:rsidR="00CC1F37">
        <w:rPr>
          <w:bCs/>
          <w:lang w:val="en-US"/>
        </w:rPr>
        <w:t xml:space="preserve">the </w:t>
      </w:r>
      <w:r w:rsidR="00CC1F37" w:rsidRPr="00FE51E0">
        <w:rPr>
          <w:bCs/>
          <w:i/>
          <w:iCs/>
          <w:lang w:val="en-US"/>
        </w:rPr>
        <w:t>Suomi</w:t>
      </w:r>
      <w:r w:rsidR="00CC1F37">
        <w:rPr>
          <w:bCs/>
          <w:lang w:val="en-US"/>
        </w:rPr>
        <w:t xml:space="preserve"> </w:t>
      </w:r>
      <w:r w:rsidR="00B732CF">
        <w:rPr>
          <w:bCs/>
          <w:lang w:val="en-US"/>
        </w:rPr>
        <w:t xml:space="preserve">satellite </w:t>
      </w:r>
      <w:r w:rsidR="00CC1F37">
        <w:rPr>
          <w:bCs/>
          <w:lang w:val="en-US"/>
        </w:rPr>
        <w:t>that was launched in 2011</w:t>
      </w:r>
      <w:r w:rsidR="004C1709">
        <w:rPr>
          <w:bCs/>
          <w:lang w:val="en-US"/>
        </w:rPr>
        <w:t>.</w:t>
      </w:r>
      <w:r w:rsidR="00CC1F37">
        <w:rPr>
          <w:bCs/>
          <w:lang w:val="en-US"/>
        </w:rPr>
        <w:t xml:space="preserve"> </w:t>
      </w:r>
    </w:p>
    <w:p w:rsidR="00DB5D7D" w:rsidRPr="00727065" w:rsidRDefault="00DB5D7D" w:rsidP="00BA4001">
      <w:pPr>
        <w:spacing w:after="0" w:line="288" w:lineRule="auto"/>
        <w:ind w:firstLine="720"/>
        <w:jc w:val="both"/>
        <w:rPr>
          <w:bCs/>
          <w:sz w:val="20"/>
          <w:szCs w:val="20"/>
          <w:lang w:val="en-US"/>
        </w:rPr>
      </w:pPr>
    </w:p>
    <w:p w:rsidR="00284756" w:rsidRDefault="009457EF" w:rsidP="00BA4001">
      <w:pPr>
        <w:spacing w:after="0" w:line="288" w:lineRule="auto"/>
        <w:ind w:firstLine="720"/>
        <w:jc w:val="both"/>
        <w:rPr>
          <w:bCs/>
          <w:lang w:val="en-AU"/>
        </w:rPr>
      </w:pPr>
      <w:r>
        <w:rPr>
          <w:bCs/>
          <w:lang w:val="en-AU"/>
        </w:rPr>
        <w:t>The DMSP data lack</w:t>
      </w:r>
      <w:r w:rsidR="00501E32">
        <w:rPr>
          <w:bCs/>
          <w:lang w:val="en-AU"/>
        </w:rPr>
        <w:t xml:space="preserve"> </w:t>
      </w:r>
      <w:r w:rsidR="00501E32" w:rsidRPr="009457EF">
        <w:rPr>
          <w:bCs/>
          <w:lang w:val="en-AU"/>
        </w:rPr>
        <w:t>spatial accuracy</w:t>
      </w:r>
      <w:r w:rsidR="00501E32">
        <w:rPr>
          <w:bCs/>
          <w:lang w:val="en-AU"/>
        </w:rPr>
        <w:t xml:space="preserve"> </w:t>
      </w:r>
      <w:r>
        <w:rPr>
          <w:bCs/>
          <w:lang w:val="en-AU"/>
        </w:rPr>
        <w:t xml:space="preserve">because the sensor and </w:t>
      </w:r>
      <w:r w:rsidR="00213D13">
        <w:rPr>
          <w:bCs/>
          <w:lang w:val="en-AU"/>
        </w:rPr>
        <w:t>data processing attribute</w:t>
      </w:r>
      <w:r>
        <w:rPr>
          <w:bCs/>
          <w:lang w:val="en-AU"/>
        </w:rPr>
        <w:t xml:space="preserve"> light to different places than where </w:t>
      </w:r>
      <w:r w:rsidR="00C933A5">
        <w:rPr>
          <w:bCs/>
          <w:lang w:val="en-AU"/>
        </w:rPr>
        <w:t xml:space="preserve">it </w:t>
      </w:r>
      <w:r>
        <w:rPr>
          <w:bCs/>
          <w:lang w:val="en-AU"/>
        </w:rPr>
        <w:t xml:space="preserve">was emitted. Some earlier studies suggested this was </w:t>
      </w:r>
      <w:r w:rsidR="00213D13">
        <w:rPr>
          <w:bCs/>
          <w:lang w:val="en-AU"/>
        </w:rPr>
        <w:t xml:space="preserve">from </w:t>
      </w:r>
      <w:r>
        <w:rPr>
          <w:bCs/>
          <w:lang w:val="en-AU"/>
        </w:rPr>
        <w:t>reflection</w:t>
      </w:r>
      <w:r w:rsidR="00C933A5">
        <w:rPr>
          <w:bCs/>
          <w:lang w:val="en-AU"/>
        </w:rPr>
        <w:t xml:space="preserve"> off water or snow, and so may</w:t>
      </w:r>
      <w:r>
        <w:rPr>
          <w:bCs/>
          <w:lang w:val="en-AU"/>
        </w:rPr>
        <w:t xml:space="preserve"> </w:t>
      </w:r>
      <w:r w:rsidR="00213D13">
        <w:rPr>
          <w:bCs/>
          <w:lang w:val="en-AU"/>
        </w:rPr>
        <w:t xml:space="preserve">matter in </w:t>
      </w:r>
      <w:r>
        <w:rPr>
          <w:bCs/>
          <w:lang w:val="en-AU"/>
        </w:rPr>
        <w:t xml:space="preserve">only </w:t>
      </w:r>
      <w:r w:rsidR="00213D13">
        <w:rPr>
          <w:bCs/>
          <w:lang w:val="en-AU"/>
        </w:rPr>
        <w:t xml:space="preserve">a few </w:t>
      </w:r>
      <w:r>
        <w:rPr>
          <w:bCs/>
          <w:lang w:val="en-AU"/>
        </w:rPr>
        <w:t xml:space="preserve">places, but recent studies show that ‘blurring’ is an inherent </w:t>
      </w:r>
      <w:r w:rsidR="00213D13">
        <w:rPr>
          <w:bCs/>
          <w:lang w:val="en-AU"/>
        </w:rPr>
        <w:t>feature of DMSP</w:t>
      </w:r>
      <w:r>
        <w:rPr>
          <w:bCs/>
          <w:lang w:val="en-AU"/>
        </w:rPr>
        <w:t xml:space="preserve"> data (Abrahams </w:t>
      </w:r>
      <w:r w:rsidR="00DB5D7D" w:rsidRPr="00DB5D7D">
        <w:rPr>
          <w:bCs/>
          <w:i/>
          <w:lang w:val="en-AU"/>
        </w:rPr>
        <w:t>et al.</w:t>
      </w:r>
      <w:r w:rsidR="00C933A5">
        <w:rPr>
          <w:bCs/>
          <w:lang w:val="en-AU"/>
        </w:rPr>
        <w:t xml:space="preserve"> 2018). The DMSP satellite orbit altitude is</w:t>
      </w:r>
      <w:r>
        <w:rPr>
          <w:bCs/>
          <w:lang w:val="en-AU"/>
        </w:rPr>
        <w:t xml:space="preserve"> about 800 km, which is just over one-quarter of the 3000 km sweep </w:t>
      </w:r>
      <w:r w:rsidR="00213D13">
        <w:rPr>
          <w:bCs/>
          <w:lang w:val="en-AU"/>
        </w:rPr>
        <w:t xml:space="preserve">of </w:t>
      </w:r>
      <w:r>
        <w:rPr>
          <w:bCs/>
          <w:lang w:val="en-AU"/>
        </w:rPr>
        <w:t xml:space="preserve">the sensor, and so except at the nadir the earth </w:t>
      </w:r>
      <w:r w:rsidR="00AC7E1F">
        <w:rPr>
          <w:bCs/>
          <w:lang w:val="en-AU"/>
        </w:rPr>
        <w:t>is viewed</w:t>
      </w:r>
      <w:r w:rsidR="00213D13">
        <w:rPr>
          <w:bCs/>
          <w:lang w:val="en-AU"/>
        </w:rPr>
        <w:t xml:space="preserve"> </w:t>
      </w:r>
      <w:r>
        <w:rPr>
          <w:bCs/>
          <w:lang w:val="en-AU"/>
        </w:rPr>
        <w:t>at an acute angle</w:t>
      </w:r>
      <w:r w:rsidR="00C23955">
        <w:rPr>
          <w:bCs/>
          <w:lang w:val="en-AU"/>
        </w:rPr>
        <w:t>,</w:t>
      </w:r>
      <w:r w:rsidR="00213D13">
        <w:rPr>
          <w:bCs/>
          <w:lang w:val="en-AU"/>
        </w:rPr>
        <w:t xml:space="preserve"> giving</w:t>
      </w:r>
      <w:r w:rsidR="0019712A">
        <w:rPr>
          <w:bCs/>
          <w:lang w:val="en-AU"/>
        </w:rPr>
        <w:t xml:space="preserve"> a larger </w:t>
      </w:r>
      <w:r>
        <w:rPr>
          <w:bCs/>
          <w:lang w:val="en-AU"/>
        </w:rPr>
        <w:t>fiel</w:t>
      </w:r>
      <w:r w:rsidR="00C933A5">
        <w:rPr>
          <w:bCs/>
          <w:lang w:val="en-AU"/>
        </w:rPr>
        <w:t>d-of-view (four</w:t>
      </w:r>
      <w:r w:rsidR="003226F2">
        <w:rPr>
          <w:bCs/>
          <w:lang w:val="en-AU"/>
        </w:rPr>
        <w:t>-fold</w:t>
      </w:r>
      <w:r w:rsidR="00C933A5">
        <w:rPr>
          <w:bCs/>
          <w:lang w:val="en-AU"/>
        </w:rPr>
        <w:t xml:space="preserve"> </w:t>
      </w:r>
      <w:r w:rsidR="003226F2">
        <w:rPr>
          <w:bCs/>
          <w:lang w:val="en-AU"/>
        </w:rPr>
        <w:t xml:space="preserve">larger </w:t>
      </w:r>
      <w:r>
        <w:rPr>
          <w:bCs/>
          <w:lang w:val="en-AU"/>
        </w:rPr>
        <w:t>at the</w:t>
      </w:r>
      <w:r w:rsidR="003226F2">
        <w:rPr>
          <w:bCs/>
          <w:lang w:val="en-AU"/>
        </w:rPr>
        <w:t xml:space="preserve"> edge</w:t>
      </w:r>
      <w:r>
        <w:rPr>
          <w:bCs/>
          <w:lang w:val="en-AU"/>
        </w:rPr>
        <w:t xml:space="preserve">) </w:t>
      </w:r>
      <w:r w:rsidR="00213D13">
        <w:rPr>
          <w:bCs/>
          <w:lang w:val="en-AU"/>
        </w:rPr>
        <w:t xml:space="preserve">from which </w:t>
      </w:r>
      <w:r w:rsidR="00C933A5">
        <w:rPr>
          <w:bCs/>
          <w:lang w:val="en-AU"/>
        </w:rPr>
        <w:t xml:space="preserve">all </w:t>
      </w:r>
      <w:r w:rsidR="0019712A">
        <w:rPr>
          <w:bCs/>
          <w:lang w:val="en-AU"/>
        </w:rPr>
        <w:t xml:space="preserve">light is attributed to </w:t>
      </w:r>
      <w:r w:rsidR="00213D13">
        <w:rPr>
          <w:bCs/>
          <w:lang w:val="en-AU"/>
        </w:rPr>
        <w:t xml:space="preserve">a </w:t>
      </w:r>
      <w:r w:rsidR="004529B6">
        <w:rPr>
          <w:bCs/>
          <w:lang w:val="en-AU"/>
        </w:rPr>
        <w:t>smaller pixel in</w:t>
      </w:r>
      <w:r w:rsidR="0019712A">
        <w:rPr>
          <w:bCs/>
          <w:lang w:val="en-AU"/>
        </w:rPr>
        <w:t xml:space="preserve"> the centre. The on-board computers are unable to hold the data </w:t>
      </w:r>
      <w:r w:rsidR="00213D13">
        <w:rPr>
          <w:bCs/>
          <w:lang w:val="en-AU"/>
        </w:rPr>
        <w:t xml:space="preserve">for </w:t>
      </w:r>
      <w:r w:rsidR="00745450">
        <w:rPr>
          <w:bCs/>
          <w:lang w:val="en-AU"/>
        </w:rPr>
        <w:t xml:space="preserve">all </w:t>
      </w:r>
      <w:r w:rsidR="0019712A">
        <w:rPr>
          <w:bCs/>
          <w:lang w:val="en-AU"/>
        </w:rPr>
        <w:t>the</w:t>
      </w:r>
      <w:r w:rsidR="00C23955">
        <w:rPr>
          <w:bCs/>
          <w:lang w:val="en-AU"/>
        </w:rPr>
        <w:t xml:space="preserve"> small</w:t>
      </w:r>
      <w:r w:rsidR="0019712A">
        <w:rPr>
          <w:bCs/>
          <w:lang w:val="en-AU"/>
        </w:rPr>
        <w:t xml:space="preserve"> pixels, so </w:t>
      </w:r>
      <w:r w:rsidR="00213D13">
        <w:rPr>
          <w:bCs/>
          <w:lang w:val="en-AU"/>
        </w:rPr>
        <w:t>aggregate</w:t>
      </w:r>
      <w:r w:rsidR="0019712A">
        <w:rPr>
          <w:bCs/>
          <w:lang w:val="en-AU"/>
        </w:rPr>
        <w:t xml:space="preserve"> to 5×5 blocks (of size 2.7</w:t>
      </w:r>
      <w:r w:rsidR="00C23955">
        <w:rPr>
          <w:bCs/>
          <w:lang w:val="en-AU"/>
        </w:rPr>
        <w:t xml:space="preserve"> </w:t>
      </w:r>
      <w:r w:rsidR="0019712A">
        <w:rPr>
          <w:bCs/>
          <w:lang w:val="en-AU"/>
        </w:rPr>
        <w:t>km × 2.7</w:t>
      </w:r>
      <w:r w:rsidR="00C23955">
        <w:rPr>
          <w:bCs/>
          <w:lang w:val="en-AU"/>
        </w:rPr>
        <w:t xml:space="preserve"> </w:t>
      </w:r>
      <w:r w:rsidR="0019712A">
        <w:rPr>
          <w:bCs/>
          <w:lang w:val="en-AU"/>
        </w:rPr>
        <w:t xml:space="preserve">km at the nadir) prior to </w:t>
      </w:r>
      <w:r w:rsidR="00C933A5">
        <w:rPr>
          <w:bCs/>
          <w:lang w:val="en-AU"/>
        </w:rPr>
        <w:t xml:space="preserve">the </w:t>
      </w:r>
      <w:r w:rsidR="0019712A">
        <w:rPr>
          <w:bCs/>
          <w:lang w:val="en-AU"/>
        </w:rPr>
        <w:t>data being sent to earth</w:t>
      </w:r>
      <w:r w:rsidR="00213D13">
        <w:rPr>
          <w:bCs/>
          <w:lang w:val="en-AU"/>
        </w:rPr>
        <w:t>, which</w:t>
      </w:r>
      <w:r w:rsidR="0019712A">
        <w:rPr>
          <w:bCs/>
          <w:lang w:val="en-AU"/>
        </w:rPr>
        <w:t xml:space="preserve"> further spreads light from its point of origin. </w:t>
      </w:r>
    </w:p>
    <w:p w:rsidR="00284756" w:rsidRPr="00727065" w:rsidRDefault="00284756" w:rsidP="00BA4001">
      <w:pPr>
        <w:spacing w:after="0" w:line="288" w:lineRule="auto"/>
        <w:ind w:firstLine="720"/>
        <w:jc w:val="both"/>
        <w:rPr>
          <w:bCs/>
          <w:sz w:val="18"/>
          <w:szCs w:val="18"/>
          <w:lang w:val="en-AU"/>
        </w:rPr>
      </w:pPr>
    </w:p>
    <w:p w:rsidR="0019712A" w:rsidRDefault="00C933A5" w:rsidP="00BA4001">
      <w:pPr>
        <w:spacing w:after="0" w:line="288" w:lineRule="auto"/>
        <w:ind w:firstLine="720"/>
        <w:jc w:val="both"/>
        <w:rPr>
          <w:bCs/>
          <w:lang w:val="en-AU"/>
        </w:rPr>
      </w:pPr>
      <w:r>
        <w:rPr>
          <w:bCs/>
          <w:lang w:val="en-AU"/>
        </w:rPr>
        <w:t>R</w:t>
      </w:r>
      <w:r w:rsidR="00213D13">
        <w:rPr>
          <w:bCs/>
          <w:lang w:val="en-AU"/>
        </w:rPr>
        <w:t xml:space="preserve">andom geo-location errors, with a mean of about </w:t>
      </w:r>
      <w:r w:rsidR="00C24E9E">
        <w:rPr>
          <w:bCs/>
          <w:lang w:val="en-AU"/>
        </w:rPr>
        <w:t>three</w:t>
      </w:r>
      <w:r w:rsidR="00213D13">
        <w:rPr>
          <w:bCs/>
          <w:lang w:val="en-AU"/>
        </w:rPr>
        <w:t xml:space="preserve"> k</w:t>
      </w:r>
      <w:r w:rsidR="00C24E9E">
        <w:rPr>
          <w:bCs/>
          <w:lang w:val="en-AU"/>
        </w:rPr>
        <w:t>m</w:t>
      </w:r>
      <w:r>
        <w:rPr>
          <w:bCs/>
          <w:lang w:val="en-AU"/>
        </w:rPr>
        <w:t>,</w:t>
      </w:r>
      <w:r w:rsidR="00213D13">
        <w:rPr>
          <w:bCs/>
          <w:lang w:val="en-AU"/>
        </w:rPr>
        <w:t xml:space="preserve"> further spread</w:t>
      </w:r>
      <w:r>
        <w:rPr>
          <w:bCs/>
          <w:lang w:val="en-AU"/>
        </w:rPr>
        <w:t xml:space="preserve"> apparent source</w:t>
      </w:r>
      <w:r w:rsidR="00213D13">
        <w:rPr>
          <w:bCs/>
          <w:lang w:val="en-AU"/>
        </w:rPr>
        <w:t xml:space="preserve">s </w:t>
      </w:r>
      <w:r>
        <w:rPr>
          <w:bCs/>
          <w:lang w:val="en-AU"/>
        </w:rPr>
        <w:t xml:space="preserve">of </w:t>
      </w:r>
      <w:r w:rsidR="00213D13">
        <w:rPr>
          <w:bCs/>
          <w:lang w:val="en-AU"/>
        </w:rPr>
        <w:t xml:space="preserve">light. In contrast, VIIRS </w:t>
      </w:r>
      <w:r>
        <w:rPr>
          <w:bCs/>
          <w:lang w:val="en-AU"/>
        </w:rPr>
        <w:t xml:space="preserve">has </w:t>
      </w:r>
      <w:r w:rsidR="00213D13">
        <w:rPr>
          <w:bCs/>
          <w:lang w:val="en-AU"/>
        </w:rPr>
        <w:t>a near-</w:t>
      </w:r>
      <w:r w:rsidR="00213D13">
        <w:rPr>
          <w:rFonts w:asciiTheme="majorBidi" w:hAnsiTheme="majorBidi" w:cstheme="majorBidi"/>
        </w:rPr>
        <w:t>constant spatial resolution</w:t>
      </w:r>
      <w:r w:rsidR="00213D13" w:rsidRPr="00C167EA">
        <w:rPr>
          <w:rFonts w:asciiTheme="majorBidi" w:hAnsiTheme="majorBidi" w:cstheme="majorBidi"/>
        </w:rPr>
        <w:t xml:space="preserve"> across the </w:t>
      </w:r>
      <w:r w:rsidR="00213D13">
        <w:rPr>
          <w:rFonts w:asciiTheme="majorBidi" w:hAnsiTheme="majorBidi" w:cstheme="majorBidi"/>
        </w:rPr>
        <w:t xml:space="preserve">sweep of the sensor, by compensating for the expanded ground footprint as the scan goes towards the edge, and </w:t>
      </w:r>
      <w:r w:rsidR="004529B6">
        <w:rPr>
          <w:rFonts w:asciiTheme="majorBidi" w:hAnsiTheme="majorBidi" w:cstheme="majorBidi"/>
        </w:rPr>
        <w:t xml:space="preserve">handles finer </w:t>
      </w:r>
      <w:r w:rsidR="00213D13">
        <w:rPr>
          <w:rFonts w:asciiTheme="majorBidi" w:hAnsiTheme="majorBidi" w:cstheme="majorBidi"/>
        </w:rPr>
        <w:t>0.7</w:t>
      </w:r>
      <w:r w:rsidR="00C23955">
        <w:rPr>
          <w:rFonts w:asciiTheme="majorBidi" w:hAnsiTheme="majorBidi" w:cstheme="majorBidi"/>
        </w:rPr>
        <w:t xml:space="preserve"> </w:t>
      </w:r>
      <w:r w:rsidR="00213D13">
        <w:rPr>
          <w:rFonts w:asciiTheme="majorBidi" w:hAnsiTheme="majorBidi" w:cstheme="majorBidi"/>
        </w:rPr>
        <w:t>km × 0.7</w:t>
      </w:r>
      <w:r w:rsidR="00C23955">
        <w:rPr>
          <w:rFonts w:asciiTheme="majorBidi" w:hAnsiTheme="majorBidi" w:cstheme="majorBidi"/>
        </w:rPr>
        <w:t xml:space="preserve"> </w:t>
      </w:r>
      <w:r w:rsidR="00213D13">
        <w:rPr>
          <w:rFonts w:asciiTheme="majorBidi" w:hAnsiTheme="majorBidi" w:cstheme="majorBidi"/>
        </w:rPr>
        <w:t>km pixels</w:t>
      </w:r>
      <w:r>
        <w:rPr>
          <w:rFonts w:asciiTheme="majorBidi" w:hAnsiTheme="majorBidi" w:cstheme="majorBidi"/>
        </w:rPr>
        <w:t xml:space="preserve"> </w:t>
      </w:r>
      <w:r w:rsidR="004529B6">
        <w:rPr>
          <w:rFonts w:asciiTheme="majorBidi" w:hAnsiTheme="majorBidi" w:cstheme="majorBidi"/>
        </w:rPr>
        <w:t xml:space="preserve">due to </w:t>
      </w:r>
      <w:r>
        <w:rPr>
          <w:rFonts w:asciiTheme="majorBidi" w:hAnsiTheme="majorBidi" w:cstheme="majorBidi"/>
        </w:rPr>
        <w:t>abundant data storage</w:t>
      </w:r>
      <w:r w:rsidR="00023ED8">
        <w:rPr>
          <w:rFonts w:asciiTheme="majorBidi" w:hAnsiTheme="majorBidi" w:cstheme="majorBidi"/>
        </w:rPr>
        <w:t>. S</w:t>
      </w:r>
      <w:r w:rsidR="00213D13">
        <w:rPr>
          <w:rFonts w:asciiTheme="majorBidi" w:hAnsiTheme="majorBidi" w:cstheme="majorBidi"/>
        </w:rPr>
        <w:t xml:space="preserve">patial errors in DMSP </w:t>
      </w:r>
      <w:r w:rsidR="00023ED8">
        <w:rPr>
          <w:rFonts w:asciiTheme="majorBidi" w:hAnsiTheme="majorBidi" w:cstheme="majorBidi"/>
        </w:rPr>
        <w:t>data show</w:t>
      </w:r>
      <w:r>
        <w:rPr>
          <w:rFonts w:asciiTheme="majorBidi" w:hAnsiTheme="majorBidi" w:cstheme="majorBidi"/>
        </w:rPr>
        <w:t xml:space="preserve"> </w:t>
      </w:r>
      <w:r w:rsidR="00023ED8">
        <w:rPr>
          <w:rFonts w:asciiTheme="majorBidi" w:hAnsiTheme="majorBidi" w:cstheme="majorBidi"/>
        </w:rPr>
        <w:t xml:space="preserve">up as </w:t>
      </w:r>
      <w:r>
        <w:rPr>
          <w:rFonts w:asciiTheme="majorBidi" w:hAnsiTheme="majorBidi" w:cstheme="majorBidi"/>
        </w:rPr>
        <w:t xml:space="preserve">exaggerated </w:t>
      </w:r>
      <w:r w:rsidR="00023ED8">
        <w:rPr>
          <w:rFonts w:asciiTheme="majorBidi" w:hAnsiTheme="majorBidi" w:cstheme="majorBidi"/>
        </w:rPr>
        <w:t xml:space="preserve">estimates of </w:t>
      </w:r>
      <w:r w:rsidR="00213D13">
        <w:rPr>
          <w:rFonts w:asciiTheme="majorBidi" w:hAnsiTheme="majorBidi" w:cstheme="majorBidi"/>
        </w:rPr>
        <w:t xml:space="preserve">lit area for cities; Gibson </w:t>
      </w:r>
      <w:r w:rsidR="00213D13" w:rsidRPr="00C24E9E">
        <w:rPr>
          <w:rFonts w:asciiTheme="majorBidi" w:hAnsiTheme="majorBidi" w:cstheme="majorBidi"/>
          <w:i/>
          <w:iCs/>
        </w:rPr>
        <w:t>et al</w:t>
      </w:r>
      <w:r w:rsidR="00C24E9E" w:rsidRPr="00C24E9E">
        <w:rPr>
          <w:rFonts w:asciiTheme="majorBidi" w:hAnsiTheme="majorBidi" w:cstheme="majorBidi"/>
          <w:i/>
          <w:iCs/>
        </w:rPr>
        <w:t>.</w:t>
      </w:r>
      <w:r w:rsidR="00213D13">
        <w:rPr>
          <w:rFonts w:asciiTheme="majorBidi" w:hAnsiTheme="majorBidi" w:cstheme="majorBidi"/>
        </w:rPr>
        <w:t xml:space="preserve"> (2019) </w:t>
      </w:r>
      <w:r w:rsidR="00C81E8C">
        <w:rPr>
          <w:rFonts w:asciiTheme="majorBidi" w:hAnsiTheme="majorBidi" w:cstheme="majorBidi"/>
        </w:rPr>
        <w:t xml:space="preserve">show </w:t>
      </w:r>
      <w:r>
        <w:rPr>
          <w:rFonts w:asciiTheme="majorBidi" w:hAnsiTheme="majorBidi" w:cstheme="majorBidi"/>
        </w:rPr>
        <w:t>a 150% error f</w:t>
      </w:r>
      <w:r w:rsidR="0093367E">
        <w:rPr>
          <w:rFonts w:asciiTheme="majorBidi" w:hAnsiTheme="majorBidi" w:cstheme="majorBidi"/>
        </w:rPr>
        <w:t>or</w:t>
      </w:r>
      <w:r>
        <w:rPr>
          <w:rFonts w:asciiTheme="majorBidi" w:hAnsiTheme="majorBidi" w:cstheme="majorBidi"/>
        </w:rPr>
        <w:t xml:space="preserve"> Dar es Salaam, and errors of 500% or more for </w:t>
      </w:r>
      <w:r w:rsidR="00C81E8C">
        <w:rPr>
          <w:rFonts w:asciiTheme="majorBidi" w:hAnsiTheme="majorBidi" w:cstheme="majorBidi"/>
        </w:rPr>
        <w:t xml:space="preserve">smaller towns. Abrahams </w:t>
      </w:r>
      <w:r w:rsidR="00DB5D7D" w:rsidRPr="00DB5D7D">
        <w:rPr>
          <w:bCs/>
          <w:i/>
          <w:lang w:val="en-AU"/>
        </w:rPr>
        <w:t>et al.</w:t>
      </w:r>
      <w:r w:rsidR="00DB5D7D">
        <w:rPr>
          <w:rFonts w:asciiTheme="majorBidi" w:hAnsiTheme="majorBidi" w:cstheme="majorBidi"/>
        </w:rPr>
        <w:t xml:space="preserve"> </w:t>
      </w:r>
      <w:r w:rsidR="00C81E8C">
        <w:rPr>
          <w:rFonts w:asciiTheme="majorBidi" w:hAnsiTheme="majorBidi" w:cstheme="majorBidi"/>
        </w:rPr>
        <w:t xml:space="preserve">(2019) find </w:t>
      </w:r>
      <w:r w:rsidR="00023ED8">
        <w:rPr>
          <w:rFonts w:asciiTheme="majorBidi" w:hAnsiTheme="majorBidi" w:cstheme="majorBidi"/>
        </w:rPr>
        <w:t>that</w:t>
      </w:r>
      <w:r w:rsidR="0093367E">
        <w:rPr>
          <w:rFonts w:asciiTheme="majorBidi" w:hAnsiTheme="majorBidi" w:cstheme="majorBidi"/>
        </w:rPr>
        <w:t xml:space="preserve"> </w:t>
      </w:r>
      <w:r w:rsidR="00C81E8C">
        <w:rPr>
          <w:rFonts w:asciiTheme="majorBidi" w:hAnsiTheme="majorBidi" w:cstheme="majorBidi"/>
        </w:rPr>
        <w:t xml:space="preserve">DMSP </w:t>
      </w:r>
      <w:r>
        <w:rPr>
          <w:rFonts w:asciiTheme="majorBidi" w:hAnsiTheme="majorBidi" w:cstheme="majorBidi"/>
        </w:rPr>
        <w:t>data overstate</w:t>
      </w:r>
      <w:r w:rsidR="00C81E8C">
        <w:rPr>
          <w:rFonts w:asciiTheme="majorBidi" w:hAnsiTheme="majorBidi" w:cstheme="majorBidi"/>
        </w:rPr>
        <w:t xml:space="preserve"> city area by an average of 77% </w:t>
      </w:r>
      <w:r>
        <w:rPr>
          <w:rFonts w:asciiTheme="majorBidi" w:hAnsiTheme="majorBidi" w:cstheme="majorBidi"/>
        </w:rPr>
        <w:t xml:space="preserve">across 15 </w:t>
      </w:r>
      <w:r w:rsidR="00AC7E1F">
        <w:rPr>
          <w:rFonts w:asciiTheme="majorBidi" w:hAnsiTheme="majorBidi" w:cstheme="majorBidi"/>
        </w:rPr>
        <w:t xml:space="preserve">big </w:t>
      </w:r>
      <w:r>
        <w:rPr>
          <w:rFonts w:asciiTheme="majorBidi" w:hAnsiTheme="majorBidi" w:cstheme="majorBidi"/>
        </w:rPr>
        <w:t xml:space="preserve">cities. In overstating </w:t>
      </w:r>
      <w:r w:rsidR="004529B6">
        <w:rPr>
          <w:rFonts w:asciiTheme="majorBidi" w:hAnsiTheme="majorBidi" w:cstheme="majorBidi"/>
        </w:rPr>
        <w:t>the lit area of cities, DMSP data are wrongly</w:t>
      </w:r>
      <w:r w:rsidR="00C81E8C">
        <w:rPr>
          <w:rFonts w:asciiTheme="majorBidi" w:hAnsiTheme="majorBidi" w:cstheme="majorBidi"/>
        </w:rPr>
        <w:t xml:space="preserve"> attrib</w:t>
      </w:r>
      <w:r w:rsidR="004529B6">
        <w:rPr>
          <w:rFonts w:asciiTheme="majorBidi" w:hAnsiTheme="majorBidi" w:cstheme="majorBidi"/>
        </w:rPr>
        <w:t>uting light to hinterland</w:t>
      </w:r>
      <w:r w:rsidR="00C81E8C">
        <w:rPr>
          <w:rFonts w:asciiTheme="majorBidi" w:hAnsiTheme="majorBidi" w:cstheme="majorBidi"/>
        </w:rPr>
        <w:t xml:space="preserve"> areas,</w:t>
      </w:r>
      <w:r>
        <w:rPr>
          <w:rFonts w:asciiTheme="majorBidi" w:hAnsiTheme="majorBidi" w:cstheme="majorBidi"/>
        </w:rPr>
        <w:t xml:space="preserve"> introducing cross-sectional noise.</w:t>
      </w:r>
      <w:r w:rsidR="00C81E8C">
        <w:rPr>
          <w:rFonts w:asciiTheme="majorBidi" w:hAnsiTheme="majorBidi" w:cstheme="majorBidi"/>
        </w:rPr>
        <w:t xml:space="preserve"> </w:t>
      </w:r>
    </w:p>
    <w:p w:rsidR="00727065" w:rsidRPr="00727065" w:rsidRDefault="00727065" w:rsidP="00BA4001">
      <w:pPr>
        <w:widowControl w:val="0"/>
        <w:spacing w:after="0" w:line="288" w:lineRule="auto"/>
        <w:ind w:firstLine="720"/>
        <w:jc w:val="both"/>
        <w:rPr>
          <w:bCs/>
          <w:sz w:val="16"/>
          <w:szCs w:val="16"/>
          <w:lang w:val="en-AU"/>
        </w:rPr>
      </w:pPr>
    </w:p>
    <w:p w:rsidR="004529B6" w:rsidRDefault="004529B6" w:rsidP="00BA4001">
      <w:pPr>
        <w:widowControl w:val="0"/>
        <w:spacing w:after="0" w:line="288" w:lineRule="auto"/>
        <w:ind w:firstLine="720"/>
        <w:jc w:val="both"/>
        <w:rPr>
          <w:rFonts w:eastAsia="Times New Roman"/>
          <w:lang w:val="en-US"/>
        </w:rPr>
      </w:pPr>
      <w:r>
        <w:rPr>
          <w:bCs/>
          <w:lang w:val="en-AU"/>
        </w:rPr>
        <w:t xml:space="preserve">The lack of temporal consistency of DMSP data, which causes errors in time-series of lights-based GDP estimates, is from two main sources. First, there is no on-board calibration, with changes in the sensor </w:t>
      </w:r>
      <w:r>
        <w:rPr>
          <w:rFonts w:eastAsia="Times New Roman"/>
          <w:lang w:val="en-US"/>
        </w:rPr>
        <w:t>amplification over th</w:t>
      </w:r>
      <w:r w:rsidR="00C23955">
        <w:rPr>
          <w:rFonts w:eastAsia="Times New Roman"/>
          <w:lang w:val="en-US"/>
        </w:rPr>
        <w:t xml:space="preserve">e monthly lunar cycle – </w:t>
      </w:r>
      <w:r>
        <w:rPr>
          <w:rFonts w:eastAsia="Times New Roman"/>
          <w:i/>
          <w:iCs/>
          <w:lang w:val="en-US"/>
        </w:rPr>
        <w:t>gain settings</w:t>
      </w:r>
      <w:r w:rsidR="00C23955">
        <w:rPr>
          <w:rFonts w:eastAsia="Times New Roman"/>
          <w:lang w:val="en-US"/>
        </w:rPr>
        <w:t xml:space="preserve"> – not </w:t>
      </w:r>
      <w:r>
        <w:rPr>
          <w:rFonts w:eastAsia="Times New Roman"/>
          <w:lang w:val="en-US"/>
        </w:rPr>
        <w:t xml:space="preserve">recorded in the data. The signal is amplified going into the dark part of the month to keep the brightness of moon-lit cloud tops the same, </w:t>
      </w:r>
      <w:r w:rsidR="00BD5D45">
        <w:rPr>
          <w:rFonts w:eastAsia="Times New Roman"/>
          <w:lang w:val="en-US"/>
        </w:rPr>
        <w:t xml:space="preserve">so </w:t>
      </w:r>
      <w:r>
        <w:rPr>
          <w:rFonts w:eastAsia="Times New Roman"/>
          <w:lang w:val="en-US"/>
        </w:rPr>
        <w:t>lights on earth then appear brighter</w:t>
      </w:r>
      <w:r w:rsidR="007468AF">
        <w:rPr>
          <w:rFonts w:eastAsia="Times New Roman"/>
          <w:lang w:val="en-US"/>
        </w:rPr>
        <w:t>, but</w:t>
      </w:r>
      <w:r>
        <w:rPr>
          <w:rFonts w:eastAsia="Times New Roman"/>
          <w:lang w:val="en-US"/>
        </w:rPr>
        <w:t xml:space="preserve"> no record </w:t>
      </w:r>
      <w:r w:rsidR="007468AF">
        <w:rPr>
          <w:rFonts w:eastAsia="Times New Roman"/>
          <w:lang w:val="en-US"/>
        </w:rPr>
        <w:t xml:space="preserve">is </w:t>
      </w:r>
      <w:r>
        <w:rPr>
          <w:rFonts w:eastAsia="Times New Roman"/>
          <w:lang w:val="en-US"/>
        </w:rPr>
        <w:t xml:space="preserve">kept to </w:t>
      </w:r>
      <w:r w:rsidR="007468AF">
        <w:rPr>
          <w:rFonts w:eastAsia="Times New Roman"/>
          <w:lang w:val="en-US"/>
        </w:rPr>
        <w:t xml:space="preserve">allow </w:t>
      </w:r>
      <w:r w:rsidRPr="004529B6">
        <w:rPr>
          <w:rFonts w:eastAsia="Times New Roman"/>
          <w:i/>
          <w:iCs/>
          <w:lang w:val="en-US"/>
        </w:rPr>
        <w:t>ex post</w:t>
      </w:r>
      <w:r>
        <w:rPr>
          <w:rFonts w:eastAsia="Times New Roman"/>
          <w:lang w:val="en-US"/>
        </w:rPr>
        <w:t xml:space="preserve"> adjust</w:t>
      </w:r>
      <w:r w:rsidR="007468AF">
        <w:rPr>
          <w:rFonts w:eastAsia="Times New Roman"/>
          <w:lang w:val="en-US"/>
        </w:rPr>
        <w:t>ment</w:t>
      </w:r>
      <w:r>
        <w:rPr>
          <w:rFonts w:eastAsia="Times New Roman"/>
          <w:lang w:val="en-US"/>
        </w:rPr>
        <w:t xml:space="preserve"> to </w:t>
      </w:r>
      <w:r w:rsidR="005336B5">
        <w:rPr>
          <w:rFonts w:eastAsia="Times New Roman"/>
          <w:lang w:val="en-US"/>
        </w:rPr>
        <w:t xml:space="preserve">give </w:t>
      </w:r>
      <w:r w:rsidR="007468AF">
        <w:rPr>
          <w:rFonts w:eastAsia="Times New Roman"/>
          <w:lang w:val="en-US"/>
        </w:rPr>
        <w:t>consistency</w:t>
      </w:r>
      <w:r>
        <w:rPr>
          <w:rFonts w:eastAsia="Times New Roman"/>
          <w:lang w:val="en-US"/>
        </w:rPr>
        <w:t xml:space="preserve"> (Hsu </w:t>
      </w:r>
      <w:r w:rsidR="00DB5D7D" w:rsidRPr="00DB5D7D">
        <w:rPr>
          <w:bCs/>
          <w:i/>
          <w:lang w:val="en-AU"/>
        </w:rPr>
        <w:t>et al.</w:t>
      </w:r>
      <w:r>
        <w:rPr>
          <w:rFonts w:eastAsia="Times New Roman"/>
          <w:lang w:val="en-US"/>
        </w:rPr>
        <w:t xml:space="preserve"> 2015). The number of nights whose images meet the quality controls needed to be included in the DMSP annual composites varies widely over time and space, due to factors like cloudiness (especially near the equator), so convergence to an average amplification level that might </w:t>
      </w:r>
      <w:r w:rsidR="00C23955">
        <w:rPr>
          <w:rFonts w:eastAsia="Times New Roman"/>
          <w:lang w:val="en-US"/>
        </w:rPr>
        <w:t>provide comparable</w:t>
      </w:r>
      <w:r w:rsidR="005336B5">
        <w:rPr>
          <w:rFonts w:eastAsia="Times New Roman"/>
          <w:lang w:val="en-US"/>
        </w:rPr>
        <w:t xml:space="preserve"> </w:t>
      </w:r>
      <w:r w:rsidR="00C23955">
        <w:rPr>
          <w:rFonts w:eastAsia="Times New Roman"/>
          <w:lang w:val="en-US"/>
        </w:rPr>
        <w:t xml:space="preserve">data </w:t>
      </w:r>
      <w:r w:rsidR="005336B5">
        <w:rPr>
          <w:rFonts w:eastAsia="Times New Roman"/>
          <w:lang w:val="en-US"/>
        </w:rPr>
        <w:t xml:space="preserve">over time (and space) </w:t>
      </w:r>
      <w:r>
        <w:rPr>
          <w:rFonts w:eastAsia="Times New Roman"/>
          <w:lang w:val="en-US"/>
        </w:rPr>
        <w:t>is unlikely (Gibson</w:t>
      </w:r>
      <w:r w:rsidR="00DB5D7D" w:rsidRPr="00DB5D7D">
        <w:rPr>
          <w:bCs/>
          <w:i/>
          <w:lang w:val="en-AU"/>
        </w:rPr>
        <w:t xml:space="preserve"> et al.</w:t>
      </w:r>
      <w:r>
        <w:rPr>
          <w:rFonts w:eastAsia="Times New Roman"/>
          <w:lang w:val="en-US"/>
        </w:rPr>
        <w:t xml:space="preserve"> 2019). </w:t>
      </w:r>
      <w:r w:rsidR="005336B5">
        <w:rPr>
          <w:bCs/>
          <w:lang w:val="en-AU"/>
        </w:rPr>
        <w:t>This</w:t>
      </w:r>
      <w:r w:rsidR="00BD5D45">
        <w:rPr>
          <w:bCs/>
          <w:lang w:val="en-AU"/>
        </w:rPr>
        <w:t xml:space="preserve"> lack of </w:t>
      </w:r>
      <w:r>
        <w:rPr>
          <w:bCs/>
          <w:lang w:val="en-AU"/>
        </w:rPr>
        <w:t xml:space="preserve">temporal consistency in </w:t>
      </w:r>
      <w:r w:rsidR="007468AF">
        <w:rPr>
          <w:bCs/>
          <w:lang w:val="en-AU"/>
        </w:rPr>
        <w:t xml:space="preserve">the </w:t>
      </w:r>
      <w:r>
        <w:rPr>
          <w:bCs/>
          <w:lang w:val="en-AU"/>
        </w:rPr>
        <w:t xml:space="preserve">DMSP </w:t>
      </w:r>
      <w:r w:rsidR="00084D97">
        <w:rPr>
          <w:bCs/>
          <w:lang w:val="en-AU"/>
        </w:rPr>
        <w:t xml:space="preserve">data </w:t>
      </w:r>
      <w:r>
        <w:rPr>
          <w:bCs/>
          <w:lang w:val="en-AU"/>
        </w:rPr>
        <w:t xml:space="preserve">is exacerbated by </w:t>
      </w:r>
      <w:r w:rsidR="005336B5">
        <w:rPr>
          <w:bCs/>
          <w:lang w:val="en-AU"/>
        </w:rPr>
        <w:t xml:space="preserve">the </w:t>
      </w:r>
      <w:r>
        <w:rPr>
          <w:bCs/>
          <w:lang w:val="en-AU"/>
        </w:rPr>
        <w:t xml:space="preserve">limited on-board data storage, with continuous measures converted to 6-bit integers (the Digital Number </w:t>
      </w:r>
      <w:r w:rsidR="00C23955">
        <w:rPr>
          <w:bCs/>
          <w:lang w:val="en-AU"/>
        </w:rPr>
        <w:t>(DN) that ranges</w:t>
      </w:r>
      <w:r>
        <w:rPr>
          <w:bCs/>
          <w:lang w:val="en-AU"/>
        </w:rPr>
        <w:t xml:space="preserve"> from 0-63, as </w:t>
      </w:r>
      <w:r>
        <w:rPr>
          <w:rFonts w:eastAsia="Times New Roman"/>
          <w:lang w:val="en-US"/>
        </w:rPr>
        <w:t>2</w:t>
      </w:r>
      <w:r>
        <w:rPr>
          <w:rFonts w:eastAsia="Times New Roman"/>
          <w:vertAlign w:val="superscript"/>
          <w:lang w:val="en-US"/>
        </w:rPr>
        <w:t>6</w:t>
      </w:r>
      <w:r>
        <w:rPr>
          <w:rFonts w:eastAsia="Times New Roman"/>
          <w:lang w:val="en-US"/>
        </w:rPr>
        <w:t>=64)</w:t>
      </w:r>
      <w:r w:rsidR="007468AF">
        <w:rPr>
          <w:rFonts w:eastAsia="Times New Roman"/>
          <w:lang w:val="en-US"/>
        </w:rPr>
        <w:t>,</w:t>
      </w:r>
      <w:r>
        <w:rPr>
          <w:rFonts w:eastAsia="Times New Roman"/>
          <w:lang w:val="en-US"/>
        </w:rPr>
        <w:t xml:space="preserve"> that are subject to censoring from the top and the bottom (Abrahams </w:t>
      </w:r>
      <w:r w:rsidR="00DB5D7D" w:rsidRPr="00DB5D7D">
        <w:rPr>
          <w:bCs/>
          <w:i/>
          <w:lang w:val="en-AU"/>
        </w:rPr>
        <w:t>et al.</w:t>
      </w:r>
      <w:r>
        <w:rPr>
          <w:rFonts w:eastAsia="Times New Roman"/>
          <w:lang w:val="en-US"/>
        </w:rPr>
        <w:t xml:space="preserve"> 2018). </w:t>
      </w:r>
    </w:p>
    <w:p w:rsidR="00BD5D45" w:rsidRDefault="007468AF" w:rsidP="00BA4001">
      <w:pPr>
        <w:widowControl w:val="0"/>
        <w:spacing w:after="0" w:line="288" w:lineRule="auto"/>
        <w:ind w:firstLine="720"/>
        <w:jc w:val="both"/>
        <w:rPr>
          <w:rFonts w:eastAsia="Times New Roman"/>
          <w:lang w:val="en-US"/>
        </w:rPr>
      </w:pPr>
      <w:r>
        <w:rPr>
          <w:rFonts w:eastAsia="Times New Roman"/>
        </w:rPr>
        <w:lastRenderedPageBreak/>
        <w:t xml:space="preserve">A </w:t>
      </w:r>
      <w:r w:rsidR="00BD5D45">
        <w:rPr>
          <w:rFonts w:eastAsia="Times New Roman"/>
        </w:rPr>
        <w:t>lack of calibration for</w:t>
      </w:r>
      <w:r w:rsidR="004529B6">
        <w:rPr>
          <w:rFonts w:eastAsia="Times New Roman"/>
        </w:rPr>
        <w:t xml:space="preserve"> DMSP </w:t>
      </w:r>
      <w:r>
        <w:rPr>
          <w:rFonts w:eastAsia="Times New Roman"/>
        </w:rPr>
        <w:t xml:space="preserve">also </w:t>
      </w:r>
      <w:r w:rsidR="004529B6">
        <w:rPr>
          <w:rFonts w:eastAsia="Times New Roman"/>
        </w:rPr>
        <w:t xml:space="preserve">shows up </w:t>
      </w:r>
      <w:r>
        <w:rPr>
          <w:rFonts w:eastAsia="Times New Roman"/>
        </w:rPr>
        <w:t>a</w:t>
      </w:r>
      <w:r w:rsidR="00BD5D45">
        <w:rPr>
          <w:rFonts w:eastAsia="Times New Roman"/>
        </w:rPr>
        <w:t xml:space="preserve">s </w:t>
      </w:r>
      <w:r w:rsidR="004529B6">
        <w:rPr>
          <w:rFonts w:eastAsia="Times New Roman"/>
        </w:rPr>
        <w:t xml:space="preserve">inter-satellite differences. For 12 of the 22 years (from 1992 to 2013) with annual composites of </w:t>
      </w:r>
      <w:r>
        <w:rPr>
          <w:rFonts w:eastAsia="Times New Roman"/>
        </w:rPr>
        <w:t xml:space="preserve">DMSP </w:t>
      </w:r>
      <w:r w:rsidR="004529B6">
        <w:rPr>
          <w:rFonts w:eastAsia="Times New Roman"/>
        </w:rPr>
        <w:t>lights</w:t>
      </w:r>
      <w:r w:rsidR="00BD5D45">
        <w:rPr>
          <w:rFonts w:eastAsia="Times New Roman"/>
        </w:rPr>
        <w:t xml:space="preserve"> available</w:t>
      </w:r>
      <w:r w:rsidR="004529B6">
        <w:rPr>
          <w:rFonts w:eastAsia="Times New Roman"/>
        </w:rPr>
        <w:t xml:space="preserve">, two satellites </w:t>
      </w:r>
      <w:r w:rsidR="00BD5D45">
        <w:rPr>
          <w:rFonts w:eastAsia="Times New Roman"/>
        </w:rPr>
        <w:t xml:space="preserve">are </w:t>
      </w:r>
      <w:r>
        <w:rPr>
          <w:rFonts w:eastAsia="Times New Roman"/>
        </w:rPr>
        <w:t xml:space="preserve">in orbit providing data, and they </w:t>
      </w:r>
      <w:r w:rsidR="004529B6">
        <w:rPr>
          <w:rFonts w:eastAsia="Times New Roman"/>
        </w:rPr>
        <w:t xml:space="preserve">often report different values for the same place. </w:t>
      </w:r>
      <w:r w:rsidR="004529B6" w:rsidRPr="008168B6">
        <w:rPr>
          <w:bCs/>
        </w:rPr>
        <w:t xml:space="preserve">For example, </w:t>
      </w:r>
      <w:r>
        <w:rPr>
          <w:bCs/>
        </w:rPr>
        <w:t xml:space="preserve">for </w:t>
      </w:r>
      <w:r w:rsidR="005336B5">
        <w:rPr>
          <w:bCs/>
        </w:rPr>
        <w:t>a place (Sicily)</w:t>
      </w:r>
      <w:r w:rsidR="00C24E9E">
        <w:rPr>
          <w:bCs/>
        </w:rPr>
        <w:t>,</w:t>
      </w:r>
      <w:r w:rsidR="005336B5">
        <w:rPr>
          <w:bCs/>
        </w:rPr>
        <w:t xml:space="preserve"> </w:t>
      </w:r>
      <w:r w:rsidR="00C1755C">
        <w:rPr>
          <w:bCs/>
        </w:rPr>
        <w:t xml:space="preserve">with </w:t>
      </w:r>
      <w:r w:rsidR="004529B6">
        <w:rPr>
          <w:bCs/>
        </w:rPr>
        <w:t xml:space="preserve">little temporal variation, Gibson </w:t>
      </w:r>
      <w:r w:rsidR="00284756" w:rsidRPr="00DB5D7D">
        <w:rPr>
          <w:bCs/>
          <w:i/>
          <w:lang w:val="en-AU"/>
        </w:rPr>
        <w:t>et al.</w:t>
      </w:r>
      <w:r w:rsidR="004529B6">
        <w:rPr>
          <w:bCs/>
        </w:rPr>
        <w:t xml:space="preserve"> (2019) show that </w:t>
      </w:r>
      <w:r w:rsidR="004529B6">
        <w:rPr>
          <w:bCs/>
          <w:lang w:val="en-AU"/>
        </w:rPr>
        <w:t>satellite F12 gave 29% higher DN values than F14 in the overlapping years, F15 recorded a 24% decline in the DN value from 2002 to 2003 while F14 showed just a 2% change in the same year, and F18 gave a 32% higher DN value in 2010 than was seen with F16 in 2009.</w:t>
      </w:r>
      <w:r w:rsidR="004529B6">
        <w:rPr>
          <w:rStyle w:val="FootnoteReference"/>
          <w:bCs/>
          <w:lang w:val="en-AU"/>
        </w:rPr>
        <w:footnoteReference w:id="4"/>
      </w:r>
      <w:r w:rsidR="00BD5D45">
        <w:rPr>
          <w:bCs/>
          <w:lang w:val="en-AU"/>
        </w:rPr>
        <w:t xml:space="preserve"> These i</w:t>
      </w:r>
      <w:r w:rsidR="00C1755C">
        <w:rPr>
          <w:bCs/>
          <w:lang w:val="en-AU"/>
        </w:rPr>
        <w:t xml:space="preserve">nter-satellite differences and </w:t>
      </w:r>
      <w:r w:rsidR="00BD5D45">
        <w:rPr>
          <w:bCs/>
          <w:lang w:val="en-AU"/>
        </w:rPr>
        <w:t xml:space="preserve">the unrecorded variation in sensor amplification (in conjunction with time-space variation in </w:t>
      </w:r>
      <w:r w:rsidR="00C1755C">
        <w:rPr>
          <w:bCs/>
          <w:lang w:val="en-AU"/>
        </w:rPr>
        <w:t>how many nights contribute</w:t>
      </w:r>
      <w:r w:rsidR="00BD5D45">
        <w:rPr>
          <w:bCs/>
          <w:lang w:val="en-AU"/>
        </w:rPr>
        <w:t xml:space="preserve"> to annual composite</w:t>
      </w:r>
      <w:r w:rsidR="00C1755C">
        <w:rPr>
          <w:bCs/>
          <w:lang w:val="en-AU"/>
        </w:rPr>
        <w:t>s</w:t>
      </w:r>
      <w:r w:rsidR="00BD5D45">
        <w:rPr>
          <w:bCs/>
          <w:lang w:val="en-AU"/>
        </w:rPr>
        <w:t xml:space="preserve">, which limits convergence to some average amplification level) means that </w:t>
      </w:r>
      <w:r w:rsidR="004529B6" w:rsidRPr="00B63294">
        <w:rPr>
          <w:bCs/>
        </w:rPr>
        <w:t xml:space="preserve">a DN value from a certain satellite year may not </w:t>
      </w:r>
      <w:r w:rsidR="00C1755C">
        <w:rPr>
          <w:bCs/>
        </w:rPr>
        <w:t xml:space="preserve">refer to </w:t>
      </w:r>
      <w:r w:rsidR="004529B6" w:rsidRPr="00B63294">
        <w:rPr>
          <w:bCs/>
        </w:rPr>
        <w:t>the same brightness as the same DN from anothe</w:t>
      </w:r>
      <w:r w:rsidR="004529B6">
        <w:rPr>
          <w:bCs/>
        </w:rPr>
        <w:t xml:space="preserve">r year. </w:t>
      </w:r>
      <w:r w:rsidR="00C1755C">
        <w:rPr>
          <w:rFonts w:eastAsia="Times New Roman"/>
          <w:lang w:val="en-US"/>
        </w:rPr>
        <w:t xml:space="preserve">In contrast to </w:t>
      </w:r>
      <w:r w:rsidR="004529B6">
        <w:rPr>
          <w:rFonts w:eastAsia="Times New Roman"/>
          <w:lang w:val="en-US"/>
        </w:rPr>
        <w:t xml:space="preserve">temporal consistency problems with DMSP, the </w:t>
      </w:r>
      <w:r w:rsidR="00C1755C">
        <w:rPr>
          <w:rFonts w:eastAsia="Times New Roman"/>
          <w:lang w:val="en-US"/>
        </w:rPr>
        <w:t xml:space="preserve">VIIRS </w:t>
      </w:r>
      <w:r w:rsidR="004529B6">
        <w:rPr>
          <w:rFonts w:eastAsia="Times New Roman"/>
          <w:lang w:val="en-US"/>
        </w:rPr>
        <w:t>sensors are calibrated radiometers, where da</w:t>
      </w:r>
      <w:r w:rsidR="00C1755C">
        <w:rPr>
          <w:rFonts w:eastAsia="Times New Roman"/>
          <w:lang w:val="en-US"/>
        </w:rPr>
        <w:t>ta provided by the instrument are</w:t>
      </w:r>
      <w:r w:rsidR="004529B6">
        <w:rPr>
          <w:rFonts w:eastAsia="Times New Roman"/>
          <w:lang w:val="en-US"/>
        </w:rPr>
        <w:t xml:space="preserve"> proportional to the intensity of light (in </w:t>
      </w:r>
      <w:r w:rsidR="00935460">
        <w:rPr>
          <w:rFonts w:eastAsia="Times New Roman"/>
          <w:lang w:val="en-US"/>
        </w:rPr>
        <w:t>nano</w:t>
      </w:r>
      <w:r w:rsidR="004529B6">
        <w:rPr>
          <w:rFonts w:eastAsia="Times New Roman"/>
        </w:rPr>
        <w:t>Watts/</w:t>
      </w:r>
      <w:r w:rsidR="00935460">
        <w:rPr>
          <w:rFonts w:eastAsia="Times New Roman"/>
        </w:rPr>
        <w:t>c</w:t>
      </w:r>
      <w:r w:rsidR="004529B6">
        <w:rPr>
          <w:rFonts w:eastAsia="Times New Roman"/>
        </w:rPr>
        <w:t>m</w:t>
      </w:r>
      <w:r w:rsidR="004529B6">
        <w:rPr>
          <w:rFonts w:eastAsia="Times New Roman"/>
          <w:vertAlign w:val="superscript"/>
        </w:rPr>
        <w:t>2</w:t>
      </w:r>
      <w:r w:rsidR="004529B6">
        <w:rPr>
          <w:rFonts w:eastAsia="Times New Roman"/>
        </w:rPr>
        <w:t>/</w:t>
      </w:r>
      <w:proofErr w:type="spellStart"/>
      <w:r w:rsidR="004529B6">
        <w:rPr>
          <w:rFonts w:eastAsia="Times New Roman"/>
        </w:rPr>
        <w:t>sr</w:t>
      </w:r>
      <w:proofErr w:type="spellEnd"/>
      <w:r w:rsidR="004529B6">
        <w:rPr>
          <w:rFonts w:eastAsia="Times New Roman"/>
        </w:rPr>
        <w:t>). The VIIRS sensors have in-flight calibration</w:t>
      </w:r>
      <w:r w:rsidR="00C1755C">
        <w:rPr>
          <w:rFonts w:eastAsia="Times New Roman"/>
        </w:rPr>
        <w:t xml:space="preserve"> </w:t>
      </w:r>
      <w:r w:rsidR="004529B6">
        <w:rPr>
          <w:rFonts w:eastAsia="Times New Roman"/>
        </w:rPr>
        <w:t xml:space="preserve">to ensure that </w:t>
      </w:r>
      <w:r w:rsidR="00084D97">
        <w:rPr>
          <w:rFonts w:eastAsia="Times New Roman"/>
        </w:rPr>
        <w:t xml:space="preserve">data </w:t>
      </w:r>
      <w:r w:rsidR="004529B6">
        <w:rPr>
          <w:rFonts w:eastAsia="Times New Roman"/>
        </w:rPr>
        <w:t>are comparable over time</w:t>
      </w:r>
      <w:r w:rsidR="00C1755C">
        <w:rPr>
          <w:rFonts w:eastAsia="Times New Roman"/>
          <w:lang w:val="en-US"/>
        </w:rPr>
        <w:t xml:space="preserve"> </w:t>
      </w:r>
      <w:r w:rsidR="00084D97">
        <w:rPr>
          <w:rFonts w:eastAsia="Times New Roman"/>
          <w:lang w:val="en-US"/>
        </w:rPr>
        <w:t>and space</w:t>
      </w:r>
      <w:r w:rsidR="005336B5">
        <w:rPr>
          <w:rFonts w:eastAsia="Times New Roman"/>
          <w:lang w:val="en-US"/>
        </w:rPr>
        <w:t>,</w:t>
      </w:r>
      <w:r w:rsidR="00084D97">
        <w:rPr>
          <w:rFonts w:eastAsia="Times New Roman"/>
          <w:lang w:val="en-US"/>
        </w:rPr>
        <w:t xml:space="preserve"> </w:t>
      </w:r>
      <w:r w:rsidR="00C1755C">
        <w:rPr>
          <w:rFonts w:eastAsia="Times New Roman"/>
          <w:lang w:val="en-US"/>
        </w:rPr>
        <w:t xml:space="preserve">and even </w:t>
      </w:r>
      <w:r w:rsidR="004529B6">
        <w:rPr>
          <w:rFonts w:eastAsia="Times New Roman"/>
          <w:lang w:val="en-US"/>
        </w:rPr>
        <w:t>when the continuous signal is quantized, it is with 14-bit precision (</w:t>
      </w:r>
      <w:r w:rsidR="004529B6">
        <w:rPr>
          <w:rFonts w:eastAsia="Times New Roman"/>
          <w:i/>
          <w:iCs/>
          <w:lang w:val="en-US"/>
        </w:rPr>
        <w:t>n</w:t>
      </w:r>
      <w:r w:rsidR="004529B6">
        <w:rPr>
          <w:rFonts w:eastAsia="Times New Roman"/>
          <w:lang w:val="en-US"/>
        </w:rPr>
        <w:t>=16,384) compared to the 6-bit Digital Number for DMSP</w:t>
      </w:r>
      <w:r w:rsidR="00BD5D45">
        <w:rPr>
          <w:rFonts w:eastAsia="Times New Roman"/>
          <w:lang w:val="en-US"/>
        </w:rPr>
        <w:t>.</w:t>
      </w:r>
    </w:p>
    <w:p w:rsidR="00DB5D7D" w:rsidRDefault="00DB5D7D" w:rsidP="00BA4001">
      <w:pPr>
        <w:widowControl w:val="0"/>
        <w:spacing w:after="0" w:line="288" w:lineRule="auto"/>
        <w:ind w:firstLine="720"/>
        <w:jc w:val="both"/>
        <w:rPr>
          <w:rFonts w:eastAsia="Times New Roman"/>
          <w:lang w:val="en-US"/>
        </w:rPr>
      </w:pPr>
    </w:p>
    <w:p w:rsidR="00F95057" w:rsidRDefault="00F95057" w:rsidP="00BA4001">
      <w:pPr>
        <w:widowControl w:val="0"/>
        <w:spacing w:after="0" w:line="288" w:lineRule="auto"/>
        <w:ind w:firstLine="720"/>
        <w:jc w:val="both"/>
        <w:rPr>
          <w:rFonts w:eastAsia="Times New Roman"/>
          <w:lang w:val="en-US"/>
        </w:rPr>
      </w:pPr>
      <w:r>
        <w:rPr>
          <w:rFonts w:eastAsia="Times New Roman"/>
          <w:lang w:val="en-US"/>
        </w:rPr>
        <w:t xml:space="preserve">Further </w:t>
      </w:r>
      <w:r w:rsidR="00C1755C">
        <w:rPr>
          <w:rFonts w:eastAsia="Times New Roman"/>
          <w:lang w:val="en-US"/>
        </w:rPr>
        <w:t xml:space="preserve">flaws in DMSP data </w:t>
      </w:r>
      <w:r>
        <w:rPr>
          <w:rFonts w:eastAsia="Times New Roman"/>
          <w:lang w:val="en-US"/>
        </w:rPr>
        <w:t>stem</w:t>
      </w:r>
      <w:r w:rsidR="005336B5">
        <w:rPr>
          <w:rFonts w:eastAsia="Times New Roman"/>
          <w:lang w:val="en-US"/>
        </w:rPr>
        <w:t xml:space="preserve"> from </w:t>
      </w:r>
      <w:r>
        <w:rPr>
          <w:rFonts w:eastAsia="Times New Roman"/>
          <w:lang w:val="en-US"/>
        </w:rPr>
        <w:t xml:space="preserve">the </w:t>
      </w:r>
      <w:r w:rsidR="00C1755C">
        <w:rPr>
          <w:rFonts w:eastAsia="Times New Roman"/>
          <w:lang w:val="en-US"/>
        </w:rPr>
        <w:t>limited dynamic range of the sensors.</w:t>
      </w:r>
      <w:r w:rsidR="00084D97">
        <w:rPr>
          <w:rFonts w:eastAsia="Times New Roman"/>
          <w:lang w:val="en-US"/>
        </w:rPr>
        <w:t xml:space="preserve"> The brightest lights in the CBD of cities often are given the same digital number (usually DN=63) as the less brightly-lit suburbs (Bluhm and Krause 2018). </w:t>
      </w:r>
      <w:r w:rsidR="00084D97">
        <w:rPr>
          <w:bCs/>
          <w:lang w:val="en-AU"/>
        </w:rPr>
        <w:t xml:space="preserve">This </w:t>
      </w:r>
      <w:r w:rsidR="00475F32">
        <w:rPr>
          <w:bCs/>
          <w:lang w:val="en-AU"/>
        </w:rPr>
        <w:t xml:space="preserve">is </w:t>
      </w:r>
      <w:r w:rsidR="00084D97">
        <w:rPr>
          <w:bCs/>
          <w:lang w:val="en-AU"/>
        </w:rPr>
        <w:t xml:space="preserve">because the dynamic range of the DMSP sensor is less than two orders of magnitude, and so it cannot simultaneously capture </w:t>
      </w:r>
      <w:r w:rsidR="00475F32">
        <w:rPr>
          <w:bCs/>
          <w:lang w:val="en-AU"/>
        </w:rPr>
        <w:t xml:space="preserve">light from </w:t>
      </w:r>
      <w:r w:rsidR="00084D97">
        <w:rPr>
          <w:bCs/>
          <w:lang w:val="en-AU"/>
        </w:rPr>
        <w:t>bright</w:t>
      </w:r>
      <w:r w:rsidR="0093367E">
        <w:rPr>
          <w:bCs/>
          <w:lang w:val="en-AU"/>
        </w:rPr>
        <w:t>ly</w:t>
      </w:r>
      <w:r w:rsidR="00084D97">
        <w:rPr>
          <w:bCs/>
          <w:lang w:val="en-AU"/>
        </w:rPr>
        <w:t xml:space="preserve"> lit areas and </w:t>
      </w:r>
      <w:r w:rsidR="00475F32">
        <w:rPr>
          <w:bCs/>
          <w:lang w:val="en-AU"/>
        </w:rPr>
        <w:t xml:space="preserve">from </w:t>
      </w:r>
      <w:r w:rsidR="00084D97">
        <w:rPr>
          <w:bCs/>
          <w:lang w:val="en-AU"/>
        </w:rPr>
        <w:t>dimly lit areas. Under usual conditions, when the sensor amplification is turned up to view clou</w:t>
      </w:r>
      <w:r w:rsidR="00475F32">
        <w:rPr>
          <w:bCs/>
          <w:lang w:val="en-AU"/>
        </w:rPr>
        <w:t xml:space="preserve">d tops, pixels </w:t>
      </w:r>
      <w:r w:rsidR="003226F2">
        <w:rPr>
          <w:bCs/>
          <w:lang w:val="en-AU"/>
        </w:rPr>
        <w:t>in</w:t>
      </w:r>
      <w:r w:rsidR="00475F32">
        <w:rPr>
          <w:bCs/>
          <w:lang w:val="en-AU"/>
        </w:rPr>
        <w:t xml:space="preserve"> city cent</w:t>
      </w:r>
      <w:r w:rsidR="00084D97">
        <w:rPr>
          <w:bCs/>
          <w:lang w:val="en-AU"/>
        </w:rPr>
        <w:t>r</w:t>
      </w:r>
      <w:r w:rsidR="00475F32">
        <w:rPr>
          <w:bCs/>
          <w:lang w:val="en-AU"/>
        </w:rPr>
        <w:t>e</w:t>
      </w:r>
      <w:r w:rsidR="00084D97">
        <w:rPr>
          <w:bCs/>
          <w:lang w:val="en-AU"/>
        </w:rPr>
        <w:t>s are saturated</w:t>
      </w:r>
      <w:r w:rsidR="003226F2">
        <w:rPr>
          <w:bCs/>
          <w:lang w:val="en-AU"/>
        </w:rPr>
        <w:t xml:space="preserve"> with light</w:t>
      </w:r>
      <w:r w:rsidR="00084D97">
        <w:rPr>
          <w:bCs/>
          <w:lang w:val="en-AU"/>
        </w:rPr>
        <w:t xml:space="preserve"> and </w:t>
      </w:r>
      <w:r w:rsidR="003226F2">
        <w:rPr>
          <w:bCs/>
          <w:lang w:val="en-AU"/>
        </w:rPr>
        <w:t xml:space="preserve">get </w:t>
      </w:r>
      <w:r w:rsidR="00084D97">
        <w:rPr>
          <w:bCs/>
          <w:lang w:val="en-AU"/>
        </w:rPr>
        <w:t>the top-coded DN value of 63.</w:t>
      </w:r>
      <w:r>
        <w:rPr>
          <w:rStyle w:val="FootnoteReference"/>
          <w:bCs/>
          <w:lang w:val="en-AU"/>
        </w:rPr>
        <w:footnoteReference w:id="5"/>
      </w:r>
      <w:r w:rsidR="00475F32">
        <w:rPr>
          <w:bCs/>
        </w:rPr>
        <w:t xml:space="preserve"> </w:t>
      </w:r>
      <w:r w:rsidR="00284756">
        <w:rPr>
          <w:bCs/>
        </w:rPr>
        <w:t xml:space="preserve"> </w:t>
      </w:r>
      <w:r w:rsidR="00C1755C">
        <w:rPr>
          <w:rFonts w:eastAsia="Times New Roman"/>
          <w:lang w:val="en-US"/>
        </w:rPr>
        <w:t>In contrast</w:t>
      </w:r>
      <w:r w:rsidR="004529B6">
        <w:rPr>
          <w:rFonts w:eastAsia="Times New Roman"/>
          <w:lang w:val="en-US"/>
        </w:rPr>
        <w:t xml:space="preserve">, the dynamic range of the </w:t>
      </w:r>
      <w:r w:rsidR="00475F32">
        <w:rPr>
          <w:rFonts w:eastAsia="Times New Roman"/>
          <w:lang w:val="en-US"/>
        </w:rPr>
        <w:t xml:space="preserve">VIIRS </w:t>
      </w:r>
      <w:r w:rsidR="004529B6">
        <w:rPr>
          <w:rFonts w:eastAsia="Times New Roman"/>
          <w:lang w:val="en-US"/>
        </w:rPr>
        <w:t xml:space="preserve">Day-Night Band </w:t>
      </w:r>
      <w:r w:rsidR="00475F32">
        <w:rPr>
          <w:bCs/>
          <w:lang w:val="en-AU"/>
        </w:rPr>
        <w:t>is about</w:t>
      </w:r>
      <w:r w:rsidR="004529B6">
        <w:rPr>
          <w:bCs/>
          <w:lang w:val="en-AU"/>
        </w:rPr>
        <w:t xml:space="preserve"> seven</w:t>
      </w:r>
      <w:r w:rsidR="004529B6" w:rsidRPr="00C167EA">
        <w:rPr>
          <w:bCs/>
          <w:lang w:val="en-AU"/>
        </w:rPr>
        <w:t xml:space="preserve"> orders of magnitude</w:t>
      </w:r>
      <w:r w:rsidR="004529B6">
        <w:rPr>
          <w:bCs/>
          <w:lang w:val="en-AU"/>
        </w:rPr>
        <w:t xml:space="preserve"> (</w:t>
      </w:r>
      <w:proofErr w:type="spellStart"/>
      <w:r w:rsidR="004529B6">
        <w:rPr>
          <w:rFonts w:eastAsia="Times New Roman"/>
          <w:bCs/>
          <w:sz w:val="22"/>
          <w:szCs w:val="22"/>
        </w:rPr>
        <w:t>L</w:t>
      </w:r>
      <w:r w:rsidR="004529B6" w:rsidRPr="00F84335">
        <w:rPr>
          <w:rFonts w:eastAsia="Times New Roman"/>
          <w:bCs/>
          <w:sz w:val="22"/>
          <w:szCs w:val="22"/>
          <w:vertAlign w:val="subscript"/>
        </w:rPr>
        <w:t>max</w:t>
      </w:r>
      <w:proofErr w:type="spellEnd"/>
      <w:r w:rsidR="004529B6">
        <w:rPr>
          <w:rFonts w:eastAsia="Times New Roman"/>
          <w:bCs/>
          <w:sz w:val="22"/>
          <w:szCs w:val="22"/>
        </w:rPr>
        <w:t>/</w:t>
      </w:r>
      <w:proofErr w:type="spellStart"/>
      <w:r w:rsidR="004529B6">
        <w:rPr>
          <w:rFonts w:eastAsia="Times New Roman"/>
          <w:bCs/>
          <w:sz w:val="22"/>
          <w:szCs w:val="22"/>
        </w:rPr>
        <w:t>L</w:t>
      </w:r>
      <w:r w:rsidR="004529B6" w:rsidRPr="00F84335">
        <w:rPr>
          <w:rFonts w:eastAsia="Times New Roman"/>
          <w:bCs/>
          <w:sz w:val="22"/>
          <w:szCs w:val="22"/>
          <w:vertAlign w:val="subscript"/>
        </w:rPr>
        <w:t>min</w:t>
      </w:r>
      <w:proofErr w:type="spellEnd"/>
      <w:r w:rsidR="004529B6" w:rsidRPr="005336B5">
        <w:rPr>
          <w:rFonts w:eastAsia="Times New Roman"/>
          <w:bCs/>
        </w:rPr>
        <w:t>=6,700,000)</w:t>
      </w:r>
      <w:r w:rsidR="00475F32">
        <w:rPr>
          <w:rFonts w:eastAsia="Times New Roman"/>
          <w:bCs/>
          <w:sz w:val="22"/>
          <w:szCs w:val="22"/>
        </w:rPr>
        <w:t xml:space="preserve"> </w:t>
      </w:r>
      <w:r w:rsidR="00475F32" w:rsidRPr="005336B5">
        <w:rPr>
          <w:rFonts w:eastAsia="Times New Roman"/>
          <w:bCs/>
        </w:rPr>
        <w:t>and so there are no saturation problems with VIIRS data</w:t>
      </w:r>
      <w:r w:rsidR="004529B6" w:rsidRPr="005336B5">
        <w:rPr>
          <w:bCs/>
          <w:lang w:val="en-AU"/>
        </w:rPr>
        <w:t xml:space="preserve">. </w:t>
      </w:r>
      <w:r w:rsidR="003226F2">
        <w:rPr>
          <w:rFonts w:eastAsia="Times New Roman"/>
          <w:lang w:val="en-US"/>
        </w:rPr>
        <w:t xml:space="preserve">Bluhm and Krause (2018) suggest that lights follow a Pareto distribution, and use this to adjust DMSP data for top-coding; while the VIIRS data are not used in their correction method, they use these more accurate data to </w:t>
      </w:r>
      <w:r w:rsidR="00F92B7B">
        <w:rPr>
          <w:rFonts w:eastAsia="Times New Roman"/>
          <w:lang w:val="en-US"/>
        </w:rPr>
        <w:t>corroborate that the top tail of pixels in the night lights distribution follows a Pareto process.</w:t>
      </w:r>
      <w:r w:rsidR="003226F2">
        <w:rPr>
          <w:rFonts w:eastAsia="Times New Roman"/>
          <w:lang w:val="en-US"/>
        </w:rPr>
        <w:t xml:space="preserve"> </w:t>
      </w:r>
    </w:p>
    <w:p w:rsidR="00DB5D7D" w:rsidRDefault="00DB5D7D" w:rsidP="00BA4001">
      <w:pPr>
        <w:widowControl w:val="0"/>
        <w:spacing w:after="0" w:line="288" w:lineRule="auto"/>
        <w:ind w:firstLine="720"/>
        <w:jc w:val="both"/>
        <w:rPr>
          <w:rFonts w:eastAsia="Times New Roman"/>
          <w:lang w:val="en-US"/>
        </w:rPr>
      </w:pPr>
    </w:p>
    <w:p w:rsidR="00BB7F49" w:rsidRDefault="004529B6" w:rsidP="00BA4001">
      <w:pPr>
        <w:spacing w:after="0" w:line="288" w:lineRule="auto"/>
        <w:jc w:val="both"/>
        <w:rPr>
          <w:rFonts w:eastAsia="Times New Roman"/>
          <w:lang w:val="en-US"/>
        </w:rPr>
      </w:pPr>
      <w:r>
        <w:rPr>
          <w:rFonts w:eastAsia="Times New Roman"/>
        </w:rPr>
        <w:tab/>
      </w:r>
      <w:r w:rsidR="00C23955">
        <w:rPr>
          <w:rFonts w:eastAsia="Times New Roman"/>
        </w:rPr>
        <w:t xml:space="preserve">In addition to these flaws in the DMSP data, it is becoming clear that satellite data on night lights (including from VIIRS) are poorly suited to the study of areas of low population density, which includes most rural places. One reason is </w:t>
      </w:r>
      <w:r w:rsidR="00C23955">
        <w:rPr>
          <w:rFonts w:cstheme="minorHAnsi"/>
        </w:rPr>
        <w:t>that the sort of lights typically used in rural villages are not the type easily detectable from space. A</w:t>
      </w:r>
      <w:r w:rsidR="0093367E">
        <w:rPr>
          <w:bCs/>
          <w:lang w:val="en-AU"/>
        </w:rPr>
        <w:t xml:space="preserve">n experiment on </w:t>
      </w:r>
      <w:r w:rsidR="00C23955">
        <w:rPr>
          <w:rFonts w:eastAsia="Times New Roman"/>
          <w:lang w:val="en-US"/>
        </w:rPr>
        <w:t xml:space="preserve">accuracy of </w:t>
      </w:r>
      <w:r w:rsidR="00C23955">
        <w:rPr>
          <w:rFonts w:eastAsia="Times New Roman"/>
          <w:lang w:val="en-US"/>
        </w:rPr>
        <w:lastRenderedPageBreak/>
        <w:t xml:space="preserve">DMSP data, where researchers lit up previously dark areas, </w:t>
      </w:r>
      <w:r w:rsidR="0093367E">
        <w:rPr>
          <w:rFonts w:eastAsia="Times New Roman"/>
          <w:lang w:val="en-US"/>
        </w:rPr>
        <w:t xml:space="preserve">needed </w:t>
      </w:r>
      <w:r w:rsidR="00C23955">
        <w:rPr>
          <w:rFonts w:eastAsia="Times New Roman"/>
          <w:lang w:val="en-US"/>
        </w:rPr>
        <w:t xml:space="preserve">1000-watt high pressure sodium lamps (large lamps of about 25 kg each, </w:t>
      </w:r>
      <w:r w:rsidR="00BB7F49">
        <w:rPr>
          <w:rFonts w:eastAsia="Times New Roman"/>
          <w:lang w:val="en-US"/>
        </w:rPr>
        <w:t xml:space="preserve">usually </w:t>
      </w:r>
      <w:r w:rsidR="00C23955">
        <w:rPr>
          <w:rFonts w:eastAsia="Times New Roman"/>
          <w:lang w:val="en-US"/>
        </w:rPr>
        <w:t>used in big warehouses), mo</w:t>
      </w:r>
      <w:r w:rsidR="0093367E">
        <w:rPr>
          <w:rFonts w:eastAsia="Times New Roman"/>
          <w:lang w:val="en-US"/>
        </w:rPr>
        <w:t>dified with aluminum shields us</w:t>
      </w:r>
      <w:r w:rsidR="00C23955">
        <w:rPr>
          <w:rFonts w:eastAsia="Times New Roman"/>
          <w:lang w:val="en-US"/>
        </w:rPr>
        <w:t>ed to direct light skywards (Tuttle</w:t>
      </w:r>
      <w:r w:rsidR="00DB5D7D" w:rsidRPr="00DB5D7D">
        <w:rPr>
          <w:bCs/>
          <w:i/>
          <w:lang w:val="en-AU"/>
        </w:rPr>
        <w:t xml:space="preserve"> et al.</w:t>
      </w:r>
      <w:r w:rsidR="00C23955">
        <w:rPr>
          <w:rFonts w:eastAsia="Times New Roman"/>
          <w:lang w:val="en-US"/>
        </w:rPr>
        <w:t xml:space="preserve"> 2014)</w:t>
      </w:r>
      <w:r w:rsidR="00BB7F49">
        <w:rPr>
          <w:rFonts w:eastAsia="Times New Roman"/>
          <w:lang w:val="en-US"/>
        </w:rPr>
        <w:t xml:space="preserve"> in order to be seen with the DMSP sensors</w:t>
      </w:r>
      <w:r w:rsidR="00C23955">
        <w:rPr>
          <w:rFonts w:eastAsia="Times New Roman"/>
          <w:lang w:val="en-US"/>
        </w:rPr>
        <w:t>. This sort of light</w:t>
      </w:r>
      <w:r w:rsidR="00BB7F49">
        <w:rPr>
          <w:rFonts w:eastAsia="Times New Roman"/>
          <w:lang w:val="en-US"/>
        </w:rPr>
        <w:t xml:space="preserve"> is not at all like what is found in</w:t>
      </w:r>
      <w:r w:rsidR="00C23955">
        <w:rPr>
          <w:rFonts w:eastAsia="Times New Roman"/>
          <w:lang w:val="en-US"/>
        </w:rPr>
        <w:t xml:space="preserve"> rural villages, but is more like light from concentrated street lamps</w:t>
      </w:r>
      <w:r w:rsidR="00BB7F49">
        <w:rPr>
          <w:rFonts w:eastAsia="Times New Roman"/>
          <w:lang w:val="en-US"/>
        </w:rPr>
        <w:t xml:space="preserve"> and industrial facilities, which are typically found in urban areas. While VIIRS can better detect dimly-lit areas, the overpass time when the satellite observes light is around 1.30am, and lights coming from the household sector in rural areas are unlikely to be switched on then (while urban street lights stay on all night).</w:t>
      </w:r>
    </w:p>
    <w:p w:rsidR="00DB5D7D" w:rsidRDefault="00DB5D7D" w:rsidP="00BA4001">
      <w:pPr>
        <w:spacing w:after="0" w:line="288" w:lineRule="auto"/>
        <w:jc w:val="both"/>
        <w:rPr>
          <w:rFonts w:eastAsia="Times New Roman"/>
          <w:lang w:val="en-US"/>
        </w:rPr>
      </w:pPr>
    </w:p>
    <w:p w:rsidR="00284756" w:rsidRDefault="0093367E" w:rsidP="00BA4001">
      <w:pPr>
        <w:spacing w:after="0" w:line="288" w:lineRule="auto"/>
        <w:ind w:firstLine="720"/>
        <w:jc w:val="both"/>
        <w:rPr>
          <w:rFonts w:cstheme="minorHAnsi"/>
        </w:rPr>
      </w:pPr>
      <w:r>
        <w:rPr>
          <w:rFonts w:cstheme="minorHAnsi"/>
        </w:rPr>
        <w:t>There are several examples of this inability to detect low density areas. Nordhaus and Chen (2015) divided the globe into 1</w:t>
      </w:r>
      <w:r>
        <w:rPr>
          <w:rFonts w:cstheme="minorHAnsi"/>
        </w:rPr>
        <w:sym w:font="Symbol" w:char="F0B0"/>
      </w:r>
      <w:r>
        <w:t>×</w:t>
      </w:r>
      <w:r>
        <w:rPr>
          <w:rFonts w:cstheme="minorHAnsi"/>
        </w:rPr>
        <w:t>1</w:t>
      </w:r>
      <w:r>
        <w:rPr>
          <w:rFonts w:cstheme="minorHAnsi"/>
        </w:rPr>
        <w:sym w:font="Symbol" w:char="F0B0"/>
      </w:r>
      <w:r>
        <w:rPr>
          <w:rFonts w:cstheme="minorHAnsi"/>
        </w:rPr>
        <w:t xml:space="preserve"> grid cells and found that almost one-third of cells with positive popula</w:t>
      </w:r>
      <w:r w:rsidR="00023ED8">
        <w:rPr>
          <w:rFonts w:cstheme="minorHAnsi"/>
        </w:rPr>
        <w:t>tion and output were recorded as having</w:t>
      </w:r>
      <w:r>
        <w:rPr>
          <w:rFonts w:cstheme="minorHAnsi"/>
        </w:rPr>
        <w:t xml:space="preserve"> zero light in the DMSP data. </w:t>
      </w:r>
      <w:r w:rsidR="004C21C8">
        <w:rPr>
          <w:rFonts w:cstheme="minorHAnsi"/>
        </w:rPr>
        <w:t>In a follow-up focused</w:t>
      </w:r>
      <w:r>
        <w:rPr>
          <w:rFonts w:cstheme="minorHAnsi"/>
        </w:rPr>
        <w:t xml:space="preserve"> on Africa, they show that the </w:t>
      </w:r>
      <w:r w:rsidR="004C21C8">
        <w:rPr>
          <w:rFonts w:cstheme="minorHAnsi"/>
        </w:rPr>
        <w:t xml:space="preserve">odds of DMSP </w:t>
      </w:r>
      <w:r w:rsidR="00023ED8">
        <w:rPr>
          <w:rFonts w:cstheme="minorHAnsi"/>
        </w:rPr>
        <w:t xml:space="preserve">finding no </w:t>
      </w:r>
      <w:r w:rsidR="004C21C8">
        <w:rPr>
          <w:rFonts w:cstheme="minorHAnsi"/>
        </w:rPr>
        <w:t>light</w:t>
      </w:r>
      <w:r>
        <w:rPr>
          <w:rFonts w:cstheme="minorHAnsi"/>
        </w:rPr>
        <w:t xml:space="preserve"> </w:t>
      </w:r>
      <w:r w:rsidR="004C21C8">
        <w:rPr>
          <w:rFonts w:cstheme="minorHAnsi"/>
        </w:rPr>
        <w:t xml:space="preserve">rise </w:t>
      </w:r>
      <w:r>
        <w:rPr>
          <w:rFonts w:cstheme="minorHAnsi"/>
        </w:rPr>
        <w:t>as cell population density</w:t>
      </w:r>
      <w:r w:rsidR="004C21C8">
        <w:rPr>
          <w:rFonts w:cstheme="minorHAnsi"/>
        </w:rPr>
        <w:t xml:space="preserve"> fall</w:t>
      </w:r>
      <w:r>
        <w:rPr>
          <w:rFonts w:cstheme="minorHAnsi"/>
        </w:rPr>
        <w:t>s</w:t>
      </w:r>
      <w:r w:rsidR="004C21C8">
        <w:rPr>
          <w:rFonts w:cstheme="minorHAnsi"/>
        </w:rPr>
        <w:t xml:space="preserve">, and that while VIIRS has better detection rates, the elasticity of gross cell product with respect to VIIRS lights is higher for the densely populated cells (Chen and Nordhaus 2015). Even just focusing on cities and towns in Africa, detection rates using the DMSP and VIIRS satellites are only 40-45% (Andersson </w:t>
      </w:r>
      <w:r w:rsidR="00DB5D7D" w:rsidRPr="00DB5D7D">
        <w:rPr>
          <w:bCs/>
          <w:i/>
          <w:lang w:val="en-AU"/>
        </w:rPr>
        <w:t>et al.</w:t>
      </w:r>
      <w:r w:rsidR="004C21C8">
        <w:rPr>
          <w:rFonts w:cstheme="minorHAnsi"/>
        </w:rPr>
        <w:t xml:space="preserve"> 2019). </w:t>
      </w:r>
    </w:p>
    <w:p w:rsidR="00284756" w:rsidRDefault="00284756" w:rsidP="00BA4001">
      <w:pPr>
        <w:spacing w:after="0" w:line="288" w:lineRule="auto"/>
        <w:ind w:firstLine="720"/>
        <w:jc w:val="both"/>
        <w:rPr>
          <w:rFonts w:cstheme="minorHAnsi"/>
        </w:rPr>
      </w:pPr>
    </w:p>
    <w:p w:rsidR="004529B6" w:rsidRDefault="004529B6" w:rsidP="00BA4001">
      <w:pPr>
        <w:spacing w:after="0" w:line="288" w:lineRule="auto"/>
        <w:ind w:firstLine="720"/>
        <w:jc w:val="both"/>
        <w:rPr>
          <w:rFonts w:asciiTheme="majorBidi" w:hAnsiTheme="majorBidi" w:cstheme="majorBidi"/>
        </w:rPr>
      </w:pPr>
      <w:r>
        <w:rPr>
          <w:rFonts w:cstheme="minorHAnsi"/>
        </w:rPr>
        <w:t xml:space="preserve">Gibson </w:t>
      </w:r>
      <w:r w:rsidR="00DB5D7D" w:rsidRPr="00DB5D7D">
        <w:rPr>
          <w:bCs/>
          <w:i/>
          <w:lang w:val="en-AU"/>
        </w:rPr>
        <w:t>et al.</w:t>
      </w:r>
      <w:r>
        <w:rPr>
          <w:rFonts w:cstheme="minorHAnsi"/>
        </w:rPr>
        <w:t xml:space="preserve"> (2019) provide examples from developing countries </w:t>
      </w:r>
      <w:r w:rsidR="004C21C8">
        <w:rPr>
          <w:rFonts w:cstheme="minorHAnsi"/>
        </w:rPr>
        <w:t xml:space="preserve">in Africa, Asia and the Pacific, </w:t>
      </w:r>
      <w:r>
        <w:rPr>
          <w:rFonts w:cstheme="minorHAnsi"/>
        </w:rPr>
        <w:t xml:space="preserve">where low density areas, </w:t>
      </w:r>
      <w:r w:rsidR="00AC7E1F">
        <w:rPr>
          <w:rFonts w:cstheme="minorHAnsi"/>
        </w:rPr>
        <w:t xml:space="preserve">home to </w:t>
      </w:r>
      <w:r>
        <w:rPr>
          <w:rFonts w:cstheme="minorHAnsi"/>
        </w:rPr>
        <w:t xml:space="preserve">up to 70% of the population, are not detected by </w:t>
      </w:r>
      <w:r w:rsidR="004C21C8">
        <w:rPr>
          <w:rFonts w:cstheme="minorHAnsi"/>
        </w:rPr>
        <w:t>either DMSP or VIIRS</w:t>
      </w:r>
      <w:r>
        <w:rPr>
          <w:rFonts w:cstheme="minorHAnsi"/>
        </w:rPr>
        <w:t>, even when more than half of households in those areas use electr</w:t>
      </w:r>
      <w:r w:rsidR="0080262D">
        <w:rPr>
          <w:rFonts w:cstheme="minorHAnsi"/>
        </w:rPr>
        <w:t xml:space="preserve">ic lights. </w:t>
      </w:r>
      <w:r w:rsidR="004C21C8">
        <w:rPr>
          <w:rFonts w:cstheme="minorHAnsi"/>
        </w:rPr>
        <w:t xml:space="preserve">They also </w:t>
      </w:r>
      <w:r w:rsidR="00023ED8">
        <w:rPr>
          <w:rFonts w:cstheme="minorHAnsi"/>
        </w:rPr>
        <w:t xml:space="preserve">highlight </w:t>
      </w:r>
      <w:r w:rsidR="004C21C8">
        <w:rPr>
          <w:rFonts w:cstheme="minorHAnsi"/>
        </w:rPr>
        <w:t xml:space="preserve">the </w:t>
      </w:r>
      <w:r w:rsidR="00023ED8">
        <w:rPr>
          <w:rFonts w:cstheme="minorHAnsi"/>
        </w:rPr>
        <w:t>case</w:t>
      </w:r>
      <w:r>
        <w:rPr>
          <w:rFonts w:cstheme="minorHAnsi"/>
        </w:rPr>
        <w:t xml:space="preserve"> </w:t>
      </w:r>
      <w:r w:rsidR="004C21C8">
        <w:rPr>
          <w:rFonts w:cstheme="minorHAnsi"/>
        </w:rPr>
        <w:t xml:space="preserve">of </w:t>
      </w:r>
      <w:r>
        <w:rPr>
          <w:rFonts w:cstheme="minorHAnsi"/>
        </w:rPr>
        <w:t xml:space="preserve">Vanuatu, where </w:t>
      </w:r>
      <w:r w:rsidR="0080262D">
        <w:rPr>
          <w:rFonts w:cstheme="minorHAnsi"/>
        </w:rPr>
        <w:t xml:space="preserve">a </w:t>
      </w:r>
      <w:r>
        <w:rPr>
          <w:rFonts w:cstheme="minorHAnsi"/>
        </w:rPr>
        <w:t xml:space="preserve">seasonal migration </w:t>
      </w:r>
      <w:r w:rsidR="0080262D">
        <w:rPr>
          <w:rFonts w:cstheme="minorHAnsi"/>
        </w:rPr>
        <w:t xml:space="preserve">program </w:t>
      </w:r>
      <w:r>
        <w:rPr>
          <w:rFonts w:cstheme="minorHAnsi"/>
        </w:rPr>
        <w:t xml:space="preserve">lifted participant incomes by up to 40%, had large aggregate effects, and prompted a switch into using electric lights (as seen in census data) but </w:t>
      </w:r>
      <w:r w:rsidR="00AC7E1F">
        <w:rPr>
          <w:rFonts w:cstheme="minorHAnsi"/>
        </w:rPr>
        <w:t xml:space="preserve">these development impacts </w:t>
      </w:r>
      <w:r>
        <w:rPr>
          <w:rFonts w:cstheme="minorHAnsi"/>
        </w:rPr>
        <w:t xml:space="preserve">were invisible </w:t>
      </w:r>
      <w:r w:rsidR="00BB7F49">
        <w:rPr>
          <w:rFonts w:cstheme="minorHAnsi"/>
        </w:rPr>
        <w:t xml:space="preserve">in data from </w:t>
      </w:r>
      <w:r>
        <w:rPr>
          <w:rFonts w:cstheme="minorHAnsi"/>
        </w:rPr>
        <w:t xml:space="preserve">either DMSP or VIIRS. At a more aggregate level, using a cross-country panel to study </w:t>
      </w:r>
      <w:r>
        <w:rPr>
          <w:rFonts w:asciiTheme="majorBidi" w:hAnsiTheme="majorBidi" w:cstheme="majorBidi"/>
        </w:rPr>
        <w:t>relationships between night light (</w:t>
      </w:r>
      <w:r w:rsidR="004C21C8">
        <w:rPr>
          <w:rFonts w:asciiTheme="majorBidi" w:hAnsiTheme="majorBidi" w:cstheme="majorBidi"/>
        </w:rPr>
        <w:t xml:space="preserve">annual composites of </w:t>
      </w:r>
      <w:r>
        <w:rPr>
          <w:rFonts w:asciiTheme="majorBidi" w:hAnsiTheme="majorBidi" w:cstheme="majorBidi"/>
        </w:rPr>
        <w:t xml:space="preserve">DMSP lights) and national GDP, </w:t>
      </w:r>
      <w:proofErr w:type="spellStart"/>
      <w:r>
        <w:rPr>
          <w:bCs/>
          <w:iCs/>
          <w:lang w:val="en-AU"/>
        </w:rPr>
        <w:t>Keola</w:t>
      </w:r>
      <w:proofErr w:type="spellEnd"/>
      <w:r>
        <w:rPr>
          <w:bCs/>
          <w:iCs/>
          <w:lang w:val="en-AU"/>
        </w:rPr>
        <w:t xml:space="preserve"> </w:t>
      </w:r>
      <w:r w:rsidRPr="00DB5D7D">
        <w:rPr>
          <w:bCs/>
          <w:i/>
          <w:lang w:val="en-AU"/>
        </w:rPr>
        <w:t>et al</w:t>
      </w:r>
      <w:r w:rsidR="00DB5D7D" w:rsidRPr="00DB5D7D">
        <w:rPr>
          <w:bCs/>
          <w:i/>
          <w:lang w:val="en-AU"/>
        </w:rPr>
        <w:t>.</w:t>
      </w:r>
      <w:r>
        <w:rPr>
          <w:bCs/>
          <w:iCs/>
          <w:lang w:val="en-AU"/>
        </w:rPr>
        <w:t xml:space="preserve"> (</w:t>
      </w:r>
      <w:r w:rsidRPr="00FE4C55">
        <w:rPr>
          <w:bCs/>
          <w:iCs/>
          <w:lang w:val="en-AU"/>
        </w:rPr>
        <w:t>2015</w:t>
      </w:r>
      <w:r w:rsidRPr="00FE4C55">
        <w:rPr>
          <w:rFonts w:asciiTheme="majorBidi" w:hAnsiTheme="majorBidi" w:cstheme="majorBidi"/>
        </w:rPr>
        <w:t>)</w:t>
      </w:r>
      <w:r>
        <w:rPr>
          <w:rFonts w:asciiTheme="majorBidi" w:hAnsiTheme="majorBidi" w:cstheme="majorBidi"/>
        </w:rPr>
        <w:t xml:space="preserve"> find </w:t>
      </w:r>
      <w:r w:rsidR="004C21C8">
        <w:rPr>
          <w:rFonts w:asciiTheme="majorBidi" w:hAnsiTheme="majorBidi" w:cstheme="majorBidi"/>
        </w:rPr>
        <w:t>positive elasticities</w:t>
      </w:r>
      <w:r>
        <w:rPr>
          <w:rFonts w:asciiTheme="majorBidi" w:hAnsiTheme="majorBidi" w:cstheme="majorBidi"/>
        </w:rPr>
        <w:t xml:space="preserve"> of light with respect to GDP for countries where the agricultural shar</w:t>
      </w:r>
      <w:r w:rsidR="004C21C8">
        <w:rPr>
          <w:rFonts w:asciiTheme="majorBidi" w:hAnsiTheme="majorBidi" w:cstheme="majorBidi"/>
        </w:rPr>
        <w:t xml:space="preserve">e of GDP is less than 20% but </w:t>
      </w:r>
      <w:r>
        <w:rPr>
          <w:rFonts w:asciiTheme="majorBidi" w:hAnsiTheme="majorBidi" w:cstheme="majorBidi"/>
        </w:rPr>
        <w:t>negative relationship</w:t>
      </w:r>
      <w:r w:rsidR="004C21C8">
        <w:rPr>
          <w:rFonts w:asciiTheme="majorBidi" w:hAnsiTheme="majorBidi" w:cstheme="majorBidi"/>
        </w:rPr>
        <w:t>s</w:t>
      </w:r>
      <w:r>
        <w:rPr>
          <w:rFonts w:asciiTheme="majorBidi" w:hAnsiTheme="majorBidi" w:cstheme="majorBidi"/>
        </w:rPr>
        <w:t xml:space="preserve"> when the agricultural share of GDP </w:t>
      </w:r>
      <w:r w:rsidR="004C21C8">
        <w:rPr>
          <w:rFonts w:asciiTheme="majorBidi" w:hAnsiTheme="majorBidi" w:cstheme="majorBidi"/>
        </w:rPr>
        <w:t xml:space="preserve">exceeds </w:t>
      </w:r>
      <w:r>
        <w:rPr>
          <w:rFonts w:asciiTheme="majorBidi" w:hAnsiTheme="majorBidi" w:cstheme="majorBidi"/>
        </w:rPr>
        <w:t>20%. The authors note that it is possible for agriculture’s value-added to incr</w:t>
      </w:r>
      <w:r w:rsidR="004C21C8">
        <w:rPr>
          <w:rFonts w:asciiTheme="majorBidi" w:hAnsiTheme="majorBidi" w:cstheme="majorBidi"/>
        </w:rPr>
        <w:t xml:space="preserve">ease without an increase in </w:t>
      </w:r>
      <w:r>
        <w:rPr>
          <w:rFonts w:asciiTheme="majorBidi" w:hAnsiTheme="majorBidi" w:cstheme="majorBidi"/>
        </w:rPr>
        <w:t>lights</w:t>
      </w:r>
      <w:r w:rsidR="004C21C8">
        <w:rPr>
          <w:rFonts w:asciiTheme="majorBidi" w:hAnsiTheme="majorBidi" w:cstheme="majorBidi"/>
        </w:rPr>
        <w:t>, while the same is much less true for the urban sector.</w:t>
      </w:r>
      <w:r>
        <w:rPr>
          <w:rFonts w:asciiTheme="majorBidi" w:hAnsiTheme="majorBidi" w:cstheme="majorBidi"/>
        </w:rPr>
        <w:t xml:space="preserve"> </w:t>
      </w:r>
    </w:p>
    <w:p w:rsidR="00DB5D7D" w:rsidRPr="004C21C8" w:rsidRDefault="00DB5D7D" w:rsidP="00BA4001">
      <w:pPr>
        <w:spacing w:after="0" w:line="288" w:lineRule="auto"/>
        <w:ind w:firstLine="720"/>
        <w:jc w:val="both"/>
        <w:rPr>
          <w:rFonts w:cstheme="minorHAnsi"/>
        </w:rPr>
      </w:pPr>
    </w:p>
    <w:p w:rsidR="000679C1" w:rsidRPr="00F7101D" w:rsidRDefault="00C933A5" w:rsidP="00DB5D7D">
      <w:pPr>
        <w:tabs>
          <w:tab w:val="left" w:pos="426"/>
        </w:tabs>
        <w:spacing w:after="0" w:line="288" w:lineRule="auto"/>
        <w:rPr>
          <w:b/>
          <w:lang w:val="en-US"/>
        </w:rPr>
      </w:pPr>
      <w:r w:rsidRPr="00F7101D">
        <w:rPr>
          <w:b/>
          <w:lang w:val="en-US"/>
        </w:rPr>
        <w:t>III.</w:t>
      </w:r>
      <w:r w:rsidR="00D20FE3" w:rsidRPr="00F7101D">
        <w:rPr>
          <w:b/>
          <w:lang w:val="en-US"/>
        </w:rPr>
        <w:tab/>
        <w:t>Data and Methods</w:t>
      </w:r>
    </w:p>
    <w:p w:rsidR="00284756" w:rsidRPr="00284756" w:rsidRDefault="00284756" w:rsidP="00BA4001">
      <w:pPr>
        <w:spacing w:after="0" w:line="288" w:lineRule="auto"/>
        <w:jc w:val="both"/>
        <w:rPr>
          <w:rFonts w:asciiTheme="majorBidi" w:hAnsiTheme="majorBidi" w:cstheme="majorBidi"/>
          <w:sz w:val="8"/>
          <w:szCs w:val="8"/>
        </w:rPr>
      </w:pPr>
    </w:p>
    <w:p w:rsidR="00BD7E64" w:rsidRDefault="007729F5" w:rsidP="00BA4001">
      <w:pPr>
        <w:spacing w:after="0" w:line="288" w:lineRule="auto"/>
        <w:jc w:val="both"/>
      </w:pPr>
      <w:r>
        <w:rPr>
          <w:rFonts w:asciiTheme="majorBidi" w:hAnsiTheme="majorBidi" w:cstheme="majorBidi"/>
        </w:rPr>
        <w:t xml:space="preserve">In light of the above discussion of related literature, comparing performance of DMSP data and VIIRS data for predicting regional GDP may be useful. </w:t>
      </w:r>
      <w:r w:rsidR="00D04BBB">
        <w:rPr>
          <w:rFonts w:asciiTheme="majorBidi" w:hAnsiTheme="majorBidi" w:cstheme="majorBidi"/>
        </w:rPr>
        <w:t xml:space="preserve">The results should consider urban and rural sectors separately, given the sectoral </w:t>
      </w:r>
      <w:r>
        <w:rPr>
          <w:rFonts w:asciiTheme="majorBidi" w:hAnsiTheme="majorBidi" w:cstheme="majorBidi"/>
        </w:rPr>
        <w:t xml:space="preserve">differences in </w:t>
      </w:r>
      <w:r w:rsidR="00D04BBB">
        <w:rPr>
          <w:rFonts w:asciiTheme="majorBidi" w:hAnsiTheme="majorBidi" w:cstheme="majorBidi"/>
        </w:rPr>
        <w:t xml:space="preserve">density of population and economic activity that likely </w:t>
      </w:r>
      <w:r>
        <w:rPr>
          <w:rFonts w:asciiTheme="majorBidi" w:hAnsiTheme="majorBidi" w:cstheme="majorBidi"/>
        </w:rPr>
        <w:t xml:space="preserve">affect the performance of the satellites in detecting night lights. One issue with such a test is the limited temporal overlap of the two data sources. The DMSP data are only available annually, with the time-series ending in 2013. While VIIRS data are available in a monthly time-series from April 2012, there is potential to introduce extraneous elements if monthly and annual data are compared. </w:t>
      </w:r>
      <w:r w:rsidR="00BD7E64">
        <w:rPr>
          <w:rFonts w:asciiTheme="majorBidi" w:hAnsiTheme="majorBidi" w:cstheme="majorBidi"/>
        </w:rPr>
        <w:t>For example, not only are there seasonal differences, the annual composites (f</w:t>
      </w:r>
      <w:r w:rsidR="00AA2444">
        <w:rPr>
          <w:rFonts w:asciiTheme="majorBidi" w:hAnsiTheme="majorBidi" w:cstheme="majorBidi"/>
        </w:rPr>
        <w:t>or</w:t>
      </w:r>
      <w:r w:rsidR="00BD7E64">
        <w:rPr>
          <w:rFonts w:asciiTheme="majorBidi" w:hAnsiTheme="majorBidi" w:cstheme="majorBidi"/>
        </w:rPr>
        <w:t xml:space="preserve"> both DMSP and VIIRS) undergo further processing by scientists </w:t>
      </w:r>
      <w:r w:rsidR="00AA2444">
        <w:rPr>
          <w:rFonts w:asciiTheme="majorBidi" w:hAnsiTheme="majorBidi" w:cstheme="majorBidi"/>
        </w:rPr>
        <w:t xml:space="preserve">at </w:t>
      </w:r>
      <w:r w:rsidR="00AA2444">
        <w:rPr>
          <w:rFonts w:asciiTheme="majorBidi" w:hAnsiTheme="majorBidi" w:cstheme="majorBidi"/>
        </w:rPr>
        <w:lastRenderedPageBreak/>
        <w:t xml:space="preserve">the Earth Observation Group of the National Oceanic and Atmospheric Administration (NOAA) </w:t>
      </w:r>
      <w:r w:rsidR="00BD7E64">
        <w:rPr>
          <w:rFonts w:asciiTheme="majorBidi" w:hAnsiTheme="majorBidi" w:cstheme="majorBidi"/>
        </w:rPr>
        <w:t xml:space="preserve">to </w:t>
      </w:r>
      <w:r w:rsidR="00BD7E64">
        <w:t>screen out ephemeral lights and background (non-lights)</w:t>
      </w:r>
      <w:r w:rsidR="00AA2444">
        <w:t>. Thus</w:t>
      </w:r>
      <w:r w:rsidR="00BD7E64">
        <w:t xml:space="preserve">, the average of the monthly VIIRS data </w:t>
      </w:r>
      <w:r w:rsidR="00AA2444">
        <w:t>would</w:t>
      </w:r>
      <w:r w:rsidR="00BD7E64">
        <w:t xml:space="preserve"> not </w:t>
      </w:r>
      <w:r w:rsidR="00AA2444">
        <w:t xml:space="preserve">be </w:t>
      </w:r>
      <w:r w:rsidR="00BD7E64">
        <w:t>comparable to the annual composite of either VIIRS or DMSP data</w:t>
      </w:r>
      <w:r w:rsidR="00AA2444">
        <w:t xml:space="preserve"> because the monthly data do </w:t>
      </w:r>
      <w:r w:rsidR="00AC7E1F">
        <w:t xml:space="preserve">not </w:t>
      </w:r>
      <w:r w:rsidR="00AA2444">
        <w:t>undergo this screening process</w:t>
      </w:r>
      <w:r w:rsidR="00BD7E64">
        <w:t>. Therefore, to ensure the closest like-with-like comparison, we restrict attention to the annual composites provided b</w:t>
      </w:r>
      <w:r w:rsidR="00023ED8">
        <w:t xml:space="preserve">y NOAA. This </w:t>
      </w:r>
      <w:r w:rsidR="00BD7E64">
        <w:t xml:space="preserve">limits the </w:t>
      </w:r>
      <w:r w:rsidR="00AA2444">
        <w:t xml:space="preserve">length of the </w:t>
      </w:r>
      <w:r w:rsidR="00BD7E64">
        <w:t xml:space="preserve">time-series and so we chose to work on Indonesia, as a </w:t>
      </w:r>
      <w:r w:rsidR="00023ED8">
        <w:t xml:space="preserve">developing country </w:t>
      </w:r>
      <w:r w:rsidR="00BD7E64">
        <w:t xml:space="preserve">that </w:t>
      </w:r>
      <w:r w:rsidR="00AA2444">
        <w:t>provide</w:t>
      </w:r>
      <w:r w:rsidR="00023ED8">
        <w:t>s</w:t>
      </w:r>
      <w:r w:rsidR="00AA2444">
        <w:t xml:space="preserve"> </w:t>
      </w:r>
      <w:r w:rsidR="00BD7E64">
        <w:t xml:space="preserve">a lot of cross-sectional variation and </w:t>
      </w:r>
      <w:r w:rsidR="00123084">
        <w:t>that also has</w:t>
      </w:r>
      <w:r w:rsidR="00BD7E64">
        <w:t xml:space="preserve"> reliable regional GDP data </w:t>
      </w:r>
      <w:r w:rsidR="00123084">
        <w:t>that we can use as our</w:t>
      </w:r>
      <w:r w:rsidR="00BD7E64">
        <w:t xml:space="preserve"> benchmark.</w:t>
      </w:r>
      <w:r w:rsidR="00023ED8">
        <w:rPr>
          <w:rStyle w:val="FootnoteReference"/>
        </w:rPr>
        <w:footnoteReference w:id="6"/>
      </w:r>
    </w:p>
    <w:p w:rsidR="004D5979" w:rsidRDefault="004D5979" w:rsidP="00BA4001">
      <w:pPr>
        <w:spacing w:after="0" w:line="288" w:lineRule="auto"/>
        <w:jc w:val="both"/>
        <w:rPr>
          <w:rFonts w:asciiTheme="majorBidi" w:hAnsiTheme="majorBidi" w:cstheme="majorBidi"/>
        </w:rPr>
      </w:pPr>
    </w:p>
    <w:p w:rsidR="00B45DE7" w:rsidRDefault="00B45DE7" w:rsidP="00BA4001">
      <w:pPr>
        <w:spacing w:after="0" w:line="288" w:lineRule="auto"/>
        <w:ind w:firstLine="720"/>
        <w:jc w:val="both"/>
        <w:rPr>
          <w:rFonts w:asciiTheme="majorBidi" w:hAnsiTheme="majorBidi" w:cstheme="majorBidi"/>
        </w:rPr>
      </w:pPr>
      <w:r>
        <w:rPr>
          <w:rFonts w:asciiTheme="majorBidi" w:hAnsiTheme="majorBidi" w:cstheme="majorBidi"/>
        </w:rPr>
        <w:t>Our research design relies on the fact that the second sub-national level in Indonesia is comprised of two types of spatial units</w:t>
      </w:r>
      <w:r w:rsidR="00023ED8">
        <w:rPr>
          <w:rFonts w:asciiTheme="majorBidi" w:hAnsiTheme="majorBidi" w:cstheme="majorBidi"/>
        </w:rPr>
        <w:t>. The first is</w:t>
      </w:r>
      <w:r>
        <w:rPr>
          <w:rFonts w:asciiTheme="majorBidi" w:hAnsiTheme="majorBidi" w:cstheme="majorBidi"/>
        </w:rPr>
        <w:t xml:space="preserve"> </w:t>
      </w:r>
      <w:proofErr w:type="spellStart"/>
      <w:r>
        <w:rPr>
          <w:rFonts w:asciiTheme="majorBidi" w:hAnsiTheme="majorBidi" w:cstheme="majorBidi"/>
          <w:i/>
          <w:iCs/>
        </w:rPr>
        <w:t>Kabupaten</w:t>
      </w:r>
      <w:proofErr w:type="spellEnd"/>
      <w:r>
        <w:rPr>
          <w:rFonts w:asciiTheme="majorBidi" w:hAnsiTheme="majorBidi" w:cstheme="majorBidi"/>
          <w:i/>
          <w:iCs/>
        </w:rPr>
        <w:t xml:space="preserve"> </w:t>
      </w:r>
      <w:r>
        <w:rPr>
          <w:rFonts w:asciiTheme="majorBidi" w:hAnsiTheme="majorBidi" w:cstheme="majorBidi"/>
        </w:rPr>
        <w:t>(regencies), that are mainly rural areas and towns and have a mean (median) population density o</w:t>
      </w:r>
      <w:r w:rsidR="00023ED8">
        <w:rPr>
          <w:rFonts w:asciiTheme="majorBidi" w:hAnsiTheme="majorBidi" w:cstheme="majorBidi"/>
        </w:rPr>
        <w:t xml:space="preserve">f 280 (83) persons per square kilometre. The other type of spatial unit is </w:t>
      </w:r>
      <w:r>
        <w:rPr>
          <w:rFonts w:asciiTheme="majorBidi" w:hAnsiTheme="majorBidi" w:cstheme="majorBidi"/>
          <w:i/>
          <w:iCs/>
        </w:rPr>
        <w:t>Kota</w:t>
      </w:r>
      <w:r>
        <w:rPr>
          <w:rFonts w:asciiTheme="majorBidi" w:hAnsiTheme="majorBidi" w:cstheme="majorBidi"/>
        </w:rPr>
        <w:t xml:space="preserve"> (cities)</w:t>
      </w:r>
      <w:r w:rsidR="00023ED8">
        <w:rPr>
          <w:rFonts w:asciiTheme="majorBidi" w:hAnsiTheme="majorBidi" w:cstheme="majorBidi"/>
        </w:rPr>
        <w:t xml:space="preserve">, which are </w:t>
      </w:r>
      <w:r w:rsidR="00AC7E1F">
        <w:rPr>
          <w:rFonts w:asciiTheme="majorBidi" w:hAnsiTheme="majorBidi" w:cstheme="majorBidi"/>
        </w:rPr>
        <w:t xml:space="preserve">highly </w:t>
      </w:r>
      <w:r w:rsidR="00023ED8">
        <w:rPr>
          <w:rFonts w:asciiTheme="majorBidi" w:hAnsiTheme="majorBidi" w:cstheme="majorBidi"/>
        </w:rPr>
        <w:t>urban</w:t>
      </w:r>
      <w:r w:rsidR="00AC7E1F">
        <w:rPr>
          <w:rFonts w:asciiTheme="majorBidi" w:hAnsiTheme="majorBidi" w:cstheme="majorBidi"/>
        </w:rPr>
        <w:t>ized and have</w:t>
      </w:r>
      <w:r w:rsidR="00023ED8">
        <w:rPr>
          <w:rFonts w:asciiTheme="majorBidi" w:hAnsiTheme="majorBidi" w:cstheme="majorBidi"/>
        </w:rPr>
        <w:t xml:space="preserve"> a</w:t>
      </w:r>
      <w:r>
        <w:rPr>
          <w:rFonts w:asciiTheme="majorBidi" w:hAnsiTheme="majorBidi" w:cstheme="majorBidi"/>
        </w:rPr>
        <w:t xml:space="preserve"> mean (median) population density </w:t>
      </w:r>
      <w:r w:rsidR="00023ED8">
        <w:rPr>
          <w:rFonts w:asciiTheme="majorBidi" w:hAnsiTheme="majorBidi" w:cstheme="majorBidi"/>
        </w:rPr>
        <w:t xml:space="preserve">of </w:t>
      </w:r>
      <w:r>
        <w:rPr>
          <w:rFonts w:asciiTheme="majorBidi" w:hAnsiTheme="majorBidi" w:cstheme="majorBidi"/>
        </w:rPr>
        <w:t>3900 (2200) persons per km</w:t>
      </w:r>
      <w:r>
        <w:rPr>
          <w:rFonts w:asciiTheme="majorBidi" w:hAnsiTheme="majorBidi" w:cstheme="majorBidi"/>
          <w:vertAlign w:val="superscript"/>
        </w:rPr>
        <w:t>2</w:t>
      </w:r>
      <w:r>
        <w:rPr>
          <w:rFonts w:asciiTheme="majorBidi" w:hAnsiTheme="majorBidi" w:cstheme="majorBidi"/>
        </w:rPr>
        <w:t xml:space="preserve"> in the 2010 census. The</w:t>
      </w:r>
      <w:r w:rsidR="00AC7E1F">
        <w:rPr>
          <w:rFonts w:asciiTheme="majorBidi" w:hAnsiTheme="majorBidi" w:cstheme="majorBidi"/>
        </w:rPr>
        <w:t>se are quite populous spatial units, with the</w:t>
      </w:r>
      <w:r>
        <w:rPr>
          <w:rFonts w:asciiTheme="majorBidi" w:hAnsiTheme="majorBidi" w:cstheme="majorBidi"/>
        </w:rPr>
        <w:t xml:space="preserve"> average </w:t>
      </w:r>
      <w:r>
        <w:rPr>
          <w:rFonts w:asciiTheme="majorBidi" w:hAnsiTheme="majorBidi" w:cstheme="majorBidi"/>
          <w:i/>
          <w:iCs/>
        </w:rPr>
        <w:t>Kota</w:t>
      </w:r>
      <w:r w:rsidR="00AC7E1F">
        <w:rPr>
          <w:rFonts w:asciiTheme="majorBidi" w:hAnsiTheme="majorBidi" w:cstheme="majorBidi"/>
        </w:rPr>
        <w:t xml:space="preserve"> having</w:t>
      </w:r>
      <w:r>
        <w:rPr>
          <w:rFonts w:asciiTheme="majorBidi" w:hAnsiTheme="majorBidi" w:cstheme="majorBidi"/>
        </w:rPr>
        <w:t xml:space="preserve"> a population of 530,000 and the average </w:t>
      </w:r>
      <w:proofErr w:type="spellStart"/>
      <w:r>
        <w:rPr>
          <w:rFonts w:asciiTheme="majorBidi" w:hAnsiTheme="majorBidi" w:cstheme="majorBidi"/>
          <w:i/>
          <w:iCs/>
        </w:rPr>
        <w:t>Kabupaten</w:t>
      </w:r>
      <w:proofErr w:type="spellEnd"/>
      <w:r w:rsidR="00AC7E1F">
        <w:rPr>
          <w:rFonts w:asciiTheme="majorBidi" w:hAnsiTheme="majorBidi" w:cstheme="majorBidi"/>
        </w:rPr>
        <w:t xml:space="preserve"> having 460,00 in 2010; </w:t>
      </w:r>
      <w:r>
        <w:rPr>
          <w:rFonts w:asciiTheme="majorBidi" w:hAnsiTheme="majorBidi" w:cstheme="majorBidi"/>
        </w:rPr>
        <w:t xml:space="preserve">22% of Indonesia’s population </w:t>
      </w:r>
      <w:r w:rsidR="00AC7E1F">
        <w:rPr>
          <w:rFonts w:asciiTheme="majorBidi" w:hAnsiTheme="majorBidi" w:cstheme="majorBidi"/>
        </w:rPr>
        <w:t xml:space="preserve">is </w:t>
      </w:r>
      <w:r>
        <w:rPr>
          <w:rFonts w:asciiTheme="majorBidi" w:hAnsiTheme="majorBidi" w:cstheme="majorBidi"/>
        </w:rPr>
        <w:t xml:space="preserve">located in </w:t>
      </w:r>
      <w:r>
        <w:rPr>
          <w:rFonts w:asciiTheme="majorBidi" w:hAnsiTheme="majorBidi" w:cstheme="majorBidi"/>
          <w:i/>
          <w:iCs/>
        </w:rPr>
        <w:t>Kota</w:t>
      </w:r>
      <w:r>
        <w:rPr>
          <w:rFonts w:asciiTheme="majorBidi" w:hAnsiTheme="majorBidi" w:cstheme="majorBidi"/>
        </w:rPr>
        <w:t xml:space="preserve"> (of which there are </w:t>
      </w:r>
      <w:r w:rsidRPr="00152B75">
        <w:rPr>
          <w:rFonts w:asciiTheme="majorBidi" w:hAnsiTheme="majorBidi" w:cstheme="majorBidi"/>
          <w:i/>
          <w:iCs/>
        </w:rPr>
        <w:t>n</w:t>
      </w:r>
      <w:r>
        <w:rPr>
          <w:rFonts w:asciiTheme="majorBidi" w:hAnsiTheme="majorBidi" w:cstheme="majorBidi"/>
        </w:rPr>
        <w:t xml:space="preserve">=98) and the rest </w:t>
      </w:r>
      <w:r w:rsidR="00AC7E1F">
        <w:rPr>
          <w:rFonts w:asciiTheme="majorBidi" w:hAnsiTheme="majorBidi" w:cstheme="majorBidi"/>
        </w:rPr>
        <w:t xml:space="preserve">are </w:t>
      </w:r>
      <w:r>
        <w:rPr>
          <w:rFonts w:asciiTheme="majorBidi" w:hAnsiTheme="majorBidi" w:cstheme="majorBidi"/>
        </w:rPr>
        <w:t xml:space="preserve">in the </w:t>
      </w:r>
      <w:proofErr w:type="spellStart"/>
      <w:r>
        <w:rPr>
          <w:rFonts w:asciiTheme="majorBidi" w:hAnsiTheme="majorBidi" w:cstheme="majorBidi"/>
          <w:i/>
          <w:iCs/>
        </w:rPr>
        <w:t>Kabupaten</w:t>
      </w:r>
      <w:proofErr w:type="spellEnd"/>
      <w:r>
        <w:rPr>
          <w:rFonts w:asciiTheme="majorBidi" w:hAnsiTheme="majorBidi" w:cstheme="majorBidi"/>
        </w:rPr>
        <w:t xml:space="preserve"> (</w:t>
      </w:r>
      <w:r w:rsidRPr="00152B75">
        <w:rPr>
          <w:rFonts w:asciiTheme="majorBidi" w:hAnsiTheme="majorBidi" w:cstheme="majorBidi"/>
          <w:i/>
          <w:iCs/>
        </w:rPr>
        <w:t>n</w:t>
      </w:r>
      <w:r>
        <w:rPr>
          <w:rFonts w:asciiTheme="majorBidi" w:hAnsiTheme="majorBidi" w:cstheme="majorBidi"/>
        </w:rPr>
        <w:t>=399).</w:t>
      </w:r>
      <w:r>
        <w:rPr>
          <w:rStyle w:val="FootnoteReference"/>
          <w:rFonts w:asciiTheme="majorBidi" w:hAnsiTheme="majorBidi" w:cstheme="majorBidi"/>
        </w:rPr>
        <w:footnoteReference w:id="7"/>
      </w:r>
      <w:r w:rsidR="004A1E78">
        <w:rPr>
          <w:rFonts w:asciiTheme="majorBidi" w:hAnsiTheme="majorBidi" w:cstheme="majorBidi"/>
        </w:rPr>
        <w:t xml:space="preserve"> Any detection problems, or poorly fitting predictor equations for</w:t>
      </w:r>
      <w:r w:rsidR="00AC7E1F">
        <w:rPr>
          <w:rFonts w:asciiTheme="majorBidi" w:hAnsiTheme="majorBidi" w:cstheme="majorBidi"/>
        </w:rPr>
        <w:t xml:space="preserve"> GDP, </w:t>
      </w:r>
      <w:r w:rsidR="00D04BBB">
        <w:rPr>
          <w:rFonts w:asciiTheme="majorBidi" w:hAnsiTheme="majorBidi" w:cstheme="majorBidi"/>
        </w:rPr>
        <w:t xml:space="preserve">for </w:t>
      </w:r>
      <w:r w:rsidR="00AC7E1F">
        <w:rPr>
          <w:rFonts w:asciiTheme="majorBidi" w:hAnsiTheme="majorBidi" w:cstheme="majorBidi"/>
        </w:rPr>
        <w:t>such populous units would be expected to be exacerbated if small</w:t>
      </w:r>
      <w:r w:rsidR="004A1E78">
        <w:rPr>
          <w:rFonts w:asciiTheme="majorBidi" w:hAnsiTheme="majorBidi" w:cstheme="majorBidi"/>
        </w:rPr>
        <w:t>er</w:t>
      </w:r>
      <w:r w:rsidR="00AC7E1F">
        <w:rPr>
          <w:rFonts w:asciiTheme="majorBidi" w:hAnsiTheme="majorBidi" w:cstheme="majorBidi"/>
        </w:rPr>
        <w:t xml:space="preserve"> units were used.</w:t>
      </w:r>
    </w:p>
    <w:p w:rsidR="004D5979" w:rsidRPr="00152B75" w:rsidRDefault="004D5979" w:rsidP="00BA4001">
      <w:pPr>
        <w:spacing w:after="0" w:line="288" w:lineRule="auto"/>
        <w:ind w:firstLine="720"/>
        <w:jc w:val="both"/>
        <w:rPr>
          <w:rFonts w:asciiTheme="majorBidi" w:hAnsiTheme="majorBidi" w:cstheme="majorBidi"/>
        </w:rPr>
      </w:pPr>
    </w:p>
    <w:p w:rsidR="00956EED" w:rsidRDefault="00956EED" w:rsidP="00BA4001">
      <w:pPr>
        <w:spacing w:after="0" w:line="288" w:lineRule="auto"/>
        <w:ind w:firstLine="720"/>
        <w:jc w:val="both"/>
        <w:rPr>
          <w:rFonts w:asciiTheme="majorBidi" w:hAnsiTheme="majorBidi" w:cstheme="majorBidi"/>
        </w:rPr>
      </w:pPr>
      <w:r>
        <w:rPr>
          <w:rFonts w:asciiTheme="majorBidi" w:hAnsiTheme="majorBidi" w:cstheme="majorBidi"/>
        </w:rPr>
        <w:t xml:space="preserve">We use three data sources to test the relationship between night lights and Indonesia’s second-level sub-national GDP. The first is VIIRS </w:t>
      </w:r>
      <w:r w:rsidR="00AA2444">
        <w:rPr>
          <w:rFonts w:asciiTheme="majorBidi" w:hAnsiTheme="majorBidi" w:cstheme="majorBidi"/>
        </w:rPr>
        <w:t xml:space="preserve">annual composites </w:t>
      </w:r>
      <w:r>
        <w:rPr>
          <w:rFonts w:asciiTheme="majorBidi" w:hAnsiTheme="majorBidi" w:cstheme="majorBidi"/>
        </w:rPr>
        <w:t xml:space="preserve">for 2015 and 2016, </w:t>
      </w:r>
      <w:r w:rsidR="00123084">
        <w:rPr>
          <w:rFonts w:asciiTheme="majorBidi" w:hAnsiTheme="majorBidi" w:cstheme="majorBidi"/>
        </w:rPr>
        <w:t>that are</w:t>
      </w:r>
      <w:r>
        <w:rPr>
          <w:rFonts w:asciiTheme="majorBidi" w:hAnsiTheme="majorBidi" w:cstheme="majorBidi"/>
        </w:rPr>
        <w:t xml:space="preserve"> the </w:t>
      </w:r>
      <w:r w:rsidR="00123084">
        <w:rPr>
          <w:rFonts w:asciiTheme="majorBidi" w:hAnsiTheme="majorBidi" w:cstheme="majorBidi"/>
        </w:rPr>
        <w:t xml:space="preserve">earliest </w:t>
      </w:r>
      <w:r w:rsidR="00023ED8">
        <w:rPr>
          <w:rFonts w:asciiTheme="majorBidi" w:hAnsiTheme="majorBidi" w:cstheme="majorBidi"/>
        </w:rPr>
        <w:t xml:space="preserve">(and currently only) </w:t>
      </w:r>
      <w:r>
        <w:rPr>
          <w:rFonts w:asciiTheme="majorBidi" w:hAnsiTheme="majorBidi" w:cstheme="majorBidi"/>
        </w:rPr>
        <w:t>available annual composites</w:t>
      </w:r>
      <w:r w:rsidR="00123084">
        <w:rPr>
          <w:rFonts w:asciiTheme="majorBidi" w:hAnsiTheme="majorBidi" w:cstheme="majorBidi"/>
        </w:rPr>
        <w:t>. W</w:t>
      </w:r>
      <w:r>
        <w:rPr>
          <w:rFonts w:asciiTheme="majorBidi" w:hAnsiTheme="majorBidi" w:cstheme="majorBidi"/>
        </w:rPr>
        <w:t xml:space="preserve">e use the </w:t>
      </w:r>
      <w:r w:rsidR="00C24E9E">
        <w:rPr>
          <w:rFonts w:asciiTheme="majorBidi" w:hAnsiTheme="majorBidi" w:cstheme="majorBidi"/>
        </w:rPr>
        <w:t>‘</w:t>
      </w:r>
      <w:proofErr w:type="spellStart"/>
      <w:r w:rsidR="000A5474">
        <w:rPr>
          <w:rFonts w:asciiTheme="majorBidi" w:hAnsiTheme="majorBidi" w:cstheme="majorBidi"/>
        </w:rPr>
        <w:t>vcm-orm-ntl</w:t>
      </w:r>
      <w:proofErr w:type="spellEnd"/>
      <w:r w:rsidR="00C24E9E">
        <w:rPr>
          <w:rFonts w:asciiTheme="majorBidi" w:hAnsiTheme="majorBidi" w:cstheme="majorBidi"/>
        </w:rPr>
        <w:t>’</w:t>
      </w:r>
      <w:r w:rsidRPr="00956EED">
        <w:rPr>
          <w:rFonts w:asciiTheme="majorBidi" w:hAnsiTheme="majorBidi" w:cstheme="majorBidi"/>
        </w:rPr>
        <w:t xml:space="preserve"> </w:t>
      </w:r>
      <w:r w:rsidR="000A5474">
        <w:rPr>
          <w:rFonts w:asciiTheme="majorBidi" w:hAnsiTheme="majorBidi" w:cstheme="majorBidi"/>
        </w:rPr>
        <w:t>product</w:t>
      </w:r>
      <w:r w:rsidR="00123084">
        <w:rPr>
          <w:rFonts w:asciiTheme="majorBidi" w:hAnsiTheme="majorBidi" w:cstheme="majorBidi"/>
        </w:rPr>
        <w:t xml:space="preserve"> that</w:t>
      </w:r>
      <w:r w:rsidR="00023ED8">
        <w:rPr>
          <w:rFonts w:asciiTheme="majorBidi" w:hAnsiTheme="majorBidi" w:cstheme="majorBidi"/>
        </w:rPr>
        <w:t>, at the pixel level, excludes nights where Day-Night B</w:t>
      </w:r>
      <w:r w:rsidR="00AB72C3">
        <w:rPr>
          <w:rFonts w:asciiTheme="majorBidi" w:hAnsiTheme="majorBidi" w:cstheme="majorBidi"/>
        </w:rPr>
        <w:t>and images are affected by stray light or by clouds</w:t>
      </w:r>
      <w:r w:rsidR="002858B5">
        <w:rPr>
          <w:rFonts w:asciiTheme="majorBidi" w:hAnsiTheme="majorBidi" w:cstheme="majorBidi"/>
        </w:rPr>
        <w:t xml:space="preserve">. These </w:t>
      </w:r>
      <w:r w:rsidR="009C54B6">
        <w:rPr>
          <w:rFonts w:asciiTheme="majorBidi" w:hAnsiTheme="majorBidi" w:cstheme="majorBidi"/>
        </w:rPr>
        <w:t xml:space="preserve">annual composites </w:t>
      </w:r>
      <w:r w:rsidR="002858B5">
        <w:rPr>
          <w:rFonts w:asciiTheme="majorBidi" w:hAnsiTheme="majorBidi" w:cstheme="majorBidi"/>
        </w:rPr>
        <w:t>also have o</w:t>
      </w:r>
      <w:r w:rsidRPr="00956EED">
        <w:rPr>
          <w:rFonts w:asciiTheme="majorBidi" w:hAnsiTheme="majorBidi" w:cstheme="majorBidi"/>
        </w:rPr>
        <w:t>utlier</w:t>
      </w:r>
      <w:r>
        <w:rPr>
          <w:rFonts w:asciiTheme="majorBidi" w:hAnsiTheme="majorBidi" w:cstheme="majorBidi"/>
        </w:rPr>
        <w:t>s r</w:t>
      </w:r>
      <w:r w:rsidRPr="00956EED">
        <w:rPr>
          <w:rFonts w:asciiTheme="majorBidi" w:hAnsiTheme="majorBidi" w:cstheme="majorBidi"/>
        </w:rPr>
        <w:t>emoved</w:t>
      </w:r>
      <w:r w:rsidR="00600B4D">
        <w:rPr>
          <w:rFonts w:asciiTheme="majorBidi" w:hAnsiTheme="majorBidi" w:cstheme="majorBidi"/>
        </w:rPr>
        <w:t xml:space="preserve"> by the NOAA scientists</w:t>
      </w:r>
      <w:r>
        <w:rPr>
          <w:rFonts w:asciiTheme="majorBidi" w:hAnsiTheme="majorBidi" w:cstheme="majorBidi"/>
        </w:rPr>
        <w:t xml:space="preserve">, </w:t>
      </w:r>
      <w:r w:rsidR="00600B4D">
        <w:rPr>
          <w:rFonts w:asciiTheme="majorBidi" w:hAnsiTheme="majorBidi" w:cstheme="majorBidi"/>
        </w:rPr>
        <w:t>where these</w:t>
      </w:r>
      <w:r w:rsidR="002858B5">
        <w:rPr>
          <w:rFonts w:asciiTheme="majorBidi" w:hAnsiTheme="majorBidi" w:cstheme="majorBidi"/>
        </w:rPr>
        <w:t xml:space="preserve"> </w:t>
      </w:r>
      <w:r w:rsidR="00023ED8">
        <w:rPr>
          <w:rFonts w:asciiTheme="majorBidi" w:hAnsiTheme="majorBidi" w:cstheme="majorBidi"/>
        </w:rPr>
        <w:t xml:space="preserve">outliers </w:t>
      </w:r>
      <w:r w:rsidR="002858B5">
        <w:rPr>
          <w:rFonts w:asciiTheme="majorBidi" w:hAnsiTheme="majorBidi" w:cstheme="majorBidi"/>
        </w:rPr>
        <w:t xml:space="preserve">may be due to ephemeral sources of light, such as fires or fishing boats, </w:t>
      </w:r>
      <w:r>
        <w:rPr>
          <w:rFonts w:asciiTheme="majorBidi" w:hAnsiTheme="majorBidi" w:cstheme="majorBidi"/>
        </w:rPr>
        <w:t xml:space="preserve">and </w:t>
      </w:r>
      <w:r w:rsidR="00600B4D">
        <w:rPr>
          <w:rFonts w:asciiTheme="majorBidi" w:hAnsiTheme="majorBidi" w:cstheme="majorBidi"/>
        </w:rPr>
        <w:t xml:space="preserve">the </w:t>
      </w:r>
      <w:r w:rsidRPr="00956EED">
        <w:rPr>
          <w:rFonts w:asciiTheme="majorBidi" w:hAnsiTheme="majorBidi" w:cstheme="majorBidi"/>
        </w:rPr>
        <w:t>background (</w:t>
      </w:r>
      <w:r w:rsidR="00632513">
        <w:rPr>
          <w:rFonts w:asciiTheme="majorBidi" w:hAnsiTheme="majorBidi" w:cstheme="majorBidi"/>
        </w:rPr>
        <w:t>that is,</w:t>
      </w:r>
      <w:r w:rsidR="00C854E2">
        <w:rPr>
          <w:rFonts w:asciiTheme="majorBidi" w:hAnsiTheme="majorBidi" w:cstheme="majorBidi"/>
        </w:rPr>
        <w:t xml:space="preserve"> </w:t>
      </w:r>
      <w:r w:rsidRPr="00956EED">
        <w:rPr>
          <w:rFonts w:asciiTheme="majorBidi" w:hAnsiTheme="majorBidi" w:cstheme="majorBidi"/>
        </w:rPr>
        <w:t xml:space="preserve">non-lights) </w:t>
      </w:r>
      <w:r w:rsidR="00C854E2">
        <w:rPr>
          <w:rFonts w:asciiTheme="majorBidi" w:hAnsiTheme="majorBidi" w:cstheme="majorBidi"/>
        </w:rPr>
        <w:t xml:space="preserve">is set </w:t>
      </w:r>
      <w:r w:rsidRPr="00956EED">
        <w:rPr>
          <w:rFonts w:asciiTheme="majorBidi" w:hAnsiTheme="majorBidi" w:cstheme="majorBidi"/>
        </w:rPr>
        <w:t>to zero.</w:t>
      </w:r>
      <w:r w:rsidR="000A5474">
        <w:rPr>
          <w:rFonts w:asciiTheme="majorBidi" w:hAnsiTheme="majorBidi" w:cstheme="majorBidi"/>
        </w:rPr>
        <w:t xml:space="preserve"> The data are </w:t>
      </w:r>
      <w:r w:rsidRPr="00956EED">
        <w:rPr>
          <w:rFonts w:asciiTheme="majorBidi" w:hAnsiTheme="majorBidi" w:cstheme="majorBidi"/>
        </w:rPr>
        <w:t>radiance</w:t>
      </w:r>
      <w:r w:rsidR="000A5474">
        <w:rPr>
          <w:rFonts w:asciiTheme="majorBidi" w:hAnsiTheme="majorBidi" w:cstheme="majorBidi"/>
        </w:rPr>
        <w:t xml:space="preserve"> values </w:t>
      </w:r>
      <w:r w:rsidR="00AB72C3">
        <w:rPr>
          <w:rFonts w:asciiTheme="majorBidi" w:hAnsiTheme="majorBidi" w:cstheme="majorBidi"/>
        </w:rPr>
        <w:t>in units of</w:t>
      </w:r>
      <w:r w:rsidR="000A5474">
        <w:rPr>
          <w:rFonts w:asciiTheme="majorBidi" w:hAnsiTheme="majorBidi" w:cstheme="majorBidi"/>
        </w:rPr>
        <w:t xml:space="preserve"> nano Watts per </w:t>
      </w:r>
      <w:r w:rsidR="00AB72C3">
        <w:rPr>
          <w:rFonts w:asciiTheme="majorBidi" w:hAnsiTheme="majorBidi" w:cstheme="majorBidi"/>
        </w:rPr>
        <w:t xml:space="preserve">square </w:t>
      </w:r>
      <w:r w:rsidR="00C854E2">
        <w:rPr>
          <w:rFonts w:asciiTheme="majorBidi" w:hAnsiTheme="majorBidi" w:cstheme="majorBidi"/>
        </w:rPr>
        <w:t xml:space="preserve">cm </w:t>
      </w:r>
      <w:r w:rsidR="00AB72C3">
        <w:rPr>
          <w:rFonts w:asciiTheme="majorBidi" w:hAnsiTheme="majorBidi" w:cstheme="majorBidi"/>
        </w:rPr>
        <w:t xml:space="preserve">per </w:t>
      </w:r>
      <w:r w:rsidR="00AB72C3" w:rsidRPr="00AB72C3">
        <w:rPr>
          <w:rFonts w:asciiTheme="majorBidi" w:hAnsiTheme="majorBidi" w:cstheme="majorBidi"/>
        </w:rPr>
        <w:t>steradian</w:t>
      </w:r>
      <w:r w:rsidR="002858B5">
        <w:rPr>
          <w:rFonts w:asciiTheme="majorBidi" w:hAnsiTheme="majorBidi" w:cstheme="majorBidi"/>
        </w:rPr>
        <w:t xml:space="preserve"> (</w:t>
      </w:r>
      <w:proofErr w:type="spellStart"/>
      <w:r w:rsidR="002858B5">
        <w:rPr>
          <w:rFonts w:asciiTheme="majorBidi" w:hAnsiTheme="majorBidi" w:cstheme="majorBidi"/>
        </w:rPr>
        <w:t>nanoWatt</w:t>
      </w:r>
      <w:proofErr w:type="spellEnd"/>
      <w:r w:rsidR="002858B5">
        <w:rPr>
          <w:rFonts w:asciiTheme="majorBidi" w:hAnsiTheme="majorBidi" w:cstheme="majorBidi"/>
        </w:rPr>
        <w:t>/cm</w:t>
      </w:r>
      <w:r w:rsidR="002858B5">
        <w:rPr>
          <w:rFonts w:asciiTheme="majorBidi" w:hAnsiTheme="majorBidi" w:cstheme="majorBidi"/>
          <w:vertAlign w:val="superscript"/>
        </w:rPr>
        <w:t>2</w:t>
      </w:r>
      <w:r w:rsidR="002858B5">
        <w:rPr>
          <w:rFonts w:asciiTheme="majorBidi" w:hAnsiTheme="majorBidi" w:cstheme="majorBidi"/>
        </w:rPr>
        <w:t>/</w:t>
      </w:r>
      <w:proofErr w:type="spellStart"/>
      <w:r w:rsidR="002858B5">
        <w:rPr>
          <w:rFonts w:asciiTheme="majorBidi" w:hAnsiTheme="majorBidi" w:cstheme="majorBidi"/>
        </w:rPr>
        <w:t>sr</w:t>
      </w:r>
      <w:proofErr w:type="spellEnd"/>
      <w:r w:rsidR="002858B5">
        <w:rPr>
          <w:rFonts w:asciiTheme="majorBidi" w:hAnsiTheme="majorBidi" w:cstheme="majorBidi"/>
        </w:rPr>
        <w:t xml:space="preserve">) and range from zero to about </w:t>
      </w:r>
      <w:r w:rsidR="002858B5" w:rsidRPr="00DD2768">
        <w:rPr>
          <w:rFonts w:asciiTheme="majorBidi" w:hAnsiTheme="majorBidi" w:cstheme="majorBidi"/>
        </w:rPr>
        <w:t>1600</w:t>
      </w:r>
      <w:r w:rsidR="00C854E2" w:rsidRPr="00DD2768">
        <w:rPr>
          <w:rFonts w:asciiTheme="majorBidi" w:hAnsiTheme="majorBidi" w:cstheme="majorBidi"/>
        </w:rPr>
        <w:t xml:space="preserve"> for</w:t>
      </w:r>
      <w:r w:rsidR="00C854E2">
        <w:rPr>
          <w:rFonts w:asciiTheme="majorBidi" w:hAnsiTheme="majorBidi" w:cstheme="majorBidi"/>
        </w:rPr>
        <w:t xml:space="preserve"> Indonesia</w:t>
      </w:r>
      <w:r w:rsidRPr="00956EED">
        <w:rPr>
          <w:rFonts w:asciiTheme="majorBidi" w:hAnsiTheme="majorBidi" w:cstheme="majorBidi"/>
        </w:rPr>
        <w:t>.</w:t>
      </w:r>
    </w:p>
    <w:p w:rsidR="00632513" w:rsidRDefault="00632513" w:rsidP="00BA4001">
      <w:pPr>
        <w:spacing w:after="0" w:line="288" w:lineRule="auto"/>
        <w:ind w:firstLine="720"/>
        <w:jc w:val="both"/>
      </w:pPr>
    </w:p>
    <w:p w:rsidR="00956EED" w:rsidRDefault="007E3C3D" w:rsidP="00BA4001">
      <w:pPr>
        <w:spacing w:after="0" w:line="288" w:lineRule="auto"/>
        <w:ind w:firstLine="720"/>
        <w:jc w:val="both"/>
      </w:pPr>
      <w:r>
        <w:t xml:space="preserve">The second data source is DMSP </w:t>
      </w:r>
      <w:r w:rsidR="002858B5">
        <w:t>an</w:t>
      </w:r>
      <w:r w:rsidR="00C37ADB">
        <w:t>nual composites for 2011 and 2012</w:t>
      </w:r>
      <w:r>
        <w:t>, also from NOAA</w:t>
      </w:r>
      <w:r w:rsidR="002858B5">
        <w:t xml:space="preserve"> (</w:t>
      </w:r>
      <w:r w:rsidR="004D5979">
        <w:t xml:space="preserve">for example, </w:t>
      </w:r>
      <w:r w:rsidR="00C37ADB">
        <w:t xml:space="preserve">for 2012 the </w:t>
      </w:r>
      <w:r>
        <w:t xml:space="preserve">file is </w:t>
      </w:r>
      <w:r w:rsidR="002858B5">
        <w:t>F182012_</w:t>
      </w:r>
      <w:r w:rsidR="002858B5" w:rsidRPr="00F47606">
        <w:t>v4b_stable_lights.avg_vis.tif</w:t>
      </w:r>
      <w:r w:rsidR="002858B5">
        <w:t>)</w:t>
      </w:r>
      <w:r>
        <w:t xml:space="preserve">. </w:t>
      </w:r>
      <w:r w:rsidR="00184EBC">
        <w:t>The F18 satellite providing these images has a 4-year time series starting in 2010. A feature</w:t>
      </w:r>
      <w:r w:rsidR="002858B5">
        <w:t xml:space="preserve"> </w:t>
      </w:r>
      <w:r w:rsidR="00184EBC">
        <w:t>of DMSP data is that the first and last year of the time ser</w:t>
      </w:r>
      <w:r w:rsidR="00564EA6">
        <w:t>ies for each satellite often have</w:t>
      </w:r>
      <w:r w:rsidR="00184EBC">
        <w:t xml:space="preserve"> fewer nights whose images contribute to the annual composite</w:t>
      </w:r>
      <w:r w:rsidR="00564EA6">
        <w:t xml:space="preserve"> (Gibson </w:t>
      </w:r>
      <w:r w:rsidR="004D5979" w:rsidRPr="00DB5D7D">
        <w:rPr>
          <w:bCs/>
          <w:i/>
          <w:lang w:val="en-AU"/>
        </w:rPr>
        <w:t>et al.</w:t>
      </w:r>
      <w:r w:rsidR="00564EA6">
        <w:t xml:space="preserve"> 2019), and so we use the middle two years to provide the most reliable annual estimates. This also helps maintain comparability </w:t>
      </w:r>
      <w:r w:rsidR="00564EA6">
        <w:lastRenderedPageBreak/>
        <w:t xml:space="preserve">with the VIIRS data that are also for two years. </w:t>
      </w:r>
      <w:r w:rsidR="00600B4D">
        <w:t xml:space="preserve">The </w:t>
      </w:r>
      <w:r w:rsidR="00564EA6">
        <w:t xml:space="preserve">DMSP </w:t>
      </w:r>
      <w:r w:rsidR="00600B4D">
        <w:t xml:space="preserve">data are digital numbers, </w:t>
      </w:r>
      <w:r w:rsidR="00DD2768">
        <w:t>ranging</w:t>
      </w:r>
      <w:r w:rsidR="00600B4D">
        <w:t xml:space="preserve"> from 0-63</w:t>
      </w:r>
      <w:r w:rsidR="00564EA6">
        <w:t xml:space="preserve">, and </w:t>
      </w:r>
      <w:r w:rsidR="00AC7E1F">
        <w:t>have</w:t>
      </w:r>
      <w:r w:rsidR="00DD2768">
        <w:t xml:space="preserve"> </w:t>
      </w:r>
      <w:r w:rsidR="00564EA6">
        <w:t>no interpretation in terms of radiance values</w:t>
      </w:r>
      <w:r w:rsidR="00600B4D">
        <w:t xml:space="preserve">. </w:t>
      </w:r>
    </w:p>
    <w:p w:rsidR="004D5979" w:rsidRDefault="004D5979" w:rsidP="00BA4001">
      <w:pPr>
        <w:spacing w:after="0" w:line="288" w:lineRule="auto"/>
        <w:ind w:firstLine="720"/>
        <w:jc w:val="both"/>
        <w:rPr>
          <w:rFonts w:asciiTheme="majorBidi" w:hAnsiTheme="majorBidi" w:cstheme="majorBidi"/>
        </w:rPr>
      </w:pPr>
    </w:p>
    <w:p w:rsidR="002858B5" w:rsidRDefault="00C854E2" w:rsidP="00BA4001">
      <w:pPr>
        <w:spacing w:after="0" w:line="288" w:lineRule="auto"/>
        <w:ind w:firstLine="720"/>
        <w:jc w:val="both"/>
        <w:rPr>
          <w:rFonts w:asciiTheme="majorBidi" w:eastAsia="Osaka" w:hAnsiTheme="majorBidi" w:cstheme="majorBidi"/>
          <w:color w:val="000000"/>
          <w:kern w:val="24"/>
        </w:rPr>
      </w:pPr>
      <w:r>
        <w:rPr>
          <w:rFonts w:asciiTheme="majorBidi" w:hAnsiTheme="majorBidi" w:cstheme="majorBidi"/>
        </w:rPr>
        <w:t>The third data source is</w:t>
      </w:r>
      <w:r w:rsidR="009A15CD">
        <w:rPr>
          <w:rFonts w:asciiTheme="majorBidi" w:hAnsiTheme="majorBidi" w:cstheme="majorBidi"/>
        </w:rPr>
        <w:t xml:space="preserve"> </w:t>
      </w:r>
      <w:r w:rsidR="009A15CD" w:rsidRPr="00C67E1E">
        <w:rPr>
          <w:rFonts w:asciiTheme="majorBidi" w:eastAsia="Osaka" w:hAnsiTheme="majorBidi" w:cstheme="majorBidi"/>
          <w:color w:val="000000"/>
          <w:kern w:val="24"/>
        </w:rPr>
        <w:t xml:space="preserve">data on the Gross Regional Domestic Product (GRDP) </w:t>
      </w:r>
      <w:r w:rsidR="009A15CD">
        <w:rPr>
          <w:rFonts w:asciiTheme="majorBidi" w:eastAsia="Osaka" w:hAnsiTheme="majorBidi" w:cstheme="majorBidi"/>
          <w:color w:val="000000"/>
          <w:kern w:val="24"/>
        </w:rPr>
        <w:t>from the Indonesian government’s Central Bureau of Statistics (</w:t>
      </w:r>
      <w:r w:rsidR="009A15CD" w:rsidRPr="00C67E1E">
        <w:rPr>
          <w:rFonts w:asciiTheme="majorBidi" w:eastAsia="Osaka" w:hAnsiTheme="majorBidi" w:cstheme="majorBidi"/>
          <w:color w:val="000000"/>
          <w:kern w:val="24"/>
        </w:rPr>
        <w:t>BPS</w:t>
      </w:r>
      <w:r w:rsidR="009A15CD">
        <w:rPr>
          <w:rFonts w:asciiTheme="majorBidi" w:eastAsia="Osaka" w:hAnsiTheme="majorBidi" w:cstheme="majorBidi"/>
          <w:color w:val="000000"/>
          <w:kern w:val="24"/>
        </w:rPr>
        <w:t>)</w:t>
      </w:r>
      <w:r w:rsidR="009A15CD" w:rsidRPr="00C67E1E">
        <w:rPr>
          <w:rFonts w:asciiTheme="majorBidi" w:eastAsia="Osaka" w:hAnsiTheme="majorBidi" w:cstheme="majorBidi"/>
          <w:color w:val="000000"/>
          <w:kern w:val="24"/>
        </w:rPr>
        <w:t xml:space="preserve">. The BPS </w:t>
      </w:r>
      <w:r w:rsidR="009A15CD">
        <w:rPr>
          <w:rFonts w:asciiTheme="majorBidi" w:eastAsia="Osaka" w:hAnsiTheme="majorBidi" w:cstheme="majorBidi"/>
          <w:color w:val="000000"/>
          <w:kern w:val="24"/>
        </w:rPr>
        <w:t xml:space="preserve">calculate and report </w:t>
      </w:r>
      <w:r w:rsidR="009A15CD" w:rsidRPr="00C67E1E">
        <w:rPr>
          <w:rFonts w:asciiTheme="majorBidi" w:eastAsia="Osaka" w:hAnsiTheme="majorBidi" w:cstheme="majorBidi"/>
          <w:color w:val="000000"/>
          <w:kern w:val="24"/>
        </w:rPr>
        <w:t xml:space="preserve">GRDP at both the provincial </w:t>
      </w:r>
      <w:r w:rsidR="009A15CD">
        <w:rPr>
          <w:rFonts w:asciiTheme="majorBidi" w:eastAsia="Osaka" w:hAnsiTheme="majorBidi" w:cstheme="majorBidi"/>
          <w:color w:val="000000"/>
          <w:kern w:val="24"/>
        </w:rPr>
        <w:t xml:space="preserve">level, </w:t>
      </w:r>
      <w:r w:rsidR="009A15CD" w:rsidRPr="00C67E1E">
        <w:rPr>
          <w:rFonts w:asciiTheme="majorBidi" w:eastAsia="Osaka" w:hAnsiTheme="majorBidi" w:cstheme="majorBidi"/>
          <w:color w:val="000000"/>
          <w:kern w:val="24"/>
        </w:rPr>
        <w:t xml:space="preserve">and </w:t>
      </w:r>
      <w:r w:rsidR="009A15CD">
        <w:rPr>
          <w:rFonts w:asciiTheme="majorBidi" w:eastAsia="Osaka" w:hAnsiTheme="majorBidi" w:cstheme="majorBidi"/>
          <w:color w:val="000000"/>
          <w:kern w:val="24"/>
        </w:rPr>
        <w:t xml:space="preserve">the next level down </w:t>
      </w:r>
      <w:r w:rsidR="009A15CD" w:rsidRPr="00D04BBB">
        <w:rPr>
          <w:rFonts w:asciiTheme="majorBidi" w:eastAsia="Osaka" w:hAnsiTheme="majorBidi" w:cstheme="majorBidi"/>
          <w:color w:val="000000"/>
          <w:kern w:val="24"/>
        </w:rPr>
        <w:t>(</w:t>
      </w:r>
      <w:proofErr w:type="spellStart"/>
      <w:r w:rsidR="009A15CD">
        <w:rPr>
          <w:rFonts w:asciiTheme="majorBidi" w:eastAsia="Osaka" w:hAnsiTheme="majorBidi" w:cstheme="majorBidi"/>
          <w:i/>
          <w:iCs/>
          <w:color w:val="000000"/>
          <w:kern w:val="24"/>
        </w:rPr>
        <w:t>Kabupaten</w:t>
      </w:r>
      <w:proofErr w:type="spellEnd"/>
      <w:r w:rsidR="009A15CD">
        <w:rPr>
          <w:rFonts w:asciiTheme="majorBidi" w:eastAsia="Osaka" w:hAnsiTheme="majorBidi" w:cstheme="majorBidi"/>
          <w:i/>
          <w:iCs/>
          <w:color w:val="000000"/>
          <w:kern w:val="24"/>
        </w:rPr>
        <w:t>/Kota</w:t>
      </w:r>
      <w:r w:rsidR="009A15CD" w:rsidRPr="00D04BBB">
        <w:rPr>
          <w:rFonts w:asciiTheme="majorBidi" w:eastAsia="Osaka" w:hAnsiTheme="majorBidi" w:cstheme="majorBidi"/>
          <w:color w:val="000000"/>
          <w:kern w:val="24"/>
        </w:rPr>
        <w:t>)</w:t>
      </w:r>
      <w:r w:rsidR="009A15CD" w:rsidRPr="00C67E1E">
        <w:rPr>
          <w:rFonts w:asciiTheme="majorBidi" w:eastAsia="Osaka" w:hAnsiTheme="majorBidi" w:cstheme="majorBidi"/>
          <w:color w:val="000000"/>
          <w:kern w:val="24"/>
        </w:rPr>
        <w:t xml:space="preserve">. The data for provincial-level GRDP are available from 1975 onwards, whereas </w:t>
      </w:r>
      <w:r w:rsidR="00D04BBB">
        <w:rPr>
          <w:rFonts w:asciiTheme="majorBidi" w:eastAsia="Osaka" w:hAnsiTheme="majorBidi" w:cstheme="majorBidi"/>
          <w:color w:val="000000"/>
          <w:kern w:val="24"/>
        </w:rPr>
        <w:t xml:space="preserve">those </w:t>
      </w:r>
      <w:r w:rsidR="009A15CD">
        <w:rPr>
          <w:rFonts w:asciiTheme="majorBidi" w:eastAsia="Osaka" w:hAnsiTheme="majorBidi" w:cstheme="majorBidi"/>
          <w:color w:val="000000"/>
          <w:kern w:val="24"/>
        </w:rPr>
        <w:t xml:space="preserve">for </w:t>
      </w:r>
      <w:r w:rsidR="009A15CD" w:rsidRPr="00C67E1E">
        <w:rPr>
          <w:rFonts w:asciiTheme="majorBidi" w:eastAsia="Osaka" w:hAnsiTheme="majorBidi" w:cstheme="majorBidi"/>
          <w:color w:val="000000"/>
          <w:kern w:val="24"/>
        </w:rPr>
        <w:t xml:space="preserve">the </w:t>
      </w:r>
      <w:r w:rsidR="009A15CD">
        <w:rPr>
          <w:rFonts w:asciiTheme="majorBidi" w:eastAsia="Osaka" w:hAnsiTheme="majorBidi" w:cstheme="majorBidi"/>
          <w:color w:val="000000"/>
          <w:kern w:val="24"/>
        </w:rPr>
        <w:t xml:space="preserve">second sub-national level </w:t>
      </w:r>
      <w:r w:rsidR="00D04BBB">
        <w:rPr>
          <w:rFonts w:asciiTheme="majorBidi" w:eastAsia="Osaka" w:hAnsiTheme="majorBidi" w:cstheme="majorBidi"/>
          <w:color w:val="000000"/>
          <w:kern w:val="24"/>
        </w:rPr>
        <w:t xml:space="preserve">that we use </w:t>
      </w:r>
      <w:r w:rsidR="009A15CD" w:rsidRPr="00C67E1E">
        <w:rPr>
          <w:rFonts w:asciiTheme="majorBidi" w:eastAsia="Osaka" w:hAnsiTheme="majorBidi" w:cstheme="majorBidi"/>
          <w:color w:val="000000"/>
          <w:kern w:val="24"/>
        </w:rPr>
        <w:t xml:space="preserve">are available only from 1993 onwards. For the purpose of this paper, we utilize the GRDP data from </w:t>
      </w:r>
      <w:r w:rsidR="00935460">
        <w:rPr>
          <w:rFonts w:asciiTheme="majorBidi" w:eastAsia="Osaka" w:hAnsiTheme="majorBidi" w:cstheme="majorBidi"/>
          <w:color w:val="000000"/>
          <w:kern w:val="24"/>
        </w:rPr>
        <w:t>2011-2016, that</w:t>
      </w:r>
      <w:r w:rsidR="009A15CD">
        <w:rPr>
          <w:rFonts w:asciiTheme="majorBidi" w:eastAsia="Osaka" w:hAnsiTheme="majorBidi" w:cstheme="majorBidi"/>
          <w:color w:val="000000"/>
          <w:kern w:val="24"/>
        </w:rPr>
        <w:t xml:space="preserve"> are in </w:t>
      </w:r>
      <w:r w:rsidR="00935460">
        <w:rPr>
          <w:rFonts w:asciiTheme="majorBidi" w:eastAsia="Osaka" w:hAnsiTheme="majorBidi" w:cstheme="majorBidi"/>
          <w:color w:val="000000"/>
          <w:kern w:val="24"/>
        </w:rPr>
        <w:t xml:space="preserve">spatially and temporally </w:t>
      </w:r>
      <w:r w:rsidR="009A15CD">
        <w:rPr>
          <w:rFonts w:asciiTheme="majorBidi" w:eastAsia="Osaka" w:hAnsiTheme="majorBidi" w:cstheme="majorBidi"/>
          <w:color w:val="000000"/>
          <w:kern w:val="24"/>
        </w:rPr>
        <w:t>real terms</w:t>
      </w:r>
      <w:r w:rsidR="00D04BBB">
        <w:rPr>
          <w:rFonts w:asciiTheme="majorBidi" w:eastAsia="Osaka" w:hAnsiTheme="majorBidi" w:cstheme="majorBidi"/>
          <w:color w:val="000000"/>
          <w:kern w:val="24"/>
        </w:rPr>
        <w:t>,</w:t>
      </w:r>
      <w:r w:rsidR="009A15CD">
        <w:rPr>
          <w:rFonts w:asciiTheme="majorBidi" w:eastAsia="Osaka" w:hAnsiTheme="majorBidi" w:cstheme="majorBidi"/>
          <w:color w:val="000000"/>
          <w:kern w:val="24"/>
        </w:rPr>
        <w:t xml:space="preserve"> </w:t>
      </w:r>
      <w:r w:rsidR="003D5D8A">
        <w:rPr>
          <w:rFonts w:asciiTheme="majorBidi" w:eastAsia="Osaka" w:hAnsiTheme="majorBidi" w:cstheme="majorBidi"/>
          <w:color w:val="000000"/>
          <w:kern w:val="24"/>
        </w:rPr>
        <w:t xml:space="preserve">and use </w:t>
      </w:r>
      <w:r w:rsidR="009A15CD">
        <w:rPr>
          <w:rFonts w:asciiTheme="majorBidi" w:eastAsia="Osaka" w:hAnsiTheme="majorBidi" w:cstheme="majorBidi"/>
          <w:color w:val="000000"/>
          <w:kern w:val="24"/>
        </w:rPr>
        <w:t xml:space="preserve">a 2010 base. </w:t>
      </w:r>
    </w:p>
    <w:p w:rsidR="004D5979" w:rsidRDefault="004D5979" w:rsidP="00BA4001">
      <w:pPr>
        <w:spacing w:after="0" w:line="288" w:lineRule="auto"/>
        <w:ind w:firstLine="720"/>
        <w:jc w:val="both"/>
        <w:rPr>
          <w:rFonts w:asciiTheme="majorBidi" w:hAnsiTheme="majorBidi" w:cstheme="majorBidi"/>
          <w:shd w:val="clear" w:color="auto" w:fill="FFFF00"/>
        </w:rPr>
      </w:pPr>
    </w:p>
    <w:p w:rsidR="009C54B6" w:rsidRDefault="009C54B6" w:rsidP="00BA4001">
      <w:pPr>
        <w:spacing w:after="0" w:line="288" w:lineRule="auto"/>
        <w:ind w:firstLine="720"/>
        <w:jc w:val="both"/>
      </w:pPr>
      <w:r>
        <w:t xml:space="preserve">In preparing the data for econometric analysis, we had to deal with 17 </w:t>
      </w:r>
      <w:proofErr w:type="spellStart"/>
      <w:r w:rsidRPr="009C54B6">
        <w:rPr>
          <w:i/>
          <w:iCs/>
        </w:rPr>
        <w:t>Kabupaten</w:t>
      </w:r>
      <w:proofErr w:type="spellEnd"/>
      <w:r>
        <w:t xml:space="preserve"> in 2011, and those same 17 plus three more in 2012, where no light was detected by the DMSP sensors. These areas are in the most sparsely populated eastern provinces of Indonesia. Two of these </w:t>
      </w:r>
      <w:proofErr w:type="spellStart"/>
      <w:r>
        <w:rPr>
          <w:i/>
          <w:iCs/>
        </w:rPr>
        <w:t>Kabupaten</w:t>
      </w:r>
      <w:proofErr w:type="spellEnd"/>
      <w:r>
        <w:t xml:space="preserve"> also had no light detected by VIIRS in 2015, with two more undetected in 2016. We therefore used the inverse-hyperbolic-sine transformation</w:t>
      </w:r>
      <w:r w:rsidR="004A1E78">
        <w:t xml:space="preserve"> for the lights data</w:t>
      </w:r>
      <w:r>
        <w:t>, which is identical to using logarithms for the non-zero observa</w:t>
      </w:r>
      <w:r w:rsidR="003965EC">
        <w:t>tions, but also lets us use</w:t>
      </w:r>
      <w:r w:rsidR="003D5D8A">
        <w:t xml:space="preserve"> those with</w:t>
      </w:r>
      <w:r>
        <w:t xml:space="preserve"> zeros without resorting to transformations like adding one to all values before logging</w:t>
      </w:r>
      <w:r w:rsidR="00AC7E1F">
        <w:t xml:space="preserve"> (Gibson et al, 2017)</w:t>
      </w:r>
      <w:r>
        <w:t xml:space="preserve">. We use logs of the real GDP values, so that our </w:t>
      </w:r>
      <w:r w:rsidR="00AC7E1F">
        <w:t xml:space="preserve">regression coefficients can be interpreted </w:t>
      </w:r>
      <w:r>
        <w:t>as elastici</w:t>
      </w:r>
      <w:r w:rsidR="004A1E78">
        <w:t>ties (noting that the</w:t>
      </w:r>
      <w:r>
        <w:t xml:space="preserve"> </w:t>
      </w:r>
      <w:r w:rsidR="003D5D8A">
        <w:t>units of the DMSP data</w:t>
      </w:r>
      <w:r>
        <w:t xml:space="preserve"> – DN values – are not comparable to the VIIRS radiance units</w:t>
      </w:r>
      <w:r w:rsidR="004A1E78">
        <w:t xml:space="preserve"> so we need to use unit-free elasticities</w:t>
      </w:r>
      <w:r>
        <w:t>).</w:t>
      </w:r>
    </w:p>
    <w:p w:rsidR="00DB5D7D" w:rsidRPr="009C54B6" w:rsidRDefault="00DB5D7D" w:rsidP="00BA4001">
      <w:pPr>
        <w:spacing w:after="0" w:line="288" w:lineRule="auto"/>
        <w:ind w:firstLine="720"/>
        <w:jc w:val="both"/>
        <w:rPr>
          <w:rFonts w:asciiTheme="majorBidi" w:hAnsiTheme="majorBidi" w:cstheme="majorBidi"/>
        </w:rPr>
      </w:pPr>
    </w:p>
    <w:p w:rsidR="00A6622D" w:rsidRPr="00F7101D" w:rsidRDefault="00A6622D" w:rsidP="00DB5D7D">
      <w:pPr>
        <w:tabs>
          <w:tab w:val="left" w:pos="426"/>
        </w:tabs>
        <w:spacing w:after="0" w:line="288" w:lineRule="auto"/>
        <w:rPr>
          <w:b/>
        </w:rPr>
      </w:pPr>
      <w:r w:rsidRPr="00F7101D">
        <w:rPr>
          <w:b/>
        </w:rPr>
        <w:t>I</w:t>
      </w:r>
      <w:r w:rsidR="004529B6" w:rsidRPr="00F7101D">
        <w:rPr>
          <w:b/>
        </w:rPr>
        <w:t>V</w:t>
      </w:r>
      <w:r w:rsidRPr="00F7101D">
        <w:rPr>
          <w:b/>
        </w:rPr>
        <w:t>.</w:t>
      </w:r>
      <w:r w:rsidRPr="00F7101D">
        <w:rPr>
          <w:b/>
        </w:rPr>
        <w:tab/>
      </w:r>
      <w:r w:rsidR="00F2581B" w:rsidRPr="00F7101D">
        <w:rPr>
          <w:b/>
        </w:rPr>
        <w:t>Results</w:t>
      </w:r>
    </w:p>
    <w:p w:rsidR="004D5979" w:rsidRPr="004D5979" w:rsidRDefault="004D5979" w:rsidP="00BA4001">
      <w:pPr>
        <w:spacing w:after="0" w:line="288" w:lineRule="auto"/>
        <w:jc w:val="both"/>
        <w:rPr>
          <w:rFonts w:asciiTheme="majorBidi" w:hAnsiTheme="majorBidi" w:cstheme="majorBidi"/>
          <w:sz w:val="8"/>
          <w:szCs w:val="8"/>
        </w:rPr>
      </w:pPr>
    </w:p>
    <w:p w:rsidR="00041814" w:rsidRDefault="00933E9A" w:rsidP="00BA4001">
      <w:pPr>
        <w:spacing w:after="0" w:line="288" w:lineRule="auto"/>
        <w:jc w:val="both"/>
        <w:rPr>
          <w:rFonts w:asciiTheme="majorBidi" w:hAnsiTheme="majorBidi" w:cstheme="majorBidi"/>
        </w:rPr>
      </w:pPr>
      <w:r w:rsidRPr="0030131B">
        <w:rPr>
          <w:rFonts w:asciiTheme="majorBidi" w:hAnsiTheme="majorBidi" w:cstheme="majorBidi"/>
        </w:rPr>
        <w:t>The</w:t>
      </w:r>
      <w:r w:rsidR="0030131B" w:rsidRPr="0030131B">
        <w:rPr>
          <w:rFonts w:asciiTheme="majorBidi" w:hAnsiTheme="majorBidi" w:cstheme="majorBidi"/>
        </w:rPr>
        <w:t>re is no statistically significant relationship between DMSP</w:t>
      </w:r>
      <w:r w:rsidRPr="0030131B">
        <w:rPr>
          <w:rFonts w:asciiTheme="majorBidi" w:hAnsiTheme="majorBidi" w:cstheme="majorBidi"/>
        </w:rPr>
        <w:t xml:space="preserve"> </w:t>
      </w:r>
      <w:r w:rsidR="0030131B" w:rsidRPr="0030131B">
        <w:rPr>
          <w:rFonts w:asciiTheme="majorBidi" w:hAnsiTheme="majorBidi" w:cstheme="majorBidi"/>
        </w:rPr>
        <w:t xml:space="preserve">data on night lights and real GDP for </w:t>
      </w:r>
      <w:r w:rsidR="00041814">
        <w:rPr>
          <w:rFonts w:asciiTheme="majorBidi" w:hAnsiTheme="majorBidi" w:cstheme="majorBidi"/>
        </w:rPr>
        <w:t xml:space="preserve">the 497 </w:t>
      </w:r>
      <w:r w:rsidR="0030131B" w:rsidRPr="0030131B">
        <w:rPr>
          <w:rFonts w:asciiTheme="majorBidi" w:hAnsiTheme="majorBidi" w:cstheme="majorBidi"/>
        </w:rPr>
        <w:t xml:space="preserve">regions at Indonesia’s second sub-national level, with an </w:t>
      </w:r>
      <w:r w:rsidRPr="0030131B">
        <w:rPr>
          <w:rFonts w:asciiTheme="majorBidi" w:hAnsiTheme="majorBidi" w:cstheme="majorBidi"/>
        </w:rPr>
        <w:t xml:space="preserve">elasticity of </w:t>
      </w:r>
      <w:r w:rsidR="0030131B" w:rsidRPr="0030131B">
        <w:rPr>
          <w:rFonts w:asciiTheme="majorBidi" w:hAnsiTheme="majorBidi" w:cstheme="majorBidi"/>
        </w:rPr>
        <w:t xml:space="preserve">-0.059 </w:t>
      </w:r>
      <w:r w:rsidR="0030131B">
        <w:rPr>
          <w:rFonts w:asciiTheme="majorBidi" w:hAnsiTheme="majorBidi" w:cstheme="majorBidi"/>
        </w:rPr>
        <w:t xml:space="preserve">from the pooled regression </w:t>
      </w:r>
      <w:r w:rsidR="009C54B6">
        <w:rPr>
          <w:rFonts w:asciiTheme="majorBidi" w:hAnsiTheme="majorBidi" w:cstheme="majorBidi"/>
        </w:rPr>
        <w:t xml:space="preserve">that is </w:t>
      </w:r>
      <w:r w:rsidR="0030131B">
        <w:rPr>
          <w:rFonts w:asciiTheme="majorBidi" w:hAnsiTheme="majorBidi" w:cstheme="majorBidi"/>
        </w:rPr>
        <w:t>surrounded by a wide standard error (Table 1). The same result holds in a purely cross-sectional, year-by-year analysis</w:t>
      </w:r>
      <w:r w:rsidR="00041814">
        <w:rPr>
          <w:rFonts w:asciiTheme="majorBidi" w:hAnsiTheme="majorBidi" w:cstheme="majorBidi"/>
        </w:rPr>
        <w:t>, where the elasticities are -0.081 and -0.039</w:t>
      </w:r>
      <w:r w:rsidR="0030131B">
        <w:rPr>
          <w:rFonts w:asciiTheme="majorBidi" w:hAnsiTheme="majorBidi" w:cstheme="majorBidi"/>
        </w:rPr>
        <w:t>. In contrast,</w:t>
      </w:r>
      <w:r w:rsidR="00041814">
        <w:rPr>
          <w:rFonts w:asciiTheme="majorBidi" w:hAnsiTheme="majorBidi" w:cstheme="majorBidi"/>
        </w:rPr>
        <w:t xml:space="preserve"> </w:t>
      </w:r>
      <w:r w:rsidR="00AC7E1F">
        <w:rPr>
          <w:rFonts w:asciiTheme="majorBidi" w:hAnsiTheme="majorBidi" w:cstheme="majorBidi"/>
        </w:rPr>
        <w:t xml:space="preserve">using </w:t>
      </w:r>
      <w:r w:rsidR="0030131B">
        <w:rPr>
          <w:rFonts w:asciiTheme="majorBidi" w:hAnsiTheme="majorBidi" w:cstheme="majorBidi"/>
        </w:rPr>
        <w:t>VIIRS data</w:t>
      </w:r>
      <w:r w:rsidR="00AC7E1F">
        <w:rPr>
          <w:rFonts w:asciiTheme="majorBidi" w:hAnsiTheme="majorBidi" w:cstheme="majorBidi"/>
        </w:rPr>
        <w:t xml:space="preserve"> gives</w:t>
      </w:r>
      <w:r w:rsidR="0030131B">
        <w:rPr>
          <w:rFonts w:asciiTheme="majorBidi" w:hAnsiTheme="majorBidi" w:cstheme="majorBidi"/>
        </w:rPr>
        <w:t xml:space="preserve"> precisely estimated elasticities of between 0.17 and 0.18</w:t>
      </w:r>
      <w:r w:rsidR="00041814">
        <w:rPr>
          <w:rFonts w:asciiTheme="majorBidi" w:hAnsiTheme="majorBidi" w:cstheme="majorBidi"/>
        </w:rPr>
        <w:t xml:space="preserve"> when using </w:t>
      </w:r>
      <w:r w:rsidR="009C54B6">
        <w:rPr>
          <w:rFonts w:asciiTheme="majorBidi" w:hAnsiTheme="majorBidi" w:cstheme="majorBidi"/>
        </w:rPr>
        <w:t xml:space="preserve">the night </w:t>
      </w:r>
      <w:r w:rsidR="00041814">
        <w:rPr>
          <w:rFonts w:asciiTheme="majorBidi" w:hAnsiTheme="majorBidi" w:cstheme="majorBidi"/>
        </w:rPr>
        <w:t xml:space="preserve">lights to predict </w:t>
      </w:r>
      <w:r w:rsidR="009C54B6">
        <w:rPr>
          <w:rFonts w:asciiTheme="majorBidi" w:hAnsiTheme="majorBidi" w:cstheme="majorBidi"/>
        </w:rPr>
        <w:t xml:space="preserve">real </w:t>
      </w:r>
      <w:r w:rsidR="00041814">
        <w:rPr>
          <w:rFonts w:asciiTheme="majorBidi" w:hAnsiTheme="majorBidi" w:cstheme="majorBidi"/>
        </w:rPr>
        <w:t>regional GDP</w:t>
      </w:r>
      <w:r w:rsidR="0030131B">
        <w:rPr>
          <w:rFonts w:asciiTheme="majorBidi" w:hAnsiTheme="majorBidi" w:cstheme="majorBidi"/>
        </w:rPr>
        <w:t xml:space="preserve">. </w:t>
      </w:r>
    </w:p>
    <w:p w:rsidR="004D5979" w:rsidRDefault="004D5979" w:rsidP="00BA4001">
      <w:pPr>
        <w:spacing w:after="0" w:line="288" w:lineRule="auto"/>
        <w:jc w:val="both"/>
        <w:rPr>
          <w:rFonts w:asciiTheme="majorBidi" w:hAnsiTheme="majorBidi" w:cstheme="majorBidi"/>
        </w:rPr>
      </w:pPr>
    </w:p>
    <w:p w:rsidR="005C6074" w:rsidRDefault="00041814" w:rsidP="00BA4001">
      <w:pPr>
        <w:spacing w:after="0" w:line="288" w:lineRule="auto"/>
        <w:ind w:firstLine="720"/>
        <w:jc w:val="both"/>
        <w:rPr>
          <w:rFonts w:asciiTheme="majorBidi" w:hAnsiTheme="majorBidi" w:cstheme="majorBidi"/>
        </w:rPr>
      </w:pPr>
      <w:r>
        <w:rPr>
          <w:rFonts w:asciiTheme="majorBidi" w:hAnsiTheme="majorBidi" w:cstheme="majorBidi"/>
        </w:rPr>
        <w:t xml:space="preserve">When the regressions are estimated separately for the </w:t>
      </w:r>
      <w:proofErr w:type="spellStart"/>
      <w:r>
        <w:rPr>
          <w:rFonts w:asciiTheme="majorBidi" w:hAnsiTheme="majorBidi" w:cstheme="majorBidi"/>
          <w:i/>
          <w:iCs/>
        </w:rPr>
        <w:t>Kabupaten</w:t>
      </w:r>
      <w:proofErr w:type="spellEnd"/>
      <w:r>
        <w:rPr>
          <w:rFonts w:asciiTheme="majorBidi" w:hAnsiTheme="majorBidi" w:cstheme="majorBidi"/>
          <w:i/>
          <w:iCs/>
        </w:rPr>
        <w:t xml:space="preserve"> </w:t>
      </w:r>
      <w:r>
        <w:rPr>
          <w:rFonts w:asciiTheme="majorBidi" w:hAnsiTheme="majorBidi" w:cstheme="majorBidi"/>
        </w:rPr>
        <w:t xml:space="preserve">(which covers the rural sector and some towns) and the </w:t>
      </w:r>
      <w:r w:rsidRPr="00041814">
        <w:rPr>
          <w:rFonts w:asciiTheme="majorBidi" w:hAnsiTheme="majorBidi" w:cstheme="majorBidi"/>
          <w:i/>
          <w:iCs/>
        </w:rPr>
        <w:t>Kota</w:t>
      </w:r>
      <w:r>
        <w:rPr>
          <w:rFonts w:asciiTheme="majorBidi" w:hAnsiTheme="majorBidi" w:cstheme="majorBidi"/>
        </w:rPr>
        <w:t xml:space="preserve"> (which covers cities) </w:t>
      </w:r>
      <w:r w:rsidR="00AC7E1F">
        <w:rPr>
          <w:rFonts w:asciiTheme="majorBidi" w:hAnsiTheme="majorBidi" w:cstheme="majorBidi"/>
        </w:rPr>
        <w:t xml:space="preserve">it is apparent that the prior results aggregate over very different relationships. For the lower density regions that are administered as </w:t>
      </w:r>
      <w:proofErr w:type="spellStart"/>
      <w:r w:rsidR="00AC7E1F">
        <w:rPr>
          <w:rFonts w:asciiTheme="majorBidi" w:hAnsiTheme="majorBidi" w:cstheme="majorBidi"/>
          <w:i/>
          <w:iCs/>
        </w:rPr>
        <w:t>Kabupaten</w:t>
      </w:r>
      <w:proofErr w:type="spellEnd"/>
      <w:r w:rsidR="00AC7E1F">
        <w:rPr>
          <w:rFonts w:asciiTheme="majorBidi" w:hAnsiTheme="majorBidi" w:cstheme="majorBidi"/>
        </w:rPr>
        <w:t xml:space="preserve">, real GDP is negatively, and statistically significantly, related to DMSP night lights, with an elasticity of -0.11. In contrast, the elasticity for city GDP with respect to DMSP night lights is 0.94 in the pooled regression, or ranges from 0.86 to 1.02 in the year-by-year regressions. This sectoral gap – which reflects </w:t>
      </w:r>
      <w:r w:rsidR="003965EC">
        <w:rPr>
          <w:rFonts w:asciiTheme="majorBidi" w:hAnsiTheme="majorBidi" w:cstheme="majorBidi"/>
        </w:rPr>
        <w:t xml:space="preserve">the sectoral </w:t>
      </w:r>
      <w:r w:rsidR="00AC7E1F">
        <w:rPr>
          <w:rFonts w:asciiTheme="majorBidi" w:hAnsiTheme="majorBidi" w:cstheme="majorBidi"/>
        </w:rPr>
        <w:t xml:space="preserve">differences in density </w:t>
      </w:r>
      <w:r w:rsidR="003965EC">
        <w:rPr>
          <w:rFonts w:asciiTheme="majorBidi" w:hAnsiTheme="majorBidi" w:cstheme="majorBidi"/>
        </w:rPr>
        <w:t xml:space="preserve">of population and economic activity </w:t>
      </w:r>
      <w:r w:rsidR="00AC7E1F">
        <w:rPr>
          <w:rFonts w:asciiTheme="majorBidi" w:hAnsiTheme="majorBidi" w:cstheme="majorBidi"/>
        </w:rPr>
        <w:t xml:space="preserve">– is also seen in the </w:t>
      </w:r>
      <w:r w:rsidR="004A1E78">
        <w:rPr>
          <w:rFonts w:asciiTheme="majorBidi" w:hAnsiTheme="majorBidi" w:cstheme="majorBidi"/>
        </w:rPr>
        <w:t xml:space="preserve">differences in the degree of </w:t>
      </w:r>
      <w:r w:rsidR="00AC7E1F">
        <w:rPr>
          <w:rFonts w:asciiTheme="majorBidi" w:hAnsiTheme="majorBidi" w:cstheme="majorBidi"/>
        </w:rPr>
        <w:t>predictive fit, with the</w:t>
      </w:r>
      <w:r w:rsidR="00933E9A" w:rsidRPr="0030131B">
        <w:rPr>
          <w:rFonts w:asciiTheme="majorBidi" w:hAnsiTheme="majorBidi" w:cstheme="majorBidi"/>
        </w:rPr>
        <w:t xml:space="preserve"> between-</w:t>
      </w:r>
      <w:r w:rsidR="00933E9A" w:rsidRPr="0030131B">
        <w:rPr>
          <w:rFonts w:asciiTheme="majorBidi" w:hAnsiTheme="majorBidi" w:cstheme="majorBidi"/>
          <w:i/>
          <w:iCs/>
        </w:rPr>
        <w:t>R</w:t>
      </w:r>
      <w:r w:rsidR="00933E9A" w:rsidRPr="0030131B">
        <w:rPr>
          <w:rFonts w:asciiTheme="majorBidi" w:hAnsiTheme="majorBidi" w:cstheme="majorBidi"/>
          <w:vertAlign w:val="superscript"/>
        </w:rPr>
        <w:t>2</w:t>
      </w:r>
      <w:r w:rsidR="00933E9A" w:rsidRPr="0030131B">
        <w:rPr>
          <w:rFonts w:asciiTheme="majorBidi" w:hAnsiTheme="majorBidi" w:cstheme="majorBidi"/>
        </w:rPr>
        <w:t xml:space="preserve"> values (which </w:t>
      </w:r>
      <w:r w:rsidR="00AC7E1F">
        <w:rPr>
          <w:rFonts w:asciiTheme="majorBidi" w:hAnsiTheme="majorBidi" w:cstheme="majorBidi"/>
        </w:rPr>
        <w:t xml:space="preserve">greatly exceed </w:t>
      </w:r>
      <w:r w:rsidR="00933E9A" w:rsidRPr="0030131B">
        <w:rPr>
          <w:rFonts w:asciiTheme="majorBidi" w:hAnsiTheme="majorBidi" w:cstheme="majorBidi"/>
        </w:rPr>
        <w:t>within-</w:t>
      </w:r>
      <w:r w:rsidR="00933E9A" w:rsidRPr="0030131B">
        <w:rPr>
          <w:rFonts w:asciiTheme="majorBidi" w:hAnsiTheme="majorBidi" w:cstheme="majorBidi"/>
          <w:i/>
          <w:iCs/>
        </w:rPr>
        <w:t>R</w:t>
      </w:r>
      <w:r w:rsidR="00933E9A" w:rsidRPr="0030131B">
        <w:rPr>
          <w:rFonts w:asciiTheme="majorBidi" w:hAnsiTheme="majorBidi" w:cstheme="majorBidi"/>
          <w:vertAlign w:val="superscript"/>
        </w:rPr>
        <w:t>2</w:t>
      </w:r>
      <w:r w:rsidR="00933E9A" w:rsidRPr="0030131B">
        <w:rPr>
          <w:rFonts w:asciiTheme="majorBidi" w:hAnsiTheme="majorBidi" w:cstheme="majorBidi"/>
        </w:rPr>
        <w:t>, supp</w:t>
      </w:r>
      <w:r w:rsidR="003965EC">
        <w:rPr>
          <w:rFonts w:asciiTheme="majorBidi" w:hAnsiTheme="majorBidi" w:cstheme="majorBidi"/>
        </w:rPr>
        <w:t xml:space="preserve">orting the idea that lights </w:t>
      </w:r>
      <w:r w:rsidR="00AC7E1F">
        <w:rPr>
          <w:rFonts w:asciiTheme="majorBidi" w:hAnsiTheme="majorBidi" w:cstheme="majorBidi"/>
        </w:rPr>
        <w:t xml:space="preserve">better </w:t>
      </w:r>
      <w:r w:rsidR="003965EC">
        <w:rPr>
          <w:rFonts w:asciiTheme="majorBidi" w:hAnsiTheme="majorBidi" w:cstheme="majorBidi"/>
        </w:rPr>
        <w:t>proxy</w:t>
      </w:r>
      <w:r w:rsidR="00933E9A" w:rsidRPr="0030131B">
        <w:rPr>
          <w:rFonts w:asciiTheme="majorBidi" w:hAnsiTheme="majorBidi" w:cstheme="majorBidi"/>
        </w:rPr>
        <w:t xml:space="preserve"> for economic activity in the cross-section than </w:t>
      </w:r>
      <w:r w:rsidR="004A1E78">
        <w:rPr>
          <w:rFonts w:asciiTheme="majorBidi" w:hAnsiTheme="majorBidi" w:cstheme="majorBidi"/>
        </w:rPr>
        <w:t xml:space="preserve">for </w:t>
      </w:r>
      <w:r w:rsidR="00933E9A" w:rsidRPr="0030131B">
        <w:rPr>
          <w:rFonts w:asciiTheme="majorBidi" w:hAnsiTheme="majorBidi" w:cstheme="majorBidi"/>
        </w:rPr>
        <w:t>time-series</w:t>
      </w:r>
      <w:r w:rsidR="004A1E78">
        <w:rPr>
          <w:rFonts w:asciiTheme="majorBidi" w:hAnsiTheme="majorBidi" w:cstheme="majorBidi"/>
        </w:rPr>
        <w:t xml:space="preserve"> changes</w:t>
      </w:r>
      <w:r w:rsidR="00933E9A" w:rsidRPr="0030131B">
        <w:rPr>
          <w:rFonts w:asciiTheme="majorBidi" w:hAnsiTheme="majorBidi" w:cstheme="majorBidi"/>
        </w:rPr>
        <w:t xml:space="preserve">) </w:t>
      </w:r>
      <w:r w:rsidR="00AC7E1F">
        <w:rPr>
          <w:rFonts w:asciiTheme="majorBidi" w:hAnsiTheme="majorBidi" w:cstheme="majorBidi"/>
        </w:rPr>
        <w:t xml:space="preserve">much </w:t>
      </w:r>
      <w:r w:rsidR="00933E9A" w:rsidRPr="0030131B">
        <w:rPr>
          <w:rFonts w:asciiTheme="majorBidi" w:hAnsiTheme="majorBidi" w:cstheme="majorBidi"/>
        </w:rPr>
        <w:t xml:space="preserve">higher for the urban </w:t>
      </w:r>
      <w:r w:rsidR="00AC7E1F" w:rsidRPr="00AC7E1F">
        <w:rPr>
          <w:rFonts w:asciiTheme="majorBidi" w:hAnsiTheme="majorBidi" w:cstheme="majorBidi"/>
          <w:i/>
          <w:iCs/>
        </w:rPr>
        <w:t>Kota</w:t>
      </w:r>
      <w:r w:rsidR="00AC7E1F">
        <w:rPr>
          <w:rFonts w:asciiTheme="majorBidi" w:hAnsiTheme="majorBidi" w:cstheme="majorBidi"/>
        </w:rPr>
        <w:t xml:space="preserve"> </w:t>
      </w:r>
      <w:r w:rsidR="00933E9A" w:rsidRPr="0030131B">
        <w:rPr>
          <w:rFonts w:asciiTheme="majorBidi" w:hAnsiTheme="majorBidi" w:cstheme="majorBidi"/>
        </w:rPr>
        <w:t>than for the</w:t>
      </w:r>
      <w:r w:rsidR="00AC7E1F">
        <w:rPr>
          <w:rFonts w:asciiTheme="majorBidi" w:hAnsiTheme="majorBidi" w:cstheme="majorBidi"/>
        </w:rPr>
        <w:t xml:space="preserve"> </w:t>
      </w:r>
      <w:r w:rsidR="00714DA8">
        <w:rPr>
          <w:rFonts w:asciiTheme="majorBidi" w:hAnsiTheme="majorBidi" w:cstheme="majorBidi"/>
        </w:rPr>
        <w:t xml:space="preserve">more rural </w:t>
      </w:r>
      <w:proofErr w:type="spellStart"/>
      <w:r w:rsidR="00AC7E1F" w:rsidRPr="00AC7E1F">
        <w:rPr>
          <w:rFonts w:asciiTheme="majorBidi" w:hAnsiTheme="majorBidi" w:cstheme="majorBidi"/>
          <w:i/>
          <w:iCs/>
        </w:rPr>
        <w:t>Kabupaten</w:t>
      </w:r>
      <w:proofErr w:type="spellEnd"/>
      <w:r w:rsidR="00933E9A" w:rsidRPr="0030131B">
        <w:rPr>
          <w:rFonts w:asciiTheme="majorBidi" w:hAnsiTheme="majorBidi" w:cstheme="majorBidi"/>
        </w:rPr>
        <w:t xml:space="preserve">. </w:t>
      </w:r>
    </w:p>
    <w:p w:rsidR="00840E44" w:rsidRDefault="00840E44" w:rsidP="00504D66">
      <w:pPr>
        <w:spacing w:after="80"/>
        <w:jc w:val="center"/>
        <w:rPr>
          <w:rFonts w:eastAsia="Times New Roman"/>
          <w:b/>
          <w:sz w:val="22"/>
          <w:szCs w:val="22"/>
        </w:rPr>
        <w:sectPr w:rsidR="00840E44" w:rsidSect="00C2074F">
          <w:footerReference w:type="default" r:id="rId7"/>
          <w:footerReference w:type="first" r:id="rId8"/>
          <w:type w:val="continuous"/>
          <w:pgSz w:w="11906" w:h="16838" w:code="9"/>
          <w:pgMar w:top="1440" w:right="1440" w:bottom="1440" w:left="1440" w:header="709" w:footer="709" w:gutter="0"/>
          <w:pgNumType w:start="1"/>
          <w:cols w:space="708"/>
          <w:titlePg/>
          <w:docGrid w:linePitch="360"/>
        </w:sectPr>
      </w:pPr>
    </w:p>
    <w:tbl>
      <w:tblPr>
        <w:tblStyle w:val="TableGrid"/>
        <w:tblW w:w="13948" w:type="dxa"/>
        <w:tblLook w:val="04A0" w:firstRow="1" w:lastRow="0" w:firstColumn="1" w:lastColumn="0" w:noHBand="0" w:noVBand="1"/>
      </w:tblPr>
      <w:tblGrid>
        <w:gridCol w:w="3146"/>
        <w:gridCol w:w="1744"/>
        <w:gridCol w:w="1743"/>
        <w:gridCol w:w="1744"/>
        <w:gridCol w:w="340"/>
        <w:gridCol w:w="1744"/>
        <w:gridCol w:w="1743"/>
        <w:gridCol w:w="1744"/>
      </w:tblGrid>
      <w:tr w:rsidR="00840E44" w:rsidTr="00504D66">
        <w:tc>
          <w:tcPr>
            <w:tcW w:w="13948" w:type="dxa"/>
            <w:gridSpan w:val="8"/>
            <w:tcBorders>
              <w:top w:val="nil"/>
              <w:left w:val="nil"/>
              <w:bottom w:val="single" w:sz="4" w:space="0" w:color="auto"/>
              <w:right w:val="nil"/>
            </w:tcBorders>
          </w:tcPr>
          <w:p w:rsidR="005061B0" w:rsidRDefault="00840E44" w:rsidP="0039338D">
            <w:pPr>
              <w:spacing w:after="40"/>
              <w:jc w:val="center"/>
              <w:rPr>
                <w:rFonts w:eastAsia="Times New Roman"/>
                <w:b/>
                <w:sz w:val="22"/>
                <w:szCs w:val="22"/>
              </w:rPr>
            </w:pPr>
            <w:r w:rsidRPr="00D004B8">
              <w:rPr>
                <w:rFonts w:eastAsia="Times New Roman"/>
                <w:b/>
                <w:sz w:val="22"/>
                <w:szCs w:val="22"/>
              </w:rPr>
              <w:lastRenderedPageBreak/>
              <w:t xml:space="preserve">Table 1: The Predictive Power of Night Lights for Regional GDP </w:t>
            </w:r>
          </w:p>
          <w:p w:rsidR="00840E44" w:rsidRPr="00D004B8" w:rsidRDefault="00840E44" w:rsidP="0039338D">
            <w:pPr>
              <w:spacing w:after="40"/>
              <w:jc w:val="center"/>
              <w:rPr>
                <w:rFonts w:eastAsia="Times New Roman"/>
                <w:b/>
                <w:sz w:val="22"/>
                <w:szCs w:val="22"/>
              </w:rPr>
            </w:pPr>
            <w:r w:rsidRPr="00D004B8">
              <w:rPr>
                <w:rFonts w:eastAsia="Times New Roman"/>
                <w:b/>
                <w:sz w:val="22"/>
                <w:szCs w:val="22"/>
              </w:rPr>
              <w:t>is much higher with VIIRS than with DMSP and is much higher for Cities</w:t>
            </w:r>
          </w:p>
        </w:tc>
      </w:tr>
      <w:tr w:rsidR="00840E44" w:rsidTr="00504D66">
        <w:trPr>
          <w:trHeight w:val="23"/>
        </w:trPr>
        <w:tc>
          <w:tcPr>
            <w:tcW w:w="3146" w:type="dxa"/>
            <w:tcBorders>
              <w:top w:val="single" w:sz="4" w:space="0" w:color="auto"/>
              <w:left w:val="nil"/>
              <w:bottom w:val="nil"/>
              <w:right w:val="nil"/>
            </w:tcBorders>
          </w:tcPr>
          <w:p w:rsidR="00840E44" w:rsidRPr="00D004B8" w:rsidRDefault="00840E44" w:rsidP="00504D66">
            <w:pPr>
              <w:spacing w:before="20" w:after="20"/>
              <w:jc w:val="right"/>
              <w:rPr>
                <w:rFonts w:eastAsia="Times New Roman"/>
                <w:bCs/>
                <w:sz w:val="22"/>
                <w:szCs w:val="22"/>
              </w:rPr>
            </w:pPr>
          </w:p>
        </w:tc>
        <w:tc>
          <w:tcPr>
            <w:tcW w:w="5231" w:type="dxa"/>
            <w:gridSpan w:val="3"/>
            <w:tcBorders>
              <w:top w:val="single" w:sz="4" w:space="0" w:color="auto"/>
              <w:left w:val="nil"/>
              <w:bottom w:val="nil"/>
              <w:right w:val="nil"/>
            </w:tcBorders>
          </w:tcPr>
          <w:p w:rsidR="00840E44" w:rsidRPr="00D004B8" w:rsidRDefault="00840E44" w:rsidP="00504D66">
            <w:pPr>
              <w:spacing w:before="20" w:after="20"/>
              <w:jc w:val="center"/>
              <w:rPr>
                <w:rFonts w:eastAsia="Times New Roman"/>
                <w:bCs/>
                <w:sz w:val="22"/>
                <w:szCs w:val="22"/>
              </w:rPr>
            </w:pPr>
            <w:r w:rsidRPr="00D004B8">
              <w:rPr>
                <w:rFonts w:eastAsia="Times New Roman"/>
                <w:bCs/>
                <w:sz w:val="22"/>
                <w:szCs w:val="22"/>
              </w:rPr>
              <w:t>DMSP ‘stable lights’ for 2011 and 2012</w:t>
            </w:r>
          </w:p>
        </w:tc>
        <w:tc>
          <w:tcPr>
            <w:tcW w:w="340" w:type="dxa"/>
            <w:tcBorders>
              <w:top w:val="single" w:sz="4" w:space="0" w:color="auto"/>
              <w:left w:val="nil"/>
              <w:bottom w:val="nil"/>
              <w:right w:val="nil"/>
            </w:tcBorders>
          </w:tcPr>
          <w:p w:rsidR="00840E44" w:rsidRPr="00D004B8" w:rsidRDefault="00840E44" w:rsidP="00504D66">
            <w:pPr>
              <w:spacing w:before="20" w:after="20"/>
              <w:jc w:val="right"/>
              <w:rPr>
                <w:rFonts w:eastAsia="Times New Roman"/>
                <w:bCs/>
                <w:sz w:val="22"/>
                <w:szCs w:val="22"/>
              </w:rPr>
            </w:pPr>
          </w:p>
        </w:tc>
        <w:tc>
          <w:tcPr>
            <w:tcW w:w="5231" w:type="dxa"/>
            <w:gridSpan w:val="3"/>
            <w:tcBorders>
              <w:top w:val="single" w:sz="4" w:space="0" w:color="auto"/>
              <w:left w:val="nil"/>
              <w:bottom w:val="nil"/>
              <w:right w:val="nil"/>
            </w:tcBorders>
          </w:tcPr>
          <w:p w:rsidR="00840E44" w:rsidRPr="00D004B8" w:rsidRDefault="00840E44" w:rsidP="00504D66">
            <w:pPr>
              <w:spacing w:before="20" w:after="20"/>
              <w:jc w:val="center"/>
              <w:rPr>
                <w:rFonts w:eastAsia="Times New Roman"/>
                <w:bCs/>
                <w:sz w:val="22"/>
                <w:szCs w:val="22"/>
              </w:rPr>
            </w:pPr>
            <w:r w:rsidRPr="00D004B8">
              <w:rPr>
                <w:rFonts w:eastAsia="Times New Roman"/>
                <w:bCs/>
                <w:sz w:val="22"/>
                <w:szCs w:val="22"/>
              </w:rPr>
              <w:t>VIIRS Annual Composites for 2015 and 2016</w:t>
            </w:r>
          </w:p>
        </w:tc>
      </w:tr>
      <w:tr w:rsidR="00840E44" w:rsidTr="00504D66">
        <w:trPr>
          <w:trHeight w:val="23"/>
        </w:trPr>
        <w:tc>
          <w:tcPr>
            <w:tcW w:w="3146" w:type="dxa"/>
            <w:tcBorders>
              <w:top w:val="nil"/>
              <w:left w:val="nil"/>
              <w:bottom w:val="nil"/>
              <w:right w:val="nil"/>
            </w:tcBorders>
          </w:tcPr>
          <w:p w:rsidR="00840E44" w:rsidRPr="00D004B8" w:rsidRDefault="00840E44" w:rsidP="00504D66">
            <w:pPr>
              <w:jc w:val="right"/>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jc w:val="center"/>
              <w:rPr>
                <w:rFonts w:eastAsia="Times New Roman"/>
                <w:bCs/>
                <w:sz w:val="22"/>
                <w:szCs w:val="22"/>
              </w:rPr>
            </w:pPr>
            <w:r w:rsidRPr="00D004B8">
              <w:rPr>
                <w:rFonts w:eastAsia="Times New Roman"/>
                <w:bCs/>
                <w:sz w:val="22"/>
                <w:szCs w:val="22"/>
              </w:rPr>
              <w:t>All spatial units</w:t>
            </w:r>
          </w:p>
          <w:p w:rsidR="00840E44" w:rsidRPr="00D004B8" w:rsidRDefault="00840E44" w:rsidP="00504D66">
            <w:pPr>
              <w:jc w:val="center"/>
              <w:rPr>
                <w:rFonts w:eastAsia="Times New Roman"/>
                <w:bCs/>
                <w:sz w:val="22"/>
                <w:szCs w:val="22"/>
              </w:rPr>
            </w:pPr>
            <w:r w:rsidRPr="00D004B8">
              <w:rPr>
                <w:rFonts w:eastAsia="Times New Roman"/>
                <w:bCs/>
                <w:sz w:val="22"/>
                <w:szCs w:val="22"/>
              </w:rPr>
              <w:t xml:space="preserve">(Urban &amp; </w:t>
            </w:r>
            <w:r w:rsidR="00074037">
              <w:rPr>
                <w:rFonts w:eastAsia="Times New Roman"/>
                <w:bCs/>
                <w:sz w:val="22"/>
                <w:szCs w:val="22"/>
              </w:rPr>
              <w:t>R</w:t>
            </w:r>
            <w:r w:rsidRPr="00D004B8">
              <w:rPr>
                <w:rFonts w:eastAsia="Times New Roman"/>
                <w:bCs/>
                <w:sz w:val="22"/>
                <w:szCs w:val="22"/>
              </w:rPr>
              <w:t>ural)</w:t>
            </w:r>
          </w:p>
        </w:tc>
        <w:tc>
          <w:tcPr>
            <w:tcW w:w="1743" w:type="dxa"/>
            <w:tcBorders>
              <w:top w:val="nil"/>
              <w:left w:val="nil"/>
              <w:bottom w:val="nil"/>
              <w:right w:val="nil"/>
            </w:tcBorders>
          </w:tcPr>
          <w:p w:rsidR="00840E44" w:rsidRPr="005E0E16" w:rsidRDefault="00840E44" w:rsidP="00504D66">
            <w:pPr>
              <w:jc w:val="center"/>
              <w:rPr>
                <w:rFonts w:eastAsia="Times New Roman"/>
                <w:bCs/>
                <w:i/>
                <w:iCs/>
                <w:sz w:val="22"/>
                <w:szCs w:val="22"/>
              </w:rPr>
            </w:pPr>
            <w:proofErr w:type="spellStart"/>
            <w:r w:rsidRPr="005E0E16">
              <w:rPr>
                <w:rFonts w:eastAsia="Times New Roman"/>
                <w:bCs/>
                <w:i/>
                <w:iCs/>
                <w:sz w:val="22"/>
                <w:szCs w:val="22"/>
              </w:rPr>
              <w:t>Kabupaten</w:t>
            </w:r>
            <w:proofErr w:type="spellEnd"/>
          </w:p>
          <w:p w:rsidR="00840E44" w:rsidRPr="00D004B8" w:rsidRDefault="00840E44" w:rsidP="00504D66">
            <w:pPr>
              <w:jc w:val="center"/>
              <w:rPr>
                <w:rFonts w:eastAsia="Times New Roman"/>
                <w:bCs/>
                <w:sz w:val="22"/>
                <w:szCs w:val="22"/>
              </w:rPr>
            </w:pPr>
            <w:r w:rsidRPr="00D004B8">
              <w:rPr>
                <w:rFonts w:eastAsia="Times New Roman"/>
                <w:bCs/>
                <w:sz w:val="22"/>
                <w:szCs w:val="22"/>
              </w:rPr>
              <w:t xml:space="preserve">(Mainly </w:t>
            </w:r>
            <w:r w:rsidR="00074037">
              <w:rPr>
                <w:rFonts w:eastAsia="Times New Roman"/>
                <w:bCs/>
                <w:sz w:val="22"/>
                <w:szCs w:val="22"/>
              </w:rPr>
              <w:t>R</w:t>
            </w:r>
            <w:r w:rsidRPr="00D004B8">
              <w:rPr>
                <w:rFonts w:eastAsia="Times New Roman"/>
                <w:bCs/>
                <w:sz w:val="22"/>
                <w:szCs w:val="22"/>
              </w:rPr>
              <w:t>ural)</w:t>
            </w:r>
          </w:p>
        </w:tc>
        <w:tc>
          <w:tcPr>
            <w:tcW w:w="1744" w:type="dxa"/>
            <w:tcBorders>
              <w:top w:val="nil"/>
              <w:left w:val="nil"/>
              <w:bottom w:val="nil"/>
              <w:right w:val="nil"/>
            </w:tcBorders>
          </w:tcPr>
          <w:p w:rsidR="00840E44" w:rsidRPr="005E0E16" w:rsidRDefault="00840E44" w:rsidP="00504D66">
            <w:pPr>
              <w:jc w:val="center"/>
              <w:rPr>
                <w:rFonts w:eastAsia="Times New Roman"/>
                <w:bCs/>
                <w:i/>
                <w:iCs/>
                <w:sz w:val="22"/>
                <w:szCs w:val="22"/>
              </w:rPr>
            </w:pPr>
            <w:r w:rsidRPr="005E0E16">
              <w:rPr>
                <w:rFonts w:eastAsia="Times New Roman"/>
                <w:bCs/>
                <w:i/>
                <w:iCs/>
                <w:sz w:val="22"/>
                <w:szCs w:val="22"/>
              </w:rPr>
              <w:t>Kota</w:t>
            </w:r>
          </w:p>
          <w:p w:rsidR="00840E44" w:rsidRPr="00D004B8" w:rsidRDefault="00840E44" w:rsidP="00504D66">
            <w:pPr>
              <w:jc w:val="center"/>
              <w:rPr>
                <w:rFonts w:eastAsia="Times New Roman"/>
                <w:bCs/>
                <w:sz w:val="22"/>
                <w:szCs w:val="22"/>
              </w:rPr>
            </w:pPr>
            <w:r w:rsidRPr="00D004B8">
              <w:rPr>
                <w:rFonts w:eastAsia="Times New Roman"/>
                <w:bCs/>
                <w:sz w:val="22"/>
                <w:szCs w:val="22"/>
              </w:rPr>
              <w:t>(Cities)</w:t>
            </w:r>
          </w:p>
        </w:tc>
        <w:tc>
          <w:tcPr>
            <w:tcW w:w="340" w:type="dxa"/>
            <w:tcBorders>
              <w:top w:val="nil"/>
              <w:left w:val="nil"/>
              <w:bottom w:val="nil"/>
              <w:right w:val="nil"/>
            </w:tcBorders>
          </w:tcPr>
          <w:p w:rsidR="00840E44" w:rsidRPr="00D004B8" w:rsidRDefault="00840E44" w:rsidP="00504D66">
            <w:pPr>
              <w:jc w:val="right"/>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jc w:val="center"/>
              <w:rPr>
                <w:rFonts w:eastAsia="Times New Roman"/>
                <w:bCs/>
                <w:sz w:val="22"/>
                <w:szCs w:val="22"/>
              </w:rPr>
            </w:pPr>
            <w:r w:rsidRPr="00D004B8">
              <w:rPr>
                <w:rFonts w:eastAsia="Times New Roman"/>
                <w:bCs/>
                <w:sz w:val="22"/>
                <w:szCs w:val="22"/>
              </w:rPr>
              <w:t>All spatial units</w:t>
            </w:r>
          </w:p>
          <w:p w:rsidR="00840E44" w:rsidRPr="00D004B8" w:rsidRDefault="00840E44" w:rsidP="00504D66">
            <w:pPr>
              <w:jc w:val="center"/>
              <w:rPr>
                <w:rFonts w:eastAsia="Times New Roman"/>
                <w:bCs/>
                <w:sz w:val="22"/>
                <w:szCs w:val="22"/>
              </w:rPr>
            </w:pPr>
            <w:r w:rsidRPr="00D004B8">
              <w:rPr>
                <w:rFonts w:eastAsia="Times New Roman"/>
                <w:bCs/>
                <w:sz w:val="22"/>
                <w:szCs w:val="22"/>
              </w:rPr>
              <w:t xml:space="preserve">(Urban &amp; </w:t>
            </w:r>
            <w:r w:rsidR="00074037">
              <w:rPr>
                <w:rFonts w:eastAsia="Times New Roman"/>
                <w:bCs/>
                <w:sz w:val="22"/>
                <w:szCs w:val="22"/>
              </w:rPr>
              <w:t>R</w:t>
            </w:r>
            <w:r w:rsidRPr="00D004B8">
              <w:rPr>
                <w:rFonts w:eastAsia="Times New Roman"/>
                <w:bCs/>
                <w:sz w:val="22"/>
                <w:szCs w:val="22"/>
              </w:rPr>
              <w:t>ural)</w:t>
            </w:r>
          </w:p>
        </w:tc>
        <w:tc>
          <w:tcPr>
            <w:tcW w:w="1743" w:type="dxa"/>
            <w:tcBorders>
              <w:top w:val="nil"/>
              <w:left w:val="nil"/>
              <w:bottom w:val="nil"/>
              <w:right w:val="nil"/>
            </w:tcBorders>
          </w:tcPr>
          <w:p w:rsidR="00840E44" w:rsidRPr="005E0E16" w:rsidRDefault="00840E44" w:rsidP="00504D66">
            <w:pPr>
              <w:jc w:val="center"/>
              <w:rPr>
                <w:rFonts w:eastAsia="Times New Roman"/>
                <w:bCs/>
                <w:i/>
                <w:iCs/>
                <w:sz w:val="22"/>
                <w:szCs w:val="22"/>
              </w:rPr>
            </w:pPr>
            <w:proofErr w:type="spellStart"/>
            <w:r w:rsidRPr="005E0E16">
              <w:rPr>
                <w:rFonts w:eastAsia="Times New Roman"/>
                <w:bCs/>
                <w:i/>
                <w:iCs/>
                <w:sz w:val="22"/>
                <w:szCs w:val="22"/>
              </w:rPr>
              <w:t>Kabupaten</w:t>
            </w:r>
            <w:proofErr w:type="spellEnd"/>
          </w:p>
          <w:p w:rsidR="00840E44" w:rsidRPr="00D004B8" w:rsidRDefault="00840E44" w:rsidP="00504D66">
            <w:pPr>
              <w:jc w:val="center"/>
              <w:rPr>
                <w:rFonts w:eastAsia="Times New Roman"/>
                <w:bCs/>
                <w:sz w:val="22"/>
                <w:szCs w:val="22"/>
              </w:rPr>
            </w:pPr>
            <w:r w:rsidRPr="00D004B8">
              <w:rPr>
                <w:rFonts w:eastAsia="Times New Roman"/>
                <w:bCs/>
                <w:sz w:val="22"/>
                <w:szCs w:val="22"/>
              </w:rPr>
              <w:t xml:space="preserve">(Mainly </w:t>
            </w:r>
            <w:r w:rsidR="00074037">
              <w:rPr>
                <w:rFonts w:eastAsia="Times New Roman"/>
                <w:bCs/>
                <w:sz w:val="22"/>
                <w:szCs w:val="22"/>
              </w:rPr>
              <w:t>R</w:t>
            </w:r>
            <w:r w:rsidRPr="00D004B8">
              <w:rPr>
                <w:rFonts w:eastAsia="Times New Roman"/>
                <w:bCs/>
                <w:sz w:val="22"/>
                <w:szCs w:val="22"/>
              </w:rPr>
              <w:t>ural)</w:t>
            </w:r>
          </w:p>
        </w:tc>
        <w:tc>
          <w:tcPr>
            <w:tcW w:w="1744" w:type="dxa"/>
            <w:tcBorders>
              <w:top w:val="nil"/>
              <w:left w:val="nil"/>
              <w:bottom w:val="nil"/>
              <w:right w:val="nil"/>
            </w:tcBorders>
          </w:tcPr>
          <w:p w:rsidR="00840E44" w:rsidRPr="005E0E16" w:rsidRDefault="00840E44" w:rsidP="00504D66">
            <w:pPr>
              <w:jc w:val="center"/>
              <w:rPr>
                <w:rFonts w:eastAsia="Times New Roman"/>
                <w:bCs/>
                <w:i/>
                <w:iCs/>
                <w:sz w:val="22"/>
                <w:szCs w:val="22"/>
              </w:rPr>
            </w:pPr>
            <w:r w:rsidRPr="005E0E16">
              <w:rPr>
                <w:rFonts w:eastAsia="Times New Roman"/>
                <w:bCs/>
                <w:i/>
                <w:iCs/>
                <w:sz w:val="22"/>
                <w:szCs w:val="22"/>
              </w:rPr>
              <w:t>Kota</w:t>
            </w:r>
          </w:p>
          <w:p w:rsidR="00840E44" w:rsidRPr="00D004B8" w:rsidRDefault="00840E44" w:rsidP="00504D66">
            <w:pPr>
              <w:jc w:val="center"/>
              <w:rPr>
                <w:rFonts w:eastAsia="Times New Roman"/>
                <w:bCs/>
                <w:sz w:val="22"/>
                <w:szCs w:val="22"/>
              </w:rPr>
            </w:pPr>
            <w:r w:rsidRPr="00D004B8">
              <w:rPr>
                <w:rFonts w:eastAsia="Times New Roman"/>
                <w:bCs/>
                <w:sz w:val="22"/>
                <w:szCs w:val="22"/>
              </w:rPr>
              <w:t>(Cities)</w:t>
            </w:r>
          </w:p>
        </w:tc>
      </w:tr>
      <w:tr w:rsidR="00840E44" w:rsidRPr="001E0F73" w:rsidTr="00504D66">
        <w:trPr>
          <w:trHeight w:val="23"/>
        </w:trPr>
        <w:tc>
          <w:tcPr>
            <w:tcW w:w="3146" w:type="dxa"/>
            <w:tcBorders>
              <w:top w:val="nil"/>
              <w:left w:val="nil"/>
              <w:bottom w:val="nil"/>
              <w:right w:val="nil"/>
            </w:tcBorders>
          </w:tcPr>
          <w:p w:rsidR="00840E44" w:rsidRPr="00D004B8" w:rsidRDefault="00840E44" w:rsidP="00504D66">
            <w:pPr>
              <w:rPr>
                <w:rFonts w:eastAsia="Times New Roman"/>
                <w:bCs/>
                <w:sz w:val="22"/>
                <w:szCs w:val="22"/>
              </w:rPr>
            </w:pPr>
          </w:p>
        </w:tc>
        <w:tc>
          <w:tcPr>
            <w:tcW w:w="1744" w:type="dxa"/>
            <w:tcBorders>
              <w:top w:val="nil"/>
              <w:left w:val="nil"/>
              <w:bottom w:val="single" w:sz="4" w:space="0" w:color="auto"/>
              <w:right w:val="nil"/>
            </w:tcBorders>
          </w:tcPr>
          <w:p w:rsidR="00840E44" w:rsidRPr="00D004B8" w:rsidRDefault="00840E44" w:rsidP="00504D66">
            <w:pPr>
              <w:jc w:val="right"/>
              <w:rPr>
                <w:rFonts w:eastAsia="Times New Roman"/>
                <w:bCs/>
                <w:sz w:val="22"/>
                <w:szCs w:val="22"/>
              </w:rPr>
            </w:pPr>
          </w:p>
        </w:tc>
        <w:tc>
          <w:tcPr>
            <w:tcW w:w="1743" w:type="dxa"/>
            <w:tcBorders>
              <w:top w:val="nil"/>
              <w:left w:val="nil"/>
              <w:bottom w:val="single" w:sz="4" w:space="0" w:color="auto"/>
              <w:right w:val="nil"/>
            </w:tcBorders>
          </w:tcPr>
          <w:p w:rsidR="00840E44" w:rsidRPr="00D004B8" w:rsidRDefault="00840E44" w:rsidP="00504D66">
            <w:pPr>
              <w:jc w:val="right"/>
              <w:rPr>
                <w:rFonts w:eastAsia="Times New Roman"/>
                <w:bCs/>
                <w:sz w:val="22"/>
                <w:szCs w:val="22"/>
              </w:rPr>
            </w:pPr>
          </w:p>
        </w:tc>
        <w:tc>
          <w:tcPr>
            <w:tcW w:w="1744" w:type="dxa"/>
            <w:tcBorders>
              <w:top w:val="nil"/>
              <w:left w:val="nil"/>
              <w:bottom w:val="single" w:sz="4" w:space="0" w:color="auto"/>
              <w:right w:val="nil"/>
            </w:tcBorders>
          </w:tcPr>
          <w:p w:rsidR="00840E44" w:rsidRPr="00D004B8" w:rsidRDefault="00840E44" w:rsidP="00504D66">
            <w:pPr>
              <w:jc w:val="right"/>
              <w:rPr>
                <w:rFonts w:eastAsia="Times New Roman"/>
                <w:bCs/>
                <w:sz w:val="22"/>
                <w:szCs w:val="22"/>
              </w:rPr>
            </w:pPr>
          </w:p>
        </w:tc>
        <w:tc>
          <w:tcPr>
            <w:tcW w:w="340" w:type="dxa"/>
            <w:tcBorders>
              <w:top w:val="nil"/>
              <w:left w:val="nil"/>
              <w:bottom w:val="nil"/>
              <w:right w:val="nil"/>
            </w:tcBorders>
          </w:tcPr>
          <w:p w:rsidR="00840E44" w:rsidRPr="00D004B8" w:rsidRDefault="00840E44" w:rsidP="00504D66">
            <w:pPr>
              <w:jc w:val="right"/>
              <w:rPr>
                <w:rFonts w:eastAsia="Times New Roman"/>
                <w:bCs/>
                <w:sz w:val="22"/>
                <w:szCs w:val="22"/>
              </w:rPr>
            </w:pPr>
          </w:p>
        </w:tc>
        <w:tc>
          <w:tcPr>
            <w:tcW w:w="1744" w:type="dxa"/>
            <w:tcBorders>
              <w:top w:val="nil"/>
              <w:left w:val="nil"/>
              <w:bottom w:val="single" w:sz="4" w:space="0" w:color="auto"/>
              <w:right w:val="nil"/>
            </w:tcBorders>
          </w:tcPr>
          <w:p w:rsidR="00840E44" w:rsidRPr="00D004B8" w:rsidRDefault="00840E44" w:rsidP="00504D66">
            <w:pPr>
              <w:jc w:val="right"/>
              <w:rPr>
                <w:rFonts w:eastAsia="Times New Roman"/>
                <w:bCs/>
                <w:sz w:val="22"/>
                <w:szCs w:val="22"/>
              </w:rPr>
            </w:pPr>
          </w:p>
        </w:tc>
        <w:tc>
          <w:tcPr>
            <w:tcW w:w="1743" w:type="dxa"/>
            <w:tcBorders>
              <w:top w:val="nil"/>
              <w:left w:val="nil"/>
              <w:bottom w:val="single" w:sz="4" w:space="0" w:color="auto"/>
              <w:right w:val="nil"/>
            </w:tcBorders>
          </w:tcPr>
          <w:p w:rsidR="00840E44" w:rsidRPr="00D004B8" w:rsidRDefault="00840E44" w:rsidP="00504D66">
            <w:pPr>
              <w:jc w:val="right"/>
              <w:rPr>
                <w:rFonts w:eastAsia="Times New Roman"/>
                <w:bCs/>
                <w:sz w:val="22"/>
                <w:szCs w:val="22"/>
              </w:rPr>
            </w:pPr>
          </w:p>
        </w:tc>
        <w:tc>
          <w:tcPr>
            <w:tcW w:w="1744" w:type="dxa"/>
            <w:tcBorders>
              <w:top w:val="nil"/>
              <w:left w:val="nil"/>
              <w:bottom w:val="single" w:sz="4" w:space="0" w:color="auto"/>
              <w:right w:val="nil"/>
            </w:tcBorders>
          </w:tcPr>
          <w:p w:rsidR="00840E44" w:rsidRPr="00D004B8" w:rsidRDefault="00840E44" w:rsidP="00504D66">
            <w:pPr>
              <w:jc w:val="right"/>
              <w:rPr>
                <w:rFonts w:eastAsia="Times New Roman"/>
                <w:bCs/>
                <w:sz w:val="22"/>
                <w:szCs w:val="22"/>
              </w:rPr>
            </w:pPr>
          </w:p>
        </w:tc>
      </w:tr>
      <w:tr w:rsidR="00840E44" w:rsidTr="00504D66">
        <w:trPr>
          <w:trHeight w:val="23"/>
        </w:trPr>
        <w:tc>
          <w:tcPr>
            <w:tcW w:w="3146" w:type="dxa"/>
            <w:tcBorders>
              <w:top w:val="nil"/>
              <w:left w:val="nil"/>
              <w:bottom w:val="nil"/>
              <w:right w:val="nil"/>
            </w:tcBorders>
          </w:tcPr>
          <w:p w:rsidR="00840E44" w:rsidRPr="00D004B8" w:rsidRDefault="00840E44" w:rsidP="00504D66">
            <w:pPr>
              <w:rPr>
                <w:rFonts w:eastAsia="Times New Roman"/>
                <w:bCs/>
                <w:i/>
                <w:iCs/>
                <w:sz w:val="22"/>
                <w:szCs w:val="22"/>
              </w:rPr>
            </w:pPr>
            <w:r w:rsidRPr="00D004B8">
              <w:rPr>
                <w:rFonts w:eastAsia="Times New Roman"/>
                <w:bCs/>
                <w:i/>
                <w:iCs/>
                <w:sz w:val="22"/>
                <w:szCs w:val="22"/>
              </w:rPr>
              <w:t>Pooled regressions</w:t>
            </w:r>
          </w:p>
        </w:tc>
        <w:tc>
          <w:tcPr>
            <w:tcW w:w="1744" w:type="dxa"/>
            <w:tcBorders>
              <w:top w:val="single" w:sz="4" w:space="0" w:color="auto"/>
              <w:left w:val="nil"/>
              <w:bottom w:val="nil"/>
              <w:right w:val="nil"/>
            </w:tcBorders>
          </w:tcPr>
          <w:p w:rsidR="00840E44" w:rsidRPr="00D004B8" w:rsidRDefault="00840E44" w:rsidP="00504D66">
            <w:pPr>
              <w:jc w:val="right"/>
              <w:rPr>
                <w:rFonts w:eastAsia="Times New Roman"/>
                <w:bCs/>
                <w:sz w:val="22"/>
                <w:szCs w:val="22"/>
              </w:rPr>
            </w:pPr>
          </w:p>
        </w:tc>
        <w:tc>
          <w:tcPr>
            <w:tcW w:w="1743" w:type="dxa"/>
            <w:tcBorders>
              <w:top w:val="single" w:sz="4" w:space="0" w:color="auto"/>
              <w:left w:val="nil"/>
              <w:bottom w:val="nil"/>
              <w:right w:val="nil"/>
            </w:tcBorders>
          </w:tcPr>
          <w:p w:rsidR="00840E44" w:rsidRPr="00D004B8" w:rsidRDefault="00840E44" w:rsidP="00504D66">
            <w:pPr>
              <w:jc w:val="right"/>
              <w:rPr>
                <w:rFonts w:eastAsia="Times New Roman"/>
                <w:bCs/>
                <w:sz w:val="22"/>
                <w:szCs w:val="22"/>
              </w:rPr>
            </w:pPr>
          </w:p>
        </w:tc>
        <w:tc>
          <w:tcPr>
            <w:tcW w:w="1744" w:type="dxa"/>
            <w:tcBorders>
              <w:top w:val="single" w:sz="4" w:space="0" w:color="auto"/>
              <w:left w:val="nil"/>
              <w:bottom w:val="nil"/>
              <w:right w:val="nil"/>
            </w:tcBorders>
          </w:tcPr>
          <w:p w:rsidR="00840E44" w:rsidRPr="00D004B8" w:rsidRDefault="00840E44" w:rsidP="00504D66">
            <w:pPr>
              <w:jc w:val="right"/>
              <w:rPr>
                <w:rFonts w:eastAsia="Times New Roman"/>
                <w:bCs/>
                <w:sz w:val="22"/>
                <w:szCs w:val="22"/>
              </w:rPr>
            </w:pPr>
          </w:p>
        </w:tc>
        <w:tc>
          <w:tcPr>
            <w:tcW w:w="340" w:type="dxa"/>
            <w:tcBorders>
              <w:top w:val="nil"/>
              <w:left w:val="nil"/>
              <w:bottom w:val="nil"/>
              <w:right w:val="nil"/>
            </w:tcBorders>
          </w:tcPr>
          <w:p w:rsidR="00840E44" w:rsidRPr="00D004B8" w:rsidRDefault="00840E44" w:rsidP="00504D66">
            <w:pPr>
              <w:jc w:val="right"/>
              <w:rPr>
                <w:rFonts w:eastAsia="Times New Roman"/>
                <w:bCs/>
                <w:sz w:val="22"/>
                <w:szCs w:val="22"/>
              </w:rPr>
            </w:pPr>
          </w:p>
        </w:tc>
        <w:tc>
          <w:tcPr>
            <w:tcW w:w="1744" w:type="dxa"/>
            <w:tcBorders>
              <w:top w:val="single" w:sz="4" w:space="0" w:color="auto"/>
              <w:left w:val="nil"/>
              <w:bottom w:val="nil"/>
              <w:right w:val="nil"/>
            </w:tcBorders>
          </w:tcPr>
          <w:p w:rsidR="00840E44" w:rsidRPr="00D004B8" w:rsidRDefault="00840E44" w:rsidP="00504D66">
            <w:pPr>
              <w:jc w:val="right"/>
              <w:rPr>
                <w:rFonts w:eastAsia="Times New Roman"/>
                <w:bCs/>
                <w:sz w:val="22"/>
                <w:szCs w:val="22"/>
              </w:rPr>
            </w:pPr>
          </w:p>
        </w:tc>
        <w:tc>
          <w:tcPr>
            <w:tcW w:w="1743" w:type="dxa"/>
            <w:tcBorders>
              <w:top w:val="single" w:sz="4" w:space="0" w:color="auto"/>
              <w:left w:val="nil"/>
              <w:bottom w:val="nil"/>
              <w:right w:val="nil"/>
            </w:tcBorders>
          </w:tcPr>
          <w:p w:rsidR="00840E44" w:rsidRPr="00D004B8" w:rsidRDefault="00840E44" w:rsidP="00504D66">
            <w:pPr>
              <w:jc w:val="right"/>
              <w:rPr>
                <w:rFonts w:eastAsia="Times New Roman"/>
                <w:bCs/>
                <w:sz w:val="22"/>
                <w:szCs w:val="22"/>
              </w:rPr>
            </w:pPr>
          </w:p>
        </w:tc>
        <w:tc>
          <w:tcPr>
            <w:tcW w:w="1744" w:type="dxa"/>
            <w:tcBorders>
              <w:top w:val="single" w:sz="4" w:space="0" w:color="auto"/>
              <w:left w:val="nil"/>
              <w:bottom w:val="nil"/>
              <w:right w:val="nil"/>
            </w:tcBorders>
          </w:tcPr>
          <w:p w:rsidR="00840E44" w:rsidRPr="00D004B8" w:rsidRDefault="00840E44" w:rsidP="00504D66">
            <w:pPr>
              <w:jc w:val="right"/>
              <w:rPr>
                <w:rFonts w:eastAsia="Times New Roman"/>
                <w:bCs/>
                <w:sz w:val="22"/>
                <w:szCs w:val="22"/>
              </w:rPr>
            </w:pPr>
          </w:p>
        </w:tc>
      </w:tr>
      <w:tr w:rsidR="00840E44" w:rsidTr="00504D66">
        <w:trPr>
          <w:trHeight w:val="23"/>
        </w:trPr>
        <w:tc>
          <w:tcPr>
            <w:tcW w:w="3146" w:type="dxa"/>
            <w:tcBorders>
              <w:top w:val="nil"/>
              <w:left w:val="nil"/>
              <w:bottom w:val="nil"/>
              <w:right w:val="nil"/>
            </w:tcBorders>
          </w:tcPr>
          <w:p w:rsidR="00840E44" w:rsidRPr="00D004B8" w:rsidRDefault="00840E44" w:rsidP="00504D66">
            <w:pPr>
              <w:rPr>
                <w:rFonts w:eastAsia="Times New Roman"/>
                <w:bCs/>
                <w:sz w:val="22"/>
                <w:szCs w:val="22"/>
                <w:vertAlign w:val="subscript"/>
              </w:rPr>
            </w:pPr>
            <w:r w:rsidRPr="00D004B8">
              <w:rPr>
                <w:rFonts w:eastAsia="Times New Roman"/>
                <w:bCs/>
                <w:sz w:val="22"/>
                <w:szCs w:val="22"/>
              </w:rPr>
              <w:t>Log (sum of lights)</w:t>
            </w:r>
            <w:r w:rsidRPr="00D004B8">
              <w:rPr>
                <w:rFonts w:eastAsia="Times New Roman"/>
                <w:bCs/>
                <w:i/>
                <w:iCs/>
                <w:sz w:val="22"/>
                <w:szCs w:val="22"/>
                <w:vertAlign w:val="subscript"/>
              </w:rPr>
              <w:t>it</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-0.059</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-0.107</w:t>
            </w:r>
            <w:r w:rsidRPr="00D004B8">
              <w:rPr>
                <w:rFonts w:eastAsia="Times New Roman"/>
                <w:bCs/>
                <w:sz w:val="22"/>
                <w:szCs w:val="22"/>
                <w:vertAlign w:val="superscript"/>
              </w:rPr>
              <w:t>***</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0.939</w:t>
            </w:r>
            <w:r w:rsidRPr="00D004B8">
              <w:rPr>
                <w:rFonts w:eastAsia="Times New Roman"/>
                <w:bCs/>
                <w:sz w:val="22"/>
                <w:szCs w:val="22"/>
                <w:vertAlign w:val="superscript"/>
              </w:rPr>
              <w:t>***</w:t>
            </w:r>
          </w:p>
        </w:tc>
        <w:tc>
          <w:tcPr>
            <w:tcW w:w="340" w:type="dxa"/>
            <w:tcBorders>
              <w:top w:val="nil"/>
              <w:left w:val="nil"/>
              <w:bottom w:val="nil"/>
              <w:right w:val="nil"/>
            </w:tcBorders>
          </w:tcPr>
          <w:p w:rsidR="00840E44" w:rsidRPr="00D004B8" w:rsidRDefault="00840E44" w:rsidP="00504D66">
            <w:pPr>
              <w:jc w:val="right"/>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0.179</w:t>
            </w:r>
            <w:r w:rsidRPr="00D004B8">
              <w:rPr>
                <w:rFonts w:eastAsia="Times New Roman"/>
                <w:bCs/>
                <w:sz w:val="22"/>
                <w:szCs w:val="22"/>
                <w:vertAlign w:val="superscript"/>
              </w:rPr>
              <w:t>***</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0.086</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0.936</w:t>
            </w:r>
            <w:r w:rsidRPr="00D004B8">
              <w:rPr>
                <w:rFonts w:eastAsia="Times New Roman"/>
                <w:bCs/>
                <w:sz w:val="22"/>
                <w:szCs w:val="22"/>
                <w:vertAlign w:val="superscript"/>
              </w:rPr>
              <w:t>***</w:t>
            </w:r>
          </w:p>
        </w:tc>
      </w:tr>
      <w:tr w:rsidR="00840E44" w:rsidTr="00504D66">
        <w:trPr>
          <w:trHeight w:val="23"/>
        </w:trPr>
        <w:tc>
          <w:tcPr>
            <w:tcW w:w="3146" w:type="dxa"/>
            <w:tcBorders>
              <w:top w:val="nil"/>
              <w:left w:val="nil"/>
              <w:bottom w:val="nil"/>
              <w:right w:val="nil"/>
            </w:tcBorders>
          </w:tcPr>
          <w:p w:rsidR="00840E44" w:rsidRPr="00D004B8" w:rsidRDefault="00840E44" w:rsidP="00504D66">
            <w:pPr>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(1.44)</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(2.72)</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(7.78)</w:t>
            </w:r>
          </w:p>
        </w:tc>
        <w:tc>
          <w:tcPr>
            <w:tcW w:w="340" w:type="dxa"/>
            <w:tcBorders>
              <w:top w:val="nil"/>
              <w:left w:val="nil"/>
              <w:bottom w:val="nil"/>
              <w:right w:val="nil"/>
            </w:tcBorders>
          </w:tcPr>
          <w:p w:rsidR="00840E44" w:rsidRPr="00D004B8" w:rsidRDefault="00840E44" w:rsidP="00504D66">
            <w:pPr>
              <w:jc w:val="right"/>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(3.34)</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(1.55)</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(16.76)</w:t>
            </w:r>
          </w:p>
        </w:tc>
      </w:tr>
      <w:tr w:rsidR="00840E44" w:rsidTr="00504D66">
        <w:trPr>
          <w:trHeight w:val="23"/>
        </w:trPr>
        <w:tc>
          <w:tcPr>
            <w:tcW w:w="3146" w:type="dxa"/>
            <w:tcBorders>
              <w:top w:val="nil"/>
              <w:left w:val="nil"/>
              <w:bottom w:val="nil"/>
              <w:right w:val="nil"/>
            </w:tcBorders>
          </w:tcPr>
          <w:p w:rsidR="00840E44" w:rsidRPr="00D004B8" w:rsidRDefault="00840E44" w:rsidP="00504D66">
            <w:pPr>
              <w:spacing w:before="40"/>
              <w:rPr>
                <w:rFonts w:eastAsia="Times New Roman"/>
                <w:bCs/>
                <w:sz w:val="22"/>
                <w:szCs w:val="22"/>
              </w:rPr>
            </w:pPr>
            <w:r w:rsidRPr="00D004B8">
              <w:rPr>
                <w:rFonts w:eastAsia="Times New Roman"/>
                <w:bCs/>
                <w:sz w:val="22"/>
                <w:szCs w:val="22"/>
              </w:rPr>
              <w:t>Year 2 dummy</w:t>
            </w:r>
          </w:p>
        </w:tc>
        <w:tc>
          <w:tcPr>
            <w:tcW w:w="1744"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-0.008</w:t>
            </w:r>
          </w:p>
        </w:tc>
        <w:tc>
          <w:tcPr>
            <w:tcW w:w="1743"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-0.005</w:t>
            </w:r>
          </w:p>
        </w:tc>
        <w:tc>
          <w:tcPr>
            <w:tcW w:w="1744"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-0.123</w:t>
            </w:r>
          </w:p>
        </w:tc>
        <w:tc>
          <w:tcPr>
            <w:tcW w:w="340" w:type="dxa"/>
            <w:tcBorders>
              <w:top w:val="nil"/>
              <w:left w:val="nil"/>
              <w:bottom w:val="nil"/>
              <w:right w:val="nil"/>
            </w:tcBorders>
          </w:tcPr>
          <w:p w:rsidR="00840E44" w:rsidRPr="00D004B8" w:rsidRDefault="00840E44" w:rsidP="00504D66">
            <w:pPr>
              <w:spacing w:before="40"/>
              <w:jc w:val="right"/>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0.056</w:t>
            </w:r>
          </w:p>
        </w:tc>
        <w:tc>
          <w:tcPr>
            <w:tcW w:w="1743"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0.045</w:t>
            </w:r>
          </w:p>
        </w:tc>
        <w:tc>
          <w:tcPr>
            <w:tcW w:w="1744"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0.056</w:t>
            </w:r>
          </w:p>
        </w:tc>
      </w:tr>
      <w:tr w:rsidR="00840E44" w:rsidTr="00504D66">
        <w:trPr>
          <w:trHeight w:val="23"/>
        </w:trPr>
        <w:tc>
          <w:tcPr>
            <w:tcW w:w="3146" w:type="dxa"/>
            <w:tcBorders>
              <w:top w:val="nil"/>
              <w:left w:val="nil"/>
              <w:bottom w:val="nil"/>
              <w:right w:val="nil"/>
            </w:tcBorders>
          </w:tcPr>
          <w:p w:rsidR="00840E44" w:rsidRPr="00D004B8" w:rsidRDefault="00840E44" w:rsidP="00504D66">
            <w:pPr>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(0.08)</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(0.05)</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(0.71)</w:t>
            </w:r>
          </w:p>
        </w:tc>
        <w:tc>
          <w:tcPr>
            <w:tcW w:w="340" w:type="dxa"/>
            <w:tcBorders>
              <w:top w:val="nil"/>
              <w:left w:val="nil"/>
              <w:bottom w:val="nil"/>
              <w:right w:val="nil"/>
            </w:tcBorders>
          </w:tcPr>
          <w:p w:rsidR="00840E44" w:rsidRPr="00D004B8" w:rsidRDefault="00840E44" w:rsidP="00504D66">
            <w:pPr>
              <w:jc w:val="right"/>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(0.61)</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(0.43)</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(0.47)</w:t>
            </w:r>
          </w:p>
        </w:tc>
      </w:tr>
      <w:tr w:rsidR="00840E44" w:rsidTr="00504D66">
        <w:trPr>
          <w:trHeight w:val="23"/>
        </w:trPr>
        <w:tc>
          <w:tcPr>
            <w:tcW w:w="3146" w:type="dxa"/>
            <w:tcBorders>
              <w:top w:val="nil"/>
              <w:left w:val="nil"/>
              <w:bottom w:val="nil"/>
              <w:right w:val="nil"/>
            </w:tcBorders>
          </w:tcPr>
          <w:p w:rsidR="00840E44" w:rsidRPr="00D004B8" w:rsidRDefault="00840E44" w:rsidP="00504D66">
            <w:pPr>
              <w:spacing w:before="40"/>
              <w:rPr>
                <w:rFonts w:eastAsia="Times New Roman"/>
                <w:bCs/>
                <w:sz w:val="22"/>
                <w:szCs w:val="22"/>
              </w:rPr>
            </w:pPr>
            <w:r w:rsidRPr="00D004B8">
              <w:rPr>
                <w:rFonts w:eastAsia="Times New Roman"/>
                <w:bCs/>
                <w:sz w:val="22"/>
                <w:szCs w:val="22"/>
              </w:rPr>
              <w:t>Constant</w:t>
            </w:r>
          </w:p>
        </w:tc>
        <w:tc>
          <w:tcPr>
            <w:tcW w:w="1744"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2.786</w:t>
            </w:r>
          </w:p>
        </w:tc>
        <w:tc>
          <w:tcPr>
            <w:tcW w:w="1743"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3.125</w:t>
            </w:r>
          </w:p>
        </w:tc>
        <w:tc>
          <w:tcPr>
            <w:tcW w:w="1744"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-5.734</w:t>
            </w:r>
          </w:p>
        </w:tc>
        <w:tc>
          <w:tcPr>
            <w:tcW w:w="340" w:type="dxa"/>
            <w:tcBorders>
              <w:top w:val="nil"/>
              <w:left w:val="nil"/>
              <w:bottom w:val="nil"/>
              <w:right w:val="nil"/>
            </w:tcBorders>
          </w:tcPr>
          <w:p w:rsidR="00840E44" w:rsidRPr="00D004B8" w:rsidRDefault="00840E44" w:rsidP="00504D66">
            <w:pPr>
              <w:spacing w:before="40"/>
              <w:jc w:val="right"/>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1.041</w:t>
            </w:r>
          </w:p>
        </w:tc>
        <w:tc>
          <w:tcPr>
            <w:tcW w:w="1743"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1.704</w:t>
            </w:r>
          </w:p>
        </w:tc>
        <w:tc>
          <w:tcPr>
            <w:tcW w:w="1744"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-5.290</w:t>
            </w:r>
          </w:p>
        </w:tc>
      </w:tr>
      <w:tr w:rsidR="00840E44" w:rsidTr="00504D66">
        <w:trPr>
          <w:trHeight w:val="23"/>
        </w:trPr>
        <w:tc>
          <w:tcPr>
            <w:tcW w:w="3146" w:type="dxa"/>
            <w:tcBorders>
              <w:top w:val="nil"/>
              <w:left w:val="nil"/>
              <w:bottom w:val="nil"/>
              <w:right w:val="nil"/>
            </w:tcBorders>
          </w:tcPr>
          <w:p w:rsidR="00840E44" w:rsidRPr="00D004B8" w:rsidRDefault="00840E44" w:rsidP="00504D66">
            <w:pPr>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(7.59)</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(8.80)</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(5.05)</w:t>
            </w:r>
          </w:p>
        </w:tc>
        <w:tc>
          <w:tcPr>
            <w:tcW w:w="340" w:type="dxa"/>
            <w:tcBorders>
              <w:top w:val="nil"/>
              <w:left w:val="nil"/>
              <w:bottom w:val="nil"/>
              <w:right w:val="nil"/>
            </w:tcBorders>
          </w:tcPr>
          <w:p w:rsidR="00840E44" w:rsidRPr="00D004B8" w:rsidRDefault="00840E44" w:rsidP="00504D66">
            <w:pPr>
              <w:jc w:val="right"/>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(1.40)</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(3.84)</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(10.54)</w:t>
            </w:r>
          </w:p>
        </w:tc>
      </w:tr>
      <w:tr w:rsidR="00840E44" w:rsidRPr="00EF5434" w:rsidTr="00504D66">
        <w:trPr>
          <w:trHeight w:val="23"/>
        </w:trPr>
        <w:tc>
          <w:tcPr>
            <w:tcW w:w="3146" w:type="dxa"/>
            <w:tcBorders>
              <w:top w:val="nil"/>
              <w:left w:val="nil"/>
              <w:bottom w:val="nil"/>
              <w:right w:val="nil"/>
            </w:tcBorders>
          </w:tcPr>
          <w:p w:rsidR="00840E44" w:rsidRPr="00D004B8" w:rsidRDefault="00840E44" w:rsidP="00504D66">
            <w:pPr>
              <w:rPr>
                <w:rFonts w:eastAsia="Times New Roman"/>
                <w:b/>
                <w:sz w:val="22"/>
                <w:szCs w:val="22"/>
              </w:rPr>
            </w:pPr>
            <w:r w:rsidRPr="00D004B8">
              <w:rPr>
                <w:rFonts w:eastAsia="Times New Roman"/>
                <w:b/>
                <w:i/>
                <w:iCs/>
                <w:sz w:val="22"/>
                <w:szCs w:val="22"/>
              </w:rPr>
              <w:t>R</w:t>
            </w:r>
            <w:r w:rsidRPr="00D004B8">
              <w:rPr>
                <w:rFonts w:eastAsia="Times New Roman"/>
                <w:b/>
                <w:sz w:val="22"/>
                <w:szCs w:val="22"/>
                <w:vertAlign w:val="superscript"/>
              </w:rPr>
              <w:t>2</w:t>
            </w:r>
            <w:r w:rsidRPr="00D004B8">
              <w:rPr>
                <w:rFonts w:eastAsia="Times New Roman"/>
                <w:b/>
                <w:sz w:val="22"/>
                <w:szCs w:val="22"/>
              </w:rPr>
              <w:t xml:space="preserve"> overall</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
                <w:sz w:val="22"/>
                <w:szCs w:val="22"/>
              </w:rPr>
            </w:pPr>
            <w:r w:rsidRPr="00D004B8">
              <w:rPr>
                <w:rFonts w:eastAsia="Times New Roman"/>
                <w:b/>
                <w:sz w:val="22"/>
                <w:szCs w:val="22"/>
              </w:rPr>
              <w:t>0.01</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
                <w:sz w:val="22"/>
                <w:szCs w:val="22"/>
              </w:rPr>
            </w:pPr>
            <w:r w:rsidRPr="00D004B8">
              <w:rPr>
                <w:rFonts w:eastAsia="Times New Roman"/>
                <w:b/>
                <w:sz w:val="22"/>
                <w:szCs w:val="22"/>
              </w:rPr>
              <w:t>0.03</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
                <w:sz w:val="22"/>
                <w:szCs w:val="22"/>
              </w:rPr>
            </w:pPr>
            <w:r w:rsidRPr="00D004B8">
              <w:rPr>
                <w:rFonts w:eastAsia="Times New Roman"/>
                <w:b/>
                <w:sz w:val="22"/>
                <w:szCs w:val="22"/>
              </w:rPr>
              <w:t>0.36</w:t>
            </w:r>
          </w:p>
        </w:tc>
        <w:tc>
          <w:tcPr>
            <w:tcW w:w="340" w:type="dxa"/>
            <w:tcBorders>
              <w:top w:val="nil"/>
              <w:left w:val="nil"/>
              <w:bottom w:val="nil"/>
              <w:right w:val="nil"/>
            </w:tcBorders>
          </w:tcPr>
          <w:p w:rsidR="00840E44" w:rsidRPr="00D004B8" w:rsidRDefault="00840E44" w:rsidP="00504D66">
            <w:pPr>
              <w:jc w:val="right"/>
              <w:rPr>
                <w:rFonts w:eastAsia="Times New Roman"/>
                <w:b/>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
                <w:sz w:val="22"/>
                <w:szCs w:val="22"/>
              </w:rPr>
            </w:pPr>
            <w:r w:rsidRPr="00D004B8">
              <w:rPr>
                <w:rFonts w:eastAsia="Times New Roman"/>
                <w:b/>
                <w:sz w:val="22"/>
                <w:szCs w:val="22"/>
              </w:rPr>
              <w:t>0.05</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
                <w:sz w:val="22"/>
                <w:szCs w:val="22"/>
              </w:rPr>
            </w:pPr>
            <w:r w:rsidRPr="00D004B8">
              <w:rPr>
                <w:rFonts w:eastAsia="Times New Roman"/>
                <w:b/>
                <w:sz w:val="22"/>
                <w:szCs w:val="22"/>
              </w:rPr>
              <w:t>0.01</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
                <w:sz w:val="22"/>
                <w:szCs w:val="22"/>
              </w:rPr>
            </w:pPr>
            <w:r w:rsidRPr="00D004B8">
              <w:rPr>
                <w:rFonts w:eastAsia="Times New Roman"/>
                <w:b/>
                <w:sz w:val="22"/>
                <w:szCs w:val="22"/>
              </w:rPr>
              <w:t>0.68</w:t>
            </w:r>
          </w:p>
        </w:tc>
      </w:tr>
      <w:tr w:rsidR="00840E44" w:rsidTr="00504D66">
        <w:trPr>
          <w:trHeight w:val="23"/>
        </w:trPr>
        <w:tc>
          <w:tcPr>
            <w:tcW w:w="3146" w:type="dxa"/>
            <w:tcBorders>
              <w:top w:val="nil"/>
              <w:left w:val="nil"/>
              <w:bottom w:val="nil"/>
              <w:right w:val="nil"/>
            </w:tcBorders>
          </w:tcPr>
          <w:p w:rsidR="00840E44" w:rsidRPr="00D004B8" w:rsidRDefault="00840E44" w:rsidP="00504D66">
            <w:pPr>
              <w:rPr>
                <w:rFonts w:eastAsia="Times New Roman"/>
                <w:bCs/>
                <w:sz w:val="22"/>
                <w:szCs w:val="22"/>
              </w:rPr>
            </w:pPr>
            <w:r w:rsidRPr="00D004B8">
              <w:rPr>
                <w:rFonts w:eastAsia="Times New Roman"/>
                <w:bCs/>
                <w:sz w:val="22"/>
                <w:szCs w:val="22"/>
              </w:rPr>
              <w:t xml:space="preserve">  </w:t>
            </w:r>
            <w:r w:rsidRPr="00D004B8">
              <w:rPr>
                <w:rFonts w:eastAsia="Times New Roman"/>
                <w:bCs/>
                <w:i/>
                <w:sz w:val="22"/>
                <w:szCs w:val="22"/>
              </w:rPr>
              <w:t>R</w:t>
            </w:r>
            <w:r w:rsidRPr="00D004B8">
              <w:rPr>
                <w:rFonts w:eastAsia="Times New Roman"/>
                <w:bCs/>
                <w:sz w:val="22"/>
                <w:szCs w:val="22"/>
                <w:vertAlign w:val="superscript"/>
              </w:rPr>
              <w:t>2</w:t>
            </w:r>
            <w:r w:rsidRPr="00D004B8">
              <w:rPr>
                <w:rFonts w:eastAsia="Times New Roman"/>
                <w:bCs/>
                <w:sz w:val="22"/>
                <w:szCs w:val="22"/>
              </w:rPr>
              <w:t xml:space="preserve"> within</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0.00</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0.00</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0.00</w:t>
            </w:r>
          </w:p>
        </w:tc>
        <w:tc>
          <w:tcPr>
            <w:tcW w:w="340" w:type="dxa"/>
            <w:tcBorders>
              <w:top w:val="nil"/>
              <w:left w:val="nil"/>
              <w:bottom w:val="nil"/>
              <w:right w:val="nil"/>
            </w:tcBorders>
          </w:tcPr>
          <w:p w:rsidR="00840E44" w:rsidRPr="00D004B8" w:rsidRDefault="00840E44" w:rsidP="00504D66">
            <w:pPr>
              <w:jc w:val="right"/>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0.00</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0.00</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0.00</w:t>
            </w:r>
          </w:p>
        </w:tc>
      </w:tr>
      <w:tr w:rsidR="00840E44" w:rsidTr="00504D66">
        <w:trPr>
          <w:trHeight w:val="23"/>
        </w:trPr>
        <w:tc>
          <w:tcPr>
            <w:tcW w:w="3146" w:type="dxa"/>
            <w:tcBorders>
              <w:top w:val="nil"/>
              <w:left w:val="nil"/>
              <w:bottom w:val="nil"/>
              <w:right w:val="nil"/>
            </w:tcBorders>
          </w:tcPr>
          <w:p w:rsidR="00840E44" w:rsidRPr="00D004B8" w:rsidRDefault="00840E44" w:rsidP="00504D66">
            <w:pPr>
              <w:rPr>
                <w:rFonts w:eastAsia="Times New Roman"/>
                <w:bCs/>
                <w:sz w:val="22"/>
                <w:szCs w:val="22"/>
              </w:rPr>
            </w:pPr>
            <w:r w:rsidRPr="00D004B8">
              <w:rPr>
                <w:rFonts w:eastAsia="Times New Roman"/>
                <w:bCs/>
                <w:i/>
                <w:sz w:val="22"/>
                <w:szCs w:val="22"/>
              </w:rPr>
              <w:t xml:space="preserve">  R</w:t>
            </w:r>
            <w:r w:rsidRPr="00D004B8">
              <w:rPr>
                <w:rFonts w:eastAsia="Times New Roman"/>
                <w:bCs/>
                <w:sz w:val="22"/>
                <w:szCs w:val="22"/>
                <w:vertAlign w:val="superscript"/>
              </w:rPr>
              <w:t>2</w:t>
            </w:r>
            <w:r w:rsidRPr="00D004B8">
              <w:rPr>
                <w:rFonts w:eastAsia="Times New Roman"/>
                <w:bCs/>
                <w:sz w:val="22"/>
                <w:szCs w:val="22"/>
              </w:rPr>
              <w:t xml:space="preserve"> between</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0.01</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0.03</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0.38</w:t>
            </w:r>
          </w:p>
        </w:tc>
        <w:tc>
          <w:tcPr>
            <w:tcW w:w="340" w:type="dxa"/>
            <w:tcBorders>
              <w:top w:val="nil"/>
              <w:left w:val="nil"/>
              <w:bottom w:val="nil"/>
              <w:right w:val="nil"/>
            </w:tcBorders>
          </w:tcPr>
          <w:p w:rsidR="00840E44" w:rsidRPr="00D004B8" w:rsidRDefault="00840E44" w:rsidP="00504D66">
            <w:pPr>
              <w:jc w:val="right"/>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0.05</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0.01</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0.69</w:t>
            </w:r>
          </w:p>
        </w:tc>
      </w:tr>
      <w:tr w:rsidR="00840E44" w:rsidTr="00504D66">
        <w:trPr>
          <w:trHeight w:val="23"/>
        </w:trPr>
        <w:tc>
          <w:tcPr>
            <w:tcW w:w="3146" w:type="dxa"/>
            <w:tcBorders>
              <w:top w:val="nil"/>
              <w:left w:val="nil"/>
              <w:bottom w:val="nil"/>
              <w:right w:val="nil"/>
            </w:tcBorders>
          </w:tcPr>
          <w:p w:rsidR="00840E44" w:rsidRPr="00D004B8" w:rsidRDefault="00840E44" w:rsidP="00504D66">
            <w:pPr>
              <w:rPr>
                <w:rFonts w:eastAsia="Times New Roman"/>
                <w:bCs/>
                <w:sz w:val="22"/>
                <w:szCs w:val="22"/>
              </w:rPr>
            </w:pPr>
            <w:r w:rsidRPr="00D004B8">
              <w:rPr>
                <w:rFonts w:eastAsia="Times New Roman"/>
                <w:bCs/>
                <w:sz w:val="22"/>
                <w:szCs w:val="22"/>
              </w:rPr>
              <w:t>Number of observations</w:t>
            </w:r>
          </w:p>
        </w:tc>
        <w:tc>
          <w:tcPr>
            <w:tcW w:w="1744" w:type="dxa"/>
            <w:tcBorders>
              <w:top w:val="nil"/>
              <w:left w:val="nil"/>
              <w:bottom w:val="nil"/>
              <w:right w:val="nil"/>
            </w:tcBorders>
          </w:tcPr>
          <w:p w:rsidR="00840E44" w:rsidRPr="00D004B8" w:rsidRDefault="00840E44" w:rsidP="00504D66">
            <w:pPr>
              <w:tabs>
                <w:tab w:val="decimal" w:pos="567"/>
              </w:tabs>
              <w:ind w:right="340"/>
              <w:jc w:val="center"/>
              <w:rPr>
                <w:rFonts w:eastAsia="Times New Roman"/>
                <w:bCs/>
                <w:sz w:val="22"/>
                <w:szCs w:val="22"/>
              </w:rPr>
            </w:pPr>
            <w:r w:rsidRPr="00D004B8">
              <w:rPr>
                <w:rFonts w:eastAsia="Times New Roman"/>
                <w:bCs/>
                <w:sz w:val="22"/>
                <w:szCs w:val="22"/>
              </w:rPr>
              <w:t>994</w:t>
            </w:r>
          </w:p>
        </w:tc>
        <w:tc>
          <w:tcPr>
            <w:tcW w:w="1743" w:type="dxa"/>
            <w:tcBorders>
              <w:top w:val="nil"/>
              <w:left w:val="nil"/>
              <w:bottom w:val="nil"/>
              <w:right w:val="nil"/>
            </w:tcBorders>
          </w:tcPr>
          <w:p w:rsidR="00840E44" w:rsidRPr="00D004B8" w:rsidRDefault="00840E44" w:rsidP="00504D66">
            <w:pPr>
              <w:tabs>
                <w:tab w:val="decimal" w:pos="567"/>
              </w:tabs>
              <w:ind w:right="340"/>
              <w:jc w:val="center"/>
              <w:rPr>
                <w:rFonts w:eastAsia="Times New Roman"/>
                <w:bCs/>
                <w:sz w:val="22"/>
                <w:szCs w:val="22"/>
              </w:rPr>
            </w:pPr>
            <w:r w:rsidRPr="00D004B8">
              <w:rPr>
                <w:rFonts w:eastAsia="Times New Roman"/>
                <w:bCs/>
                <w:sz w:val="22"/>
                <w:szCs w:val="22"/>
              </w:rPr>
              <w:t>798</w:t>
            </w:r>
          </w:p>
        </w:tc>
        <w:tc>
          <w:tcPr>
            <w:tcW w:w="1744" w:type="dxa"/>
            <w:tcBorders>
              <w:top w:val="nil"/>
              <w:left w:val="nil"/>
              <w:bottom w:val="nil"/>
              <w:right w:val="nil"/>
            </w:tcBorders>
          </w:tcPr>
          <w:p w:rsidR="00840E44" w:rsidRPr="00D004B8" w:rsidRDefault="00840E44" w:rsidP="00504D66">
            <w:pPr>
              <w:tabs>
                <w:tab w:val="decimal" w:pos="567"/>
              </w:tabs>
              <w:ind w:right="340"/>
              <w:jc w:val="center"/>
              <w:rPr>
                <w:rFonts w:eastAsia="Times New Roman"/>
                <w:bCs/>
                <w:sz w:val="22"/>
                <w:szCs w:val="22"/>
              </w:rPr>
            </w:pPr>
            <w:r w:rsidRPr="00D004B8">
              <w:rPr>
                <w:rFonts w:eastAsia="Times New Roman"/>
                <w:bCs/>
                <w:sz w:val="22"/>
                <w:szCs w:val="22"/>
              </w:rPr>
              <w:t>196</w:t>
            </w:r>
          </w:p>
        </w:tc>
        <w:tc>
          <w:tcPr>
            <w:tcW w:w="340" w:type="dxa"/>
            <w:tcBorders>
              <w:top w:val="nil"/>
              <w:left w:val="nil"/>
              <w:bottom w:val="nil"/>
              <w:right w:val="nil"/>
            </w:tcBorders>
          </w:tcPr>
          <w:p w:rsidR="00840E44" w:rsidRPr="00D004B8" w:rsidRDefault="00840E44" w:rsidP="00504D66">
            <w:pPr>
              <w:jc w:val="right"/>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ind w:right="340"/>
              <w:jc w:val="center"/>
              <w:rPr>
                <w:rFonts w:eastAsia="Times New Roman"/>
                <w:bCs/>
                <w:sz w:val="22"/>
                <w:szCs w:val="22"/>
              </w:rPr>
            </w:pPr>
            <w:r w:rsidRPr="00D004B8">
              <w:rPr>
                <w:rFonts w:eastAsia="Times New Roman"/>
                <w:bCs/>
                <w:sz w:val="22"/>
                <w:szCs w:val="22"/>
              </w:rPr>
              <w:t>994</w:t>
            </w:r>
          </w:p>
        </w:tc>
        <w:tc>
          <w:tcPr>
            <w:tcW w:w="1743" w:type="dxa"/>
            <w:tcBorders>
              <w:top w:val="nil"/>
              <w:left w:val="nil"/>
              <w:bottom w:val="nil"/>
              <w:right w:val="nil"/>
            </w:tcBorders>
          </w:tcPr>
          <w:p w:rsidR="00840E44" w:rsidRPr="00D004B8" w:rsidRDefault="00840E44" w:rsidP="00504D66">
            <w:pPr>
              <w:tabs>
                <w:tab w:val="decimal" w:pos="567"/>
              </w:tabs>
              <w:ind w:right="340"/>
              <w:jc w:val="center"/>
              <w:rPr>
                <w:rFonts w:eastAsia="Times New Roman"/>
                <w:bCs/>
                <w:sz w:val="22"/>
                <w:szCs w:val="22"/>
              </w:rPr>
            </w:pPr>
            <w:r w:rsidRPr="00D004B8">
              <w:rPr>
                <w:rFonts w:eastAsia="Times New Roman"/>
                <w:bCs/>
                <w:sz w:val="22"/>
                <w:szCs w:val="22"/>
              </w:rPr>
              <w:t>798</w:t>
            </w:r>
          </w:p>
        </w:tc>
        <w:tc>
          <w:tcPr>
            <w:tcW w:w="1744" w:type="dxa"/>
            <w:tcBorders>
              <w:top w:val="nil"/>
              <w:left w:val="nil"/>
              <w:bottom w:val="nil"/>
              <w:right w:val="nil"/>
            </w:tcBorders>
          </w:tcPr>
          <w:p w:rsidR="00840E44" w:rsidRPr="00D004B8" w:rsidRDefault="00840E44" w:rsidP="00504D66">
            <w:pPr>
              <w:tabs>
                <w:tab w:val="decimal" w:pos="567"/>
              </w:tabs>
              <w:ind w:right="340"/>
              <w:jc w:val="center"/>
              <w:rPr>
                <w:rFonts w:eastAsia="Times New Roman"/>
                <w:bCs/>
                <w:sz w:val="22"/>
                <w:szCs w:val="22"/>
              </w:rPr>
            </w:pPr>
            <w:r w:rsidRPr="00D004B8">
              <w:rPr>
                <w:rFonts w:eastAsia="Times New Roman"/>
                <w:bCs/>
                <w:sz w:val="22"/>
                <w:szCs w:val="22"/>
              </w:rPr>
              <w:t>196</w:t>
            </w:r>
          </w:p>
        </w:tc>
      </w:tr>
      <w:tr w:rsidR="00840E44" w:rsidTr="00504D66">
        <w:trPr>
          <w:trHeight w:val="23"/>
        </w:trPr>
        <w:tc>
          <w:tcPr>
            <w:tcW w:w="13948" w:type="dxa"/>
            <w:gridSpan w:val="8"/>
            <w:tcBorders>
              <w:top w:val="nil"/>
              <w:left w:val="nil"/>
              <w:bottom w:val="nil"/>
              <w:right w:val="nil"/>
            </w:tcBorders>
          </w:tcPr>
          <w:p w:rsidR="00840E44" w:rsidRPr="00D004B8" w:rsidRDefault="00840E44" w:rsidP="00504D66">
            <w:pPr>
              <w:spacing w:before="120"/>
              <w:rPr>
                <w:rFonts w:eastAsia="Times New Roman"/>
                <w:bCs/>
                <w:i/>
                <w:iCs/>
                <w:sz w:val="22"/>
                <w:szCs w:val="22"/>
              </w:rPr>
            </w:pPr>
            <w:r w:rsidRPr="00D004B8">
              <w:rPr>
                <w:rFonts w:eastAsia="Times New Roman"/>
                <w:bCs/>
                <w:i/>
                <w:iCs/>
                <w:sz w:val="22"/>
                <w:szCs w:val="22"/>
              </w:rPr>
              <w:t>Year-by-Year Regressions</w:t>
            </w:r>
          </w:p>
        </w:tc>
      </w:tr>
      <w:tr w:rsidR="00840E44" w:rsidTr="00504D66">
        <w:trPr>
          <w:trHeight w:val="23"/>
        </w:trPr>
        <w:tc>
          <w:tcPr>
            <w:tcW w:w="3146" w:type="dxa"/>
            <w:tcBorders>
              <w:top w:val="nil"/>
              <w:left w:val="nil"/>
              <w:bottom w:val="nil"/>
              <w:right w:val="nil"/>
            </w:tcBorders>
          </w:tcPr>
          <w:p w:rsidR="00840E44" w:rsidRPr="00D004B8" w:rsidRDefault="00840E44" w:rsidP="00504D66">
            <w:pPr>
              <w:rPr>
                <w:rFonts w:eastAsia="Times New Roman"/>
                <w:bCs/>
                <w:sz w:val="22"/>
                <w:szCs w:val="22"/>
              </w:rPr>
            </w:pPr>
            <w:r w:rsidRPr="00D004B8">
              <w:rPr>
                <w:rFonts w:eastAsia="Times New Roman"/>
                <w:bCs/>
                <w:sz w:val="22"/>
                <w:szCs w:val="22"/>
              </w:rPr>
              <w:t>Log (sum of lights)</w:t>
            </w:r>
            <w:r w:rsidRPr="00D004B8">
              <w:rPr>
                <w:rFonts w:eastAsia="Times New Roman"/>
                <w:bCs/>
                <w:i/>
                <w:iCs/>
                <w:sz w:val="22"/>
                <w:szCs w:val="22"/>
                <w:vertAlign w:val="subscript"/>
              </w:rPr>
              <w:t>it</w:t>
            </w:r>
            <w:r w:rsidRPr="00D004B8">
              <w:rPr>
                <w:rFonts w:eastAsia="Times New Roman"/>
                <w:bCs/>
                <w:sz w:val="22"/>
                <w:szCs w:val="22"/>
                <w:vertAlign w:val="subscript"/>
              </w:rPr>
              <w:t>=1</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-0.081</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-0.130</w:t>
            </w:r>
            <w:r w:rsidRPr="00D004B8">
              <w:rPr>
                <w:rFonts w:eastAsia="Times New Roman"/>
                <w:bCs/>
                <w:sz w:val="22"/>
                <w:szCs w:val="22"/>
                <w:vertAlign w:val="superscript"/>
              </w:rPr>
              <w:t>**</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0.858</w:t>
            </w:r>
            <w:r w:rsidRPr="00D004B8">
              <w:rPr>
                <w:rFonts w:eastAsia="Times New Roman"/>
                <w:bCs/>
                <w:sz w:val="22"/>
                <w:szCs w:val="22"/>
                <w:vertAlign w:val="superscript"/>
              </w:rPr>
              <w:t>***</w:t>
            </w:r>
          </w:p>
        </w:tc>
        <w:tc>
          <w:tcPr>
            <w:tcW w:w="340" w:type="dxa"/>
            <w:tcBorders>
              <w:top w:val="nil"/>
              <w:left w:val="nil"/>
              <w:bottom w:val="nil"/>
              <w:right w:val="nil"/>
            </w:tcBorders>
          </w:tcPr>
          <w:p w:rsidR="00840E44" w:rsidRPr="00D004B8" w:rsidRDefault="00840E44" w:rsidP="00504D66">
            <w:pPr>
              <w:jc w:val="right"/>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0.185</w:t>
            </w:r>
            <w:r w:rsidRPr="00D004B8">
              <w:rPr>
                <w:rFonts w:eastAsia="Times New Roman"/>
                <w:bCs/>
                <w:sz w:val="22"/>
                <w:szCs w:val="22"/>
                <w:vertAlign w:val="superscript"/>
              </w:rPr>
              <w:t>**</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0.093</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0.945</w:t>
            </w:r>
            <w:r w:rsidRPr="00D004B8">
              <w:rPr>
                <w:rFonts w:eastAsia="Times New Roman"/>
                <w:bCs/>
                <w:sz w:val="22"/>
                <w:szCs w:val="22"/>
                <w:vertAlign w:val="superscript"/>
              </w:rPr>
              <w:t>***</w:t>
            </w:r>
          </w:p>
        </w:tc>
      </w:tr>
      <w:tr w:rsidR="00840E44" w:rsidTr="00504D66">
        <w:trPr>
          <w:trHeight w:val="23"/>
        </w:trPr>
        <w:tc>
          <w:tcPr>
            <w:tcW w:w="3146" w:type="dxa"/>
            <w:tcBorders>
              <w:top w:val="nil"/>
              <w:left w:val="nil"/>
              <w:bottom w:val="nil"/>
              <w:right w:val="nil"/>
            </w:tcBorders>
          </w:tcPr>
          <w:p w:rsidR="00840E44" w:rsidRPr="00D004B8" w:rsidRDefault="00840E44" w:rsidP="00504D66">
            <w:pPr>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(1.43)</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(2.41)</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(4.44)</w:t>
            </w:r>
          </w:p>
        </w:tc>
        <w:tc>
          <w:tcPr>
            <w:tcW w:w="340" w:type="dxa"/>
            <w:tcBorders>
              <w:top w:val="nil"/>
              <w:left w:val="nil"/>
              <w:bottom w:val="nil"/>
              <w:right w:val="nil"/>
            </w:tcBorders>
          </w:tcPr>
          <w:p w:rsidR="00840E44" w:rsidRPr="00D004B8" w:rsidRDefault="00840E44" w:rsidP="00504D66">
            <w:pPr>
              <w:jc w:val="right"/>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(2.48)</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(1.19)</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(12.36)</w:t>
            </w:r>
          </w:p>
        </w:tc>
      </w:tr>
      <w:tr w:rsidR="00840E44" w:rsidTr="00504D66">
        <w:trPr>
          <w:trHeight w:val="23"/>
        </w:trPr>
        <w:tc>
          <w:tcPr>
            <w:tcW w:w="3146" w:type="dxa"/>
            <w:tcBorders>
              <w:top w:val="nil"/>
              <w:left w:val="nil"/>
              <w:bottom w:val="nil"/>
              <w:right w:val="nil"/>
            </w:tcBorders>
          </w:tcPr>
          <w:p w:rsidR="00840E44" w:rsidRPr="00D004B8" w:rsidRDefault="00840E44" w:rsidP="00504D66">
            <w:pPr>
              <w:spacing w:before="40"/>
              <w:rPr>
                <w:rFonts w:eastAsia="Times New Roman"/>
                <w:bCs/>
                <w:sz w:val="22"/>
                <w:szCs w:val="22"/>
              </w:rPr>
            </w:pPr>
            <w:r w:rsidRPr="00D004B8">
              <w:rPr>
                <w:rFonts w:eastAsia="Times New Roman"/>
                <w:bCs/>
                <w:sz w:val="22"/>
                <w:szCs w:val="22"/>
              </w:rPr>
              <w:t>Constant</w:t>
            </w:r>
          </w:p>
        </w:tc>
        <w:tc>
          <w:tcPr>
            <w:tcW w:w="1744"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2.969</w:t>
            </w:r>
          </w:p>
        </w:tc>
        <w:tc>
          <w:tcPr>
            <w:tcW w:w="1743"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3.310</w:t>
            </w:r>
          </w:p>
        </w:tc>
        <w:tc>
          <w:tcPr>
            <w:tcW w:w="1744"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-5.028</w:t>
            </w:r>
          </w:p>
        </w:tc>
        <w:tc>
          <w:tcPr>
            <w:tcW w:w="340" w:type="dxa"/>
            <w:tcBorders>
              <w:top w:val="nil"/>
              <w:left w:val="nil"/>
              <w:bottom w:val="nil"/>
              <w:right w:val="nil"/>
            </w:tcBorders>
          </w:tcPr>
          <w:p w:rsidR="00840E44" w:rsidRPr="00D004B8" w:rsidRDefault="00840E44" w:rsidP="00504D66">
            <w:pPr>
              <w:spacing w:before="40"/>
              <w:jc w:val="right"/>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0.992</w:t>
            </w:r>
          </w:p>
        </w:tc>
        <w:tc>
          <w:tcPr>
            <w:tcW w:w="1743"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1.658</w:t>
            </w:r>
          </w:p>
        </w:tc>
        <w:tc>
          <w:tcPr>
            <w:tcW w:w="1744"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-5.366</w:t>
            </w:r>
          </w:p>
        </w:tc>
      </w:tr>
      <w:tr w:rsidR="00840E44" w:rsidTr="00504D66">
        <w:trPr>
          <w:trHeight w:val="23"/>
        </w:trPr>
        <w:tc>
          <w:tcPr>
            <w:tcW w:w="3146" w:type="dxa"/>
            <w:tcBorders>
              <w:top w:val="nil"/>
              <w:left w:val="nil"/>
              <w:bottom w:val="nil"/>
              <w:right w:val="nil"/>
            </w:tcBorders>
          </w:tcPr>
          <w:p w:rsidR="00840E44" w:rsidRPr="00D004B8" w:rsidRDefault="00840E44" w:rsidP="00504D66">
            <w:pPr>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(5.89)</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(6.87)</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(2.83)</w:t>
            </w:r>
          </w:p>
        </w:tc>
        <w:tc>
          <w:tcPr>
            <w:tcW w:w="340" w:type="dxa"/>
            <w:tcBorders>
              <w:top w:val="nil"/>
              <w:left w:val="nil"/>
              <w:bottom w:val="nil"/>
              <w:right w:val="nil"/>
            </w:tcBorders>
          </w:tcPr>
          <w:p w:rsidR="00840E44" w:rsidRPr="00D004B8" w:rsidRDefault="00840E44" w:rsidP="00504D66">
            <w:pPr>
              <w:jc w:val="right"/>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(1.65)</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(2.69)</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(7.83)</w:t>
            </w:r>
          </w:p>
        </w:tc>
      </w:tr>
      <w:tr w:rsidR="00840E44" w:rsidRPr="00EF5434" w:rsidTr="00504D66">
        <w:trPr>
          <w:trHeight w:val="23"/>
        </w:trPr>
        <w:tc>
          <w:tcPr>
            <w:tcW w:w="3146" w:type="dxa"/>
            <w:tcBorders>
              <w:top w:val="nil"/>
              <w:left w:val="nil"/>
              <w:bottom w:val="nil"/>
              <w:right w:val="nil"/>
            </w:tcBorders>
          </w:tcPr>
          <w:p w:rsidR="00840E44" w:rsidRPr="00D004B8" w:rsidRDefault="00840E44" w:rsidP="00504D66">
            <w:pPr>
              <w:rPr>
                <w:rFonts w:eastAsia="Times New Roman"/>
                <w:b/>
                <w:sz w:val="22"/>
                <w:szCs w:val="22"/>
                <w:vertAlign w:val="superscript"/>
              </w:rPr>
            </w:pPr>
            <w:r w:rsidRPr="00D004B8">
              <w:rPr>
                <w:rFonts w:eastAsia="Times New Roman"/>
                <w:b/>
                <w:i/>
                <w:iCs/>
                <w:sz w:val="22"/>
                <w:szCs w:val="22"/>
              </w:rPr>
              <w:t>R</w:t>
            </w:r>
            <w:r w:rsidRPr="00D004B8">
              <w:rPr>
                <w:rFonts w:eastAsia="Times New Roman"/>
                <w:b/>
                <w:sz w:val="22"/>
                <w:szCs w:val="22"/>
                <w:vertAlign w:val="superscript"/>
              </w:rPr>
              <w:t>2</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
                <w:sz w:val="22"/>
                <w:szCs w:val="22"/>
              </w:rPr>
            </w:pPr>
            <w:r w:rsidRPr="00D004B8">
              <w:rPr>
                <w:rFonts w:eastAsia="Times New Roman"/>
                <w:b/>
                <w:sz w:val="22"/>
                <w:szCs w:val="22"/>
              </w:rPr>
              <w:t>0.01</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
                <w:sz w:val="22"/>
                <w:szCs w:val="22"/>
              </w:rPr>
            </w:pPr>
            <w:r w:rsidRPr="00D004B8">
              <w:rPr>
                <w:rFonts w:eastAsia="Times New Roman"/>
                <w:b/>
                <w:sz w:val="22"/>
                <w:szCs w:val="22"/>
              </w:rPr>
              <w:t>0.04</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
                <w:sz w:val="22"/>
                <w:szCs w:val="22"/>
              </w:rPr>
            </w:pPr>
            <w:r w:rsidRPr="00D004B8">
              <w:rPr>
                <w:rFonts w:eastAsia="Times New Roman"/>
                <w:b/>
                <w:sz w:val="22"/>
                <w:szCs w:val="22"/>
              </w:rPr>
              <w:t>0.30</w:t>
            </w:r>
          </w:p>
        </w:tc>
        <w:tc>
          <w:tcPr>
            <w:tcW w:w="340" w:type="dxa"/>
            <w:tcBorders>
              <w:top w:val="nil"/>
              <w:left w:val="nil"/>
              <w:bottom w:val="nil"/>
              <w:right w:val="nil"/>
            </w:tcBorders>
          </w:tcPr>
          <w:p w:rsidR="00840E44" w:rsidRPr="00D004B8" w:rsidRDefault="00840E44" w:rsidP="00504D66">
            <w:pPr>
              <w:jc w:val="right"/>
              <w:rPr>
                <w:rFonts w:eastAsia="Times New Roman"/>
                <w:b/>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
                <w:sz w:val="22"/>
                <w:szCs w:val="22"/>
              </w:rPr>
            </w:pPr>
            <w:r w:rsidRPr="00D004B8">
              <w:rPr>
                <w:rFonts w:eastAsia="Times New Roman"/>
                <w:b/>
                <w:sz w:val="22"/>
                <w:szCs w:val="22"/>
              </w:rPr>
              <w:t>0.05</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
                <w:sz w:val="22"/>
                <w:szCs w:val="22"/>
              </w:rPr>
            </w:pPr>
            <w:r w:rsidRPr="00D004B8">
              <w:rPr>
                <w:rFonts w:eastAsia="Times New Roman"/>
                <w:b/>
                <w:sz w:val="22"/>
                <w:szCs w:val="22"/>
              </w:rPr>
              <w:t>0.01</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
                <w:sz w:val="22"/>
                <w:szCs w:val="22"/>
              </w:rPr>
            </w:pPr>
            <w:r w:rsidRPr="00D004B8">
              <w:rPr>
                <w:rFonts w:eastAsia="Times New Roman"/>
                <w:b/>
                <w:sz w:val="22"/>
                <w:szCs w:val="22"/>
              </w:rPr>
              <w:t>0.69</w:t>
            </w:r>
          </w:p>
        </w:tc>
      </w:tr>
      <w:tr w:rsidR="00840E44" w:rsidTr="00504D66">
        <w:trPr>
          <w:trHeight w:val="23"/>
        </w:trPr>
        <w:tc>
          <w:tcPr>
            <w:tcW w:w="3146" w:type="dxa"/>
            <w:tcBorders>
              <w:top w:val="nil"/>
              <w:left w:val="nil"/>
              <w:bottom w:val="nil"/>
              <w:right w:val="nil"/>
            </w:tcBorders>
          </w:tcPr>
          <w:p w:rsidR="00840E44" w:rsidRPr="00D004B8" w:rsidRDefault="00840E44" w:rsidP="00504D66">
            <w:pPr>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p>
        </w:tc>
        <w:tc>
          <w:tcPr>
            <w:tcW w:w="340" w:type="dxa"/>
            <w:tcBorders>
              <w:top w:val="nil"/>
              <w:left w:val="nil"/>
              <w:bottom w:val="nil"/>
              <w:right w:val="nil"/>
            </w:tcBorders>
          </w:tcPr>
          <w:p w:rsidR="00840E44" w:rsidRPr="00D004B8" w:rsidRDefault="00840E44" w:rsidP="00504D66">
            <w:pPr>
              <w:jc w:val="right"/>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jc w:val="right"/>
              <w:rPr>
                <w:rFonts w:eastAsia="Times New Roman"/>
                <w:bCs/>
                <w:sz w:val="22"/>
                <w:szCs w:val="22"/>
              </w:rPr>
            </w:pPr>
          </w:p>
        </w:tc>
        <w:tc>
          <w:tcPr>
            <w:tcW w:w="1743" w:type="dxa"/>
            <w:tcBorders>
              <w:top w:val="nil"/>
              <w:left w:val="nil"/>
              <w:bottom w:val="nil"/>
              <w:right w:val="nil"/>
            </w:tcBorders>
          </w:tcPr>
          <w:p w:rsidR="00840E44" w:rsidRPr="00D004B8" w:rsidRDefault="00840E44" w:rsidP="00504D66">
            <w:pPr>
              <w:jc w:val="right"/>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jc w:val="right"/>
              <w:rPr>
                <w:rFonts w:eastAsia="Times New Roman"/>
                <w:bCs/>
                <w:sz w:val="22"/>
                <w:szCs w:val="22"/>
              </w:rPr>
            </w:pPr>
          </w:p>
        </w:tc>
      </w:tr>
      <w:tr w:rsidR="00840E44" w:rsidTr="00504D66">
        <w:trPr>
          <w:trHeight w:val="23"/>
        </w:trPr>
        <w:tc>
          <w:tcPr>
            <w:tcW w:w="3146" w:type="dxa"/>
            <w:tcBorders>
              <w:top w:val="nil"/>
              <w:left w:val="nil"/>
              <w:bottom w:val="nil"/>
              <w:right w:val="nil"/>
            </w:tcBorders>
          </w:tcPr>
          <w:p w:rsidR="00840E44" w:rsidRPr="00D004B8" w:rsidRDefault="00840E44" w:rsidP="00504D66">
            <w:pPr>
              <w:rPr>
                <w:rFonts w:eastAsia="Times New Roman"/>
                <w:bCs/>
                <w:sz w:val="22"/>
                <w:szCs w:val="22"/>
              </w:rPr>
            </w:pPr>
            <w:r w:rsidRPr="00D004B8">
              <w:rPr>
                <w:rFonts w:eastAsia="Times New Roman"/>
                <w:bCs/>
                <w:sz w:val="22"/>
                <w:szCs w:val="22"/>
              </w:rPr>
              <w:t>Log (sum of lights)</w:t>
            </w:r>
            <w:r w:rsidRPr="00D004B8">
              <w:rPr>
                <w:rFonts w:eastAsia="Times New Roman"/>
                <w:bCs/>
                <w:i/>
                <w:iCs/>
                <w:sz w:val="22"/>
                <w:szCs w:val="22"/>
                <w:vertAlign w:val="subscript"/>
              </w:rPr>
              <w:t>it</w:t>
            </w:r>
            <w:r w:rsidRPr="00D004B8">
              <w:rPr>
                <w:rFonts w:eastAsia="Times New Roman"/>
                <w:bCs/>
                <w:sz w:val="22"/>
                <w:szCs w:val="22"/>
                <w:vertAlign w:val="subscript"/>
              </w:rPr>
              <w:t>=2</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-0.039</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-0.086</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1.024</w:t>
            </w:r>
            <w:r w:rsidRPr="00D004B8">
              <w:rPr>
                <w:rFonts w:eastAsia="Times New Roman"/>
                <w:bCs/>
                <w:sz w:val="22"/>
                <w:szCs w:val="22"/>
                <w:vertAlign w:val="superscript"/>
              </w:rPr>
              <w:t>***</w:t>
            </w:r>
          </w:p>
        </w:tc>
        <w:tc>
          <w:tcPr>
            <w:tcW w:w="340" w:type="dxa"/>
            <w:tcBorders>
              <w:top w:val="nil"/>
              <w:left w:val="nil"/>
              <w:bottom w:val="nil"/>
              <w:right w:val="nil"/>
            </w:tcBorders>
          </w:tcPr>
          <w:p w:rsidR="00840E44" w:rsidRPr="00D004B8" w:rsidRDefault="00840E44" w:rsidP="00504D66">
            <w:pPr>
              <w:jc w:val="right"/>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0.172</w:t>
            </w:r>
            <w:r w:rsidRPr="00D004B8">
              <w:rPr>
                <w:rFonts w:eastAsia="Times New Roman"/>
                <w:bCs/>
                <w:sz w:val="22"/>
                <w:szCs w:val="22"/>
                <w:vertAlign w:val="superscript"/>
              </w:rPr>
              <w:t>**</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0.080</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0.927</w:t>
            </w:r>
            <w:r w:rsidRPr="00D004B8">
              <w:rPr>
                <w:rFonts w:eastAsia="Times New Roman"/>
                <w:bCs/>
                <w:sz w:val="22"/>
                <w:szCs w:val="22"/>
                <w:vertAlign w:val="superscript"/>
              </w:rPr>
              <w:t>***</w:t>
            </w:r>
          </w:p>
        </w:tc>
      </w:tr>
      <w:tr w:rsidR="00840E44" w:rsidTr="00504D66">
        <w:trPr>
          <w:trHeight w:val="23"/>
        </w:trPr>
        <w:tc>
          <w:tcPr>
            <w:tcW w:w="3146" w:type="dxa"/>
            <w:tcBorders>
              <w:top w:val="nil"/>
              <w:left w:val="nil"/>
              <w:bottom w:val="nil"/>
              <w:right w:val="nil"/>
            </w:tcBorders>
          </w:tcPr>
          <w:p w:rsidR="00840E44" w:rsidRPr="00D004B8" w:rsidRDefault="00840E44" w:rsidP="00504D66">
            <w:pPr>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(0.66)</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(1.52)</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(7.39)</w:t>
            </w:r>
          </w:p>
        </w:tc>
        <w:tc>
          <w:tcPr>
            <w:tcW w:w="340" w:type="dxa"/>
            <w:tcBorders>
              <w:top w:val="nil"/>
              <w:left w:val="nil"/>
              <w:bottom w:val="nil"/>
              <w:right w:val="nil"/>
            </w:tcBorders>
          </w:tcPr>
          <w:p w:rsidR="00840E44" w:rsidRPr="00D004B8" w:rsidRDefault="00840E44" w:rsidP="00504D66">
            <w:pPr>
              <w:jc w:val="right"/>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(2.25)</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(1.00)</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(11.34)</w:t>
            </w:r>
          </w:p>
        </w:tc>
      </w:tr>
      <w:tr w:rsidR="00840E44" w:rsidTr="00504D66">
        <w:trPr>
          <w:trHeight w:val="23"/>
        </w:trPr>
        <w:tc>
          <w:tcPr>
            <w:tcW w:w="3146" w:type="dxa"/>
            <w:tcBorders>
              <w:top w:val="nil"/>
              <w:left w:val="nil"/>
              <w:bottom w:val="nil"/>
              <w:right w:val="nil"/>
            </w:tcBorders>
          </w:tcPr>
          <w:p w:rsidR="00840E44" w:rsidRPr="00D004B8" w:rsidRDefault="00840E44" w:rsidP="00504D66">
            <w:pPr>
              <w:spacing w:before="40"/>
              <w:rPr>
                <w:rFonts w:eastAsia="Times New Roman"/>
                <w:bCs/>
                <w:sz w:val="22"/>
                <w:szCs w:val="22"/>
              </w:rPr>
            </w:pPr>
            <w:r w:rsidRPr="00D004B8">
              <w:rPr>
                <w:rFonts w:eastAsia="Times New Roman"/>
                <w:bCs/>
                <w:sz w:val="22"/>
                <w:szCs w:val="22"/>
              </w:rPr>
              <w:t>Constant</w:t>
            </w:r>
          </w:p>
        </w:tc>
        <w:tc>
          <w:tcPr>
            <w:tcW w:w="1744"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2.607</w:t>
            </w:r>
          </w:p>
        </w:tc>
        <w:tc>
          <w:tcPr>
            <w:tcW w:w="1743"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2.947</w:t>
            </w:r>
          </w:p>
        </w:tc>
        <w:tc>
          <w:tcPr>
            <w:tcW w:w="1744"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-6.618</w:t>
            </w:r>
          </w:p>
        </w:tc>
        <w:tc>
          <w:tcPr>
            <w:tcW w:w="340" w:type="dxa"/>
            <w:tcBorders>
              <w:top w:val="nil"/>
              <w:left w:val="nil"/>
              <w:bottom w:val="nil"/>
              <w:right w:val="nil"/>
            </w:tcBorders>
          </w:tcPr>
          <w:p w:rsidR="00840E44" w:rsidRPr="00D004B8" w:rsidRDefault="00840E44" w:rsidP="00504D66">
            <w:pPr>
              <w:spacing w:before="40"/>
              <w:jc w:val="right"/>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1.144</w:t>
            </w:r>
          </w:p>
        </w:tc>
        <w:tc>
          <w:tcPr>
            <w:tcW w:w="1743"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1.794</w:t>
            </w:r>
          </w:p>
        </w:tc>
        <w:tc>
          <w:tcPr>
            <w:tcW w:w="1744" w:type="dxa"/>
            <w:tcBorders>
              <w:top w:val="nil"/>
              <w:left w:val="nil"/>
              <w:bottom w:val="nil"/>
              <w:right w:val="nil"/>
            </w:tcBorders>
          </w:tcPr>
          <w:p w:rsidR="00840E44" w:rsidRPr="00D004B8" w:rsidRDefault="00840E44" w:rsidP="00504D66">
            <w:pPr>
              <w:tabs>
                <w:tab w:val="decimal" w:pos="567"/>
              </w:tabs>
              <w:spacing w:before="40"/>
              <w:rPr>
                <w:rFonts w:eastAsia="Times New Roman"/>
                <w:bCs/>
                <w:sz w:val="22"/>
                <w:szCs w:val="22"/>
              </w:rPr>
            </w:pPr>
            <w:r w:rsidRPr="00D004B8">
              <w:rPr>
                <w:rFonts w:eastAsia="Times New Roman"/>
                <w:bCs/>
                <w:sz w:val="22"/>
                <w:szCs w:val="22"/>
              </w:rPr>
              <w:t>-5.158</w:t>
            </w:r>
          </w:p>
        </w:tc>
      </w:tr>
      <w:tr w:rsidR="00840E44" w:rsidTr="00504D66">
        <w:trPr>
          <w:trHeight w:val="23"/>
        </w:trPr>
        <w:tc>
          <w:tcPr>
            <w:tcW w:w="3146" w:type="dxa"/>
            <w:tcBorders>
              <w:top w:val="nil"/>
              <w:left w:val="nil"/>
              <w:bottom w:val="nil"/>
              <w:right w:val="nil"/>
            </w:tcBorders>
          </w:tcPr>
          <w:p w:rsidR="00840E44" w:rsidRPr="00D004B8" w:rsidRDefault="00840E44" w:rsidP="00504D66">
            <w:pPr>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(4.97)</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(5.79)</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(5.13)</w:t>
            </w:r>
          </w:p>
        </w:tc>
        <w:tc>
          <w:tcPr>
            <w:tcW w:w="340" w:type="dxa"/>
            <w:tcBorders>
              <w:top w:val="nil"/>
              <w:left w:val="nil"/>
              <w:bottom w:val="nil"/>
              <w:right w:val="nil"/>
            </w:tcBorders>
          </w:tcPr>
          <w:p w:rsidR="00840E44" w:rsidRPr="00D004B8" w:rsidRDefault="00840E44" w:rsidP="00504D66">
            <w:pPr>
              <w:jc w:val="right"/>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(1.88)</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(2.88)</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Cs/>
                <w:sz w:val="22"/>
                <w:szCs w:val="22"/>
              </w:rPr>
            </w:pPr>
            <w:r w:rsidRPr="00D004B8">
              <w:rPr>
                <w:rFonts w:eastAsia="Times New Roman"/>
                <w:bCs/>
                <w:sz w:val="22"/>
                <w:szCs w:val="22"/>
              </w:rPr>
              <w:t>(7.05)</w:t>
            </w:r>
          </w:p>
        </w:tc>
      </w:tr>
      <w:tr w:rsidR="00840E44" w:rsidRPr="00EF5434" w:rsidTr="00504D66">
        <w:trPr>
          <w:trHeight w:val="23"/>
        </w:trPr>
        <w:tc>
          <w:tcPr>
            <w:tcW w:w="3146" w:type="dxa"/>
            <w:tcBorders>
              <w:top w:val="nil"/>
              <w:left w:val="nil"/>
              <w:bottom w:val="nil"/>
              <w:right w:val="nil"/>
            </w:tcBorders>
          </w:tcPr>
          <w:p w:rsidR="00840E44" w:rsidRPr="00D004B8" w:rsidRDefault="00840E44" w:rsidP="00504D66">
            <w:pPr>
              <w:rPr>
                <w:rFonts w:eastAsia="Times New Roman"/>
                <w:b/>
                <w:sz w:val="22"/>
                <w:szCs w:val="22"/>
                <w:vertAlign w:val="superscript"/>
              </w:rPr>
            </w:pPr>
            <w:r w:rsidRPr="00D004B8">
              <w:rPr>
                <w:rFonts w:eastAsia="Times New Roman"/>
                <w:b/>
                <w:i/>
                <w:iCs/>
                <w:sz w:val="22"/>
                <w:szCs w:val="22"/>
              </w:rPr>
              <w:t>R</w:t>
            </w:r>
            <w:r w:rsidRPr="00D004B8">
              <w:rPr>
                <w:rFonts w:eastAsia="Times New Roman"/>
                <w:b/>
                <w:sz w:val="22"/>
                <w:szCs w:val="22"/>
                <w:vertAlign w:val="superscript"/>
              </w:rPr>
              <w:t>2</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
                <w:sz w:val="22"/>
                <w:szCs w:val="22"/>
              </w:rPr>
            </w:pPr>
            <w:r w:rsidRPr="00D004B8">
              <w:rPr>
                <w:rFonts w:eastAsia="Times New Roman"/>
                <w:b/>
                <w:sz w:val="22"/>
                <w:szCs w:val="22"/>
              </w:rPr>
              <w:t>0.00</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
                <w:sz w:val="22"/>
                <w:szCs w:val="22"/>
              </w:rPr>
            </w:pPr>
            <w:r w:rsidRPr="00D004B8">
              <w:rPr>
                <w:rFonts w:eastAsia="Times New Roman"/>
                <w:b/>
                <w:sz w:val="22"/>
                <w:szCs w:val="22"/>
              </w:rPr>
              <w:t>0.02</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
                <w:sz w:val="22"/>
                <w:szCs w:val="22"/>
              </w:rPr>
            </w:pPr>
            <w:r w:rsidRPr="00D004B8">
              <w:rPr>
                <w:rFonts w:eastAsia="Times New Roman"/>
                <w:b/>
                <w:sz w:val="22"/>
                <w:szCs w:val="22"/>
              </w:rPr>
              <w:t>0.43</w:t>
            </w:r>
          </w:p>
        </w:tc>
        <w:tc>
          <w:tcPr>
            <w:tcW w:w="340" w:type="dxa"/>
            <w:tcBorders>
              <w:top w:val="nil"/>
              <w:left w:val="nil"/>
              <w:bottom w:val="nil"/>
              <w:right w:val="nil"/>
            </w:tcBorders>
          </w:tcPr>
          <w:p w:rsidR="00840E44" w:rsidRPr="00D004B8" w:rsidRDefault="00840E44" w:rsidP="00504D66">
            <w:pPr>
              <w:jc w:val="right"/>
              <w:rPr>
                <w:rFonts w:eastAsia="Times New Roman"/>
                <w:b/>
                <w:sz w:val="22"/>
                <w:szCs w:val="22"/>
              </w:rPr>
            </w:pP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
                <w:sz w:val="22"/>
                <w:szCs w:val="22"/>
              </w:rPr>
            </w:pPr>
            <w:r w:rsidRPr="00D004B8">
              <w:rPr>
                <w:rFonts w:eastAsia="Times New Roman"/>
                <w:b/>
                <w:sz w:val="22"/>
                <w:szCs w:val="22"/>
              </w:rPr>
              <w:t>0.05</w:t>
            </w:r>
          </w:p>
        </w:tc>
        <w:tc>
          <w:tcPr>
            <w:tcW w:w="1743" w:type="dxa"/>
            <w:tcBorders>
              <w:top w:val="nil"/>
              <w:left w:val="nil"/>
              <w:bottom w:val="nil"/>
              <w:right w:val="nil"/>
            </w:tcBorders>
          </w:tcPr>
          <w:p w:rsidR="00840E44" w:rsidRPr="00D004B8" w:rsidRDefault="00840E44" w:rsidP="00504D66">
            <w:pPr>
              <w:tabs>
                <w:tab w:val="decimal" w:pos="567"/>
              </w:tabs>
              <w:rPr>
                <w:rFonts w:eastAsia="Times New Roman"/>
                <w:b/>
                <w:sz w:val="22"/>
                <w:szCs w:val="22"/>
              </w:rPr>
            </w:pPr>
            <w:r w:rsidRPr="00D004B8">
              <w:rPr>
                <w:rFonts w:eastAsia="Times New Roman"/>
                <w:b/>
                <w:sz w:val="22"/>
                <w:szCs w:val="22"/>
              </w:rPr>
              <w:t>0.01</w:t>
            </w:r>
          </w:p>
        </w:tc>
        <w:tc>
          <w:tcPr>
            <w:tcW w:w="1744" w:type="dxa"/>
            <w:tcBorders>
              <w:top w:val="nil"/>
              <w:left w:val="nil"/>
              <w:bottom w:val="nil"/>
              <w:right w:val="nil"/>
            </w:tcBorders>
          </w:tcPr>
          <w:p w:rsidR="00840E44" w:rsidRPr="00D004B8" w:rsidRDefault="00840E44" w:rsidP="00504D66">
            <w:pPr>
              <w:tabs>
                <w:tab w:val="decimal" w:pos="567"/>
              </w:tabs>
              <w:rPr>
                <w:rFonts w:eastAsia="Times New Roman"/>
                <w:b/>
                <w:sz w:val="22"/>
                <w:szCs w:val="22"/>
              </w:rPr>
            </w:pPr>
            <w:r w:rsidRPr="00D004B8">
              <w:rPr>
                <w:rFonts w:eastAsia="Times New Roman"/>
                <w:b/>
                <w:sz w:val="22"/>
                <w:szCs w:val="22"/>
              </w:rPr>
              <w:t>0.68</w:t>
            </w:r>
          </w:p>
        </w:tc>
      </w:tr>
      <w:tr w:rsidR="00840E44" w:rsidTr="00504D66">
        <w:trPr>
          <w:trHeight w:val="23"/>
        </w:trPr>
        <w:tc>
          <w:tcPr>
            <w:tcW w:w="3146" w:type="dxa"/>
            <w:tcBorders>
              <w:top w:val="nil"/>
              <w:left w:val="nil"/>
              <w:bottom w:val="nil"/>
              <w:right w:val="nil"/>
            </w:tcBorders>
          </w:tcPr>
          <w:p w:rsidR="00840E44" w:rsidRPr="00D004B8" w:rsidRDefault="00840E44" w:rsidP="00504D66">
            <w:pPr>
              <w:rPr>
                <w:rFonts w:eastAsia="Times New Roman"/>
                <w:bCs/>
                <w:sz w:val="22"/>
                <w:szCs w:val="22"/>
              </w:rPr>
            </w:pPr>
            <w:r w:rsidRPr="00D004B8">
              <w:rPr>
                <w:rFonts w:eastAsia="Times New Roman"/>
                <w:bCs/>
                <w:sz w:val="22"/>
                <w:szCs w:val="22"/>
              </w:rPr>
              <w:t>Number of observations</w:t>
            </w:r>
          </w:p>
        </w:tc>
        <w:tc>
          <w:tcPr>
            <w:tcW w:w="1744" w:type="dxa"/>
            <w:tcBorders>
              <w:top w:val="nil"/>
              <w:left w:val="nil"/>
              <w:bottom w:val="nil"/>
              <w:right w:val="nil"/>
            </w:tcBorders>
          </w:tcPr>
          <w:p w:rsidR="00840E44" w:rsidRPr="00D004B8" w:rsidRDefault="00840E44" w:rsidP="00504D66">
            <w:pPr>
              <w:tabs>
                <w:tab w:val="decimal" w:pos="567"/>
              </w:tabs>
              <w:ind w:right="340"/>
              <w:jc w:val="center"/>
              <w:rPr>
                <w:rFonts w:eastAsia="Times New Roman"/>
                <w:bCs/>
                <w:sz w:val="22"/>
                <w:szCs w:val="22"/>
              </w:rPr>
            </w:pPr>
            <w:r w:rsidRPr="00D004B8">
              <w:rPr>
                <w:rFonts w:eastAsia="Times New Roman"/>
                <w:bCs/>
                <w:sz w:val="22"/>
                <w:szCs w:val="22"/>
              </w:rPr>
              <w:t>497</w:t>
            </w:r>
          </w:p>
        </w:tc>
        <w:tc>
          <w:tcPr>
            <w:tcW w:w="1743" w:type="dxa"/>
            <w:tcBorders>
              <w:top w:val="nil"/>
              <w:left w:val="nil"/>
              <w:bottom w:val="nil"/>
              <w:right w:val="nil"/>
            </w:tcBorders>
          </w:tcPr>
          <w:p w:rsidR="00840E44" w:rsidRPr="00D004B8" w:rsidRDefault="00840E44" w:rsidP="00504D66">
            <w:pPr>
              <w:tabs>
                <w:tab w:val="decimal" w:pos="567"/>
              </w:tabs>
              <w:ind w:right="340"/>
              <w:jc w:val="center"/>
              <w:rPr>
                <w:rFonts w:eastAsia="Times New Roman"/>
                <w:bCs/>
                <w:sz w:val="22"/>
                <w:szCs w:val="22"/>
              </w:rPr>
            </w:pPr>
            <w:r w:rsidRPr="00D004B8">
              <w:rPr>
                <w:rFonts w:eastAsia="Times New Roman"/>
                <w:bCs/>
                <w:sz w:val="22"/>
                <w:szCs w:val="22"/>
              </w:rPr>
              <w:t>399</w:t>
            </w:r>
          </w:p>
        </w:tc>
        <w:tc>
          <w:tcPr>
            <w:tcW w:w="1744" w:type="dxa"/>
            <w:tcBorders>
              <w:top w:val="nil"/>
              <w:left w:val="nil"/>
              <w:bottom w:val="nil"/>
              <w:right w:val="nil"/>
            </w:tcBorders>
          </w:tcPr>
          <w:p w:rsidR="00840E44" w:rsidRPr="00D004B8" w:rsidRDefault="00840E44" w:rsidP="00504D66">
            <w:pPr>
              <w:tabs>
                <w:tab w:val="decimal" w:pos="567"/>
              </w:tabs>
              <w:ind w:right="340"/>
              <w:jc w:val="center"/>
              <w:rPr>
                <w:rFonts w:eastAsia="Times New Roman"/>
                <w:bCs/>
                <w:sz w:val="22"/>
                <w:szCs w:val="22"/>
              </w:rPr>
            </w:pPr>
            <w:r w:rsidRPr="00D004B8">
              <w:rPr>
                <w:rFonts w:eastAsia="Times New Roman"/>
                <w:bCs/>
                <w:sz w:val="22"/>
                <w:szCs w:val="22"/>
              </w:rPr>
              <w:t>98</w:t>
            </w:r>
          </w:p>
        </w:tc>
        <w:tc>
          <w:tcPr>
            <w:tcW w:w="340" w:type="dxa"/>
            <w:tcBorders>
              <w:top w:val="nil"/>
              <w:left w:val="nil"/>
              <w:bottom w:val="nil"/>
              <w:right w:val="nil"/>
            </w:tcBorders>
          </w:tcPr>
          <w:p w:rsidR="00840E44" w:rsidRPr="00D004B8" w:rsidRDefault="00840E44" w:rsidP="00504D66">
            <w:pPr>
              <w:jc w:val="right"/>
              <w:rPr>
                <w:rFonts w:eastAsia="Times New Roman"/>
                <w:bCs/>
                <w:sz w:val="22"/>
                <w:szCs w:val="22"/>
              </w:rPr>
            </w:pPr>
          </w:p>
        </w:tc>
        <w:tc>
          <w:tcPr>
            <w:tcW w:w="1744" w:type="dxa"/>
            <w:tcBorders>
              <w:top w:val="nil"/>
              <w:left w:val="nil"/>
              <w:bottom w:val="nil"/>
              <w:right w:val="nil"/>
            </w:tcBorders>
          </w:tcPr>
          <w:p w:rsidR="00840E44" w:rsidRPr="00D004B8" w:rsidRDefault="00840E44" w:rsidP="00504D66">
            <w:pPr>
              <w:tabs>
                <w:tab w:val="decimal" w:pos="567"/>
              </w:tabs>
              <w:ind w:right="340"/>
              <w:jc w:val="center"/>
              <w:rPr>
                <w:rFonts w:eastAsia="Times New Roman"/>
                <w:bCs/>
                <w:sz w:val="22"/>
                <w:szCs w:val="22"/>
              </w:rPr>
            </w:pPr>
            <w:r w:rsidRPr="00D004B8">
              <w:rPr>
                <w:rFonts w:eastAsia="Times New Roman"/>
                <w:bCs/>
                <w:sz w:val="22"/>
                <w:szCs w:val="22"/>
              </w:rPr>
              <w:t>497</w:t>
            </w:r>
          </w:p>
        </w:tc>
        <w:tc>
          <w:tcPr>
            <w:tcW w:w="1743" w:type="dxa"/>
            <w:tcBorders>
              <w:top w:val="nil"/>
              <w:left w:val="nil"/>
              <w:bottom w:val="nil"/>
              <w:right w:val="nil"/>
            </w:tcBorders>
          </w:tcPr>
          <w:p w:rsidR="00840E44" w:rsidRPr="00D004B8" w:rsidRDefault="00840E44" w:rsidP="00504D66">
            <w:pPr>
              <w:tabs>
                <w:tab w:val="decimal" w:pos="567"/>
              </w:tabs>
              <w:ind w:right="340"/>
              <w:jc w:val="center"/>
              <w:rPr>
                <w:rFonts w:eastAsia="Times New Roman"/>
                <w:bCs/>
                <w:sz w:val="22"/>
                <w:szCs w:val="22"/>
              </w:rPr>
            </w:pPr>
            <w:r w:rsidRPr="00D004B8">
              <w:rPr>
                <w:rFonts w:eastAsia="Times New Roman"/>
                <w:bCs/>
                <w:sz w:val="22"/>
                <w:szCs w:val="22"/>
              </w:rPr>
              <w:t>399</w:t>
            </w:r>
          </w:p>
        </w:tc>
        <w:tc>
          <w:tcPr>
            <w:tcW w:w="1744" w:type="dxa"/>
            <w:tcBorders>
              <w:top w:val="nil"/>
              <w:left w:val="nil"/>
              <w:bottom w:val="nil"/>
              <w:right w:val="nil"/>
            </w:tcBorders>
          </w:tcPr>
          <w:p w:rsidR="00840E44" w:rsidRPr="00D004B8" w:rsidRDefault="00840E44" w:rsidP="00504D66">
            <w:pPr>
              <w:tabs>
                <w:tab w:val="decimal" w:pos="567"/>
              </w:tabs>
              <w:ind w:right="340"/>
              <w:jc w:val="center"/>
              <w:rPr>
                <w:rFonts w:eastAsia="Times New Roman"/>
                <w:bCs/>
                <w:sz w:val="22"/>
                <w:szCs w:val="22"/>
              </w:rPr>
            </w:pPr>
            <w:r w:rsidRPr="00D004B8">
              <w:rPr>
                <w:rFonts w:eastAsia="Times New Roman"/>
                <w:bCs/>
                <w:sz w:val="22"/>
                <w:szCs w:val="22"/>
              </w:rPr>
              <w:t>98</w:t>
            </w:r>
          </w:p>
        </w:tc>
      </w:tr>
      <w:tr w:rsidR="00840E44" w:rsidTr="00504D66">
        <w:trPr>
          <w:trHeight w:val="23"/>
        </w:trPr>
        <w:tc>
          <w:tcPr>
            <w:tcW w:w="3146" w:type="dxa"/>
            <w:tcBorders>
              <w:top w:val="nil"/>
              <w:left w:val="nil"/>
              <w:bottom w:val="single" w:sz="4" w:space="0" w:color="auto"/>
              <w:right w:val="nil"/>
            </w:tcBorders>
          </w:tcPr>
          <w:p w:rsidR="00840E44" w:rsidRPr="0037219C" w:rsidRDefault="00840E44" w:rsidP="00504D66">
            <w:pPr>
              <w:jc w:val="right"/>
              <w:rPr>
                <w:rFonts w:eastAsia="Times New Roman"/>
                <w:bCs/>
                <w:sz w:val="4"/>
                <w:szCs w:val="4"/>
              </w:rPr>
            </w:pPr>
          </w:p>
        </w:tc>
        <w:tc>
          <w:tcPr>
            <w:tcW w:w="1744" w:type="dxa"/>
            <w:tcBorders>
              <w:top w:val="nil"/>
              <w:left w:val="nil"/>
              <w:bottom w:val="single" w:sz="4" w:space="0" w:color="auto"/>
              <w:right w:val="nil"/>
            </w:tcBorders>
          </w:tcPr>
          <w:p w:rsidR="00840E44" w:rsidRPr="0037219C" w:rsidRDefault="00840E44" w:rsidP="00504D66">
            <w:pPr>
              <w:jc w:val="right"/>
              <w:rPr>
                <w:rFonts w:eastAsia="Times New Roman"/>
                <w:bCs/>
                <w:sz w:val="4"/>
                <w:szCs w:val="4"/>
              </w:rPr>
            </w:pPr>
          </w:p>
        </w:tc>
        <w:tc>
          <w:tcPr>
            <w:tcW w:w="1743" w:type="dxa"/>
            <w:tcBorders>
              <w:top w:val="nil"/>
              <w:left w:val="nil"/>
              <w:bottom w:val="single" w:sz="4" w:space="0" w:color="auto"/>
              <w:right w:val="nil"/>
            </w:tcBorders>
          </w:tcPr>
          <w:p w:rsidR="00840E44" w:rsidRPr="0037219C" w:rsidRDefault="00840E44" w:rsidP="00504D66">
            <w:pPr>
              <w:jc w:val="right"/>
              <w:rPr>
                <w:rFonts w:eastAsia="Times New Roman"/>
                <w:bCs/>
                <w:sz w:val="4"/>
                <w:szCs w:val="4"/>
              </w:rPr>
            </w:pPr>
          </w:p>
        </w:tc>
        <w:tc>
          <w:tcPr>
            <w:tcW w:w="1744" w:type="dxa"/>
            <w:tcBorders>
              <w:top w:val="nil"/>
              <w:left w:val="nil"/>
              <w:bottom w:val="single" w:sz="4" w:space="0" w:color="auto"/>
              <w:right w:val="nil"/>
            </w:tcBorders>
          </w:tcPr>
          <w:p w:rsidR="00840E44" w:rsidRPr="0037219C" w:rsidRDefault="00840E44" w:rsidP="00504D66">
            <w:pPr>
              <w:jc w:val="right"/>
              <w:rPr>
                <w:rFonts w:eastAsia="Times New Roman"/>
                <w:bCs/>
                <w:sz w:val="4"/>
                <w:szCs w:val="4"/>
              </w:rPr>
            </w:pPr>
          </w:p>
        </w:tc>
        <w:tc>
          <w:tcPr>
            <w:tcW w:w="340" w:type="dxa"/>
            <w:tcBorders>
              <w:top w:val="nil"/>
              <w:left w:val="nil"/>
              <w:bottom w:val="single" w:sz="4" w:space="0" w:color="auto"/>
              <w:right w:val="nil"/>
            </w:tcBorders>
          </w:tcPr>
          <w:p w:rsidR="00840E44" w:rsidRPr="0037219C" w:rsidRDefault="00840E44" w:rsidP="00504D66">
            <w:pPr>
              <w:jc w:val="right"/>
              <w:rPr>
                <w:rFonts w:eastAsia="Times New Roman"/>
                <w:bCs/>
                <w:sz w:val="4"/>
                <w:szCs w:val="4"/>
              </w:rPr>
            </w:pPr>
          </w:p>
        </w:tc>
        <w:tc>
          <w:tcPr>
            <w:tcW w:w="1744" w:type="dxa"/>
            <w:tcBorders>
              <w:top w:val="nil"/>
              <w:left w:val="nil"/>
              <w:bottom w:val="single" w:sz="4" w:space="0" w:color="auto"/>
              <w:right w:val="nil"/>
            </w:tcBorders>
          </w:tcPr>
          <w:p w:rsidR="00840E44" w:rsidRPr="0037219C" w:rsidRDefault="00840E44" w:rsidP="00504D66">
            <w:pPr>
              <w:jc w:val="right"/>
              <w:rPr>
                <w:rFonts w:eastAsia="Times New Roman"/>
                <w:bCs/>
                <w:sz w:val="4"/>
                <w:szCs w:val="4"/>
              </w:rPr>
            </w:pPr>
          </w:p>
        </w:tc>
        <w:tc>
          <w:tcPr>
            <w:tcW w:w="1743" w:type="dxa"/>
            <w:tcBorders>
              <w:top w:val="nil"/>
              <w:left w:val="nil"/>
              <w:bottom w:val="single" w:sz="4" w:space="0" w:color="auto"/>
              <w:right w:val="nil"/>
            </w:tcBorders>
          </w:tcPr>
          <w:p w:rsidR="00840E44" w:rsidRPr="0037219C" w:rsidRDefault="00840E44" w:rsidP="00504D66">
            <w:pPr>
              <w:jc w:val="right"/>
              <w:rPr>
                <w:rFonts w:eastAsia="Times New Roman"/>
                <w:bCs/>
                <w:sz w:val="4"/>
                <w:szCs w:val="4"/>
              </w:rPr>
            </w:pPr>
          </w:p>
        </w:tc>
        <w:tc>
          <w:tcPr>
            <w:tcW w:w="1744" w:type="dxa"/>
            <w:tcBorders>
              <w:top w:val="nil"/>
              <w:left w:val="nil"/>
              <w:bottom w:val="single" w:sz="4" w:space="0" w:color="auto"/>
              <w:right w:val="nil"/>
            </w:tcBorders>
          </w:tcPr>
          <w:p w:rsidR="00840E44" w:rsidRPr="0037219C" w:rsidRDefault="00840E44" w:rsidP="00504D66">
            <w:pPr>
              <w:jc w:val="right"/>
              <w:rPr>
                <w:rFonts w:eastAsia="Times New Roman"/>
                <w:bCs/>
                <w:sz w:val="4"/>
                <w:szCs w:val="4"/>
              </w:rPr>
            </w:pPr>
          </w:p>
        </w:tc>
      </w:tr>
      <w:tr w:rsidR="00840E44" w:rsidTr="00504D66">
        <w:trPr>
          <w:trHeight w:val="23"/>
        </w:trPr>
        <w:tc>
          <w:tcPr>
            <w:tcW w:w="13948" w:type="dxa"/>
            <w:gridSpan w:val="8"/>
            <w:tcBorders>
              <w:top w:val="single" w:sz="4" w:space="0" w:color="auto"/>
              <w:left w:val="nil"/>
              <w:bottom w:val="nil"/>
              <w:right w:val="nil"/>
            </w:tcBorders>
          </w:tcPr>
          <w:p w:rsidR="005061B0" w:rsidRDefault="00840E44" w:rsidP="00504D66">
            <w:pPr>
              <w:spacing w:before="40"/>
              <w:rPr>
                <w:rFonts w:eastAsia="Times New Roman"/>
                <w:bCs/>
                <w:sz w:val="20"/>
                <w:szCs w:val="20"/>
              </w:rPr>
            </w:pPr>
            <w:r w:rsidRPr="0037219C">
              <w:rPr>
                <w:rFonts w:eastAsia="Times New Roman"/>
                <w:bCs/>
                <w:i/>
                <w:iCs/>
                <w:sz w:val="20"/>
                <w:szCs w:val="20"/>
              </w:rPr>
              <w:t>Notes</w:t>
            </w:r>
            <w:r>
              <w:rPr>
                <w:rFonts w:eastAsia="Times New Roman"/>
                <w:bCs/>
                <w:sz w:val="20"/>
                <w:szCs w:val="20"/>
              </w:rPr>
              <w:t xml:space="preserve"> </w:t>
            </w:r>
          </w:p>
          <w:p w:rsidR="00840E44" w:rsidRPr="00C122A2" w:rsidRDefault="00840E44" w:rsidP="00504D66">
            <w:pPr>
              <w:spacing w:before="40"/>
              <w:rPr>
                <w:rFonts w:eastAsia="Times New Roman"/>
                <w:bCs/>
                <w:sz w:val="20"/>
                <w:szCs w:val="20"/>
              </w:rPr>
            </w:pPr>
            <w:r>
              <w:rPr>
                <w:rFonts w:eastAsia="Times New Roman"/>
                <w:bCs/>
                <w:sz w:val="20"/>
                <w:szCs w:val="20"/>
              </w:rPr>
              <w:t xml:space="preserve">The dependent variable is log real GDP for the </w:t>
            </w:r>
            <w:proofErr w:type="spellStart"/>
            <w:r w:rsidRPr="005E0E16">
              <w:rPr>
                <w:rFonts w:eastAsia="Times New Roman"/>
                <w:bCs/>
                <w:i/>
                <w:iCs/>
                <w:sz w:val="20"/>
                <w:szCs w:val="20"/>
              </w:rPr>
              <w:t>Kabupaten</w:t>
            </w:r>
            <w:proofErr w:type="spellEnd"/>
            <w:r>
              <w:rPr>
                <w:rFonts w:eastAsia="Times New Roman"/>
                <w:bCs/>
                <w:sz w:val="20"/>
                <w:szCs w:val="20"/>
              </w:rPr>
              <w:t xml:space="preserve"> or </w:t>
            </w:r>
            <w:r w:rsidRPr="005E0E16">
              <w:rPr>
                <w:rFonts w:eastAsia="Times New Roman"/>
                <w:bCs/>
                <w:i/>
                <w:iCs/>
                <w:sz w:val="20"/>
                <w:szCs w:val="20"/>
              </w:rPr>
              <w:t>Kota</w:t>
            </w:r>
            <w:r>
              <w:rPr>
                <w:rFonts w:eastAsia="Times New Roman"/>
                <w:bCs/>
                <w:sz w:val="20"/>
                <w:szCs w:val="20"/>
              </w:rPr>
              <w:t xml:space="preserve"> (in 2010 prices and using the administrative divisions from 2010 to account for subsequent splitting of spatial units). The </w:t>
            </w:r>
            <w:r>
              <w:rPr>
                <w:rFonts w:eastAsia="Times New Roman"/>
                <w:bCs/>
                <w:i/>
                <w:iCs/>
                <w:sz w:val="20"/>
                <w:szCs w:val="20"/>
              </w:rPr>
              <w:t>t</w:t>
            </w:r>
            <w:r>
              <w:rPr>
                <w:rFonts w:eastAsia="Times New Roman"/>
                <w:bCs/>
                <w:sz w:val="20"/>
                <w:szCs w:val="20"/>
              </w:rPr>
              <w:t xml:space="preserve">-statistics in ( ) are from robust standard errors, </w:t>
            </w:r>
            <w:r w:rsidRPr="00C122A2">
              <w:rPr>
                <w:rFonts w:eastAsia="Times New Roman"/>
                <w:bCs/>
                <w:sz w:val="20"/>
                <w:szCs w:val="20"/>
                <w:vertAlign w:val="superscript"/>
              </w:rPr>
              <w:t>***</w:t>
            </w:r>
            <w:r>
              <w:rPr>
                <w:rFonts w:eastAsia="Times New Roman"/>
                <w:bCs/>
                <w:sz w:val="20"/>
                <w:szCs w:val="20"/>
              </w:rPr>
              <w:t xml:space="preserve">, </w:t>
            </w:r>
            <w:r w:rsidRPr="00C122A2">
              <w:rPr>
                <w:rFonts w:eastAsia="Times New Roman"/>
                <w:bCs/>
                <w:sz w:val="20"/>
                <w:szCs w:val="20"/>
                <w:vertAlign w:val="superscript"/>
              </w:rPr>
              <w:t>**</w:t>
            </w:r>
            <w:r>
              <w:rPr>
                <w:rFonts w:eastAsia="Times New Roman"/>
                <w:bCs/>
                <w:sz w:val="20"/>
                <w:szCs w:val="20"/>
              </w:rPr>
              <w:t xml:space="preserve">, and </w:t>
            </w:r>
            <w:r w:rsidRPr="00C122A2">
              <w:rPr>
                <w:rFonts w:eastAsia="Times New Roman"/>
                <w:bCs/>
                <w:sz w:val="20"/>
                <w:szCs w:val="20"/>
                <w:vertAlign w:val="superscript"/>
              </w:rPr>
              <w:t>*</w:t>
            </w:r>
            <w:r>
              <w:rPr>
                <w:rFonts w:eastAsia="Times New Roman"/>
                <w:bCs/>
                <w:sz w:val="20"/>
                <w:szCs w:val="20"/>
              </w:rPr>
              <w:t xml:space="preserve"> denote statistical significance at 1%, 5% and 10% levels.</w:t>
            </w:r>
          </w:p>
        </w:tc>
      </w:tr>
    </w:tbl>
    <w:p w:rsidR="00840E44" w:rsidRDefault="00840E44">
      <w:pPr>
        <w:rPr>
          <w:bCs/>
          <w:lang w:val="en-US"/>
        </w:rPr>
        <w:sectPr w:rsidR="00840E44" w:rsidSect="006C255C">
          <w:pgSz w:w="16838" w:h="11906" w:orient="landscape"/>
          <w:pgMar w:top="1440" w:right="1440" w:bottom="1440" w:left="1440" w:header="709" w:footer="709" w:gutter="0"/>
          <w:pgNumType w:start="10"/>
          <w:cols w:space="708"/>
          <w:titlePg/>
          <w:docGrid w:linePitch="360"/>
        </w:sectPr>
      </w:pPr>
    </w:p>
    <w:p w:rsidR="004A1E78" w:rsidRDefault="004A1E78" w:rsidP="00BA4001">
      <w:pPr>
        <w:spacing w:after="0" w:line="288" w:lineRule="auto"/>
        <w:ind w:firstLine="720"/>
        <w:jc w:val="both"/>
        <w:rPr>
          <w:bCs/>
          <w:lang w:val="en-US"/>
        </w:rPr>
      </w:pPr>
      <w:r>
        <w:rPr>
          <w:bCs/>
          <w:lang w:val="en-US"/>
        </w:rPr>
        <w:lastRenderedPageBreak/>
        <w:t xml:space="preserve">If the VIIRS data are used to predict the GDP of spatial units, the elasticities are all positive, unlike for DMSP. However, for the </w:t>
      </w:r>
      <w:proofErr w:type="spellStart"/>
      <w:r>
        <w:rPr>
          <w:bCs/>
          <w:i/>
          <w:iCs/>
          <w:lang w:val="en-US"/>
        </w:rPr>
        <w:t>Kabupaten</w:t>
      </w:r>
      <w:proofErr w:type="spellEnd"/>
      <w:r>
        <w:rPr>
          <w:bCs/>
          <w:lang w:val="en-US"/>
        </w:rPr>
        <w:t xml:space="preserve">, the elasticities are only about 0.08 to 0.09, and are imprecisely estimated. In contrast, for the urban </w:t>
      </w:r>
      <w:r>
        <w:rPr>
          <w:bCs/>
          <w:i/>
          <w:iCs/>
          <w:lang w:val="en-US"/>
        </w:rPr>
        <w:t>Kota</w:t>
      </w:r>
      <w:r>
        <w:rPr>
          <w:bCs/>
          <w:lang w:val="en-US"/>
        </w:rPr>
        <w:t xml:space="preserve">, the elasticities are from 0.93 to 0.95, and are very precisely estimated. Thus, satellite observation of night lights </w:t>
      </w:r>
      <w:r w:rsidR="003965EC">
        <w:rPr>
          <w:bCs/>
          <w:lang w:val="en-US"/>
        </w:rPr>
        <w:t xml:space="preserve">does </w:t>
      </w:r>
      <w:r>
        <w:rPr>
          <w:bCs/>
          <w:lang w:val="en-US"/>
        </w:rPr>
        <w:t>not a</w:t>
      </w:r>
      <w:r w:rsidR="003965EC">
        <w:rPr>
          <w:bCs/>
          <w:lang w:val="en-US"/>
        </w:rPr>
        <w:t>ppear to be a</w:t>
      </w:r>
      <w:r>
        <w:rPr>
          <w:bCs/>
          <w:lang w:val="en-US"/>
        </w:rPr>
        <w:t xml:space="preserve"> suitable source of data to proxy for GDP outside of cities. Another contrast in Table 1 concerns the noise in the lights-GDP relationship for the urban sector. The unexplained share of the variation </w:t>
      </w:r>
      <w:r w:rsidR="00E5009B">
        <w:rPr>
          <w:bCs/>
          <w:lang w:val="en-US"/>
        </w:rPr>
        <w:t xml:space="preserve">in real GDP </w:t>
      </w:r>
      <w:r>
        <w:rPr>
          <w:bCs/>
          <w:lang w:val="en-US"/>
        </w:rPr>
        <w:t xml:space="preserve">is twice as large </w:t>
      </w:r>
      <w:r w:rsidR="00E5009B">
        <w:rPr>
          <w:bCs/>
          <w:lang w:val="en-US"/>
        </w:rPr>
        <w:t xml:space="preserve">when </w:t>
      </w:r>
      <w:r>
        <w:rPr>
          <w:bCs/>
          <w:lang w:val="en-US"/>
        </w:rPr>
        <w:t>using DMSP</w:t>
      </w:r>
      <w:r w:rsidR="00E5009B">
        <w:rPr>
          <w:bCs/>
          <w:lang w:val="en-US"/>
        </w:rPr>
        <w:t xml:space="preserve"> to predict</w:t>
      </w:r>
      <w:r w:rsidR="00935460">
        <w:rPr>
          <w:bCs/>
          <w:lang w:val="en-US"/>
        </w:rPr>
        <w:t xml:space="preserve"> GDP</w:t>
      </w:r>
      <w:r>
        <w:rPr>
          <w:bCs/>
          <w:lang w:val="en-US"/>
        </w:rPr>
        <w:t>, at 64%, compared to using VIIRS where it is only 32% (</w:t>
      </w:r>
      <w:r w:rsidR="00935460">
        <w:rPr>
          <w:bCs/>
          <w:lang w:val="en-US"/>
        </w:rPr>
        <w:t xml:space="preserve">for </w:t>
      </w:r>
      <w:r>
        <w:rPr>
          <w:bCs/>
          <w:lang w:val="en-US"/>
        </w:rPr>
        <w:t xml:space="preserve">the overall </w:t>
      </w:r>
      <w:r w:rsidRPr="004A1E78">
        <w:rPr>
          <w:bCs/>
          <w:i/>
          <w:iCs/>
          <w:lang w:val="en-US"/>
        </w:rPr>
        <w:t>R</w:t>
      </w:r>
      <w:r w:rsidRPr="004A1E78">
        <w:rPr>
          <w:bCs/>
          <w:vertAlign w:val="superscript"/>
          <w:lang w:val="en-US"/>
        </w:rPr>
        <w:t>2</w:t>
      </w:r>
      <w:r>
        <w:rPr>
          <w:bCs/>
          <w:lang w:val="en-US"/>
        </w:rPr>
        <w:t xml:space="preserve"> values).</w:t>
      </w:r>
      <w:r w:rsidR="00304E9C">
        <w:rPr>
          <w:bCs/>
          <w:lang w:val="en-US"/>
        </w:rPr>
        <w:t xml:space="preserve"> Finally, there is more year-by-year variation in the regression coefficients when using DMSP d</w:t>
      </w:r>
      <w:r w:rsidR="00935460">
        <w:rPr>
          <w:bCs/>
          <w:lang w:val="en-US"/>
        </w:rPr>
        <w:t xml:space="preserve">ata rather than VIIRS data; </w:t>
      </w:r>
      <w:r w:rsidR="00304E9C">
        <w:rPr>
          <w:bCs/>
          <w:lang w:val="en-US"/>
        </w:rPr>
        <w:t>this time-series instability likely reflects lack of calibration in DMSP data which means that DN values in one year are not necessarily comparable to those in another year.</w:t>
      </w:r>
    </w:p>
    <w:p w:rsidR="004D5979" w:rsidRPr="004A1E78" w:rsidRDefault="004D5979" w:rsidP="00BA4001">
      <w:pPr>
        <w:spacing w:after="0" w:line="288" w:lineRule="auto"/>
        <w:ind w:firstLine="720"/>
        <w:jc w:val="both"/>
        <w:rPr>
          <w:bCs/>
          <w:lang w:val="en-US"/>
        </w:rPr>
      </w:pPr>
    </w:p>
    <w:p w:rsidR="00D73C64" w:rsidRDefault="00F2581B" w:rsidP="00BA4001">
      <w:pPr>
        <w:spacing w:after="0" w:line="288" w:lineRule="auto"/>
        <w:ind w:firstLine="720"/>
        <w:jc w:val="both"/>
        <w:rPr>
          <w:bCs/>
          <w:lang w:val="en-US"/>
        </w:rPr>
      </w:pPr>
      <w:r>
        <w:rPr>
          <w:bCs/>
          <w:lang w:val="en-US"/>
        </w:rPr>
        <w:t xml:space="preserve">The DMSP data considerably understate spatial inequality. In Table 2 we report the Gini coefficient and Theil index for spatial inequality in lights, estimated over all 497 spatial units, and then separately for </w:t>
      </w:r>
      <w:proofErr w:type="spellStart"/>
      <w:r w:rsidRPr="00F2581B">
        <w:rPr>
          <w:bCs/>
          <w:i/>
          <w:iCs/>
          <w:lang w:val="en-US"/>
        </w:rPr>
        <w:t>Kabupaten</w:t>
      </w:r>
      <w:proofErr w:type="spellEnd"/>
      <w:r w:rsidRPr="00F2581B">
        <w:rPr>
          <w:bCs/>
          <w:i/>
          <w:iCs/>
          <w:lang w:val="en-US"/>
        </w:rPr>
        <w:t xml:space="preserve"> </w:t>
      </w:r>
      <w:r>
        <w:rPr>
          <w:bCs/>
          <w:lang w:val="en-US"/>
        </w:rPr>
        <w:t xml:space="preserve">and for </w:t>
      </w:r>
      <w:r w:rsidRPr="00F2581B">
        <w:rPr>
          <w:bCs/>
          <w:i/>
          <w:iCs/>
          <w:lang w:val="en-US"/>
        </w:rPr>
        <w:t>Kota.</w:t>
      </w:r>
      <w:r>
        <w:rPr>
          <w:bCs/>
          <w:lang w:val="en-US"/>
        </w:rPr>
        <w:t xml:space="preserve"> Considering first results for the Theil index, which is sensitive to inequality at the top of the distribution, </w:t>
      </w:r>
      <w:r w:rsidR="00EF4291">
        <w:rPr>
          <w:bCs/>
          <w:lang w:val="en-US"/>
        </w:rPr>
        <w:t>inequality according to the VIIRS data is 53% higher (with a Theil index of 2.19) than according to the DMSP data (with a Th</w:t>
      </w:r>
      <w:r w:rsidR="00C24E9E">
        <w:rPr>
          <w:bCs/>
          <w:lang w:val="en-US"/>
        </w:rPr>
        <w:t>ei</w:t>
      </w:r>
      <w:r w:rsidR="00EF4291">
        <w:rPr>
          <w:bCs/>
          <w:lang w:val="en-US"/>
        </w:rPr>
        <w:t>l index of 1.42). This difference is especially coming from the urban areas, where the VIIRS data show 64% higher inequality than do the DMSP data.</w:t>
      </w:r>
      <w:r w:rsidR="00C16FBB">
        <w:rPr>
          <w:bCs/>
          <w:lang w:val="en-US"/>
        </w:rPr>
        <w:t xml:space="preserve"> </w:t>
      </w:r>
      <w:r w:rsidR="00D73C64">
        <w:rPr>
          <w:bCs/>
          <w:lang w:val="en-US"/>
        </w:rPr>
        <w:t xml:space="preserve">We expand </w:t>
      </w:r>
      <w:r w:rsidR="00EA5114">
        <w:rPr>
          <w:bCs/>
          <w:lang w:val="en-US"/>
        </w:rPr>
        <w:t>upon this comparison in Figure 1</w:t>
      </w:r>
      <w:r w:rsidR="00D73C64">
        <w:rPr>
          <w:bCs/>
          <w:lang w:val="en-US"/>
        </w:rPr>
        <w:t>, which shows the Lorenz curve for lights in urban areas according to the DMSP data and the VIIRS data. Using the DMSP data, the Lorenz curve is significantly closer to the line of equality at all points, and yields a Gini coefficient of 0.58 compared to the Gini of 0.71 using VIIRS (the difference is statistically significant).</w:t>
      </w:r>
    </w:p>
    <w:p w:rsidR="00387A0D" w:rsidRDefault="00387A0D" w:rsidP="00BA4001">
      <w:pPr>
        <w:spacing w:after="0" w:line="288" w:lineRule="auto"/>
        <w:ind w:firstLine="720"/>
        <w:rPr>
          <w:bCs/>
          <w:lang w:val="en-US"/>
        </w:rPr>
      </w:pPr>
    </w:p>
    <w:p w:rsidR="00387A0D" w:rsidRDefault="005E0E16" w:rsidP="00900838">
      <w:pPr>
        <w:spacing w:after="0" w:line="360" w:lineRule="auto"/>
        <w:ind w:firstLine="142"/>
        <w:jc w:val="center"/>
        <w:rPr>
          <w:bCs/>
          <w:lang w:val="en-US"/>
        </w:rPr>
      </w:pPr>
      <w:r>
        <w:rPr>
          <w:rFonts w:eastAsia="Times New Roman"/>
          <w:bCs/>
          <w:noProof/>
          <w:sz w:val="8"/>
          <w:szCs w:val="8"/>
          <w:lang w:eastAsia="zh-CN"/>
        </w:rPr>
        <w:drawing>
          <wp:inline distT="0" distB="0" distL="0" distR="0" wp14:anchorId="124FD0B2" wp14:editId="1B05E846">
            <wp:extent cx="4669200" cy="339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1_Kota_Gini.tif"/>
                    <pic:cNvPicPr/>
                  </pic:nvPicPr>
                  <pic:blipFill>
                    <a:blip r:embed="rId9">
                      <a:extLst>
                        <a:ext uri="{28A0092B-C50C-407E-A947-70E740481C1C}">
                          <a14:useLocalDpi xmlns:a14="http://schemas.microsoft.com/office/drawing/2010/main" val="0"/>
                        </a:ext>
                      </a:extLst>
                    </a:blip>
                    <a:stretch>
                      <a:fillRect/>
                    </a:stretch>
                  </pic:blipFill>
                  <pic:spPr>
                    <a:xfrm>
                      <a:off x="0" y="0"/>
                      <a:ext cx="4669200" cy="3398400"/>
                    </a:xfrm>
                    <a:prstGeom prst="rect">
                      <a:avLst/>
                    </a:prstGeom>
                  </pic:spPr>
                </pic:pic>
              </a:graphicData>
            </a:graphic>
          </wp:inline>
        </w:drawing>
      </w:r>
    </w:p>
    <w:p w:rsidR="00BA4001" w:rsidRDefault="00BA4001" w:rsidP="00F7101D">
      <w:pPr>
        <w:spacing w:after="0" w:line="360" w:lineRule="auto"/>
        <w:ind w:firstLine="720"/>
        <w:jc w:val="both"/>
        <w:rPr>
          <w:bCs/>
          <w:lang w:val="en-US"/>
        </w:rPr>
      </w:pPr>
    </w:p>
    <w:p w:rsidR="00A575D9" w:rsidRDefault="00A575D9">
      <w:pPr>
        <w:spacing w:after="80"/>
        <w:jc w:val="center"/>
        <w:rPr>
          <w:rFonts w:eastAsia="Times New Roman"/>
          <w:b/>
          <w:sz w:val="22"/>
          <w:szCs w:val="22"/>
        </w:rPr>
        <w:sectPr w:rsidR="00A575D9" w:rsidSect="00525CF3">
          <w:pgSz w:w="11906" w:h="16838"/>
          <w:pgMar w:top="1440" w:right="1440" w:bottom="1440" w:left="1440" w:header="708" w:footer="708" w:gutter="0"/>
          <w:pgNumType w:start="11"/>
          <w:cols w:space="708"/>
          <w:titlePg/>
          <w:docGrid w:linePitch="360"/>
        </w:sectPr>
      </w:pPr>
    </w:p>
    <w:tbl>
      <w:tblPr>
        <w:tblStyle w:val="TableGrid"/>
        <w:tblpPr w:leftFromText="180" w:rightFromText="180" w:vertAnchor="page" w:horzAnchor="margin" w:tblpY="2880"/>
        <w:tblW w:w="13948" w:type="dxa"/>
        <w:tblLook w:val="04A0" w:firstRow="1" w:lastRow="0" w:firstColumn="1" w:lastColumn="0" w:noHBand="0" w:noVBand="1"/>
      </w:tblPr>
      <w:tblGrid>
        <w:gridCol w:w="3146"/>
        <w:gridCol w:w="1744"/>
        <w:gridCol w:w="1743"/>
        <w:gridCol w:w="1744"/>
        <w:gridCol w:w="340"/>
        <w:gridCol w:w="1744"/>
        <w:gridCol w:w="1743"/>
        <w:gridCol w:w="1744"/>
      </w:tblGrid>
      <w:tr w:rsidR="00900838" w:rsidTr="00900838">
        <w:tc>
          <w:tcPr>
            <w:tcW w:w="13948" w:type="dxa"/>
            <w:gridSpan w:val="8"/>
            <w:tcBorders>
              <w:top w:val="nil"/>
              <w:left w:val="nil"/>
              <w:bottom w:val="single" w:sz="4" w:space="0" w:color="auto"/>
              <w:right w:val="nil"/>
            </w:tcBorders>
            <w:hideMark/>
          </w:tcPr>
          <w:p w:rsidR="00900838" w:rsidRDefault="00900838" w:rsidP="00900838">
            <w:pPr>
              <w:spacing w:after="40"/>
              <w:jc w:val="center"/>
              <w:rPr>
                <w:rFonts w:eastAsia="Times New Roman"/>
                <w:b/>
                <w:sz w:val="22"/>
                <w:szCs w:val="22"/>
              </w:rPr>
            </w:pPr>
            <w:r>
              <w:rPr>
                <w:rFonts w:eastAsia="Times New Roman"/>
                <w:b/>
                <w:sz w:val="22"/>
                <w:szCs w:val="22"/>
              </w:rPr>
              <w:lastRenderedPageBreak/>
              <w:t>Table 2: DMSP Data on Night Lights Considerably Understate Spatial Inequality</w:t>
            </w:r>
          </w:p>
          <w:p w:rsidR="00900838" w:rsidRDefault="00900838" w:rsidP="00900838">
            <w:pPr>
              <w:spacing w:after="40"/>
              <w:jc w:val="center"/>
              <w:rPr>
                <w:rFonts w:eastAsia="Times New Roman"/>
                <w:b/>
                <w:sz w:val="22"/>
                <w:szCs w:val="22"/>
              </w:rPr>
            </w:pPr>
            <w:r>
              <w:rPr>
                <w:rFonts w:eastAsia="Times New Roman"/>
                <w:b/>
                <w:sz w:val="22"/>
                <w:szCs w:val="22"/>
              </w:rPr>
              <w:t>even after Pareto Adjustment for Top-Coding</w:t>
            </w:r>
          </w:p>
        </w:tc>
      </w:tr>
      <w:tr w:rsidR="00900838" w:rsidTr="00900838">
        <w:trPr>
          <w:trHeight w:val="23"/>
        </w:trPr>
        <w:tc>
          <w:tcPr>
            <w:tcW w:w="3146" w:type="dxa"/>
            <w:tcBorders>
              <w:top w:val="single" w:sz="4" w:space="0" w:color="auto"/>
              <w:left w:val="nil"/>
              <w:bottom w:val="nil"/>
              <w:right w:val="nil"/>
            </w:tcBorders>
          </w:tcPr>
          <w:p w:rsidR="00900838" w:rsidRDefault="00900838" w:rsidP="00900838">
            <w:pPr>
              <w:spacing w:before="20" w:after="20"/>
              <w:jc w:val="right"/>
              <w:rPr>
                <w:rFonts w:eastAsia="Times New Roman"/>
                <w:bCs/>
                <w:sz w:val="22"/>
                <w:szCs w:val="22"/>
              </w:rPr>
            </w:pPr>
          </w:p>
        </w:tc>
        <w:tc>
          <w:tcPr>
            <w:tcW w:w="5231" w:type="dxa"/>
            <w:gridSpan w:val="3"/>
            <w:tcBorders>
              <w:top w:val="single" w:sz="4" w:space="0" w:color="auto"/>
              <w:left w:val="nil"/>
              <w:bottom w:val="nil"/>
              <w:right w:val="nil"/>
            </w:tcBorders>
            <w:hideMark/>
          </w:tcPr>
          <w:p w:rsidR="00900838" w:rsidRDefault="00900838" w:rsidP="00900838">
            <w:pPr>
              <w:spacing w:before="20" w:after="20"/>
              <w:jc w:val="center"/>
              <w:rPr>
                <w:rFonts w:eastAsia="Times New Roman"/>
                <w:bCs/>
                <w:sz w:val="22"/>
                <w:szCs w:val="22"/>
              </w:rPr>
            </w:pPr>
            <w:r>
              <w:rPr>
                <w:rFonts w:eastAsia="Times New Roman"/>
                <w:bCs/>
                <w:sz w:val="22"/>
                <w:szCs w:val="22"/>
              </w:rPr>
              <w:t>Gini Coefficient</w:t>
            </w:r>
          </w:p>
        </w:tc>
        <w:tc>
          <w:tcPr>
            <w:tcW w:w="340" w:type="dxa"/>
            <w:tcBorders>
              <w:top w:val="single" w:sz="4" w:space="0" w:color="auto"/>
              <w:left w:val="nil"/>
              <w:bottom w:val="nil"/>
              <w:right w:val="nil"/>
            </w:tcBorders>
          </w:tcPr>
          <w:p w:rsidR="00900838" w:rsidRDefault="00900838" w:rsidP="00900838">
            <w:pPr>
              <w:spacing w:before="20" w:after="20"/>
              <w:jc w:val="right"/>
              <w:rPr>
                <w:rFonts w:eastAsia="Times New Roman"/>
                <w:bCs/>
                <w:sz w:val="22"/>
                <w:szCs w:val="22"/>
              </w:rPr>
            </w:pPr>
          </w:p>
        </w:tc>
        <w:tc>
          <w:tcPr>
            <w:tcW w:w="5231" w:type="dxa"/>
            <w:gridSpan w:val="3"/>
            <w:tcBorders>
              <w:top w:val="single" w:sz="4" w:space="0" w:color="auto"/>
              <w:left w:val="nil"/>
              <w:bottom w:val="nil"/>
              <w:right w:val="nil"/>
            </w:tcBorders>
            <w:hideMark/>
          </w:tcPr>
          <w:p w:rsidR="00900838" w:rsidRDefault="00900838" w:rsidP="00900838">
            <w:pPr>
              <w:spacing w:before="20" w:after="20"/>
              <w:jc w:val="center"/>
              <w:rPr>
                <w:rFonts w:eastAsia="Times New Roman"/>
                <w:bCs/>
                <w:sz w:val="22"/>
                <w:szCs w:val="22"/>
              </w:rPr>
            </w:pPr>
            <w:r>
              <w:rPr>
                <w:rFonts w:eastAsia="Times New Roman"/>
                <w:bCs/>
                <w:sz w:val="22"/>
                <w:szCs w:val="22"/>
              </w:rPr>
              <w:t>Theil Index</w:t>
            </w:r>
          </w:p>
        </w:tc>
      </w:tr>
      <w:tr w:rsidR="00900838" w:rsidTr="00900838">
        <w:trPr>
          <w:trHeight w:val="23"/>
        </w:trPr>
        <w:tc>
          <w:tcPr>
            <w:tcW w:w="3146" w:type="dxa"/>
            <w:tcBorders>
              <w:top w:val="nil"/>
              <w:left w:val="nil"/>
              <w:bottom w:val="nil"/>
              <w:right w:val="nil"/>
            </w:tcBorders>
          </w:tcPr>
          <w:p w:rsidR="00900838" w:rsidRDefault="00900838" w:rsidP="00900838">
            <w:pPr>
              <w:jc w:val="right"/>
              <w:rPr>
                <w:rFonts w:eastAsia="Times New Roman"/>
                <w:bCs/>
                <w:sz w:val="22"/>
                <w:szCs w:val="22"/>
              </w:rPr>
            </w:pPr>
          </w:p>
        </w:tc>
        <w:tc>
          <w:tcPr>
            <w:tcW w:w="1744" w:type="dxa"/>
            <w:tcBorders>
              <w:top w:val="nil"/>
              <w:left w:val="nil"/>
              <w:bottom w:val="nil"/>
              <w:right w:val="nil"/>
            </w:tcBorders>
            <w:hideMark/>
          </w:tcPr>
          <w:p w:rsidR="00900838" w:rsidRDefault="00900838" w:rsidP="00900838">
            <w:pPr>
              <w:jc w:val="center"/>
              <w:rPr>
                <w:rFonts w:eastAsia="Times New Roman"/>
                <w:bCs/>
                <w:sz w:val="22"/>
                <w:szCs w:val="22"/>
              </w:rPr>
            </w:pPr>
            <w:r>
              <w:rPr>
                <w:rFonts w:eastAsia="Times New Roman"/>
                <w:bCs/>
                <w:sz w:val="22"/>
                <w:szCs w:val="22"/>
              </w:rPr>
              <w:t>All Spatial Units</w:t>
            </w:r>
          </w:p>
          <w:p w:rsidR="00900838" w:rsidRDefault="00900838" w:rsidP="00900838">
            <w:pPr>
              <w:jc w:val="center"/>
              <w:rPr>
                <w:rFonts w:eastAsia="Times New Roman"/>
                <w:bCs/>
                <w:sz w:val="22"/>
                <w:szCs w:val="22"/>
              </w:rPr>
            </w:pPr>
            <w:r>
              <w:rPr>
                <w:rFonts w:eastAsia="Times New Roman"/>
                <w:bCs/>
                <w:sz w:val="22"/>
                <w:szCs w:val="22"/>
              </w:rPr>
              <w:t>(Urban &amp; Rural)</w:t>
            </w:r>
          </w:p>
        </w:tc>
        <w:tc>
          <w:tcPr>
            <w:tcW w:w="1743" w:type="dxa"/>
            <w:tcBorders>
              <w:top w:val="nil"/>
              <w:left w:val="nil"/>
              <w:bottom w:val="nil"/>
              <w:right w:val="nil"/>
            </w:tcBorders>
            <w:hideMark/>
          </w:tcPr>
          <w:p w:rsidR="00900838" w:rsidRPr="00455252" w:rsidRDefault="00900838" w:rsidP="00900838">
            <w:pPr>
              <w:jc w:val="center"/>
              <w:rPr>
                <w:rFonts w:eastAsia="Times New Roman"/>
                <w:bCs/>
                <w:i/>
                <w:iCs/>
                <w:sz w:val="22"/>
                <w:szCs w:val="22"/>
              </w:rPr>
            </w:pPr>
            <w:proofErr w:type="spellStart"/>
            <w:r w:rsidRPr="00455252">
              <w:rPr>
                <w:rFonts w:eastAsia="Times New Roman"/>
                <w:bCs/>
                <w:i/>
                <w:iCs/>
                <w:sz w:val="22"/>
                <w:szCs w:val="22"/>
              </w:rPr>
              <w:t>Kabupaten</w:t>
            </w:r>
            <w:proofErr w:type="spellEnd"/>
          </w:p>
          <w:p w:rsidR="00900838" w:rsidRDefault="00900838" w:rsidP="00900838">
            <w:pPr>
              <w:jc w:val="center"/>
              <w:rPr>
                <w:rFonts w:eastAsia="Times New Roman"/>
                <w:bCs/>
                <w:sz w:val="22"/>
                <w:szCs w:val="22"/>
              </w:rPr>
            </w:pPr>
            <w:r>
              <w:rPr>
                <w:rFonts w:eastAsia="Times New Roman"/>
                <w:bCs/>
                <w:sz w:val="22"/>
                <w:szCs w:val="22"/>
              </w:rPr>
              <w:t>(Mainly Rural)</w:t>
            </w:r>
          </w:p>
        </w:tc>
        <w:tc>
          <w:tcPr>
            <w:tcW w:w="1744" w:type="dxa"/>
            <w:tcBorders>
              <w:top w:val="nil"/>
              <w:left w:val="nil"/>
              <w:bottom w:val="nil"/>
              <w:right w:val="nil"/>
            </w:tcBorders>
            <w:hideMark/>
          </w:tcPr>
          <w:p w:rsidR="00900838" w:rsidRPr="00455252" w:rsidRDefault="00900838" w:rsidP="00900838">
            <w:pPr>
              <w:jc w:val="center"/>
              <w:rPr>
                <w:rFonts w:eastAsia="Times New Roman"/>
                <w:bCs/>
                <w:i/>
                <w:iCs/>
                <w:sz w:val="22"/>
                <w:szCs w:val="22"/>
              </w:rPr>
            </w:pPr>
            <w:r w:rsidRPr="00455252">
              <w:rPr>
                <w:rFonts w:eastAsia="Times New Roman"/>
                <w:bCs/>
                <w:i/>
                <w:iCs/>
                <w:sz w:val="22"/>
                <w:szCs w:val="22"/>
              </w:rPr>
              <w:t>Kota</w:t>
            </w:r>
          </w:p>
          <w:p w:rsidR="00900838" w:rsidRDefault="00900838" w:rsidP="00900838">
            <w:pPr>
              <w:jc w:val="center"/>
              <w:rPr>
                <w:rFonts w:eastAsia="Times New Roman"/>
                <w:bCs/>
                <w:sz w:val="22"/>
                <w:szCs w:val="22"/>
              </w:rPr>
            </w:pPr>
            <w:r>
              <w:rPr>
                <w:rFonts w:eastAsia="Times New Roman"/>
                <w:bCs/>
                <w:sz w:val="22"/>
                <w:szCs w:val="22"/>
              </w:rPr>
              <w:t>(Cities)</w:t>
            </w:r>
          </w:p>
        </w:tc>
        <w:tc>
          <w:tcPr>
            <w:tcW w:w="340" w:type="dxa"/>
            <w:tcBorders>
              <w:top w:val="nil"/>
              <w:left w:val="nil"/>
              <w:bottom w:val="nil"/>
              <w:right w:val="nil"/>
            </w:tcBorders>
          </w:tcPr>
          <w:p w:rsidR="00900838" w:rsidRDefault="00900838" w:rsidP="00900838">
            <w:pPr>
              <w:jc w:val="right"/>
              <w:rPr>
                <w:rFonts w:eastAsia="Times New Roman"/>
                <w:bCs/>
                <w:sz w:val="22"/>
                <w:szCs w:val="22"/>
              </w:rPr>
            </w:pPr>
          </w:p>
        </w:tc>
        <w:tc>
          <w:tcPr>
            <w:tcW w:w="1744" w:type="dxa"/>
            <w:tcBorders>
              <w:top w:val="nil"/>
              <w:left w:val="nil"/>
              <w:bottom w:val="nil"/>
              <w:right w:val="nil"/>
            </w:tcBorders>
            <w:hideMark/>
          </w:tcPr>
          <w:p w:rsidR="00900838" w:rsidRDefault="00900838" w:rsidP="00900838">
            <w:pPr>
              <w:jc w:val="center"/>
              <w:rPr>
                <w:rFonts w:eastAsia="Times New Roman"/>
                <w:bCs/>
                <w:sz w:val="22"/>
                <w:szCs w:val="22"/>
              </w:rPr>
            </w:pPr>
            <w:r>
              <w:rPr>
                <w:rFonts w:eastAsia="Times New Roman"/>
                <w:bCs/>
                <w:sz w:val="22"/>
                <w:szCs w:val="22"/>
              </w:rPr>
              <w:t>All Spatial Units</w:t>
            </w:r>
          </w:p>
          <w:p w:rsidR="00900838" w:rsidRDefault="00900838" w:rsidP="00900838">
            <w:pPr>
              <w:jc w:val="center"/>
              <w:rPr>
                <w:rFonts w:eastAsia="Times New Roman"/>
                <w:bCs/>
                <w:sz w:val="22"/>
                <w:szCs w:val="22"/>
              </w:rPr>
            </w:pPr>
            <w:r>
              <w:rPr>
                <w:rFonts w:eastAsia="Times New Roman"/>
                <w:bCs/>
                <w:sz w:val="22"/>
                <w:szCs w:val="22"/>
              </w:rPr>
              <w:t>(Urban &amp; Rural)</w:t>
            </w:r>
          </w:p>
        </w:tc>
        <w:tc>
          <w:tcPr>
            <w:tcW w:w="1743" w:type="dxa"/>
            <w:tcBorders>
              <w:top w:val="nil"/>
              <w:left w:val="nil"/>
              <w:bottom w:val="nil"/>
              <w:right w:val="nil"/>
            </w:tcBorders>
            <w:hideMark/>
          </w:tcPr>
          <w:p w:rsidR="00900838" w:rsidRPr="00455252" w:rsidRDefault="00900838" w:rsidP="00900838">
            <w:pPr>
              <w:jc w:val="center"/>
              <w:rPr>
                <w:rFonts w:eastAsia="Times New Roman"/>
                <w:bCs/>
                <w:i/>
                <w:iCs/>
                <w:sz w:val="22"/>
                <w:szCs w:val="22"/>
              </w:rPr>
            </w:pPr>
            <w:proofErr w:type="spellStart"/>
            <w:r w:rsidRPr="00455252">
              <w:rPr>
                <w:rFonts w:eastAsia="Times New Roman"/>
                <w:bCs/>
                <w:i/>
                <w:iCs/>
                <w:sz w:val="22"/>
                <w:szCs w:val="22"/>
              </w:rPr>
              <w:t>Kabupaten</w:t>
            </w:r>
            <w:proofErr w:type="spellEnd"/>
          </w:p>
          <w:p w:rsidR="00900838" w:rsidRDefault="00900838" w:rsidP="00900838">
            <w:pPr>
              <w:jc w:val="center"/>
              <w:rPr>
                <w:rFonts w:eastAsia="Times New Roman"/>
                <w:bCs/>
                <w:sz w:val="22"/>
                <w:szCs w:val="22"/>
              </w:rPr>
            </w:pPr>
            <w:r>
              <w:rPr>
                <w:rFonts w:eastAsia="Times New Roman"/>
                <w:bCs/>
                <w:sz w:val="22"/>
                <w:szCs w:val="22"/>
              </w:rPr>
              <w:t>(Mainly Rural)</w:t>
            </w:r>
          </w:p>
        </w:tc>
        <w:tc>
          <w:tcPr>
            <w:tcW w:w="1744" w:type="dxa"/>
            <w:tcBorders>
              <w:top w:val="nil"/>
              <w:left w:val="nil"/>
              <w:bottom w:val="nil"/>
              <w:right w:val="nil"/>
            </w:tcBorders>
            <w:hideMark/>
          </w:tcPr>
          <w:p w:rsidR="00900838" w:rsidRPr="00455252" w:rsidRDefault="00900838" w:rsidP="00900838">
            <w:pPr>
              <w:jc w:val="center"/>
              <w:rPr>
                <w:rFonts w:eastAsia="Times New Roman"/>
                <w:bCs/>
                <w:i/>
                <w:iCs/>
                <w:sz w:val="22"/>
                <w:szCs w:val="22"/>
              </w:rPr>
            </w:pPr>
            <w:r w:rsidRPr="00455252">
              <w:rPr>
                <w:rFonts w:eastAsia="Times New Roman"/>
                <w:bCs/>
                <w:i/>
                <w:iCs/>
                <w:sz w:val="22"/>
                <w:szCs w:val="22"/>
              </w:rPr>
              <w:t>Kota</w:t>
            </w:r>
          </w:p>
          <w:p w:rsidR="00900838" w:rsidRDefault="00900838" w:rsidP="00900838">
            <w:pPr>
              <w:jc w:val="center"/>
              <w:rPr>
                <w:rFonts w:eastAsia="Times New Roman"/>
                <w:bCs/>
                <w:sz w:val="22"/>
                <w:szCs w:val="22"/>
              </w:rPr>
            </w:pPr>
            <w:r>
              <w:rPr>
                <w:rFonts w:eastAsia="Times New Roman"/>
                <w:bCs/>
                <w:sz w:val="22"/>
                <w:szCs w:val="22"/>
              </w:rPr>
              <w:t>(Cities)</w:t>
            </w:r>
          </w:p>
        </w:tc>
      </w:tr>
      <w:tr w:rsidR="00900838" w:rsidTr="00900838">
        <w:trPr>
          <w:trHeight w:val="23"/>
        </w:trPr>
        <w:tc>
          <w:tcPr>
            <w:tcW w:w="3146" w:type="dxa"/>
            <w:tcBorders>
              <w:top w:val="nil"/>
              <w:left w:val="nil"/>
              <w:bottom w:val="nil"/>
              <w:right w:val="nil"/>
            </w:tcBorders>
          </w:tcPr>
          <w:p w:rsidR="00900838" w:rsidRDefault="00900838" w:rsidP="00900838">
            <w:pPr>
              <w:rPr>
                <w:rFonts w:eastAsia="Times New Roman"/>
                <w:bCs/>
                <w:sz w:val="22"/>
                <w:szCs w:val="22"/>
              </w:rPr>
            </w:pPr>
          </w:p>
        </w:tc>
        <w:tc>
          <w:tcPr>
            <w:tcW w:w="1744" w:type="dxa"/>
            <w:tcBorders>
              <w:top w:val="nil"/>
              <w:left w:val="nil"/>
              <w:bottom w:val="single" w:sz="4" w:space="0" w:color="auto"/>
              <w:right w:val="nil"/>
            </w:tcBorders>
          </w:tcPr>
          <w:p w:rsidR="00900838" w:rsidRDefault="00900838" w:rsidP="00900838">
            <w:pPr>
              <w:jc w:val="right"/>
              <w:rPr>
                <w:rFonts w:eastAsia="Times New Roman"/>
                <w:bCs/>
                <w:sz w:val="22"/>
                <w:szCs w:val="22"/>
              </w:rPr>
            </w:pPr>
          </w:p>
        </w:tc>
        <w:tc>
          <w:tcPr>
            <w:tcW w:w="1743" w:type="dxa"/>
            <w:tcBorders>
              <w:top w:val="nil"/>
              <w:left w:val="nil"/>
              <w:bottom w:val="single" w:sz="4" w:space="0" w:color="auto"/>
              <w:right w:val="nil"/>
            </w:tcBorders>
          </w:tcPr>
          <w:p w:rsidR="00900838" w:rsidRDefault="00900838" w:rsidP="00900838">
            <w:pPr>
              <w:jc w:val="right"/>
              <w:rPr>
                <w:rFonts w:eastAsia="Times New Roman"/>
                <w:bCs/>
                <w:sz w:val="22"/>
                <w:szCs w:val="22"/>
              </w:rPr>
            </w:pPr>
          </w:p>
        </w:tc>
        <w:tc>
          <w:tcPr>
            <w:tcW w:w="1744" w:type="dxa"/>
            <w:tcBorders>
              <w:top w:val="nil"/>
              <w:left w:val="nil"/>
              <w:bottom w:val="single" w:sz="4" w:space="0" w:color="auto"/>
              <w:right w:val="nil"/>
            </w:tcBorders>
          </w:tcPr>
          <w:p w:rsidR="00900838" w:rsidRDefault="00900838" w:rsidP="00900838">
            <w:pPr>
              <w:jc w:val="right"/>
              <w:rPr>
                <w:rFonts w:eastAsia="Times New Roman"/>
                <w:bCs/>
                <w:sz w:val="22"/>
                <w:szCs w:val="22"/>
              </w:rPr>
            </w:pPr>
          </w:p>
        </w:tc>
        <w:tc>
          <w:tcPr>
            <w:tcW w:w="340" w:type="dxa"/>
            <w:tcBorders>
              <w:top w:val="nil"/>
              <w:left w:val="nil"/>
              <w:bottom w:val="nil"/>
              <w:right w:val="nil"/>
            </w:tcBorders>
          </w:tcPr>
          <w:p w:rsidR="00900838" w:rsidRDefault="00900838" w:rsidP="00900838">
            <w:pPr>
              <w:jc w:val="right"/>
              <w:rPr>
                <w:rFonts w:eastAsia="Times New Roman"/>
                <w:bCs/>
                <w:sz w:val="22"/>
                <w:szCs w:val="22"/>
              </w:rPr>
            </w:pPr>
          </w:p>
        </w:tc>
        <w:tc>
          <w:tcPr>
            <w:tcW w:w="1744" w:type="dxa"/>
            <w:tcBorders>
              <w:top w:val="nil"/>
              <w:left w:val="nil"/>
              <w:bottom w:val="single" w:sz="4" w:space="0" w:color="auto"/>
              <w:right w:val="nil"/>
            </w:tcBorders>
          </w:tcPr>
          <w:p w:rsidR="00900838" w:rsidRDefault="00900838" w:rsidP="00900838">
            <w:pPr>
              <w:jc w:val="right"/>
              <w:rPr>
                <w:rFonts w:eastAsia="Times New Roman"/>
                <w:bCs/>
                <w:sz w:val="22"/>
                <w:szCs w:val="22"/>
              </w:rPr>
            </w:pPr>
          </w:p>
        </w:tc>
        <w:tc>
          <w:tcPr>
            <w:tcW w:w="1743" w:type="dxa"/>
            <w:tcBorders>
              <w:top w:val="nil"/>
              <w:left w:val="nil"/>
              <w:bottom w:val="single" w:sz="4" w:space="0" w:color="auto"/>
              <w:right w:val="nil"/>
            </w:tcBorders>
          </w:tcPr>
          <w:p w:rsidR="00900838" w:rsidRDefault="00900838" w:rsidP="00900838">
            <w:pPr>
              <w:jc w:val="right"/>
              <w:rPr>
                <w:rFonts w:eastAsia="Times New Roman"/>
                <w:bCs/>
                <w:sz w:val="22"/>
                <w:szCs w:val="22"/>
              </w:rPr>
            </w:pPr>
          </w:p>
        </w:tc>
        <w:tc>
          <w:tcPr>
            <w:tcW w:w="1744" w:type="dxa"/>
            <w:tcBorders>
              <w:top w:val="nil"/>
              <w:left w:val="nil"/>
              <w:bottom w:val="single" w:sz="4" w:space="0" w:color="auto"/>
              <w:right w:val="nil"/>
            </w:tcBorders>
          </w:tcPr>
          <w:p w:rsidR="00900838" w:rsidRDefault="00900838" w:rsidP="00900838">
            <w:pPr>
              <w:jc w:val="right"/>
              <w:rPr>
                <w:rFonts w:eastAsia="Times New Roman"/>
                <w:bCs/>
                <w:sz w:val="22"/>
                <w:szCs w:val="22"/>
              </w:rPr>
            </w:pPr>
          </w:p>
        </w:tc>
      </w:tr>
      <w:tr w:rsidR="00900838" w:rsidTr="00900838">
        <w:trPr>
          <w:trHeight w:val="23"/>
        </w:trPr>
        <w:tc>
          <w:tcPr>
            <w:tcW w:w="3146" w:type="dxa"/>
            <w:tcBorders>
              <w:top w:val="nil"/>
              <w:left w:val="nil"/>
              <w:bottom w:val="nil"/>
              <w:right w:val="nil"/>
            </w:tcBorders>
          </w:tcPr>
          <w:p w:rsidR="00900838" w:rsidRDefault="00900838" w:rsidP="00900838">
            <w:pPr>
              <w:rPr>
                <w:rFonts w:eastAsia="Times New Roman"/>
                <w:bCs/>
                <w:i/>
                <w:iCs/>
                <w:sz w:val="22"/>
                <w:szCs w:val="22"/>
              </w:rPr>
            </w:pPr>
          </w:p>
        </w:tc>
        <w:tc>
          <w:tcPr>
            <w:tcW w:w="1744" w:type="dxa"/>
            <w:tcBorders>
              <w:top w:val="single" w:sz="4" w:space="0" w:color="auto"/>
              <w:left w:val="nil"/>
              <w:bottom w:val="nil"/>
              <w:right w:val="nil"/>
            </w:tcBorders>
          </w:tcPr>
          <w:p w:rsidR="00900838" w:rsidRDefault="00900838" w:rsidP="00900838">
            <w:pPr>
              <w:jc w:val="right"/>
              <w:rPr>
                <w:rFonts w:eastAsia="Times New Roman"/>
                <w:bCs/>
                <w:sz w:val="22"/>
                <w:szCs w:val="22"/>
              </w:rPr>
            </w:pPr>
          </w:p>
        </w:tc>
        <w:tc>
          <w:tcPr>
            <w:tcW w:w="1743" w:type="dxa"/>
            <w:tcBorders>
              <w:top w:val="single" w:sz="4" w:space="0" w:color="auto"/>
              <w:left w:val="nil"/>
              <w:bottom w:val="nil"/>
              <w:right w:val="nil"/>
            </w:tcBorders>
          </w:tcPr>
          <w:p w:rsidR="00900838" w:rsidRDefault="00900838" w:rsidP="00900838">
            <w:pPr>
              <w:jc w:val="right"/>
              <w:rPr>
                <w:rFonts w:eastAsia="Times New Roman"/>
                <w:bCs/>
                <w:sz w:val="22"/>
                <w:szCs w:val="22"/>
              </w:rPr>
            </w:pPr>
          </w:p>
        </w:tc>
        <w:tc>
          <w:tcPr>
            <w:tcW w:w="1744" w:type="dxa"/>
            <w:tcBorders>
              <w:top w:val="single" w:sz="4" w:space="0" w:color="auto"/>
              <w:left w:val="nil"/>
              <w:bottom w:val="nil"/>
              <w:right w:val="nil"/>
            </w:tcBorders>
          </w:tcPr>
          <w:p w:rsidR="00900838" w:rsidRDefault="00900838" w:rsidP="00900838">
            <w:pPr>
              <w:jc w:val="right"/>
              <w:rPr>
                <w:rFonts w:eastAsia="Times New Roman"/>
                <w:bCs/>
                <w:sz w:val="22"/>
                <w:szCs w:val="22"/>
              </w:rPr>
            </w:pPr>
          </w:p>
        </w:tc>
        <w:tc>
          <w:tcPr>
            <w:tcW w:w="340" w:type="dxa"/>
            <w:tcBorders>
              <w:top w:val="nil"/>
              <w:left w:val="nil"/>
              <w:bottom w:val="nil"/>
              <w:right w:val="nil"/>
            </w:tcBorders>
          </w:tcPr>
          <w:p w:rsidR="00900838" w:rsidRDefault="00900838" w:rsidP="00900838">
            <w:pPr>
              <w:jc w:val="right"/>
              <w:rPr>
                <w:rFonts w:eastAsia="Times New Roman"/>
                <w:bCs/>
                <w:sz w:val="22"/>
                <w:szCs w:val="22"/>
              </w:rPr>
            </w:pPr>
          </w:p>
        </w:tc>
        <w:tc>
          <w:tcPr>
            <w:tcW w:w="1744" w:type="dxa"/>
            <w:tcBorders>
              <w:top w:val="single" w:sz="4" w:space="0" w:color="auto"/>
              <w:left w:val="nil"/>
              <w:bottom w:val="nil"/>
              <w:right w:val="nil"/>
            </w:tcBorders>
          </w:tcPr>
          <w:p w:rsidR="00900838" w:rsidRDefault="00900838" w:rsidP="00900838">
            <w:pPr>
              <w:jc w:val="right"/>
              <w:rPr>
                <w:rFonts w:eastAsia="Times New Roman"/>
                <w:bCs/>
                <w:sz w:val="22"/>
                <w:szCs w:val="22"/>
              </w:rPr>
            </w:pPr>
          </w:p>
        </w:tc>
        <w:tc>
          <w:tcPr>
            <w:tcW w:w="1743" w:type="dxa"/>
            <w:tcBorders>
              <w:top w:val="single" w:sz="4" w:space="0" w:color="auto"/>
              <w:left w:val="nil"/>
              <w:bottom w:val="nil"/>
              <w:right w:val="nil"/>
            </w:tcBorders>
          </w:tcPr>
          <w:p w:rsidR="00900838" w:rsidRDefault="00900838" w:rsidP="00900838">
            <w:pPr>
              <w:jc w:val="right"/>
              <w:rPr>
                <w:rFonts w:eastAsia="Times New Roman"/>
                <w:bCs/>
                <w:sz w:val="22"/>
                <w:szCs w:val="22"/>
              </w:rPr>
            </w:pPr>
          </w:p>
        </w:tc>
        <w:tc>
          <w:tcPr>
            <w:tcW w:w="1744" w:type="dxa"/>
            <w:tcBorders>
              <w:top w:val="single" w:sz="4" w:space="0" w:color="auto"/>
              <w:left w:val="nil"/>
              <w:bottom w:val="nil"/>
              <w:right w:val="nil"/>
            </w:tcBorders>
          </w:tcPr>
          <w:p w:rsidR="00900838" w:rsidRDefault="00900838" w:rsidP="00900838">
            <w:pPr>
              <w:jc w:val="right"/>
              <w:rPr>
                <w:rFonts w:eastAsia="Times New Roman"/>
                <w:bCs/>
                <w:sz w:val="22"/>
                <w:szCs w:val="22"/>
              </w:rPr>
            </w:pPr>
          </w:p>
        </w:tc>
      </w:tr>
      <w:tr w:rsidR="00900838" w:rsidTr="00900838">
        <w:trPr>
          <w:trHeight w:val="23"/>
        </w:trPr>
        <w:tc>
          <w:tcPr>
            <w:tcW w:w="3146" w:type="dxa"/>
            <w:tcBorders>
              <w:top w:val="nil"/>
              <w:left w:val="nil"/>
              <w:bottom w:val="nil"/>
              <w:right w:val="nil"/>
            </w:tcBorders>
            <w:vAlign w:val="bottom"/>
            <w:hideMark/>
          </w:tcPr>
          <w:p w:rsidR="00900838" w:rsidRDefault="00900838" w:rsidP="00900838">
            <w:pPr>
              <w:rPr>
                <w:rFonts w:eastAsia="Times New Roman"/>
                <w:bCs/>
                <w:sz w:val="22"/>
                <w:szCs w:val="22"/>
                <w:vertAlign w:val="subscript"/>
              </w:rPr>
            </w:pPr>
            <w:r>
              <w:rPr>
                <w:rFonts w:eastAsia="Times New Roman"/>
                <w:bCs/>
                <w:sz w:val="22"/>
                <w:szCs w:val="22"/>
              </w:rPr>
              <w:t>DMSP (2011-12)</w:t>
            </w:r>
          </w:p>
        </w:tc>
        <w:tc>
          <w:tcPr>
            <w:tcW w:w="1744" w:type="dxa"/>
            <w:tcBorders>
              <w:top w:val="nil"/>
              <w:left w:val="nil"/>
              <w:bottom w:val="nil"/>
              <w:right w:val="nil"/>
            </w:tcBorders>
            <w:vAlign w:val="bottom"/>
            <w:hideMark/>
          </w:tcPr>
          <w:p w:rsidR="00900838" w:rsidRDefault="00900838" w:rsidP="00900838">
            <w:pPr>
              <w:tabs>
                <w:tab w:val="decimal" w:pos="567"/>
              </w:tabs>
              <w:rPr>
                <w:rFonts w:eastAsia="Times New Roman"/>
                <w:bCs/>
                <w:sz w:val="22"/>
                <w:szCs w:val="22"/>
              </w:rPr>
            </w:pPr>
            <w:r>
              <w:rPr>
                <w:rFonts w:eastAsia="Times New Roman"/>
                <w:bCs/>
                <w:sz w:val="22"/>
                <w:szCs w:val="22"/>
              </w:rPr>
              <w:t>0.798</w:t>
            </w:r>
          </w:p>
        </w:tc>
        <w:tc>
          <w:tcPr>
            <w:tcW w:w="1743" w:type="dxa"/>
            <w:tcBorders>
              <w:top w:val="nil"/>
              <w:left w:val="nil"/>
              <w:bottom w:val="nil"/>
              <w:right w:val="nil"/>
            </w:tcBorders>
            <w:vAlign w:val="bottom"/>
            <w:hideMark/>
          </w:tcPr>
          <w:p w:rsidR="00900838" w:rsidRDefault="00900838" w:rsidP="00900838">
            <w:pPr>
              <w:tabs>
                <w:tab w:val="decimal" w:pos="567"/>
              </w:tabs>
              <w:rPr>
                <w:rFonts w:eastAsia="Times New Roman"/>
                <w:bCs/>
                <w:sz w:val="22"/>
                <w:szCs w:val="22"/>
              </w:rPr>
            </w:pPr>
            <w:r>
              <w:rPr>
                <w:rFonts w:eastAsia="Times New Roman"/>
                <w:bCs/>
                <w:sz w:val="22"/>
                <w:szCs w:val="22"/>
              </w:rPr>
              <w:t>0.777</w:t>
            </w:r>
          </w:p>
        </w:tc>
        <w:tc>
          <w:tcPr>
            <w:tcW w:w="1744" w:type="dxa"/>
            <w:tcBorders>
              <w:top w:val="nil"/>
              <w:left w:val="nil"/>
              <w:bottom w:val="nil"/>
              <w:right w:val="nil"/>
            </w:tcBorders>
            <w:vAlign w:val="bottom"/>
            <w:hideMark/>
          </w:tcPr>
          <w:p w:rsidR="00900838" w:rsidRDefault="00900838" w:rsidP="00900838">
            <w:pPr>
              <w:tabs>
                <w:tab w:val="decimal" w:pos="567"/>
              </w:tabs>
              <w:rPr>
                <w:rFonts w:eastAsia="Times New Roman"/>
                <w:bCs/>
                <w:sz w:val="22"/>
                <w:szCs w:val="22"/>
              </w:rPr>
            </w:pPr>
            <w:r>
              <w:rPr>
                <w:rFonts w:eastAsia="Times New Roman"/>
                <w:bCs/>
                <w:sz w:val="22"/>
                <w:szCs w:val="22"/>
              </w:rPr>
              <w:t>0.575</w:t>
            </w:r>
          </w:p>
        </w:tc>
        <w:tc>
          <w:tcPr>
            <w:tcW w:w="340" w:type="dxa"/>
            <w:tcBorders>
              <w:top w:val="nil"/>
              <w:left w:val="nil"/>
              <w:bottom w:val="nil"/>
              <w:right w:val="nil"/>
            </w:tcBorders>
            <w:vAlign w:val="bottom"/>
          </w:tcPr>
          <w:p w:rsidR="00900838" w:rsidRDefault="00900838" w:rsidP="00900838">
            <w:pPr>
              <w:rPr>
                <w:rFonts w:eastAsia="Times New Roman"/>
                <w:bCs/>
                <w:sz w:val="22"/>
                <w:szCs w:val="22"/>
              </w:rPr>
            </w:pPr>
          </w:p>
        </w:tc>
        <w:tc>
          <w:tcPr>
            <w:tcW w:w="1744" w:type="dxa"/>
            <w:tcBorders>
              <w:top w:val="nil"/>
              <w:left w:val="nil"/>
              <w:bottom w:val="nil"/>
              <w:right w:val="nil"/>
            </w:tcBorders>
            <w:vAlign w:val="bottom"/>
            <w:hideMark/>
          </w:tcPr>
          <w:p w:rsidR="00900838" w:rsidRDefault="00900838" w:rsidP="00900838">
            <w:pPr>
              <w:tabs>
                <w:tab w:val="decimal" w:pos="567"/>
              </w:tabs>
              <w:rPr>
                <w:rFonts w:eastAsia="Times New Roman"/>
                <w:bCs/>
                <w:sz w:val="22"/>
                <w:szCs w:val="22"/>
              </w:rPr>
            </w:pPr>
            <w:r>
              <w:rPr>
                <w:rFonts w:eastAsia="Times New Roman"/>
                <w:bCs/>
                <w:sz w:val="22"/>
                <w:szCs w:val="22"/>
              </w:rPr>
              <w:t>1.424</w:t>
            </w:r>
          </w:p>
        </w:tc>
        <w:tc>
          <w:tcPr>
            <w:tcW w:w="1743" w:type="dxa"/>
            <w:tcBorders>
              <w:top w:val="nil"/>
              <w:left w:val="nil"/>
              <w:bottom w:val="nil"/>
              <w:right w:val="nil"/>
            </w:tcBorders>
            <w:vAlign w:val="bottom"/>
            <w:hideMark/>
          </w:tcPr>
          <w:p w:rsidR="00900838" w:rsidRDefault="00900838" w:rsidP="00900838">
            <w:pPr>
              <w:tabs>
                <w:tab w:val="decimal" w:pos="567"/>
              </w:tabs>
              <w:rPr>
                <w:rFonts w:eastAsia="Times New Roman"/>
                <w:bCs/>
                <w:sz w:val="22"/>
                <w:szCs w:val="22"/>
              </w:rPr>
            </w:pPr>
            <w:r>
              <w:rPr>
                <w:rFonts w:eastAsia="Times New Roman"/>
                <w:bCs/>
                <w:sz w:val="22"/>
                <w:szCs w:val="22"/>
              </w:rPr>
              <w:t>1.276</w:t>
            </w:r>
          </w:p>
        </w:tc>
        <w:tc>
          <w:tcPr>
            <w:tcW w:w="1744" w:type="dxa"/>
            <w:tcBorders>
              <w:top w:val="nil"/>
              <w:left w:val="nil"/>
              <w:bottom w:val="nil"/>
              <w:right w:val="nil"/>
            </w:tcBorders>
            <w:vAlign w:val="bottom"/>
            <w:hideMark/>
          </w:tcPr>
          <w:p w:rsidR="00900838" w:rsidRDefault="00900838" w:rsidP="00900838">
            <w:pPr>
              <w:tabs>
                <w:tab w:val="decimal" w:pos="567"/>
              </w:tabs>
              <w:rPr>
                <w:rFonts w:eastAsia="Times New Roman"/>
                <w:bCs/>
                <w:sz w:val="22"/>
                <w:szCs w:val="22"/>
              </w:rPr>
            </w:pPr>
            <w:r>
              <w:rPr>
                <w:rFonts w:eastAsia="Times New Roman"/>
                <w:bCs/>
                <w:sz w:val="22"/>
                <w:szCs w:val="22"/>
              </w:rPr>
              <w:t>0.565</w:t>
            </w:r>
          </w:p>
        </w:tc>
      </w:tr>
      <w:tr w:rsidR="00900838" w:rsidTr="00900838">
        <w:trPr>
          <w:trHeight w:val="23"/>
        </w:trPr>
        <w:tc>
          <w:tcPr>
            <w:tcW w:w="3146" w:type="dxa"/>
            <w:tcBorders>
              <w:top w:val="nil"/>
              <w:left w:val="nil"/>
              <w:bottom w:val="nil"/>
              <w:right w:val="nil"/>
            </w:tcBorders>
          </w:tcPr>
          <w:p w:rsidR="00900838" w:rsidRDefault="00900838" w:rsidP="00900838">
            <w:pPr>
              <w:rPr>
                <w:rFonts w:eastAsia="Times New Roman"/>
                <w:bCs/>
                <w:sz w:val="22"/>
                <w:szCs w:val="22"/>
              </w:rPr>
            </w:pPr>
          </w:p>
        </w:tc>
        <w:tc>
          <w:tcPr>
            <w:tcW w:w="1744" w:type="dxa"/>
            <w:tcBorders>
              <w:top w:val="nil"/>
              <w:left w:val="nil"/>
              <w:bottom w:val="nil"/>
              <w:right w:val="nil"/>
            </w:tcBorders>
            <w:hideMark/>
          </w:tcPr>
          <w:p w:rsidR="00900838" w:rsidRDefault="00900838" w:rsidP="00900838">
            <w:pPr>
              <w:tabs>
                <w:tab w:val="decimal" w:pos="567"/>
              </w:tabs>
              <w:rPr>
                <w:rFonts w:eastAsia="Times New Roman"/>
                <w:bCs/>
                <w:sz w:val="22"/>
                <w:szCs w:val="22"/>
              </w:rPr>
            </w:pPr>
            <w:r>
              <w:rPr>
                <w:rFonts w:eastAsia="Times New Roman"/>
                <w:bCs/>
                <w:sz w:val="22"/>
                <w:szCs w:val="22"/>
              </w:rPr>
              <w:t>(0.017)</w:t>
            </w:r>
          </w:p>
        </w:tc>
        <w:tc>
          <w:tcPr>
            <w:tcW w:w="1743" w:type="dxa"/>
            <w:tcBorders>
              <w:top w:val="nil"/>
              <w:left w:val="nil"/>
              <w:bottom w:val="nil"/>
              <w:right w:val="nil"/>
            </w:tcBorders>
            <w:hideMark/>
          </w:tcPr>
          <w:p w:rsidR="00900838" w:rsidRDefault="00900838" w:rsidP="00900838">
            <w:pPr>
              <w:tabs>
                <w:tab w:val="decimal" w:pos="567"/>
              </w:tabs>
              <w:rPr>
                <w:rFonts w:eastAsia="Times New Roman"/>
                <w:bCs/>
                <w:sz w:val="22"/>
                <w:szCs w:val="22"/>
              </w:rPr>
            </w:pPr>
            <w:r>
              <w:rPr>
                <w:rFonts w:eastAsia="Times New Roman"/>
                <w:bCs/>
                <w:sz w:val="22"/>
                <w:szCs w:val="22"/>
              </w:rPr>
              <w:t>(0.016)</w:t>
            </w:r>
          </w:p>
        </w:tc>
        <w:tc>
          <w:tcPr>
            <w:tcW w:w="1744" w:type="dxa"/>
            <w:tcBorders>
              <w:top w:val="nil"/>
              <w:left w:val="nil"/>
              <w:bottom w:val="nil"/>
              <w:right w:val="nil"/>
            </w:tcBorders>
            <w:hideMark/>
          </w:tcPr>
          <w:p w:rsidR="00900838" w:rsidRDefault="00900838" w:rsidP="00900838">
            <w:pPr>
              <w:tabs>
                <w:tab w:val="decimal" w:pos="567"/>
              </w:tabs>
              <w:rPr>
                <w:rFonts w:eastAsia="Times New Roman"/>
                <w:bCs/>
                <w:sz w:val="22"/>
                <w:szCs w:val="22"/>
              </w:rPr>
            </w:pPr>
            <w:r>
              <w:rPr>
                <w:rFonts w:eastAsia="Times New Roman"/>
                <w:bCs/>
                <w:sz w:val="22"/>
                <w:szCs w:val="22"/>
              </w:rPr>
              <w:t>(0.059)</w:t>
            </w:r>
          </w:p>
        </w:tc>
        <w:tc>
          <w:tcPr>
            <w:tcW w:w="340" w:type="dxa"/>
            <w:tcBorders>
              <w:top w:val="nil"/>
              <w:left w:val="nil"/>
              <w:bottom w:val="nil"/>
              <w:right w:val="nil"/>
            </w:tcBorders>
          </w:tcPr>
          <w:p w:rsidR="00900838" w:rsidRDefault="00900838" w:rsidP="00900838">
            <w:pPr>
              <w:jc w:val="right"/>
              <w:rPr>
                <w:rFonts w:eastAsia="Times New Roman"/>
                <w:bCs/>
                <w:sz w:val="22"/>
                <w:szCs w:val="22"/>
              </w:rPr>
            </w:pPr>
          </w:p>
        </w:tc>
        <w:tc>
          <w:tcPr>
            <w:tcW w:w="1744" w:type="dxa"/>
            <w:tcBorders>
              <w:top w:val="nil"/>
              <w:left w:val="nil"/>
              <w:bottom w:val="nil"/>
              <w:right w:val="nil"/>
            </w:tcBorders>
            <w:hideMark/>
          </w:tcPr>
          <w:p w:rsidR="00900838" w:rsidRDefault="00900838" w:rsidP="00900838">
            <w:pPr>
              <w:tabs>
                <w:tab w:val="decimal" w:pos="567"/>
              </w:tabs>
              <w:rPr>
                <w:rFonts w:eastAsia="Times New Roman"/>
                <w:bCs/>
                <w:sz w:val="22"/>
                <w:szCs w:val="22"/>
              </w:rPr>
            </w:pPr>
            <w:r>
              <w:rPr>
                <w:rFonts w:eastAsia="Times New Roman"/>
                <w:bCs/>
                <w:sz w:val="22"/>
                <w:szCs w:val="22"/>
              </w:rPr>
              <w:t>(0.089)</w:t>
            </w:r>
          </w:p>
        </w:tc>
        <w:tc>
          <w:tcPr>
            <w:tcW w:w="1743" w:type="dxa"/>
            <w:tcBorders>
              <w:top w:val="nil"/>
              <w:left w:val="nil"/>
              <w:bottom w:val="nil"/>
              <w:right w:val="nil"/>
            </w:tcBorders>
            <w:hideMark/>
          </w:tcPr>
          <w:p w:rsidR="00900838" w:rsidRDefault="00900838" w:rsidP="00900838">
            <w:pPr>
              <w:tabs>
                <w:tab w:val="decimal" w:pos="567"/>
              </w:tabs>
              <w:rPr>
                <w:rFonts w:eastAsia="Times New Roman"/>
                <w:bCs/>
                <w:sz w:val="22"/>
                <w:szCs w:val="22"/>
              </w:rPr>
            </w:pPr>
            <w:r>
              <w:rPr>
                <w:rFonts w:eastAsia="Times New Roman"/>
                <w:bCs/>
                <w:sz w:val="22"/>
                <w:szCs w:val="22"/>
              </w:rPr>
              <w:t>(0.076)</w:t>
            </w:r>
          </w:p>
        </w:tc>
        <w:tc>
          <w:tcPr>
            <w:tcW w:w="1744" w:type="dxa"/>
            <w:tcBorders>
              <w:top w:val="nil"/>
              <w:left w:val="nil"/>
              <w:bottom w:val="nil"/>
              <w:right w:val="nil"/>
            </w:tcBorders>
            <w:hideMark/>
          </w:tcPr>
          <w:p w:rsidR="00900838" w:rsidRDefault="00900838" w:rsidP="00900838">
            <w:pPr>
              <w:tabs>
                <w:tab w:val="decimal" w:pos="567"/>
              </w:tabs>
              <w:rPr>
                <w:rFonts w:eastAsia="Times New Roman"/>
                <w:bCs/>
                <w:sz w:val="22"/>
                <w:szCs w:val="22"/>
              </w:rPr>
            </w:pPr>
            <w:r>
              <w:rPr>
                <w:rFonts w:eastAsia="Times New Roman"/>
                <w:bCs/>
                <w:sz w:val="22"/>
                <w:szCs w:val="22"/>
              </w:rPr>
              <w:t>(0.123)</w:t>
            </w:r>
          </w:p>
          <w:p w:rsidR="00900838" w:rsidRDefault="00900838" w:rsidP="00900838">
            <w:pPr>
              <w:tabs>
                <w:tab w:val="decimal" w:pos="567"/>
              </w:tabs>
              <w:rPr>
                <w:rFonts w:eastAsia="Times New Roman"/>
                <w:bCs/>
                <w:sz w:val="22"/>
                <w:szCs w:val="22"/>
              </w:rPr>
            </w:pPr>
          </w:p>
        </w:tc>
      </w:tr>
      <w:tr w:rsidR="00900838" w:rsidTr="00900838">
        <w:trPr>
          <w:trHeight w:val="23"/>
        </w:trPr>
        <w:tc>
          <w:tcPr>
            <w:tcW w:w="3146" w:type="dxa"/>
            <w:tcBorders>
              <w:top w:val="nil"/>
              <w:left w:val="nil"/>
              <w:bottom w:val="nil"/>
              <w:right w:val="nil"/>
            </w:tcBorders>
            <w:hideMark/>
          </w:tcPr>
          <w:p w:rsidR="00900838" w:rsidRDefault="00900838" w:rsidP="00900838">
            <w:pPr>
              <w:spacing w:before="120"/>
              <w:rPr>
                <w:rFonts w:eastAsia="Times New Roman"/>
                <w:bCs/>
                <w:sz w:val="22"/>
                <w:szCs w:val="22"/>
              </w:rPr>
            </w:pPr>
            <w:r>
              <w:rPr>
                <w:rFonts w:eastAsia="Times New Roman"/>
                <w:bCs/>
                <w:sz w:val="22"/>
                <w:szCs w:val="22"/>
              </w:rPr>
              <w:t xml:space="preserve">DMSP (Pareto-adjusted </w:t>
            </w:r>
          </w:p>
        </w:tc>
        <w:tc>
          <w:tcPr>
            <w:tcW w:w="1744" w:type="dxa"/>
            <w:tcBorders>
              <w:top w:val="nil"/>
              <w:left w:val="nil"/>
              <w:bottom w:val="nil"/>
              <w:right w:val="nil"/>
            </w:tcBorders>
            <w:hideMark/>
          </w:tcPr>
          <w:p w:rsidR="00900838" w:rsidRDefault="00900838" w:rsidP="00900838">
            <w:pPr>
              <w:tabs>
                <w:tab w:val="decimal" w:pos="567"/>
              </w:tabs>
              <w:spacing w:before="120"/>
              <w:rPr>
                <w:rFonts w:eastAsia="Times New Roman"/>
                <w:bCs/>
                <w:sz w:val="22"/>
                <w:szCs w:val="22"/>
              </w:rPr>
            </w:pPr>
            <w:r>
              <w:rPr>
                <w:rFonts w:eastAsia="Times New Roman"/>
                <w:bCs/>
                <w:sz w:val="22"/>
                <w:szCs w:val="22"/>
              </w:rPr>
              <w:t>0.809</w:t>
            </w:r>
          </w:p>
        </w:tc>
        <w:tc>
          <w:tcPr>
            <w:tcW w:w="1743" w:type="dxa"/>
            <w:tcBorders>
              <w:top w:val="nil"/>
              <w:left w:val="nil"/>
              <w:bottom w:val="nil"/>
              <w:right w:val="nil"/>
            </w:tcBorders>
            <w:hideMark/>
          </w:tcPr>
          <w:p w:rsidR="00900838" w:rsidRDefault="00900838" w:rsidP="00900838">
            <w:pPr>
              <w:tabs>
                <w:tab w:val="decimal" w:pos="567"/>
              </w:tabs>
              <w:spacing w:before="120"/>
              <w:rPr>
                <w:rFonts w:eastAsia="Times New Roman"/>
                <w:bCs/>
                <w:sz w:val="22"/>
                <w:szCs w:val="22"/>
              </w:rPr>
            </w:pPr>
            <w:r>
              <w:rPr>
                <w:rFonts w:eastAsia="Times New Roman"/>
                <w:bCs/>
                <w:sz w:val="22"/>
                <w:szCs w:val="22"/>
              </w:rPr>
              <w:t>0.781</w:t>
            </w:r>
          </w:p>
        </w:tc>
        <w:tc>
          <w:tcPr>
            <w:tcW w:w="1744" w:type="dxa"/>
            <w:tcBorders>
              <w:top w:val="nil"/>
              <w:left w:val="nil"/>
              <w:bottom w:val="nil"/>
              <w:right w:val="nil"/>
            </w:tcBorders>
            <w:hideMark/>
          </w:tcPr>
          <w:p w:rsidR="00900838" w:rsidRDefault="00900838" w:rsidP="00900838">
            <w:pPr>
              <w:tabs>
                <w:tab w:val="decimal" w:pos="567"/>
              </w:tabs>
              <w:spacing w:before="120"/>
              <w:rPr>
                <w:rFonts w:eastAsia="Times New Roman"/>
                <w:bCs/>
                <w:sz w:val="22"/>
                <w:szCs w:val="22"/>
              </w:rPr>
            </w:pPr>
            <w:r>
              <w:rPr>
                <w:rFonts w:eastAsia="Times New Roman"/>
                <w:bCs/>
                <w:sz w:val="22"/>
                <w:szCs w:val="22"/>
              </w:rPr>
              <w:t>0.640</w:t>
            </w:r>
          </w:p>
        </w:tc>
        <w:tc>
          <w:tcPr>
            <w:tcW w:w="340" w:type="dxa"/>
            <w:tcBorders>
              <w:top w:val="nil"/>
              <w:left w:val="nil"/>
              <w:bottom w:val="nil"/>
              <w:right w:val="nil"/>
            </w:tcBorders>
          </w:tcPr>
          <w:p w:rsidR="00900838" w:rsidRDefault="00900838" w:rsidP="00900838">
            <w:pPr>
              <w:spacing w:before="120"/>
              <w:jc w:val="right"/>
              <w:rPr>
                <w:rFonts w:eastAsia="Times New Roman"/>
                <w:bCs/>
                <w:sz w:val="22"/>
                <w:szCs w:val="22"/>
              </w:rPr>
            </w:pPr>
          </w:p>
        </w:tc>
        <w:tc>
          <w:tcPr>
            <w:tcW w:w="1744" w:type="dxa"/>
            <w:tcBorders>
              <w:top w:val="nil"/>
              <w:left w:val="nil"/>
              <w:bottom w:val="nil"/>
              <w:right w:val="nil"/>
            </w:tcBorders>
            <w:hideMark/>
          </w:tcPr>
          <w:p w:rsidR="00900838" w:rsidRDefault="00900838" w:rsidP="00900838">
            <w:pPr>
              <w:tabs>
                <w:tab w:val="decimal" w:pos="567"/>
              </w:tabs>
              <w:spacing w:before="120"/>
              <w:rPr>
                <w:rFonts w:eastAsia="Times New Roman"/>
                <w:bCs/>
                <w:sz w:val="22"/>
                <w:szCs w:val="22"/>
              </w:rPr>
            </w:pPr>
            <w:r>
              <w:rPr>
                <w:rFonts w:eastAsia="Times New Roman"/>
                <w:bCs/>
                <w:sz w:val="22"/>
                <w:szCs w:val="22"/>
              </w:rPr>
              <w:t>1.542</w:t>
            </w:r>
          </w:p>
        </w:tc>
        <w:tc>
          <w:tcPr>
            <w:tcW w:w="1743" w:type="dxa"/>
            <w:tcBorders>
              <w:top w:val="nil"/>
              <w:left w:val="nil"/>
              <w:bottom w:val="nil"/>
              <w:right w:val="nil"/>
            </w:tcBorders>
            <w:hideMark/>
          </w:tcPr>
          <w:p w:rsidR="00900838" w:rsidRDefault="00900838" w:rsidP="00900838">
            <w:pPr>
              <w:tabs>
                <w:tab w:val="decimal" w:pos="567"/>
              </w:tabs>
              <w:spacing w:before="120"/>
              <w:rPr>
                <w:rFonts w:eastAsia="Times New Roman"/>
                <w:bCs/>
                <w:sz w:val="22"/>
                <w:szCs w:val="22"/>
              </w:rPr>
            </w:pPr>
            <w:r>
              <w:rPr>
                <w:rFonts w:eastAsia="Times New Roman"/>
                <w:bCs/>
                <w:sz w:val="22"/>
                <w:szCs w:val="22"/>
              </w:rPr>
              <w:t>1.305</w:t>
            </w:r>
          </w:p>
        </w:tc>
        <w:tc>
          <w:tcPr>
            <w:tcW w:w="1744" w:type="dxa"/>
            <w:tcBorders>
              <w:top w:val="nil"/>
              <w:left w:val="nil"/>
              <w:bottom w:val="nil"/>
              <w:right w:val="nil"/>
            </w:tcBorders>
            <w:hideMark/>
          </w:tcPr>
          <w:p w:rsidR="00900838" w:rsidRDefault="00900838" w:rsidP="00900838">
            <w:pPr>
              <w:tabs>
                <w:tab w:val="decimal" w:pos="567"/>
              </w:tabs>
              <w:spacing w:before="120"/>
              <w:rPr>
                <w:rFonts w:eastAsia="Times New Roman"/>
                <w:bCs/>
                <w:sz w:val="22"/>
                <w:szCs w:val="22"/>
              </w:rPr>
            </w:pPr>
            <w:r>
              <w:rPr>
                <w:rFonts w:eastAsia="Times New Roman"/>
                <w:bCs/>
                <w:sz w:val="22"/>
                <w:szCs w:val="22"/>
              </w:rPr>
              <w:t>0.753</w:t>
            </w:r>
          </w:p>
        </w:tc>
      </w:tr>
      <w:tr w:rsidR="00900838" w:rsidTr="00900838">
        <w:trPr>
          <w:trHeight w:val="23"/>
        </w:trPr>
        <w:tc>
          <w:tcPr>
            <w:tcW w:w="3146" w:type="dxa"/>
            <w:tcBorders>
              <w:top w:val="nil"/>
              <w:left w:val="nil"/>
              <w:bottom w:val="nil"/>
              <w:right w:val="nil"/>
            </w:tcBorders>
            <w:hideMark/>
          </w:tcPr>
          <w:p w:rsidR="00900838" w:rsidRDefault="00900838" w:rsidP="00900838">
            <w:pPr>
              <w:rPr>
                <w:rFonts w:eastAsia="Times New Roman"/>
                <w:bCs/>
                <w:sz w:val="22"/>
                <w:szCs w:val="22"/>
              </w:rPr>
            </w:pPr>
            <w:r>
              <w:rPr>
                <w:rFonts w:eastAsia="Times New Roman"/>
                <w:bCs/>
                <w:sz w:val="22"/>
                <w:szCs w:val="22"/>
              </w:rPr>
              <w:t>for top-coding)</w:t>
            </w:r>
          </w:p>
        </w:tc>
        <w:tc>
          <w:tcPr>
            <w:tcW w:w="1744" w:type="dxa"/>
            <w:tcBorders>
              <w:top w:val="nil"/>
              <w:left w:val="nil"/>
              <w:bottom w:val="nil"/>
              <w:right w:val="nil"/>
            </w:tcBorders>
            <w:hideMark/>
          </w:tcPr>
          <w:p w:rsidR="00900838" w:rsidRDefault="00900838" w:rsidP="00900838">
            <w:pPr>
              <w:tabs>
                <w:tab w:val="decimal" w:pos="567"/>
              </w:tabs>
              <w:rPr>
                <w:rFonts w:eastAsia="Times New Roman"/>
                <w:bCs/>
                <w:sz w:val="22"/>
                <w:szCs w:val="22"/>
              </w:rPr>
            </w:pPr>
            <w:r>
              <w:rPr>
                <w:rFonts w:eastAsia="Times New Roman"/>
                <w:bCs/>
                <w:sz w:val="22"/>
                <w:szCs w:val="22"/>
              </w:rPr>
              <w:t>(0.016)</w:t>
            </w:r>
          </w:p>
        </w:tc>
        <w:tc>
          <w:tcPr>
            <w:tcW w:w="1743" w:type="dxa"/>
            <w:tcBorders>
              <w:top w:val="nil"/>
              <w:left w:val="nil"/>
              <w:bottom w:val="nil"/>
              <w:right w:val="nil"/>
            </w:tcBorders>
            <w:hideMark/>
          </w:tcPr>
          <w:p w:rsidR="00900838" w:rsidRDefault="00900838" w:rsidP="00900838">
            <w:pPr>
              <w:tabs>
                <w:tab w:val="decimal" w:pos="567"/>
              </w:tabs>
              <w:rPr>
                <w:rFonts w:eastAsia="Times New Roman"/>
                <w:bCs/>
                <w:sz w:val="22"/>
                <w:szCs w:val="22"/>
              </w:rPr>
            </w:pPr>
            <w:r>
              <w:rPr>
                <w:rFonts w:eastAsia="Times New Roman"/>
                <w:bCs/>
                <w:sz w:val="22"/>
                <w:szCs w:val="22"/>
              </w:rPr>
              <w:t>(0.015)</w:t>
            </w:r>
          </w:p>
        </w:tc>
        <w:tc>
          <w:tcPr>
            <w:tcW w:w="1744" w:type="dxa"/>
            <w:tcBorders>
              <w:top w:val="nil"/>
              <w:left w:val="nil"/>
              <w:bottom w:val="nil"/>
              <w:right w:val="nil"/>
            </w:tcBorders>
            <w:hideMark/>
          </w:tcPr>
          <w:p w:rsidR="00900838" w:rsidRDefault="00900838" w:rsidP="00900838">
            <w:pPr>
              <w:tabs>
                <w:tab w:val="decimal" w:pos="567"/>
              </w:tabs>
              <w:rPr>
                <w:rFonts w:eastAsia="Times New Roman"/>
                <w:bCs/>
                <w:sz w:val="22"/>
                <w:szCs w:val="22"/>
              </w:rPr>
            </w:pPr>
            <w:r>
              <w:rPr>
                <w:rFonts w:eastAsia="Times New Roman"/>
                <w:bCs/>
                <w:sz w:val="22"/>
                <w:szCs w:val="22"/>
              </w:rPr>
              <w:t>(0.044)</w:t>
            </w:r>
          </w:p>
        </w:tc>
        <w:tc>
          <w:tcPr>
            <w:tcW w:w="340" w:type="dxa"/>
            <w:tcBorders>
              <w:top w:val="nil"/>
              <w:left w:val="nil"/>
              <w:bottom w:val="nil"/>
              <w:right w:val="nil"/>
            </w:tcBorders>
          </w:tcPr>
          <w:p w:rsidR="00900838" w:rsidRDefault="00900838" w:rsidP="00900838">
            <w:pPr>
              <w:rPr>
                <w:rFonts w:eastAsia="Times New Roman"/>
                <w:bCs/>
                <w:sz w:val="22"/>
                <w:szCs w:val="22"/>
              </w:rPr>
            </w:pPr>
          </w:p>
        </w:tc>
        <w:tc>
          <w:tcPr>
            <w:tcW w:w="1744" w:type="dxa"/>
            <w:tcBorders>
              <w:top w:val="nil"/>
              <w:left w:val="nil"/>
              <w:bottom w:val="nil"/>
              <w:right w:val="nil"/>
            </w:tcBorders>
            <w:hideMark/>
          </w:tcPr>
          <w:p w:rsidR="00900838" w:rsidRDefault="00900838" w:rsidP="00900838">
            <w:pPr>
              <w:tabs>
                <w:tab w:val="decimal" w:pos="567"/>
              </w:tabs>
              <w:rPr>
                <w:rFonts w:eastAsia="Times New Roman"/>
                <w:bCs/>
                <w:sz w:val="22"/>
                <w:szCs w:val="22"/>
              </w:rPr>
            </w:pPr>
            <w:r>
              <w:rPr>
                <w:rFonts w:eastAsia="Times New Roman"/>
                <w:bCs/>
                <w:sz w:val="22"/>
                <w:szCs w:val="22"/>
              </w:rPr>
              <w:t>(0.092)</w:t>
            </w:r>
          </w:p>
        </w:tc>
        <w:tc>
          <w:tcPr>
            <w:tcW w:w="1743" w:type="dxa"/>
            <w:tcBorders>
              <w:top w:val="nil"/>
              <w:left w:val="nil"/>
              <w:bottom w:val="nil"/>
              <w:right w:val="nil"/>
            </w:tcBorders>
            <w:hideMark/>
          </w:tcPr>
          <w:p w:rsidR="00900838" w:rsidRDefault="00900838" w:rsidP="00900838">
            <w:pPr>
              <w:tabs>
                <w:tab w:val="decimal" w:pos="567"/>
              </w:tabs>
              <w:rPr>
                <w:rFonts w:eastAsia="Times New Roman"/>
                <w:bCs/>
                <w:sz w:val="22"/>
                <w:szCs w:val="22"/>
              </w:rPr>
            </w:pPr>
            <w:r>
              <w:rPr>
                <w:rFonts w:eastAsia="Times New Roman"/>
                <w:bCs/>
                <w:sz w:val="22"/>
                <w:szCs w:val="22"/>
              </w:rPr>
              <w:t>(0.077)</w:t>
            </w:r>
          </w:p>
        </w:tc>
        <w:tc>
          <w:tcPr>
            <w:tcW w:w="1744" w:type="dxa"/>
            <w:tcBorders>
              <w:top w:val="nil"/>
              <w:left w:val="nil"/>
              <w:bottom w:val="nil"/>
              <w:right w:val="nil"/>
            </w:tcBorders>
            <w:hideMark/>
          </w:tcPr>
          <w:p w:rsidR="00900838" w:rsidRDefault="00900838" w:rsidP="00900838">
            <w:pPr>
              <w:tabs>
                <w:tab w:val="decimal" w:pos="567"/>
              </w:tabs>
              <w:rPr>
                <w:rFonts w:eastAsia="Times New Roman"/>
                <w:bCs/>
                <w:sz w:val="22"/>
                <w:szCs w:val="22"/>
              </w:rPr>
            </w:pPr>
            <w:r>
              <w:rPr>
                <w:rFonts w:eastAsia="Times New Roman"/>
                <w:bCs/>
                <w:sz w:val="22"/>
                <w:szCs w:val="22"/>
              </w:rPr>
              <w:t>(0.120)</w:t>
            </w:r>
          </w:p>
          <w:p w:rsidR="00900838" w:rsidRDefault="00900838" w:rsidP="00900838">
            <w:pPr>
              <w:tabs>
                <w:tab w:val="decimal" w:pos="567"/>
              </w:tabs>
              <w:rPr>
                <w:rFonts w:eastAsia="Times New Roman"/>
                <w:bCs/>
                <w:sz w:val="22"/>
                <w:szCs w:val="22"/>
              </w:rPr>
            </w:pPr>
          </w:p>
        </w:tc>
      </w:tr>
      <w:tr w:rsidR="00900838" w:rsidTr="00900838">
        <w:trPr>
          <w:trHeight w:val="23"/>
        </w:trPr>
        <w:tc>
          <w:tcPr>
            <w:tcW w:w="3146" w:type="dxa"/>
            <w:tcBorders>
              <w:top w:val="nil"/>
              <w:left w:val="nil"/>
              <w:bottom w:val="nil"/>
              <w:right w:val="nil"/>
            </w:tcBorders>
            <w:vAlign w:val="bottom"/>
            <w:hideMark/>
          </w:tcPr>
          <w:p w:rsidR="00900838" w:rsidRDefault="00900838" w:rsidP="00900838">
            <w:pPr>
              <w:spacing w:before="120"/>
              <w:rPr>
                <w:rFonts w:eastAsia="Times New Roman"/>
                <w:bCs/>
                <w:sz w:val="22"/>
                <w:szCs w:val="22"/>
              </w:rPr>
            </w:pPr>
            <w:r>
              <w:rPr>
                <w:rFonts w:eastAsia="Times New Roman"/>
                <w:bCs/>
                <w:sz w:val="22"/>
                <w:szCs w:val="22"/>
              </w:rPr>
              <w:t>VIIRS (2015-16)</w:t>
            </w:r>
          </w:p>
        </w:tc>
        <w:tc>
          <w:tcPr>
            <w:tcW w:w="1744" w:type="dxa"/>
            <w:tcBorders>
              <w:top w:val="nil"/>
              <w:left w:val="nil"/>
              <w:bottom w:val="nil"/>
              <w:right w:val="nil"/>
            </w:tcBorders>
            <w:vAlign w:val="bottom"/>
            <w:hideMark/>
          </w:tcPr>
          <w:p w:rsidR="00900838" w:rsidRDefault="00900838" w:rsidP="00900838">
            <w:pPr>
              <w:tabs>
                <w:tab w:val="decimal" w:pos="567"/>
              </w:tabs>
              <w:spacing w:before="120"/>
              <w:rPr>
                <w:rFonts w:eastAsia="Times New Roman"/>
                <w:bCs/>
                <w:sz w:val="22"/>
                <w:szCs w:val="22"/>
              </w:rPr>
            </w:pPr>
            <w:r>
              <w:rPr>
                <w:rFonts w:eastAsia="Times New Roman"/>
                <w:bCs/>
                <w:sz w:val="22"/>
                <w:szCs w:val="22"/>
              </w:rPr>
              <w:t>0.860</w:t>
            </w:r>
          </w:p>
        </w:tc>
        <w:tc>
          <w:tcPr>
            <w:tcW w:w="1743" w:type="dxa"/>
            <w:tcBorders>
              <w:top w:val="nil"/>
              <w:left w:val="nil"/>
              <w:bottom w:val="nil"/>
              <w:right w:val="nil"/>
            </w:tcBorders>
            <w:vAlign w:val="bottom"/>
            <w:hideMark/>
          </w:tcPr>
          <w:p w:rsidR="00900838" w:rsidRDefault="00900838" w:rsidP="00900838">
            <w:pPr>
              <w:tabs>
                <w:tab w:val="decimal" w:pos="567"/>
              </w:tabs>
              <w:spacing w:before="120"/>
              <w:rPr>
                <w:rFonts w:eastAsia="Times New Roman"/>
                <w:bCs/>
                <w:sz w:val="22"/>
                <w:szCs w:val="22"/>
              </w:rPr>
            </w:pPr>
            <w:r>
              <w:rPr>
                <w:rFonts w:eastAsia="Times New Roman"/>
                <w:bCs/>
                <w:sz w:val="22"/>
                <w:szCs w:val="22"/>
              </w:rPr>
              <w:t>0.803</w:t>
            </w:r>
          </w:p>
        </w:tc>
        <w:tc>
          <w:tcPr>
            <w:tcW w:w="1744" w:type="dxa"/>
            <w:tcBorders>
              <w:top w:val="nil"/>
              <w:left w:val="nil"/>
              <w:bottom w:val="nil"/>
              <w:right w:val="nil"/>
            </w:tcBorders>
            <w:vAlign w:val="bottom"/>
            <w:hideMark/>
          </w:tcPr>
          <w:p w:rsidR="00900838" w:rsidRDefault="00900838" w:rsidP="00900838">
            <w:pPr>
              <w:tabs>
                <w:tab w:val="decimal" w:pos="567"/>
              </w:tabs>
              <w:spacing w:before="120"/>
              <w:rPr>
                <w:rFonts w:eastAsia="Times New Roman"/>
                <w:bCs/>
                <w:sz w:val="22"/>
                <w:szCs w:val="22"/>
              </w:rPr>
            </w:pPr>
            <w:r>
              <w:rPr>
                <w:rFonts w:eastAsia="Times New Roman"/>
                <w:bCs/>
                <w:sz w:val="22"/>
                <w:szCs w:val="22"/>
              </w:rPr>
              <w:t>0.705</w:t>
            </w:r>
          </w:p>
        </w:tc>
        <w:tc>
          <w:tcPr>
            <w:tcW w:w="340" w:type="dxa"/>
            <w:tcBorders>
              <w:top w:val="nil"/>
              <w:left w:val="nil"/>
              <w:bottom w:val="nil"/>
              <w:right w:val="nil"/>
            </w:tcBorders>
            <w:vAlign w:val="bottom"/>
          </w:tcPr>
          <w:p w:rsidR="00900838" w:rsidRDefault="00900838" w:rsidP="00900838">
            <w:pPr>
              <w:spacing w:before="120"/>
              <w:rPr>
                <w:rFonts w:eastAsia="Times New Roman"/>
                <w:bCs/>
                <w:sz w:val="22"/>
                <w:szCs w:val="22"/>
              </w:rPr>
            </w:pPr>
          </w:p>
        </w:tc>
        <w:tc>
          <w:tcPr>
            <w:tcW w:w="1744" w:type="dxa"/>
            <w:tcBorders>
              <w:top w:val="nil"/>
              <w:left w:val="nil"/>
              <w:bottom w:val="nil"/>
              <w:right w:val="nil"/>
            </w:tcBorders>
            <w:vAlign w:val="bottom"/>
            <w:hideMark/>
          </w:tcPr>
          <w:p w:rsidR="00900838" w:rsidRDefault="00900838" w:rsidP="00900838">
            <w:pPr>
              <w:tabs>
                <w:tab w:val="decimal" w:pos="567"/>
              </w:tabs>
              <w:spacing w:before="120"/>
              <w:rPr>
                <w:rFonts w:eastAsia="Times New Roman"/>
                <w:bCs/>
                <w:sz w:val="22"/>
                <w:szCs w:val="22"/>
              </w:rPr>
            </w:pPr>
            <w:r>
              <w:rPr>
                <w:rFonts w:eastAsia="Times New Roman"/>
                <w:bCs/>
                <w:sz w:val="22"/>
                <w:szCs w:val="22"/>
              </w:rPr>
              <w:t>2.185</w:t>
            </w:r>
          </w:p>
        </w:tc>
        <w:tc>
          <w:tcPr>
            <w:tcW w:w="1743" w:type="dxa"/>
            <w:tcBorders>
              <w:top w:val="nil"/>
              <w:left w:val="nil"/>
              <w:bottom w:val="nil"/>
              <w:right w:val="nil"/>
            </w:tcBorders>
            <w:vAlign w:val="bottom"/>
            <w:hideMark/>
          </w:tcPr>
          <w:p w:rsidR="00900838" w:rsidRDefault="00900838" w:rsidP="00900838">
            <w:pPr>
              <w:tabs>
                <w:tab w:val="decimal" w:pos="567"/>
              </w:tabs>
              <w:spacing w:before="120"/>
              <w:rPr>
                <w:rFonts w:eastAsia="Times New Roman"/>
                <w:bCs/>
                <w:sz w:val="22"/>
                <w:szCs w:val="22"/>
              </w:rPr>
            </w:pPr>
            <w:r>
              <w:rPr>
                <w:rFonts w:eastAsia="Times New Roman"/>
                <w:bCs/>
                <w:sz w:val="22"/>
                <w:szCs w:val="22"/>
              </w:rPr>
              <w:t>1.527</w:t>
            </w:r>
          </w:p>
        </w:tc>
        <w:tc>
          <w:tcPr>
            <w:tcW w:w="1744" w:type="dxa"/>
            <w:tcBorders>
              <w:top w:val="nil"/>
              <w:left w:val="nil"/>
              <w:bottom w:val="nil"/>
              <w:right w:val="nil"/>
            </w:tcBorders>
            <w:vAlign w:val="bottom"/>
            <w:hideMark/>
          </w:tcPr>
          <w:p w:rsidR="00900838" w:rsidRDefault="00900838" w:rsidP="00900838">
            <w:pPr>
              <w:tabs>
                <w:tab w:val="decimal" w:pos="567"/>
              </w:tabs>
              <w:spacing w:before="120"/>
              <w:rPr>
                <w:rFonts w:eastAsia="Times New Roman"/>
                <w:bCs/>
                <w:sz w:val="22"/>
                <w:szCs w:val="22"/>
              </w:rPr>
            </w:pPr>
            <w:r>
              <w:rPr>
                <w:rFonts w:eastAsia="Times New Roman"/>
                <w:bCs/>
                <w:sz w:val="22"/>
                <w:szCs w:val="22"/>
              </w:rPr>
              <w:t>0.929</w:t>
            </w:r>
          </w:p>
        </w:tc>
      </w:tr>
      <w:tr w:rsidR="00900838" w:rsidTr="00900838">
        <w:trPr>
          <w:trHeight w:val="23"/>
        </w:trPr>
        <w:tc>
          <w:tcPr>
            <w:tcW w:w="3146" w:type="dxa"/>
            <w:tcBorders>
              <w:top w:val="nil"/>
              <w:left w:val="nil"/>
              <w:bottom w:val="nil"/>
              <w:right w:val="nil"/>
            </w:tcBorders>
          </w:tcPr>
          <w:p w:rsidR="00900838" w:rsidRDefault="00900838" w:rsidP="00900838">
            <w:pPr>
              <w:rPr>
                <w:rFonts w:eastAsia="Times New Roman"/>
                <w:bCs/>
                <w:sz w:val="22"/>
                <w:szCs w:val="22"/>
              </w:rPr>
            </w:pPr>
          </w:p>
        </w:tc>
        <w:tc>
          <w:tcPr>
            <w:tcW w:w="1744" w:type="dxa"/>
            <w:tcBorders>
              <w:top w:val="nil"/>
              <w:left w:val="nil"/>
              <w:bottom w:val="nil"/>
              <w:right w:val="nil"/>
            </w:tcBorders>
            <w:hideMark/>
          </w:tcPr>
          <w:p w:rsidR="00900838" w:rsidRDefault="00900838" w:rsidP="00900838">
            <w:pPr>
              <w:tabs>
                <w:tab w:val="decimal" w:pos="567"/>
              </w:tabs>
              <w:rPr>
                <w:rFonts w:eastAsia="Times New Roman"/>
                <w:bCs/>
                <w:sz w:val="22"/>
                <w:szCs w:val="22"/>
              </w:rPr>
            </w:pPr>
            <w:r>
              <w:rPr>
                <w:rFonts w:eastAsia="Times New Roman"/>
                <w:bCs/>
                <w:sz w:val="22"/>
                <w:szCs w:val="22"/>
              </w:rPr>
              <w:t>(0.014)</w:t>
            </w:r>
          </w:p>
        </w:tc>
        <w:tc>
          <w:tcPr>
            <w:tcW w:w="1743" w:type="dxa"/>
            <w:tcBorders>
              <w:top w:val="nil"/>
              <w:left w:val="nil"/>
              <w:bottom w:val="nil"/>
              <w:right w:val="nil"/>
            </w:tcBorders>
            <w:hideMark/>
          </w:tcPr>
          <w:p w:rsidR="00900838" w:rsidRDefault="00900838" w:rsidP="00900838">
            <w:pPr>
              <w:tabs>
                <w:tab w:val="decimal" w:pos="567"/>
              </w:tabs>
              <w:rPr>
                <w:rFonts w:eastAsia="Times New Roman"/>
                <w:bCs/>
                <w:sz w:val="22"/>
                <w:szCs w:val="22"/>
              </w:rPr>
            </w:pPr>
            <w:r>
              <w:rPr>
                <w:rFonts w:eastAsia="Times New Roman"/>
                <w:bCs/>
                <w:sz w:val="22"/>
                <w:szCs w:val="22"/>
              </w:rPr>
              <w:t>(0.019)</w:t>
            </w:r>
          </w:p>
        </w:tc>
        <w:tc>
          <w:tcPr>
            <w:tcW w:w="1744" w:type="dxa"/>
            <w:tcBorders>
              <w:top w:val="nil"/>
              <w:left w:val="nil"/>
              <w:bottom w:val="nil"/>
              <w:right w:val="nil"/>
            </w:tcBorders>
            <w:hideMark/>
          </w:tcPr>
          <w:p w:rsidR="00900838" w:rsidRDefault="00900838" w:rsidP="00900838">
            <w:pPr>
              <w:tabs>
                <w:tab w:val="decimal" w:pos="567"/>
              </w:tabs>
              <w:rPr>
                <w:rFonts w:eastAsia="Times New Roman"/>
                <w:bCs/>
                <w:sz w:val="22"/>
                <w:szCs w:val="22"/>
              </w:rPr>
            </w:pPr>
            <w:r>
              <w:rPr>
                <w:rFonts w:eastAsia="Times New Roman"/>
                <w:bCs/>
                <w:sz w:val="22"/>
                <w:szCs w:val="22"/>
              </w:rPr>
              <w:t>(0.041)</w:t>
            </w:r>
          </w:p>
        </w:tc>
        <w:tc>
          <w:tcPr>
            <w:tcW w:w="340" w:type="dxa"/>
            <w:tcBorders>
              <w:top w:val="nil"/>
              <w:left w:val="nil"/>
              <w:bottom w:val="nil"/>
              <w:right w:val="nil"/>
            </w:tcBorders>
          </w:tcPr>
          <w:p w:rsidR="00900838" w:rsidRDefault="00900838" w:rsidP="00900838">
            <w:pPr>
              <w:jc w:val="right"/>
              <w:rPr>
                <w:rFonts w:eastAsia="Times New Roman"/>
                <w:bCs/>
                <w:sz w:val="22"/>
                <w:szCs w:val="22"/>
              </w:rPr>
            </w:pPr>
          </w:p>
        </w:tc>
        <w:tc>
          <w:tcPr>
            <w:tcW w:w="1744" w:type="dxa"/>
            <w:tcBorders>
              <w:top w:val="nil"/>
              <w:left w:val="nil"/>
              <w:bottom w:val="nil"/>
              <w:right w:val="nil"/>
            </w:tcBorders>
            <w:hideMark/>
          </w:tcPr>
          <w:p w:rsidR="00900838" w:rsidRDefault="00900838" w:rsidP="00900838">
            <w:pPr>
              <w:tabs>
                <w:tab w:val="decimal" w:pos="567"/>
              </w:tabs>
              <w:rPr>
                <w:rFonts w:eastAsia="Times New Roman"/>
                <w:bCs/>
                <w:sz w:val="22"/>
                <w:szCs w:val="22"/>
              </w:rPr>
            </w:pPr>
            <w:r>
              <w:rPr>
                <w:rFonts w:eastAsia="Times New Roman"/>
                <w:bCs/>
                <w:sz w:val="22"/>
                <w:szCs w:val="22"/>
              </w:rPr>
              <w:t>(0.129)</w:t>
            </w:r>
          </w:p>
        </w:tc>
        <w:tc>
          <w:tcPr>
            <w:tcW w:w="1743" w:type="dxa"/>
            <w:tcBorders>
              <w:top w:val="nil"/>
              <w:left w:val="nil"/>
              <w:bottom w:val="nil"/>
              <w:right w:val="nil"/>
            </w:tcBorders>
            <w:hideMark/>
          </w:tcPr>
          <w:p w:rsidR="00900838" w:rsidRDefault="00900838" w:rsidP="00900838">
            <w:pPr>
              <w:tabs>
                <w:tab w:val="decimal" w:pos="567"/>
              </w:tabs>
              <w:rPr>
                <w:rFonts w:eastAsia="Times New Roman"/>
                <w:bCs/>
                <w:sz w:val="22"/>
                <w:szCs w:val="22"/>
              </w:rPr>
            </w:pPr>
            <w:r>
              <w:rPr>
                <w:rFonts w:eastAsia="Times New Roman"/>
                <w:bCs/>
                <w:sz w:val="22"/>
                <w:szCs w:val="22"/>
              </w:rPr>
              <w:t>(0.127)</w:t>
            </w:r>
          </w:p>
        </w:tc>
        <w:tc>
          <w:tcPr>
            <w:tcW w:w="1744" w:type="dxa"/>
            <w:tcBorders>
              <w:top w:val="nil"/>
              <w:left w:val="nil"/>
              <w:bottom w:val="nil"/>
              <w:right w:val="nil"/>
            </w:tcBorders>
            <w:hideMark/>
          </w:tcPr>
          <w:p w:rsidR="00900838" w:rsidRDefault="00900838" w:rsidP="00900838">
            <w:pPr>
              <w:tabs>
                <w:tab w:val="decimal" w:pos="567"/>
              </w:tabs>
              <w:rPr>
                <w:rFonts w:eastAsia="Times New Roman"/>
                <w:bCs/>
                <w:sz w:val="22"/>
                <w:szCs w:val="22"/>
              </w:rPr>
            </w:pPr>
            <w:r>
              <w:rPr>
                <w:rFonts w:eastAsia="Times New Roman"/>
                <w:bCs/>
                <w:sz w:val="22"/>
                <w:szCs w:val="22"/>
              </w:rPr>
              <w:t>(0.134)</w:t>
            </w:r>
          </w:p>
          <w:p w:rsidR="00900838" w:rsidRDefault="00900838" w:rsidP="00900838">
            <w:pPr>
              <w:tabs>
                <w:tab w:val="decimal" w:pos="567"/>
              </w:tabs>
              <w:rPr>
                <w:rFonts w:eastAsia="Times New Roman"/>
                <w:bCs/>
                <w:sz w:val="22"/>
                <w:szCs w:val="22"/>
              </w:rPr>
            </w:pPr>
          </w:p>
        </w:tc>
      </w:tr>
      <w:tr w:rsidR="00900838" w:rsidTr="00900838">
        <w:trPr>
          <w:trHeight w:val="23"/>
        </w:trPr>
        <w:tc>
          <w:tcPr>
            <w:tcW w:w="3146" w:type="dxa"/>
            <w:tcBorders>
              <w:top w:val="nil"/>
              <w:left w:val="nil"/>
              <w:bottom w:val="nil"/>
              <w:right w:val="nil"/>
            </w:tcBorders>
            <w:hideMark/>
          </w:tcPr>
          <w:p w:rsidR="00900838" w:rsidRDefault="00900838" w:rsidP="00900838">
            <w:pPr>
              <w:rPr>
                <w:rFonts w:eastAsia="Times New Roman"/>
                <w:bCs/>
                <w:sz w:val="22"/>
                <w:szCs w:val="22"/>
              </w:rPr>
            </w:pPr>
            <w:r>
              <w:rPr>
                <w:rFonts w:eastAsia="Times New Roman"/>
                <w:bCs/>
                <w:sz w:val="22"/>
                <w:szCs w:val="22"/>
              </w:rPr>
              <w:t>Number of observations</w:t>
            </w:r>
          </w:p>
        </w:tc>
        <w:tc>
          <w:tcPr>
            <w:tcW w:w="1744" w:type="dxa"/>
            <w:tcBorders>
              <w:top w:val="nil"/>
              <w:left w:val="nil"/>
              <w:bottom w:val="nil"/>
              <w:right w:val="nil"/>
            </w:tcBorders>
            <w:hideMark/>
          </w:tcPr>
          <w:p w:rsidR="00900838" w:rsidRDefault="00900838" w:rsidP="00900838">
            <w:pPr>
              <w:tabs>
                <w:tab w:val="decimal" w:pos="567"/>
              </w:tabs>
              <w:ind w:right="340"/>
              <w:jc w:val="center"/>
              <w:rPr>
                <w:rFonts w:eastAsia="Times New Roman"/>
                <w:bCs/>
                <w:sz w:val="22"/>
                <w:szCs w:val="22"/>
              </w:rPr>
            </w:pPr>
            <w:r>
              <w:rPr>
                <w:rFonts w:eastAsia="Times New Roman"/>
                <w:bCs/>
                <w:sz w:val="22"/>
                <w:szCs w:val="22"/>
              </w:rPr>
              <w:t>497</w:t>
            </w:r>
          </w:p>
        </w:tc>
        <w:tc>
          <w:tcPr>
            <w:tcW w:w="1743" w:type="dxa"/>
            <w:tcBorders>
              <w:top w:val="nil"/>
              <w:left w:val="nil"/>
              <w:bottom w:val="nil"/>
              <w:right w:val="nil"/>
            </w:tcBorders>
            <w:hideMark/>
          </w:tcPr>
          <w:p w:rsidR="00900838" w:rsidRDefault="00900838" w:rsidP="00900838">
            <w:pPr>
              <w:tabs>
                <w:tab w:val="decimal" w:pos="567"/>
              </w:tabs>
              <w:ind w:right="340"/>
              <w:jc w:val="center"/>
              <w:rPr>
                <w:rFonts w:eastAsia="Times New Roman"/>
                <w:bCs/>
                <w:sz w:val="22"/>
                <w:szCs w:val="22"/>
              </w:rPr>
            </w:pPr>
            <w:r>
              <w:rPr>
                <w:rFonts w:eastAsia="Times New Roman"/>
                <w:bCs/>
                <w:sz w:val="22"/>
                <w:szCs w:val="22"/>
              </w:rPr>
              <w:t>399</w:t>
            </w:r>
          </w:p>
        </w:tc>
        <w:tc>
          <w:tcPr>
            <w:tcW w:w="1744" w:type="dxa"/>
            <w:tcBorders>
              <w:top w:val="nil"/>
              <w:left w:val="nil"/>
              <w:bottom w:val="nil"/>
              <w:right w:val="nil"/>
            </w:tcBorders>
            <w:hideMark/>
          </w:tcPr>
          <w:p w:rsidR="00900838" w:rsidRDefault="00900838" w:rsidP="00900838">
            <w:pPr>
              <w:tabs>
                <w:tab w:val="decimal" w:pos="567"/>
              </w:tabs>
              <w:ind w:right="340"/>
              <w:jc w:val="center"/>
              <w:rPr>
                <w:rFonts w:eastAsia="Times New Roman"/>
                <w:bCs/>
                <w:sz w:val="22"/>
                <w:szCs w:val="22"/>
              </w:rPr>
            </w:pPr>
            <w:r>
              <w:rPr>
                <w:rFonts w:eastAsia="Times New Roman"/>
                <w:bCs/>
                <w:sz w:val="22"/>
                <w:szCs w:val="22"/>
              </w:rPr>
              <w:t>98</w:t>
            </w:r>
          </w:p>
        </w:tc>
        <w:tc>
          <w:tcPr>
            <w:tcW w:w="340" w:type="dxa"/>
            <w:tcBorders>
              <w:top w:val="nil"/>
              <w:left w:val="nil"/>
              <w:bottom w:val="nil"/>
              <w:right w:val="nil"/>
            </w:tcBorders>
          </w:tcPr>
          <w:p w:rsidR="00900838" w:rsidRDefault="00900838" w:rsidP="00900838">
            <w:pPr>
              <w:jc w:val="right"/>
              <w:rPr>
                <w:rFonts w:eastAsia="Times New Roman"/>
                <w:bCs/>
                <w:sz w:val="22"/>
                <w:szCs w:val="22"/>
              </w:rPr>
            </w:pPr>
          </w:p>
        </w:tc>
        <w:tc>
          <w:tcPr>
            <w:tcW w:w="1744" w:type="dxa"/>
            <w:tcBorders>
              <w:top w:val="nil"/>
              <w:left w:val="nil"/>
              <w:bottom w:val="nil"/>
              <w:right w:val="nil"/>
            </w:tcBorders>
            <w:hideMark/>
          </w:tcPr>
          <w:p w:rsidR="00900838" w:rsidRDefault="00900838" w:rsidP="00900838">
            <w:pPr>
              <w:tabs>
                <w:tab w:val="decimal" w:pos="567"/>
              </w:tabs>
              <w:ind w:right="340"/>
              <w:jc w:val="center"/>
              <w:rPr>
                <w:rFonts w:eastAsia="Times New Roman"/>
                <w:bCs/>
                <w:sz w:val="22"/>
                <w:szCs w:val="22"/>
              </w:rPr>
            </w:pPr>
            <w:r>
              <w:rPr>
                <w:rFonts w:eastAsia="Times New Roman"/>
                <w:bCs/>
                <w:sz w:val="22"/>
                <w:szCs w:val="22"/>
              </w:rPr>
              <w:t>497</w:t>
            </w:r>
          </w:p>
        </w:tc>
        <w:tc>
          <w:tcPr>
            <w:tcW w:w="1743" w:type="dxa"/>
            <w:tcBorders>
              <w:top w:val="nil"/>
              <w:left w:val="nil"/>
              <w:bottom w:val="nil"/>
              <w:right w:val="nil"/>
            </w:tcBorders>
            <w:hideMark/>
          </w:tcPr>
          <w:p w:rsidR="00900838" w:rsidRDefault="00900838" w:rsidP="00900838">
            <w:pPr>
              <w:tabs>
                <w:tab w:val="decimal" w:pos="567"/>
              </w:tabs>
              <w:ind w:right="340"/>
              <w:jc w:val="center"/>
              <w:rPr>
                <w:rFonts w:eastAsia="Times New Roman"/>
                <w:bCs/>
                <w:sz w:val="22"/>
                <w:szCs w:val="22"/>
              </w:rPr>
            </w:pPr>
            <w:r>
              <w:rPr>
                <w:rFonts w:eastAsia="Times New Roman"/>
                <w:bCs/>
                <w:sz w:val="22"/>
                <w:szCs w:val="22"/>
              </w:rPr>
              <w:t>399</w:t>
            </w:r>
          </w:p>
        </w:tc>
        <w:tc>
          <w:tcPr>
            <w:tcW w:w="1744" w:type="dxa"/>
            <w:tcBorders>
              <w:top w:val="nil"/>
              <w:left w:val="nil"/>
              <w:bottom w:val="nil"/>
              <w:right w:val="nil"/>
            </w:tcBorders>
            <w:hideMark/>
          </w:tcPr>
          <w:p w:rsidR="00900838" w:rsidRDefault="00900838" w:rsidP="00900838">
            <w:pPr>
              <w:tabs>
                <w:tab w:val="decimal" w:pos="567"/>
              </w:tabs>
              <w:ind w:right="340"/>
              <w:jc w:val="center"/>
              <w:rPr>
                <w:rFonts w:eastAsia="Times New Roman"/>
                <w:bCs/>
                <w:sz w:val="22"/>
                <w:szCs w:val="22"/>
              </w:rPr>
            </w:pPr>
            <w:r>
              <w:rPr>
                <w:rFonts w:eastAsia="Times New Roman"/>
                <w:bCs/>
                <w:sz w:val="22"/>
                <w:szCs w:val="22"/>
              </w:rPr>
              <w:t>98</w:t>
            </w:r>
          </w:p>
        </w:tc>
      </w:tr>
      <w:tr w:rsidR="00900838" w:rsidTr="00900838">
        <w:trPr>
          <w:trHeight w:val="23"/>
        </w:trPr>
        <w:tc>
          <w:tcPr>
            <w:tcW w:w="3146" w:type="dxa"/>
            <w:tcBorders>
              <w:top w:val="nil"/>
              <w:left w:val="nil"/>
              <w:bottom w:val="single" w:sz="4" w:space="0" w:color="auto"/>
              <w:right w:val="nil"/>
            </w:tcBorders>
          </w:tcPr>
          <w:p w:rsidR="00900838" w:rsidRDefault="00900838" w:rsidP="00900838">
            <w:pPr>
              <w:jc w:val="right"/>
              <w:rPr>
                <w:rFonts w:eastAsia="Times New Roman"/>
                <w:bCs/>
                <w:sz w:val="4"/>
                <w:szCs w:val="4"/>
              </w:rPr>
            </w:pPr>
          </w:p>
        </w:tc>
        <w:tc>
          <w:tcPr>
            <w:tcW w:w="1744" w:type="dxa"/>
            <w:tcBorders>
              <w:top w:val="nil"/>
              <w:left w:val="nil"/>
              <w:bottom w:val="single" w:sz="4" w:space="0" w:color="auto"/>
              <w:right w:val="nil"/>
            </w:tcBorders>
          </w:tcPr>
          <w:p w:rsidR="00900838" w:rsidRDefault="00900838" w:rsidP="00900838">
            <w:pPr>
              <w:jc w:val="right"/>
              <w:rPr>
                <w:rFonts w:eastAsia="Times New Roman"/>
                <w:bCs/>
                <w:sz w:val="4"/>
                <w:szCs w:val="4"/>
              </w:rPr>
            </w:pPr>
          </w:p>
        </w:tc>
        <w:tc>
          <w:tcPr>
            <w:tcW w:w="1743" w:type="dxa"/>
            <w:tcBorders>
              <w:top w:val="nil"/>
              <w:left w:val="nil"/>
              <w:bottom w:val="single" w:sz="4" w:space="0" w:color="auto"/>
              <w:right w:val="nil"/>
            </w:tcBorders>
          </w:tcPr>
          <w:p w:rsidR="00900838" w:rsidRDefault="00900838" w:rsidP="00900838">
            <w:pPr>
              <w:jc w:val="right"/>
              <w:rPr>
                <w:rFonts w:eastAsia="Times New Roman"/>
                <w:bCs/>
                <w:sz w:val="4"/>
                <w:szCs w:val="4"/>
              </w:rPr>
            </w:pPr>
          </w:p>
        </w:tc>
        <w:tc>
          <w:tcPr>
            <w:tcW w:w="1744" w:type="dxa"/>
            <w:tcBorders>
              <w:top w:val="nil"/>
              <w:left w:val="nil"/>
              <w:bottom w:val="single" w:sz="4" w:space="0" w:color="auto"/>
              <w:right w:val="nil"/>
            </w:tcBorders>
          </w:tcPr>
          <w:p w:rsidR="00900838" w:rsidRDefault="00900838" w:rsidP="00900838">
            <w:pPr>
              <w:jc w:val="right"/>
              <w:rPr>
                <w:rFonts w:eastAsia="Times New Roman"/>
                <w:bCs/>
                <w:sz w:val="4"/>
                <w:szCs w:val="4"/>
              </w:rPr>
            </w:pPr>
          </w:p>
        </w:tc>
        <w:tc>
          <w:tcPr>
            <w:tcW w:w="340" w:type="dxa"/>
            <w:tcBorders>
              <w:top w:val="nil"/>
              <w:left w:val="nil"/>
              <w:bottom w:val="single" w:sz="4" w:space="0" w:color="auto"/>
              <w:right w:val="nil"/>
            </w:tcBorders>
          </w:tcPr>
          <w:p w:rsidR="00900838" w:rsidRDefault="00900838" w:rsidP="00900838">
            <w:pPr>
              <w:jc w:val="right"/>
              <w:rPr>
                <w:rFonts w:eastAsia="Times New Roman"/>
                <w:bCs/>
                <w:sz w:val="4"/>
                <w:szCs w:val="4"/>
              </w:rPr>
            </w:pPr>
          </w:p>
        </w:tc>
        <w:tc>
          <w:tcPr>
            <w:tcW w:w="1744" w:type="dxa"/>
            <w:tcBorders>
              <w:top w:val="nil"/>
              <w:left w:val="nil"/>
              <w:bottom w:val="single" w:sz="4" w:space="0" w:color="auto"/>
              <w:right w:val="nil"/>
            </w:tcBorders>
          </w:tcPr>
          <w:p w:rsidR="00900838" w:rsidRDefault="00900838" w:rsidP="00900838">
            <w:pPr>
              <w:jc w:val="right"/>
              <w:rPr>
                <w:rFonts w:eastAsia="Times New Roman"/>
                <w:bCs/>
                <w:sz w:val="4"/>
                <w:szCs w:val="4"/>
              </w:rPr>
            </w:pPr>
          </w:p>
        </w:tc>
        <w:tc>
          <w:tcPr>
            <w:tcW w:w="1743" w:type="dxa"/>
            <w:tcBorders>
              <w:top w:val="nil"/>
              <w:left w:val="nil"/>
              <w:bottom w:val="single" w:sz="4" w:space="0" w:color="auto"/>
              <w:right w:val="nil"/>
            </w:tcBorders>
          </w:tcPr>
          <w:p w:rsidR="00900838" w:rsidRDefault="00900838" w:rsidP="00900838">
            <w:pPr>
              <w:jc w:val="right"/>
              <w:rPr>
                <w:rFonts w:eastAsia="Times New Roman"/>
                <w:bCs/>
                <w:sz w:val="4"/>
                <w:szCs w:val="4"/>
              </w:rPr>
            </w:pPr>
          </w:p>
        </w:tc>
        <w:tc>
          <w:tcPr>
            <w:tcW w:w="1744" w:type="dxa"/>
            <w:tcBorders>
              <w:top w:val="nil"/>
              <w:left w:val="nil"/>
              <w:bottom w:val="single" w:sz="4" w:space="0" w:color="auto"/>
              <w:right w:val="nil"/>
            </w:tcBorders>
          </w:tcPr>
          <w:p w:rsidR="00900838" w:rsidRDefault="00900838" w:rsidP="00900838">
            <w:pPr>
              <w:jc w:val="right"/>
              <w:rPr>
                <w:rFonts w:eastAsia="Times New Roman"/>
                <w:bCs/>
                <w:sz w:val="4"/>
                <w:szCs w:val="4"/>
              </w:rPr>
            </w:pPr>
          </w:p>
        </w:tc>
      </w:tr>
      <w:tr w:rsidR="00900838" w:rsidTr="00900838">
        <w:trPr>
          <w:trHeight w:val="23"/>
        </w:trPr>
        <w:tc>
          <w:tcPr>
            <w:tcW w:w="13948" w:type="dxa"/>
            <w:gridSpan w:val="8"/>
            <w:tcBorders>
              <w:top w:val="single" w:sz="4" w:space="0" w:color="auto"/>
              <w:left w:val="nil"/>
              <w:bottom w:val="nil"/>
              <w:right w:val="nil"/>
            </w:tcBorders>
            <w:hideMark/>
          </w:tcPr>
          <w:p w:rsidR="00900838" w:rsidRDefault="00900838" w:rsidP="00900838">
            <w:pPr>
              <w:spacing w:before="40"/>
              <w:rPr>
                <w:rFonts w:eastAsia="Times New Roman"/>
                <w:bCs/>
                <w:sz w:val="20"/>
                <w:szCs w:val="20"/>
              </w:rPr>
            </w:pPr>
            <w:r>
              <w:rPr>
                <w:rFonts w:eastAsia="Times New Roman"/>
                <w:bCs/>
                <w:i/>
                <w:iCs/>
                <w:sz w:val="20"/>
                <w:szCs w:val="20"/>
              </w:rPr>
              <w:t>Notes</w:t>
            </w:r>
          </w:p>
          <w:p w:rsidR="00900838" w:rsidRDefault="00900838" w:rsidP="00900838">
            <w:pPr>
              <w:spacing w:before="40"/>
              <w:rPr>
                <w:rFonts w:eastAsia="Times New Roman"/>
                <w:bCs/>
                <w:sz w:val="20"/>
                <w:szCs w:val="20"/>
              </w:rPr>
            </w:pPr>
            <w:r>
              <w:rPr>
                <w:rFonts w:eastAsia="Times New Roman"/>
                <w:bCs/>
                <w:sz w:val="20"/>
                <w:szCs w:val="20"/>
              </w:rPr>
              <w:t xml:space="preserve">Standard errors in ( ). </w:t>
            </w:r>
          </w:p>
          <w:p w:rsidR="00900838" w:rsidRDefault="00900838" w:rsidP="00900838">
            <w:pPr>
              <w:spacing w:before="40"/>
              <w:rPr>
                <w:rFonts w:eastAsia="Times New Roman"/>
                <w:bCs/>
                <w:sz w:val="20"/>
                <w:szCs w:val="20"/>
              </w:rPr>
            </w:pPr>
            <w:r>
              <w:rPr>
                <w:rFonts w:eastAsia="Times New Roman"/>
                <w:bCs/>
                <w:sz w:val="20"/>
                <w:szCs w:val="20"/>
              </w:rPr>
              <w:t xml:space="preserve">Inequality statistics based on the share of total lights and of total area from each spatial unit. </w:t>
            </w:r>
          </w:p>
          <w:p w:rsidR="00900838" w:rsidRDefault="00900838" w:rsidP="00900838">
            <w:pPr>
              <w:spacing w:before="40"/>
              <w:rPr>
                <w:rFonts w:eastAsia="Times New Roman"/>
                <w:bCs/>
                <w:sz w:val="20"/>
                <w:szCs w:val="20"/>
              </w:rPr>
            </w:pPr>
            <w:r>
              <w:rPr>
                <w:rFonts w:eastAsia="Times New Roman"/>
                <w:bCs/>
                <w:sz w:val="20"/>
                <w:szCs w:val="20"/>
              </w:rPr>
              <w:t>Real GDP data for the same spatial units show no change in spatial inequality from 2011-12 to 2015-16.</w:t>
            </w:r>
          </w:p>
        </w:tc>
      </w:tr>
    </w:tbl>
    <w:p w:rsidR="00A575D9" w:rsidRDefault="00A575D9">
      <w:pPr>
        <w:rPr>
          <w:bCs/>
          <w:lang w:val="en-US"/>
        </w:rPr>
        <w:sectPr w:rsidR="00A575D9" w:rsidSect="00525CF3">
          <w:pgSz w:w="16838" w:h="11906" w:orient="landscape"/>
          <w:pgMar w:top="1440" w:right="1440" w:bottom="1440" w:left="1440" w:header="709" w:footer="709" w:gutter="0"/>
          <w:cols w:space="708"/>
          <w:titlePg/>
          <w:docGrid w:linePitch="360"/>
        </w:sectPr>
      </w:pPr>
    </w:p>
    <w:p w:rsidR="00EF4291" w:rsidRDefault="00C16FBB" w:rsidP="00BA4001">
      <w:pPr>
        <w:spacing w:after="0" w:line="288" w:lineRule="auto"/>
        <w:ind w:firstLine="720"/>
        <w:jc w:val="both"/>
        <w:rPr>
          <w:bCs/>
          <w:lang w:val="en-US"/>
        </w:rPr>
      </w:pPr>
      <w:r>
        <w:rPr>
          <w:bCs/>
          <w:lang w:val="en-US"/>
        </w:rPr>
        <w:lastRenderedPageBreak/>
        <w:t xml:space="preserve">The inequality estimates are based on two-year sums of lights, </w:t>
      </w:r>
      <w:r w:rsidR="00F16FC9">
        <w:rPr>
          <w:bCs/>
          <w:lang w:val="en-US"/>
        </w:rPr>
        <w:t>so that</w:t>
      </w:r>
      <w:r w:rsidR="00F770AD">
        <w:rPr>
          <w:bCs/>
          <w:lang w:val="en-US"/>
        </w:rPr>
        <w:t xml:space="preserve"> cross-sectional patterns are highlighted, and as these are not for overlapping periods (2011-12 for DMSP and 2015-16 for VIIRS) </w:t>
      </w:r>
      <w:r w:rsidR="0005182B">
        <w:rPr>
          <w:bCs/>
          <w:lang w:val="en-US"/>
        </w:rPr>
        <w:t>it is possible that there was some</w:t>
      </w:r>
      <w:r w:rsidR="00F770AD">
        <w:rPr>
          <w:bCs/>
          <w:lang w:val="en-US"/>
        </w:rPr>
        <w:t xml:space="preserve"> </w:t>
      </w:r>
      <w:r w:rsidR="0005182B">
        <w:rPr>
          <w:bCs/>
          <w:lang w:val="en-US"/>
        </w:rPr>
        <w:t xml:space="preserve">change in </w:t>
      </w:r>
      <w:r w:rsidR="00F770AD">
        <w:rPr>
          <w:bCs/>
          <w:lang w:val="en-US"/>
        </w:rPr>
        <w:t>underlying spatial inequality for Indonesia</w:t>
      </w:r>
      <w:r w:rsidR="00D73C64">
        <w:rPr>
          <w:bCs/>
          <w:lang w:val="en-US"/>
        </w:rPr>
        <w:t>, that weakens t</w:t>
      </w:r>
      <w:r w:rsidR="00EA5114">
        <w:rPr>
          <w:bCs/>
          <w:lang w:val="en-US"/>
        </w:rPr>
        <w:t>he comparisons shown in Figure 1</w:t>
      </w:r>
      <w:r w:rsidR="00D73C64">
        <w:rPr>
          <w:bCs/>
          <w:lang w:val="en-US"/>
        </w:rPr>
        <w:t xml:space="preserve"> and Table 2</w:t>
      </w:r>
      <w:r w:rsidR="00F770AD">
        <w:rPr>
          <w:bCs/>
          <w:lang w:val="en-US"/>
        </w:rPr>
        <w:t xml:space="preserve">. However, </w:t>
      </w:r>
      <w:r w:rsidR="0005182B">
        <w:rPr>
          <w:bCs/>
          <w:lang w:val="en-US"/>
        </w:rPr>
        <w:t xml:space="preserve">the GDP data show no evidence </w:t>
      </w:r>
      <w:r w:rsidR="00D73C64">
        <w:rPr>
          <w:bCs/>
          <w:lang w:val="en-US"/>
        </w:rPr>
        <w:t>of this</w:t>
      </w:r>
      <w:r w:rsidR="0005182B">
        <w:rPr>
          <w:bCs/>
          <w:lang w:val="en-US"/>
        </w:rPr>
        <w:t xml:space="preserve">, with </w:t>
      </w:r>
      <w:r w:rsidR="00D73C64">
        <w:rPr>
          <w:bCs/>
          <w:lang w:val="en-US"/>
        </w:rPr>
        <w:t xml:space="preserve">just a two percent </w:t>
      </w:r>
      <w:r w:rsidR="0005182B">
        <w:rPr>
          <w:bCs/>
          <w:lang w:val="en-US"/>
        </w:rPr>
        <w:t xml:space="preserve">change </w:t>
      </w:r>
      <w:r w:rsidR="00D73C64">
        <w:rPr>
          <w:bCs/>
          <w:lang w:val="en-US"/>
        </w:rPr>
        <w:t xml:space="preserve">(a slight fall) </w:t>
      </w:r>
      <w:r w:rsidR="0005182B">
        <w:rPr>
          <w:bCs/>
          <w:lang w:val="en-US"/>
        </w:rPr>
        <w:t xml:space="preserve">in spatial inequality </w:t>
      </w:r>
      <w:r w:rsidR="00F16FC9">
        <w:rPr>
          <w:bCs/>
          <w:lang w:val="en-US"/>
        </w:rPr>
        <w:t xml:space="preserve">from 2011-12 to 2015-16 </w:t>
      </w:r>
      <w:r w:rsidR="0005182B">
        <w:rPr>
          <w:bCs/>
          <w:lang w:val="en-US"/>
        </w:rPr>
        <w:t>according to the Theil index (and no change in the Gini).</w:t>
      </w:r>
      <w:r w:rsidR="007114A4">
        <w:rPr>
          <w:bCs/>
          <w:lang w:val="en-US"/>
        </w:rPr>
        <w:t xml:space="preserve"> Thus, even without overlapping data we can conclude that using DMSP data will understate spatial inequality, especially for urban areas, and especially at the top of the distribution (the understatement of the Gini coefficient is proportionately less than for the Th</w:t>
      </w:r>
      <w:r w:rsidR="00C24E9E">
        <w:rPr>
          <w:bCs/>
          <w:lang w:val="en-US"/>
        </w:rPr>
        <w:t>ei</w:t>
      </w:r>
      <w:r w:rsidR="007114A4">
        <w:rPr>
          <w:bCs/>
          <w:lang w:val="en-US"/>
        </w:rPr>
        <w:t>l index).</w:t>
      </w:r>
    </w:p>
    <w:p w:rsidR="001C2B5C" w:rsidRDefault="001C2B5C" w:rsidP="00BA4001">
      <w:pPr>
        <w:spacing w:after="0" w:line="288" w:lineRule="auto"/>
        <w:ind w:firstLine="720"/>
        <w:rPr>
          <w:bCs/>
          <w:lang w:val="en-US"/>
        </w:rPr>
      </w:pPr>
    </w:p>
    <w:p w:rsidR="0005182B" w:rsidRDefault="0005182B" w:rsidP="00BA4001">
      <w:pPr>
        <w:spacing w:after="0" w:line="288" w:lineRule="auto"/>
        <w:ind w:firstLine="720"/>
        <w:jc w:val="both"/>
        <w:rPr>
          <w:bCs/>
        </w:rPr>
      </w:pPr>
      <w:r>
        <w:rPr>
          <w:bCs/>
          <w:lang w:val="en-US"/>
        </w:rPr>
        <w:t xml:space="preserve">Several of the flaws in DMSP data could </w:t>
      </w:r>
      <w:r w:rsidR="00291A78">
        <w:rPr>
          <w:bCs/>
          <w:lang w:val="en-US"/>
        </w:rPr>
        <w:t xml:space="preserve">cause </w:t>
      </w:r>
      <w:r>
        <w:rPr>
          <w:bCs/>
          <w:lang w:val="en-US"/>
        </w:rPr>
        <w:t>spatial inequality</w:t>
      </w:r>
      <w:r w:rsidR="00291A78">
        <w:rPr>
          <w:bCs/>
          <w:lang w:val="en-US"/>
        </w:rPr>
        <w:t xml:space="preserve"> to be understated</w:t>
      </w:r>
      <w:r>
        <w:rPr>
          <w:bCs/>
          <w:lang w:val="en-US"/>
        </w:rPr>
        <w:t>. The blurring and spatial errors will tend to spread the apparent lights</w:t>
      </w:r>
      <w:r w:rsidR="008B6E69">
        <w:rPr>
          <w:bCs/>
          <w:lang w:val="en-US"/>
        </w:rPr>
        <w:t xml:space="preserve"> into neighboring units</w:t>
      </w:r>
      <w:r>
        <w:rPr>
          <w:bCs/>
          <w:lang w:val="en-US"/>
        </w:rPr>
        <w:t xml:space="preserve">, </w:t>
      </w:r>
      <w:r w:rsidR="00D57494">
        <w:rPr>
          <w:bCs/>
          <w:lang w:val="en-US"/>
        </w:rPr>
        <w:t>causing a reversion to the mean and understating ineq</w:t>
      </w:r>
      <w:r w:rsidR="00EA7427">
        <w:rPr>
          <w:bCs/>
          <w:lang w:val="en-US"/>
        </w:rPr>
        <w:t>uality. The top-coding of DN values at 63 will also dampen inequality, particularly at the t</w:t>
      </w:r>
      <w:r w:rsidR="008B6E69">
        <w:rPr>
          <w:bCs/>
          <w:lang w:val="en-US"/>
        </w:rPr>
        <w:t>op of the distribution. To study which source of error may matter most</w:t>
      </w:r>
      <w:r w:rsidR="00EA7427">
        <w:rPr>
          <w:bCs/>
          <w:lang w:val="en-US"/>
        </w:rPr>
        <w:t>, we use the Pareto-adjusted</w:t>
      </w:r>
      <w:r w:rsidR="008B6E69">
        <w:rPr>
          <w:bCs/>
          <w:lang w:val="en-US"/>
        </w:rPr>
        <w:t xml:space="preserve"> DMSP values for 2011 and 2012</w:t>
      </w:r>
      <w:r w:rsidR="00EA7427">
        <w:rPr>
          <w:bCs/>
          <w:lang w:val="en-US"/>
        </w:rPr>
        <w:t xml:space="preserve"> </w:t>
      </w:r>
      <w:r w:rsidR="008B6E69">
        <w:rPr>
          <w:bCs/>
          <w:lang w:val="en-US"/>
        </w:rPr>
        <w:t xml:space="preserve">that have been derived by </w:t>
      </w:r>
      <w:r w:rsidR="00EA7427">
        <w:rPr>
          <w:bCs/>
          <w:lang w:val="en-US"/>
        </w:rPr>
        <w:t xml:space="preserve">Bluhm and Krause (2018) </w:t>
      </w:r>
      <w:r w:rsidR="008B6E69">
        <w:rPr>
          <w:bCs/>
          <w:lang w:val="en-US"/>
        </w:rPr>
        <w:t>and are made available at their</w:t>
      </w:r>
      <w:r w:rsidR="00EA7427">
        <w:rPr>
          <w:bCs/>
          <w:lang w:val="en-US"/>
        </w:rPr>
        <w:t xml:space="preserve"> website: </w:t>
      </w:r>
      <w:hyperlink r:id="rId10" w:tgtFrame="_blank" w:history="1">
        <w:r w:rsidR="00EA7427" w:rsidRPr="00BB3E51">
          <w:rPr>
            <w:rStyle w:val="Hyperlink"/>
            <w:bCs/>
            <w:color w:val="auto"/>
          </w:rPr>
          <w:t>http://lightinequality.com/top-lights.html</w:t>
        </w:r>
      </w:hyperlink>
      <w:r w:rsidR="008B6E69" w:rsidRPr="00BB3E51">
        <w:rPr>
          <w:bCs/>
        </w:rPr>
        <w:t>.</w:t>
      </w:r>
      <w:r w:rsidR="008B6E69">
        <w:rPr>
          <w:bCs/>
        </w:rPr>
        <w:t xml:space="preserve"> We re-estimate the Table 2 </w:t>
      </w:r>
      <w:r w:rsidR="00EA7427">
        <w:rPr>
          <w:bCs/>
        </w:rPr>
        <w:t>inequalit</w:t>
      </w:r>
      <w:r w:rsidR="008B6E69">
        <w:rPr>
          <w:bCs/>
        </w:rPr>
        <w:t xml:space="preserve">y statistics and find that </w:t>
      </w:r>
      <w:r w:rsidR="00291A78">
        <w:rPr>
          <w:bCs/>
        </w:rPr>
        <w:t xml:space="preserve">the </w:t>
      </w:r>
      <w:r w:rsidR="00EA7427">
        <w:rPr>
          <w:bCs/>
        </w:rPr>
        <w:t xml:space="preserve">Pareto-adjustment </w:t>
      </w:r>
      <w:r w:rsidR="008B6E69">
        <w:rPr>
          <w:bCs/>
        </w:rPr>
        <w:t xml:space="preserve">for top-coding </w:t>
      </w:r>
      <w:r w:rsidR="00EA7427">
        <w:rPr>
          <w:bCs/>
        </w:rPr>
        <w:t xml:space="preserve">closes about one-fifth of the gap between </w:t>
      </w:r>
      <w:r w:rsidR="00291A78">
        <w:rPr>
          <w:bCs/>
        </w:rPr>
        <w:t xml:space="preserve">the results from </w:t>
      </w:r>
      <w:r w:rsidR="00EA7427">
        <w:rPr>
          <w:bCs/>
        </w:rPr>
        <w:t>DMSP and VIIRS, in terms of overall inequality (for example, raising the</w:t>
      </w:r>
      <w:r w:rsidR="008B6E69">
        <w:rPr>
          <w:bCs/>
        </w:rPr>
        <w:t xml:space="preserve"> Theil index from 1.42 to 1.54, </w:t>
      </w:r>
      <w:r w:rsidR="00EA7427">
        <w:rPr>
          <w:bCs/>
        </w:rPr>
        <w:t xml:space="preserve">compared to the value of 2.19 with VIIRS). </w:t>
      </w:r>
      <w:r w:rsidR="00F16FC9">
        <w:rPr>
          <w:bCs/>
        </w:rPr>
        <w:t>The Pareto adjustment</w:t>
      </w:r>
      <w:r w:rsidR="008B6E69">
        <w:rPr>
          <w:bCs/>
        </w:rPr>
        <w:t xml:space="preserve"> close</w:t>
      </w:r>
      <w:r w:rsidR="00F16FC9">
        <w:rPr>
          <w:bCs/>
        </w:rPr>
        <w:t>s</w:t>
      </w:r>
      <w:r w:rsidR="008B6E69">
        <w:rPr>
          <w:bCs/>
        </w:rPr>
        <w:t xml:space="preserve"> relatively more of the gap in inequality estimates for urban areas (for examp</w:t>
      </w:r>
      <w:r w:rsidR="00F16FC9">
        <w:rPr>
          <w:bCs/>
        </w:rPr>
        <w:t>le, closing</w:t>
      </w:r>
      <w:r w:rsidR="008B6E69">
        <w:rPr>
          <w:bCs/>
        </w:rPr>
        <w:t xml:space="preserve"> 45% of the gap in the Gini between the original DMSP estimates and the benchmark VIIRS estimates). While this is a p</w:t>
      </w:r>
      <w:r w:rsidR="00F16FC9">
        <w:rPr>
          <w:bCs/>
        </w:rPr>
        <w:t xml:space="preserve">romising finding, it remains </w:t>
      </w:r>
      <w:r w:rsidR="00291A78">
        <w:rPr>
          <w:bCs/>
        </w:rPr>
        <w:t xml:space="preserve">the case </w:t>
      </w:r>
      <w:r w:rsidR="008B6E69">
        <w:rPr>
          <w:bCs/>
        </w:rPr>
        <w:t xml:space="preserve">that </w:t>
      </w:r>
      <w:r w:rsidR="00F16FC9">
        <w:rPr>
          <w:bCs/>
        </w:rPr>
        <w:t xml:space="preserve">spatial inequality is </w:t>
      </w:r>
      <w:r w:rsidR="008B6E69">
        <w:rPr>
          <w:bCs/>
        </w:rPr>
        <w:t>substantial</w:t>
      </w:r>
      <w:r w:rsidR="00F16FC9">
        <w:rPr>
          <w:bCs/>
        </w:rPr>
        <w:t>ly</w:t>
      </w:r>
      <w:r w:rsidR="008B6E69">
        <w:rPr>
          <w:bCs/>
        </w:rPr>
        <w:t xml:space="preserve"> understate</w:t>
      </w:r>
      <w:r w:rsidR="00F16FC9">
        <w:rPr>
          <w:bCs/>
        </w:rPr>
        <w:t>d, even</w:t>
      </w:r>
      <w:r w:rsidR="008B6E69">
        <w:rPr>
          <w:bCs/>
        </w:rPr>
        <w:t xml:space="preserve"> when using the Pareto-adjusted DMSP data.</w:t>
      </w:r>
    </w:p>
    <w:p w:rsidR="004D5979" w:rsidRDefault="004D5979" w:rsidP="00BA4001">
      <w:pPr>
        <w:spacing w:after="0" w:line="288" w:lineRule="auto"/>
        <w:ind w:firstLine="720"/>
        <w:jc w:val="both"/>
        <w:rPr>
          <w:bCs/>
          <w:lang w:val="en-US"/>
        </w:rPr>
      </w:pPr>
    </w:p>
    <w:p w:rsidR="00C16FBB" w:rsidRDefault="007E2BC4" w:rsidP="00BA4001">
      <w:pPr>
        <w:spacing w:after="0" w:line="288" w:lineRule="auto"/>
        <w:ind w:firstLine="720"/>
        <w:jc w:val="both"/>
        <w:rPr>
          <w:bCs/>
          <w:lang w:val="en-US"/>
        </w:rPr>
      </w:pPr>
      <w:r>
        <w:rPr>
          <w:bCs/>
          <w:lang w:val="en-US"/>
        </w:rPr>
        <w:t>The inequality</w:t>
      </w:r>
      <w:r w:rsidR="00EA5114">
        <w:rPr>
          <w:bCs/>
          <w:lang w:val="en-US"/>
        </w:rPr>
        <w:t xml:space="preserve"> described in Figure 1</w:t>
      </w:r>
      <w:r>
        <w:rPr>
          <w:bCs/>
          <w:lang w:val="en-US"/>
        </w:rPr>
        <w:t xml:space="preserve"> and Table 2 </w:t>
      </w:r>
      <w:r w:rsidR="00F16FC9">
        <w:rPr>
          <w:bCs/>
          <w:lang w:val="en-US"/>
        </w:rPr>
        <w:t>considers the urban sector as a whole</w:t>
      </w:r>
      <w:r w:rsidR="009E1F26">
        <w:rPr>
          <w:bCs/>
          <w:lang w:val="en-US"/>
        </w:rPr>
        <w:t>, but night lights also are</w:t>
      </w:r>
      <w:r>
        <w:rPr>
          <w:bCs/>
          <w:lang w:val="en-US"/>
        </w:rPr>
        <w:t xml:space="preserve"> used to study </w:t>
      </w:r>
      <w:r>
        <w:rPr>
          <w:bCs/>
          <w:i/>
          <w:iCs/>
          <w:lang w:val="en-US"/>
        </w:rPr>
        <w:t>intra</w:t>
      </w:r>
      <w:r>
        <w:rPr>
          <w:bCs/>
          <w:lang w:val="en-US"/>
        </w:rPr>
        <w:t xml:space="preserve">-city differences </w:t>
      </w:r>
      <w:r w:rsidRPr="009A15CD">
        <w:rPr>
          <w:bCs/>
          <w:lang w:val="en-US"/>
        </w:rPr>
        <w:t>(</w:t>
      </w:r>
      <w:r w:rsidR="004D5979">
        <w:rPr>
          <w:bCs/>
          <w:lang w:val="en-US"/>
        </w:rPr>
        <w:t xml:space="preserve">for example, </w:t>
      </w:r>
      <w:proofErr w:type="spellStart"/>
      <w:r w:rsidR="009A15CD" w:rsidRPr="009A15CD">
        <w:rPr>
          <w:bCs/>
        </w:rPr>
        <w:t>Kocornik</w:t>
      </w:r>
      <w:proofErr w:type="spellEnd"/>
      <w:r w:rsidR="009A15CD" w:rsidRPr="009A15CD">
        <w:rPr>
          <w:bCs/>
        </w:rPr>
        <w:t>-Mina</w:t>
      </w:r>
      <w:r w:rsidR="009A15CD" w:rsidRPr="00504D66">
        <w:rPr>
          <w:bCs/>
          <w:i/>
          <w:iCs/>
        </w:rPr>
        <w:t xml:space="preserve"> et al</w:t>
      </w:r>
      <w:r w:rsidR="00504D66">
        <w:rPr>
          <w:bCs/>
          <w:i/>
          <w:iCs/>
        </w:rPr>
        <w:t xml:space="preserve">. </w:t>
      </w:r>
      <w:r w:rsidR="009A15CD">
        <w:rPr>
          <w:bCs/>
        </w:rPr>
        <w:t>2019).</w:t>
      </w:r>
      <w:r>
        <w:rPr>
          <w:bCs/>
          <w:lang w:val="en-US"/>
        </w:rPr>
        <w:t xml:space="preserve"> The top-coding and limited dynamic range of DMSP may distort understanding of spatial patterns in </w:t>
      </w:r>
      <w:r w:rsidR="00F16FC9">
        <w:rPr>
          <w:bCs/>
          <w:lang w:val="en-US"/>
        </w:rPr>
        <w:t xml:space="preserve">the </w:t>
      </w:r>
      <w:r>
        <w:rPr>
          <w:bCs/>
          <w:lang w:val="en-US"/>
        </w:rPr>
        <w:t xml:space="preserve">development </w:t>
      </w:r>
      <w:r w:rsidR="00F16FC9">
        <w:rPr>
          <w:bCs/>
          <w:lang w:val="en-US"/>
        </w:rPr>
        <w:t xml:space="preserve">of particular cities </w:t>
      </w:r>
      <w:r w:rsidR="00C41B68">
        <w:rPr>
          <w:bCs/>
          <w:lang w:val="en-US"/>
        </w:rPr>
        <w:t xml:space="preserve">by disguising </w:t>
      </w:r>
      <w:r w:rsidR="00291A78">
        <w:rPr>
          <w:bCs/>
          <w:lang w:val="en-US"/>
        </w:rPr>
        <w:t xml:space="preserve">the </w:t>
      </w:r>
      <w:r>
        <w:rPr>
          <w:bCs/>
          <w:lang w:val="en-US"/>
        </w:rPr>
        <w:t xml:space="preserve">differentiation that occurs </w:t>
      </w:r>
      <w:r w:rsidR="00F16FC9">
        <w:rPr>
          <w:bCs/>
          <w:lang w:val="en-US"/>
        </w:rPr>
        <w:t>in certain places.</w:t>
      </w:r>
      <w:r>
        <w:rPr>
          <w:bCs/>
          <w:lang w:val="en-US"/>
        </w:rPr>
        <w:t xml:space="preserve"> </w:t>
      </w:r>
      <w:r w:rsidR="00EA7427">
        <w:rPr>
          <w:bCs/>
          <w:lang w:val="en-US"/>
        </w:rPr>
        <w:t>We il</w:t>
      </w:r>
      <w:r w:rsidR="00EA5114">
        <w:rPr>
          <w:bCs/>
          <w:lang w:val="en-US"/>
        </w:rPr>
        <w:t>lustrate this effect in Figure 2</w:t>
      </w:r>
      <w:r w:rsidR="00EA7427">
        <w:rPr>
          <w:bCs/>
          <w:lang w:val="en-US"/>
        </w:rPr>
        <w:t>,</w:t>
      </w:r>
      <w:r w:rsidR="00F16FC9">
        <w:rPr>
          <w:bCs/>
          <w:lang w:val="en-US"/>
        </w:rPr>
        <w:t xml:space="preserve"> which maps night lights in Jakarta (restricting attention to the area within the administrative boundaries of the city). The DMSP stable lights for 2012 in </w:t>
      </w:r>
      <w:r w:rsidR="00A42CA6">
        <w:rPr>
          <w:bCs/>
          <w:lang w:val="en-US"/>
        </w:rPr>
        <w:t>P</w:t>
      </w:r>
      <w:r w:rsidR="00F16FC9">
        <w:rPr>
          <w:bCs/>
          <w:lang w:val="en-US"/>
        </w:rPr>
        <w:t>anel (a) show very little intra-city heterogeneity; 82% of the pixels have a digital number</w:t>
      </w:r>
      <w:r w:rsidR="00C41B68">
        <w:rPr>
          <w:bCs/>
          <w:lang w:val="en-US"/>
        </w:rPr>
        <w:t xml:space="preserve"> (DN) value</w:t>
      </w:r>
      <w:r w:rsidR="00F16FC9">
        <w:rPr>
          <w:bCs/>
          <w:lang w:val="en-US"/>
        </w:rPr>
        <w:t xml:space="preserve"> of 63 (the h</w:t>
      </w:r>
      <w:r w:rsidR="00C41B68">
        <w:rPr>
          <w:bCs/>
          <w:lang w:val="en-US"/>
        </w:rPr>
        <w:t xml:space="preserve">ighest possible) and 17% have DN=62. With </w:t>
      </w:r>
      <w:r w:rsidR="00F16FC9">
        <w:rPr>
          <w:bCs/>
          <w:lang w:val="en-US"/>
        </w:rPr>
        <w:t>such data, one cannot see where within a</w:t>
      </w:r>
      <w:r w:rsidR="00C41B68">
        <w:rPr>
          <w:bCs/>
          <w:lang w:val="en-US"/>
        </w:rPr>
        <w:t xml:space="preserve"> city the</w:t>
      </w:r>
      <w:r w:rsidR="00F16FC9">
        <w:rPr>
          <w:bCs/>
          <w:lang w:val="en-US"/>
        </w:rPr>
        <w:t xml:space="preserve"> lights are brightest, and by treating all areas as roughly equally bright </w:t>
      </w:r>
      <w:r w:rsidR="009E1F26">
        <w:rPr>
          <w:bCs/>
          <w:lang w:val="en-US"/>
        </w:rPr>
        <w:t xml:space="preserve">the DN values are </w:t>
      </w:r>
      <w:r w:rsidR="00F16FC9">
        <w:rPr>
          <w:bCs/>
          <w:lang w:val="en-US"/>
        </w:rPr>
        <w:t xml:space="preserve">almost like a dummy variable </w:t>
      </w:r>
      <w:r w:rsidR="00C41B68">
        <w:rPr>
          <w:bCs/>
          <w:lang w:val="en-US"/>
        </w:rPr>
        <w:t xml:space="preserve">for </w:t>
      </w:r>
      <w:r w:rsidR="00F16FC9">
        <w:rPr>
          <w:bCs/>
          <w:lang w:val="en-US"/>
        </w:rPr>
        <w:t xml:space="preserve">whether a pixel is part of the city or not. This </w:t>
      </w:r>
      <w:r w:rsidR="009E1F26">
        <w:rPr>
          <w:bCs/>
          <w:lang w:val="en-US"/>
        </w:rPr>
        <w:t xml:space="preserve">limited variation </w:t>
      </w:r>
      <w:r w:rsidR="00F16FC9">
        <w:rPr>
          <w:bCs/>
          <w:lang w:val="en-US"/>
        </w:rPr>
        <w:t xml:space="preserve">may explain a finding of Gibson </w:t>
      </w:r>
      <w:r w:rsidR="004D5979" w:rsidRPr="00DB5D7D">
        <w:rPr>
          <w:bCs/>
          <w:i/>
          <w:lang w:val="en-AU"/>
        </w:rPr>
        <w:t>et al.</w:t>
      </w:r>
      <w:r w:rsidR="00F16FC9">
        <w:rPr>
          <w:bCs/>
          <w:lang w:val="en-US"/>
        </w:rPr>
        <w:t xml:space="preserve"> (2017) that decomposing t</w:t>
      </w:r>
      <w:r w:rsidR="00C41B68">
        <w:rPr>
          <w:bCs/>
          <w:lang w:val="en-US"/>
        </w:rPr>
        <w:t>he sum of lights f</w:t>
      </w:r>
      <w:r w:rsidR="00F16FC9">
        <w:rPr>
          <w:bCs/>
          <w:lang w:val="en-US"/>
        </w:rPr>
        <w:t>r</w:t>
      </w:r>
      <w:r w:rsidR="00C41B68">
        <w:rPr>
          <w:bCs/>
          <w:lang w:val="en-US"/>
        </w:rPr>
        <w:t>om</w:t>
      </w:r>
      <w:r w:rsidR="00F16FC9">
        <w:rPr>
          <w:bCs/>
          <w:lang w:val="en-US"/>
        </w:rPr>
        <w:t xml:space="preserve"> cities into the extensive margin (the lit area) and intensive margin (the brightness of the lit area) shows </w:t>
      </w:r>
      <w:r w:rsidR="00E5009B">
        <w:rPr>
          <w:bCs/>
          <w:lang w:val="en-US"/>
        </w:rPr>
        <w:t xml:space="preserve">that </w:t>
      </w:r>
      <w:r w:rsidR="00F16FC9">
        <w:rPr>
          <w:bCs/>
          <w:lang w:val="en-US"/>
        </w:rPr>
        <w:t xml:space="preserve">only </w:t>
      </w:r>
      <w:r w:rsidR="00C41B68">
        <w:rPr>
          <w:bCs/>
          <w:lang w:val="en-US"/>
        </w:rPr>
        <w:t xml:space="preserve">growth on the extensive margin </w:t>
      </w:r>
      <w:r w:rsidR="00E5009B">
        <w:rPr>
          <w:bCs/>
          <w:lang w:val="en-US"/>
        </w:rPr>
        <w:t>predicts</w:t>
      </w:r>
      <w:r w:rsidR="00F16FC9">
        <w:rPr>
          <w:bCs/>
          <w:lang w:val="en-US"/>
        </w:rPr>
        <w:t xml:space="preserve"> their outcome of interest (poverty rates in rural India). </w:t>
      </w:r>
      <w:r w:rsidR="00C41B68">
        <w:rPr>
          <w:bCs/>
          <w:lang w:val="en-US"/>
        </w:rPr>
        <w:t xml:space="preserve">With DMSP data </w:t>
      </w:r>
      <w:r w:rsidR="00566FA7">
        <w:rPr>
          <w:bCs/>
          <w:lang w:val="en-US"/>
        </w:rPr>
        <w:t xml:space="preserve">not giving plausible measures of </w:t>
      </w:r>
      <w:r w:rsidR="00C41B68">
        <w:rPr>
          <w:bCs/>
          <w:lang w:val="en-US"/>
        </w:rPr>
        <w:t xml:space="preserve">brightness variations within cities, </w:t>
      </w:r>
      <w:r w:rsidR="009E1F26">
        <w:rPr>
          <w:bCs/>
          <w:lang w:val="en-US"/>
        </w:rPr>
        <w:t xml:space="preserve">a </w:t>
      </w:r>
      <w:r w:rsidR="00C41B68">
        <w:rPr>
          <w:bCs/>
          <w:lang w:val="en-US"/>
        </w:rPr>
        <w:t>m</w:t>
      </w:r>
      <w:r w:rsidR="009E1F26">
        <w:rPr>
          <w:bCs/>
          <w:lang w:val="en-US"/>
        </w:rPr>
        <w:t>ore appropriate research design</w:t>
      </w:r>
      <w:r w:rsidR="00C41B68">
        <w:rPr>
          <w:bCs/>
          <w:lang w:val="en-US"/>
        </w:rPr>
        <w:t xml:space="preserve"> </w:t>
      </w:r>
      <w:r w:rsidR="00652EB5">
        <w:rPr>
          <w:bCs/>
          <w:lang w:val="en-US"/>
        </w:rPr>
        <w:t xml:space="preserve">for such data </w:t>
      </w:r>
      <w:r w:rsidR="00C41B68">
        <w:rPr>
          <w:bCs/>
          <w:lang w:val="en-US"/>
        </w:rPr>
        <w:t xml:space="preserve">may </w:t>
      </w:r>
      <w:r w:rsidR="009E1F26">
        <w:rPr>
          <w:bCs/>
          <w:lang w:val="en-US"/>
        </w:rPr>
        <w:t xml:space="preserve">be to </w:t>
      </w:r>
      <w:r w:rsidR="00C41B68">
        <w:rPr>
          <w:bCs/>
          <w:lang w:val="en-US"/>
        </w:rPr>
        <w:t xml:space="preserve">rely on simpler indicators, </w:t>
      </w:r>
      <w:r w:rsidR="006A0942">
        <w:rPr>
          <w:bCs/>
          <w:lang w:val="en-US"/>
        </w:rPr>
        <w:t xml:space="preserve">like </w:t>
      </w:r>
      <w:r w:rsidR="009E1F26">
        <w:rPr>
          <w:bCs/>
          <w:lang w:val="en-US"/>
        </w:rPr>
        <w:t xml:space="preserve">the 0/1 variable of </w:t>
      </w:r>
      <w:r w:rsidR="00C41B68">
        <w:rPr>
          <w:bCs/>
          <w:lang w:val="en-US"/>
        </w:rPr>
        <w:t>whether a pixel is lit brightly enough to be considered part of the city or not.</w:t>
      </w:r>
    </w:p>
    <w:p w:rsidR="0019091C" w:rsidRDefault="00C41B68" w:rsidP="00BA4001">
      <w:pPr>
        <w:spacing w:after="0" w:line="288" w:lineRule="auto"/>
        <w:ind w:firstLine="720"/>
        <w:jc w:val="both"/>
        <w:rPr>
          <w:bCs/>
          <w:lang w:val="en-US"/>
        </w:rPr>
      </w:pPr>
      <w:r>
        <w:rPr>
          <w:bCs/>
          <w:lang w:val="en-US"/>
        </w:rPr>
        <w:lastRenderedPageBreak/>
        <w:t xml:space="preserve">The map in </w:t>
      </w:r>
      <w:r w:rsidR="00253215">
        <w:rPr>
          <w:bCs/>
          <w:lang w:val="en-US"/>
        </w:rPr>
        <w:t>P</w:t>
      </w:r>
      <w:r>
        <w:rPr>
          <w:bCs/>
          <w:lang w:val="en-US"/>
        </w:rPr>
        <w:t>anel (b) of</w:t>
      </w:r>
      <w:r w:rsidRPr="004D5979">
        <w:rPr>
          <w:bCs/>
          <w:lang w:val="en-US"/>
        </w:rPr>
        <w:t xml:space="preserve"> Figure </w:t>
      </w:r>
      <w:r w:rsidR="00EA5114" w:rsidRPr="004D5979">
        <w:rPr>
          <w:bCs/>
          <w:lang w:val="en-US"/>
        </w:rPr>
        <w:t>2</w:t>
      </w:r>
      <w:r w:rsidR="00652EB5">
        <w:rPr>
          <w:bCs/>
          <w:lang w:val="en-US"/>
        </w:rPr>
        <w:t xml:space="preserve"> shows the intra-city</w:t>
      </w:r>
      <w:r w:rsidR="00E5009B">
        <w:rPr>
          <w:bCs/>
          <w:lang w:val="en-US"/>
        </w:rPr>
        <w:t xml:space="preserve"> patterns in the Pareto-</w:t>
      </w:r>
      <w:r w:rsidR="00652EB5">
        <w:rPr>
          <w:bCs/>
          <w:lang w:val="en-US"/>
        </w:rPr>
        <w:t xml:space="preserve">adjusted DMSP data for 2012 provided by Bluhm and Krause (2018). With this adjustment, the most brightly-lit core of the city appears as an approximately rectangular area, running about 8 km in a north-south direction and 6 km in an east-west direction, located slightly left of center, with a moderately lit area to the northeast (going towards Jakarta Bay). The remainder of the city appears as a largely undifferentiated area </w:t>
      </w:r>
      <w:r w:rsidR="003B0C66">
        <w:rPr>
          <w:bCs/>
          <w:lang w:val="en-US"/>
        </w:rPr>
        <w:t>with low l</w:t>
      </w:r>
      <w:r w:rsidR="0019091C">
        <w:rPr>
          <w:bCs/>
          <w:lang w:val="en-US"/>
        </w:rPr>
        <w:t>evels of light recorded. T</w:t>
      </w:r>
      <w:r w:rsidR="003B0C66">
        <w:rPr>
          <w:bCs/>
          <w:lang w:val="en-US"/>
        </w:rPr>
        <w:t xml:space="preserve">he adjusted data </w:t>
      </w:r>
      <w:r w:rsidR="0019091C">
        <w:rPr>
          <w:bCs/>
          <w:lang w:val="en-US"/>
        </w:rPr>
        <w:t xml:space="preserve">roughly </w:t>
      </w:r>
      <w:r w:rsidR="003B0C66">
        <w:rPr>
          <w:bCs/>
          <w:lang w:val="en-US"/>
        </w:rPr>
        <w:t>locate</w:t>
      </w:r>
      <w:r w:rsidR="0019091C">
        <w:rPr>
          <w:bCs/>
          <w:lang w:val="en-US"/>
        </w:rPr>
        <w:t>s</w:t>
      </w:r>
      <w:r w:rsidR="003B0C66">
        <w:rPr>
          <w:bCs/>
          <w:lang w:val="en-US"/>
        </w:rPr>
        <w:t xml:space="preserve"> </w:t>
      </w:r>
      <w:r w:rsidR="0019091C">
        <w:rPr>
          <w:bCs/>
          <w:lang w:val="en-US"/>
        </w:rPr>
        <w:t>the CBD but</w:t>
      </w:r>
      <w:r w:rsidR="003B0C66">
        <w:rPr>
          <w:bCs/>
          <w:lang w:val="en-US"/>
        </w:rPr>
        <w:t xml:space="preserve"> a comparison with the </w:t>
      </w:r>
      <w:r w:rsidR="0019091C">
        <w:rPr>
          <w:bCs/>
          <w:lang w:val="en-US"/>
        </w:rPr>
        <w:t xml:space="preserve">map </w:t>
      </w:r>
      <w:r w:rsidR="003B0C66">
        <w:rPr>
          <w:bCs/>
          <w:lang w:val="en-US"/>
        </w:rPr>
        <w:t xml:space="preserve">in </w:t>
      </w:r>
      <w:r w:rsidR="00253215">
        <w:rPr>
          <w:bCs/>
          <w:lang w:val="en-US"/>
        </w:rPr>
        <w:t>P</w:t>
      </w:r>
      <w:r w:rsidR="003B0C66">
        <w:rPr>
          <w:bCs/>
          <w:lang w:val="en-US"/>
        </w:rPr>
        <w:t>anel (c), that is based on the more accurate VIIRS images</w:t>
      </w:r>
      <w:r w:rsidR="0019091C">
        <w:rPr>
          <w:bCs/>
          <w:lang w:val="en-US"/>
        </w:rPr>
        <w:t>,</w:t>
      </w:r>
      <w:r w:rsidR="003B0C66">
        <w:rPr>
          <w:bCs/>
          <w:lang w:val="en-US"/>
        </w:rPr>
        <w:t xml:space="preserve"> shows that important details are missed </w:t>
      </w:r>
      <w:r w:rsidR="009E1F26">
        <w:rPr>
          <w:bCs/>
          <w:lang w:val="en-US"/>
        </w:rPr>
        <w:t>in the Pareto-adjusted data. In the VIIRS images, the</w:t>
      </w:r>
      <w:r w:rsidR="003B0C66">
        <w:rPr>
          <w:bCs/>
          <w:lang w:val="en-US"/>
        </w:rPr>
        <w:t xml:space="preserve"> most brightly lit pixels form less of a block, and run </w:t>
      </w:r>
      <w:r w:rsidR="0019091C">
        <w:rPr>
          <w:bCs/>
          <w:lang w:val="en-US"/>
        </w:rPr>
        <w:t xml:space="preserve">more </w:t>
      </w:r>
      <w:r w:rsidR="003B0C66">
        <w:rPr>
          <w:bCs/>
          <w:lang w:val="en-US"/>
        </w:rPr>
        <w:t>northeast</w:t>
      </w:r>
      <w:r w:rsidR="0019091C">
        <w:rPr>
          <w:bCs/>
          <w:lang w:val="en-US"/>
        </w:rPr>
        <w:t>erly</w:t>
      </w:r>
      <w:r w:rsidR="003B0C66">
        <w:rPr>
          <w:bCs/>
          <w:lang w:val="en-US"/>
        </w:rPr>
        <w:t xml:space="preserve"> towards the port </w:t>
      </w:r>
      <w:r w:rsidR="00935460">
        <w:rPr>
          <w:bCs/>
          <w:lang w:val="en-US"/>
        </w:rPr>
        <w:t xml:space="preserve">of </w:t>
      </w:r>
      <w:proofErr w:type="spellStart"/>
      <w:r w:rsidR="00935460">
        <w:rPr>
          <w:bCs/>
          <w:lang w:val="en-US"/>
        </w:rPr>
        <w:t>Tanjung</w:t>
      </w:r>
      <w:proofErr w:type="spellEnd"/>
      <w:r w:rsidR="00935460">
        <w:rPr>
          <w:bCs/>
          <w:lang w:val="en-US"/>
        </w:rPr>
        <w:t xml:space="preserve"> </w:t>
      </w:r>
      <w:proofErr w:type="spellStart"/>
      <w:r w:rsidR="00935460">
        <w:rPr>
          <w:bCs/>
          <w:lang w:val="en-US"/>
        </w:rPr>
        <w:t>Priok</w:t>
      </w:r>
      <w:proofErr w:type="spellEnd"/>
      <w:r w:rsidR="00935460">
        <w:rPr>
          <w:bCs/>
          <w:lang w:val="en-US"/>
        </w:rPr>
        <w:t xml:space="preserve">, which is the concentrated block of bright lights </w:t>
      </w:r>
      <w:r w:rsidR="003B0C66">
        <w:rPr>
          <w:bCs/>
          <w:lang w:val="en-US"/>
        </w:rPr>
        <w:t>t</w:t>
      </w:r>
      <w:r w:rsidR="00935460">
        <w:rPr>
          <w:bCs/>
          <w:lang w:val="en-US"/>
        </w:rPr>
        <w:t>owards</w:t>
      </w:r>
      <w:r w:rsidR="003B0C66">
        <w:rPr>
          <w:bCs/>
          <w:lang w:val="en-US"/>
        </w:rPr>
        <w:t xml:space="preserve"> the upper right of the map</w:t>
      </w:r>
      <w:r w:rsidR="0019091C">
        <w:rPr>
          <w:bCs/>
          <w:lang w:val="en-US"/>
        </w:rPr>
        <w:t xml:space="preserve">. The brightness of the port is entirely missed in the </w:t>
      </w:r>
      <w:r w:rsidR="00935460">
        <w:rPr>
          <w:bCs/>
          <w:lang w:val="en-US"/>
        </w:rPr>
        <w:t xml:space="preserve">Pareto-adjusted </w:t>
      </w:r>
      <w:r w:rsidR="0019091C">
        <w:rPr>
          <w:bCs/>
          <w:lang w:val="en-US"/>
        </w:rPr>
        <w:t xml:space="preserve">DMSP images, </w:t>
      </w:r>
      <w:r w:rsidR="00935460">
        <w:rPr>
          <w:bCs/>
          <w:lang w:val="en-US"/>
        </w:rPr>
        <w:t>despite this large and long-standing port covering almost 200 hectares (2 km</w:t>
      </w:r>
      <w:r w:rsidR="00935460">
        <w:rPr>
          <w:bCs/>
          <w:vertAlign w:val="superscript"/>
          <w:lang w:val="en-US"/>
        </w:rPr>
        <w:t>2</w:t>
      </w:r>
      <w:r w:rsidR="00935460" w:rsidRPr="00935460">
        <w:rPr>
          <w:bCs/>
          <w:lang w:val="en-US"/>
        </w:rPr>
        <w:t>)</w:t>
      </w:r>
      <w:r w:rsidR="00935460">
        <w:rPr>
          <w:bCs/>
          <w:lang w:val="en-US"/>
        </w:rPr>
        <w:t xml:space="preserve"> and handling one-third of Indonesia’s cargo (outside of oil and gas).</w:t>
      </w:r>
      <w:r w:rsidR="00935460">
        <w:rPr>
          <w:bCs/>
          <w:vertAlign w:val="subscript"/>
          <w:lang w:val="en-US"/>
        </w:rPr>
        <w:t xml:space="preserve"> </w:t>
      </w:r>
      <w:r w:rsidR="00935460">
        <w:rPr>
          <w:bCs/>
          <w:lang w:val="en-US"/>
        </w:rPr>
        <w:t>The Pareto-adjusted DMSP data also miss</w:t>
      </w:r>
      <w:r w:rsidR="0019091C">
        <w:rPr>
          <w:bCs/>
          <w:lang w:val="en-US"/>
        </w:rPr>
        <w:t xml:space="preserve"> spots of brightly lit a</w:t>
      </w:r>
      <w:r w:rsidR="00935460">
        <w:rPr>
          <w:bCs/>
          <w:lang w:val="en-US"/>
        </w:rPr>
        <w:t>reas in east Jakarta, and miss</w:t>
      </w:r>
      <w:r w:rsidR="0019091C">
        <w:rPr>
          <w:bCs/>
          <w:lang w:val="en-US"/>
        </w:rPr>
        <w:t xml:space="preserve"> the development towards the northwestern edge of the city, </w:t>
      </w:r>
      <w:r w:rsidR="006A0942">
        <w:rPr>
          <w:bCs/>
          <w:lang w:val="en-US"/>
        </w:rPr>
        <w:t xml:space="preserve">on the way </w:t>
      </w:r>
      <w:r w:rsidR="0019091C">
        <w:rPr>
          <w:bCs/>
          <w:lang w:val="en-US"/>
        </w:rPr>
        <w:t>to the Soekarno</w:t>
      </w:r>
      <w:r w:rsidR="009A15CD">
        <w:rPr>
          <w:bCs/>
          <w:lang w:val="en-US"/>
        </w:rPr>
        <w:t>-Hatta</w:t>
      </w:r>
      <w:r w:rsidR="0019091C">
        <w:rPr>
          <w:bCs/>
          <w:lang w:val="en-US"/>
        </w:rPr>
        <w:t xml:space="preserve"> airport (that </w:t>
      </w:r>
      <w:r w:rsidR="006A0942">
        <w:rPr>
          <w:bCs/>
          <w:lang w:val="en-US"/>
        </w:rPr>
        <w:t xml:space="preserve">is </w:t>
      </w:r>
      <w:r w:rsidR="0019091C">
        <w:rPr>
          <w:bCs/>
          <w:lang w:val="en-US"/>
        </w:rPr>
        <w:t>just outside the city administrative boundary).</w:t>
      </w:r>
      <w:r w:rsidR="00F4565A">
        <w:rPr>
          <w:bCs/>
          <w:lang w:val="en-US"/>
        </w:rPr>
        <w:t xml:space="preserve"> Thus, while the Pareto-adjusted images improve over the usual DMSP data that portray most of the city as an undifferentiated blob of light, they still </w:t>
      </w:r>
      <w:r w:rsidR="009E1F26">
        <w:rPr>
          <w:bCs/>
          <w:lang w:val="en-US"/>
        </w:rPr>
        <w:t xml:space="preserve">seem to </w:t>
      </w:r>
      <w:r w:rsidR="00F4565A">
        <w:rPr>
          <w:bCs/>
          <w:lang w:val="en-US"/>
        </w:rPr>
        <w:t xml:space="preserve">miss much of the detail and </w:t>
      </w:r>
      <w:r w:rsidR="009E1F26">
        <w:rPr>
          <w:bCs/>
          <w:lang w:val="en-US"/>
        </w:rPr>
        <w:t xml:space="preserve">therefore </w:t>
      </w:r>
      <w:r w:rsidR="00F4565A">
        <w:rPr>
          <w:bCs/>
          <w:lang w:val="en-US"/>
        </w:rPr>
        <w:t xml:space="preserve">may provide a poor guide to </w:t>
      </w:r>
      <w:r w:rsidR="00566FA7">
        <w:rPr>
          <w:bCs/>
          <w:lang w:val="en-US"/>
        </w:rPr>
        <w:t xml:space="preserve">patterns of </w:t>
      </w:r>
      <w:r w:rsidR="00F4565A">
        <w:rPr>
          <w:bCs/>
          <w:lang w:val="en-US"/>
        </w:rPr>
        <w:t>intra-city spatial heterogeneity.</w:t>
      </w:r>
    </w:p>
    <w:p w:rsidR="00B12854" w:rsidRDefault="00B12854" w:rsidP="00F7101D">
      <w:pPr>
        <w:spacing w:after="0" w:line="360" w:lineRule="auto"/>
        <w:ind w:firstLine="720"/>
        <w:jc w:val="both"/>
        <w:rPr>
          <w:bCs/>
          <w:lang w:val="en-US"/>
        </w:rPr>
      </w:pPr>
    </w:p>
    <w:p w:rsidR="0098010A" w:rsidRDefault="00BB3E51" w:rsidP="00BB3E51">
      <w:pPr>
        <w:tabs>
          <w:tab w:val="left" w:pos="709"/>
        </w:tabs>
        <w:spacing w:after="0" w:line="288" w:lineRule="auto"/>
        <w:jc w:val="both"/>
        <w:rPr>
          <w:bCs/>
          <w:vertAlign w:val="subscript"/>
          <w:lang w:val="en-US"/>
        </w:rPr>
      </w:pPr>
      <w:r>
        <w:rPr>
          <w:bCs/>
          <w:lang w:val="en-US"/>
        </w:rPr>
        <w:tab/>
      </w:r>
      <w:r w:rsidR="00435C63">
        <w:rPr>
          <w:bCs/>
          <w:lang w:val="en-US"/>
        </w:rPr>
        <w:t>In addition to the location errors, of the Pareto-adjusted data missing some spatial patterns, the range of values created when replacing the top-coded DN values of 63 may overstate the brightness differences. To allow for a quantitative analysis to supplement the visual comparison offered in Figure 2, we laid a grid of 590 cells over the maps in Figure 2 and calculated cell-level statistics so that we could compare reports of light coming from the same small areas.</w:t>
      </w:r>
      <w:r w:rsidR="00435C63">
        <w:rPr>
          <w:rStyle w:val="FootnoteReference"/>
          <w:bCs/>
          <w:lang w:val="en-US"/>
        </w:rPr>
        <w:footnoteReference w:id="8"/>
      </w:r>
      <w:r w:rsidR="00435C63">
        <w:rPr>
          <w:bCs/>
          <w:lang w:val="en-US"/>
        </w:rPr>
        <w:t xml:space="preserve"> The coefficient of variation (</w:t>
      </w:r>
      <w:proofErr w:type="spellStart"/>
      <w:r w:rsidR="00435C63">
        <w:rPr>
          <w:bCs/>
          <w:lang w:val="en-US"/>
        </w:rPr>
        <w:t>CoV</w:t>
      </w:r>
      <w:proofErr w:type="spellEnd"/>
      <w:r w:rsidR="00435C63">
        <w:rPr>
          <w:bCs/>
          <w:lang w:val="en-US"/>
        </w:rPr>
        <w:t xml:space="preserve">) of the Pareto-adjusted DMSP data is 60% above the </w:t>
      </w:r>
      <w:proofErr w:type="spellStart"/>
      <w:r w:rsidR="00435C63">
        <w:rPr>
          <w:bCs/>
          <w:lang w:val="en-US"/>
        </w:rPr>
        <w:t>CoV</w:t>
      </w:r>
      <w:proofErr w:type="spellEnd"/>
      <w:r w:rsidR="00435C63">
        <w:rPr>
          <w:bCs/>
          <w:lang w:val="en-US"/>
        </w:rPr>
        <w:t xml:space="preserve"> for VIIRS data (Table 3), which suggests that the adjustment introduces more variability – in the sense of a wider range of values – than found in the actual measures of radiance (Table 3). This relatively poor correspondence between the Pareto-adjusted data and the VIIRS radiance measures also shows up in Figure 3, which provides a scatter plot of the radiance for each cell, from the VIIRS data, against the DN values for the same cell that comes from the Pareto-adjusted DMSP data.</w:t>
      </w:r>
      <w:r w:rsidR="00435C63">
        <w:rPr>
          <w:rStyle w:val="FootnoteReference"/>
          <w:bCs/>
          <w:lang w:val="en-US"/>
        </w:rPr>
        <w:footnoteReference w:id="9"/>
      </w:r>
      <w:r w:rsidR="00435C63">
        <w:rPr>
          <w:bCs/>
          <w:lang w:val="en-US"/>
        </w:rPr>
        <w:t xml:space="preserve"> The </w:t>
      </w:r>
      <w:r w:rsidR="00435C63" w:rsidRPr="00002279">
        <w:rPr>
          <w:bCs/>
          <w:i/>
          <w:iCs/>
          <w:lang w:val="en-US"/>
        </w:rPr>
        <w:t>R</w:t>
      </w:r>
      <w:r w:rsidR="00435C63" w:rsidRPr="00002279">
        <w:rPr>
          <w:bCs/>
          <w:vertAlign w:val="superscript"/>
          <w:lang w:val="en-US"/>
        </w:rPr>
        <w:t>2</w:t>
      </w:r>
      <w:r w:rsidR="00435C63">
        <w:rPr>
          <w:bCs/>
          <w:lang w:val="en-US"/>
        </w:rPr>
        <w:t xml:space="preserve"> for this relationship is only 0.35 and the elasticity of cell radiance with respect to the cell DN value from the Pareto-adjusted data is 0.54. While this is a better fit than using the original top-coded DMSP data to predict radiance, which has an elasticity of 0.30 and a </w:t>
      </w:r>
      <w:r w:rsidR="00435C63" w:rsidRPr="00002279">
        <w:rPr>
          <w:bCs/>
          <w:i/>
          <w:iCs/>
          <w:lang w:val="en-US"/>
        </w:rPr>
        <w:t>R</w:t>
      </w:r>
      <w:r w:rsidR="00435C63" w:rsidRPr="00002279">
        <w:rPr>
          <w:bCs/>
          <w:vertAlign w:val="superscript"/>
          <w:lang w:val="en-US"/>
        </w:rPr>
        <w:t>2</w:t>
      </w:r>
      <w:r w:rsidR="00435C63">
        <w:rPr>
          <w:bCs/>
          <w:lang w:val="en-US"/>
        </w:rPr>
        <w:t xml:space="preserve"> of just 0.03, it is still true that there will be a lot of error if the Pareto-adjusted DMSP data are used as a proxy for actual radiance (or to proxy for the underlying differences in economic density producing the spatial patterns in radiance).</w:t>
      </w:r>
    </w:p>
    <w:p w:rsidR="00211ABA" w:rsidRDefault="00211ABA">
      <w:pPr>
        <w:rPr>
          <w:bCs/>
          <w:vertAlign w:val="subscript"/>
          <w:lang w:val="en-US"/>
        </w:rPr>
        <w:sectPr w:rsidR="00211ABA" w:rsidSect="003E58E7">
          <w:pgSz w:w="11906" w:h="16838"/>
          <w:pgMar w:top="1440" w:right="1440" w:bottom="1440" w:left="1440" w:header="708" w:footer="708" w:gutter="0"/>
          <w:pgNumType w:start="13"/>
          <w:cols w:space="708"/>
          <w:titlePg/>
          <w:docGrid w:linePitch="360"/>
        </w:sectPr>
      </w:pPr>
    </w:p>
    <w:p w:rsidR="00AE4F01" w:rsidRDefault="00AE4F01" w:rsidP="00691251">
      <w:pPr>
        <w:jc w:val="both"/>
        <w:rPr>
          <w:bCs/>
          <w:vertAlign w:val="subscript"/>
          <w:lang w:val="en-US"/>
        </w:rPr>
      </w:pPr>
    </w:p>
    <w:p w:rsidR="00455252" w:rsidRDefault="00455252" w:rsidP="00691251">
      <w:pPr>
        <w:jc w:val="both"/>
        <w:rPr>
          <w:bCs/>
          <w:vertAlign w:val="subscript"/>
          <w:lang w:val="en-US"/>
        </w:rPr>
        <w:sectPr w:rsidR="00455252" w:rsidSect="003E58E7">
          <w:pgSz w:w="16838" w:h="11906" w:orient="landscape"/>
          <w:pgMar w:top="1440" w:right="1440" w:bottom="1440" w:left="1440" w:header="709" w:footer="709" w:gutter="0"/>
          <w:pgNumType w:start="15"/>
          <w:cols w:space="708"/>
          <w:titlePg/>
          <w:docGrid w:linePitch="360"/>
        </w:sectPr>
      </w:pPr>
      <w:r>
        <w:rPr>
          <w:bCs/>
          <w:noProof/>
          <w:vertAlign w:val="subscript"/>
          <w:lang w:eastAsia="zh-CN"/>
        </w:rPr>
        <w:drawing>
          <wp:inline distT="0" distB="0" distL="0" distR="0">
            <wp:extent cx="9002938" cy="459486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68B73C.tmp"/>
                    <pic:cNvPicPr/>
                  </pic:nvPicPr>
                  <pic:blipFill rotWithShape="1">
                    <a:blip r:embed="rId11">
                      <a:extLst>
                        <a:ext uri="{28A0092B-C50C-407E-A947-70E740481C1C}">
                          <a14:useLocalDpi xmlns:a14="http://schemas.microsoft.com/office/drawing/2010/main" val="0"/>
                        </a:ext>
                      </a:extLst>
                    </a:blip>
                    <a:srcRect l="18829" t="33227" r="19014" b="8108"/>
                    <a:stretch/>
                  </pic:blipFill>
                  <pic:spPr bwMode="auto">
                    <a:xfrm>
                      <a:off x="0" y="0"/>
                      <a:ext cx="9014079" cy="460054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CellMar>
          <w:left w:w="57" w:type="dxa"/>
          <w:right w:w="57" w:type="dxa"/>
        </w:tblCellMar>
        <w:tblLook w:val="04A0" w:firstRow="1" w:lastRow="0" w:firstColumn="1" w:lastColumn="0" w:noHBand="0" w:noVBand="1"/>
      </w:tblPr>
      <w:tblGrid>
        <w:gridCol w:w="3119"/>
        <w:gridCol w:w="1584"/>
        <w:gridCol w:w="2156"/>
        <w:gridCol w:w="2157"/>
      </w:tblGrid>
      <w:tr w:rsidR="00AF47A8" w:rsidTr="004D5979">
        <w:tc>
          <w:tcPr>
            <w:tcW w:w="9016" w:type="dxa"/>
            <w:gridSpan w:val="4"/>
            <w:tcBorders>
              <w:top w:val="nil"/>
              <w:left w:val="nil"/>
              <w:bottom w:val="single" w:sz="4" w:space="0" w:color="auto"/>
              <w:right w:val="nil"/>
            </w:tcBorders>
          </w:tcPr>
          <w:p w:rsidR="00504D66" w:rsidRDefault="00AF47A8" w:rsidP="00A42CA6">
            <w:pPr>
              <w:spacing w:after="40"/>
              <w:jc w:val="center"/>
              <w:rPr>
                <w:rFonts w:eastAsia="Times New Roman"/>
                <w:b/>
                <w:sz w:val="22"/>
                <w:szCs w:val="22"/>
              </w:rPr>
            </w:pPr>
            <w:r w:rsidRPr="00AF47A8">
              <w:rPr>
                <w:rFonts w:eastAsia="Times New Roman"/>
                <w:b/>
                <w:sz w:val="22"/>
                <w:szCs w:val="22"/>
              </w:rPr>
              <w:lastRenderedPageBreak/>
              <w:t>Table 3: Cell-</w:t>
            </w:r>
            <w:r w:rsidR="008D39A1">
              <w:rPr>
                <w:rFonts w:eastAsia="Times New Roman"/>
                <w:b/>
                <w:sz w:val="22"/>
                <w:szCs w:val="22"/>
              </w:rPr>
              <w:t>L</w:t>
            </w:r>
            <w:r w:rsidRPr="00AF47A8">
              <w:rPr>
                <w:rFonts w:eastAsia="Times New Roman"/>
                <w:b/>
                <w:sz w:val="22"/>
                <w:szCs w:val="22"/>
              </w:rPr>
              <w:t>evel Comparisons for Jakarta Night Lights</w:t>
            </w:r>
          </w:p>
          <w:p w:rsidR="00AF47A8" w:rsidRPr="00AF47A8" w:rsidRDefault="00AF47A8" w:rsidP="00A42CA6">
            <w:pPr>
              <w:spacing w:after="40"/>
              <w:jc w:val="center"/>
              <w:rPr>
                <w:rFonts w:eastAsia="Times New Roman"/>
                <w:b/>
                <w:sz w:val="22"/>
                <w:szCs w:val="22"/>
              </w:rPr>
            </w:pPr>
            <w:r w:rsidRPr="00AF47A8">
              <w:rPr>
                <w:rFonts w:eastAsia="Times New Roman"/>
                <w:b/>
                <w:sz w:val="22"/>
                <w:szCs w:val="22"/>
              </w:rPr>
              <w:t>from DMSP and VIIRS</w:t>
            </w:r>
          </w:p>
        </w:tc>
      </w:tr>
      <w:tr w:rsidR="00AF47A8" w:rsidTr="00AF47A8">
        <w:tc>
          <w:tcPr>
            <w:tcW w:w="3119" w:type="dxa"/>
            <w:tcBorders>
              <w:top w:val="nil"/>
              <w:left w:val="nil"/>
              <w:bottom w:val="nil"/>
              <w:right w:val="nil"/>
            </w:tcBorders>
          </w:tcPr>
          <w:p w:rsidR="00AF47A8" w:rsidRPr="00AF47A8" w:rsidRDefault="00AF47A8" w:rsidP="004D5979">
            <w:pPr>
              <w:rPr>
                <w:rFonts w:eastAsia="Times New Roman"/>
                <w:bCs/>
                <w:sz w:val="22"/>
                <w:szCs w:val="22"/>
              </w:rPr>
            </w:pPr>
          </w:p>
        </w:tc>
        <w:tc>
          <w:tcPr>
            <w:tcW w:w="1584" w:type="dxa"/>
            <w:tcBorders>
              <w:top w:val="nil"/>
              <w:left w:val="nil"/>
              <w:bottom w:val="nil"/>
              <w:right w:val="nil"/>
            </w:tcBorders>
            <w:vAlign w:val="bottom"/>
          </w:tcPr>
          <w:p w:rsidR="00AF47A8" w:rsidRDefault="00AF47A8" w:rsidP="00AF47A8">
            <w:pPr>
              <w:jc w:val="center"/>
              <w:rPr>
                <w:rFonts w:eastAsia="Times New Roman"/>
                <w:bCs/>
                <w:sz w:val="22"/>
                <w:szCs w:val="22"/>
              </w:rPr>
            </w:pPr>
            <w:r w:rsidRPr="00AF47A8">
              <w:rPr>
                <w:rFonts w:eastAsia="Times New Roman"/>
                <w:bCs/>
                <w:sz w:val="22"/>
                <w:szCs w:val="22"/>
              </w:rPr>
              <w:t xml:space="preserve">Coefficient </w:t>
            </w:r>
          </w:p>
          <w:p w:rsidR="00AF47A8" w:rsidRDefault="00AF47A8" w:rsidP="00AF47A8">
            <w:pPr>
              <w:jc w:val="center"/>
              <w:rPr>
                <w:rFonts w:eastAsia="Times New Roman"/>
                <w:bCs/>
                <w:sz w:val="22"/>
                <w:szCs w:val="22"/>
              </w:rPr>
            </w:pPr>
            <w:r w:rsidRPr="00AF47A8">
              <w:rPr>
                <w:rFonts w:eastAsia="Times New Roman"/>
                <w:bCs/>
                <w:sz w:val="22"/>
                <w:szCs w:val="22"/>
              </w:rPr>
              <w:t xml:space="preserve">of </w:t>
            </w:r>
          </w:p>
          <w:p w:rsidR="00AF47A8" w:rsidRPr="00AF47A8" w:rsidRDefault="00AF47A8" w:rsidP="00AF47A8">
            <w:pPr>
              <w:jc w:val="center"/>
              <w:rPr>
                <w:rFonts w:eastAsia="Times New Roman"/>
                <w:bCs/>
                <w:sz w:val="22"/>
                <w:szCs w:val="22"/>
              </w:rPr>
            </w:pPr>
            <w:r w:rsidRPr="00AF47A8">
              <w:rPr>
                <w:rFonts w:eastAsia="Times New Roman"/>
                <w:bCs/>
                <w:sz w:val="22"/>
                <w:szCs w:val="22"/>
              </w:rPr>
              <w:t>Variation</w:t>
            </w:r>
          </w:p>
        </w:tc>
        <w:tc>
          <w:tcPr>
            <w:tcW w:w="2156" w:type="dxa"/>
            <w:tcBorders>
              <w:top w:val="nil"/>
              <w:left w:val="nil"/>
              <w:bottom w:val="nil"/>
              <w:right w:val="nil"/>
            </w:tcBorders>
            <w:vAlign w:val="bottom"/>
          </w:tcPr>
          <w:p w:rsidR="00AF47A8" w:rsidRDefault="00AF47A8" w:rsidP="004D5979">
            <w:pPr>
              <w:jc w:val="center"/>
              <w:rPr>
                <w:rFonts w:eastAsia="Times New Roman"/>
                <w:bCs/>
                <w:sz w:val="22"/>
                <w:szCs w:val="22"/>
              </w:rPr>
            </w:pPr>
            <w:r w:rsidRPr="00AF47A8">
              <w:rPr>
                <w:rFonts w:eastAsia="Times New Roman"/>
                <w:bCs/>
                <w:sz w:val="22"/>
                <w:szCs w:val="22"/>
              </w:rPr>
              <w:t xml:space="preserve">Elasticity </w:t>
            </w:r>
          </w:p>
          <w:p w:rsidR="00AF47A8" w:rsidRPr="00AF47A8" w:rsidRDefault="00AF47A8" w:rsidP="004D5979">
            <w:pPr>
              <w:jc w:val="center"/>
              <w:rPr>
                <w:rFonts w:eastAsia="Times New Roman"/>
                <w:bCs/>
                <w:sz w:val="22"/>
                <w:szCs w:val="22"/>
              </w:rPr>
            </w:pPr>
            <w:r w:rsidRPr="00AF47A8">
              <w:rPr>
                <w:rFonts w:eastAsia="Times New Roman"/>
                <w:bCs/>
                <w:sz w:val="22"/>
                <w:szCs w:val="22"/>
              </w:rPr>
              <w:t xml:space="preserve">of </w:t>
            </w:r>
            <w:r w:rsidR="00A91DD0">
              <w:rPr>
                <w:rFonts w:eastAsia="Times New Roman"/>
                <w:bCs/>
                <w:sz w:val="22"/>
                <w:szCs w:val="22"/>
              </w:rPr>
              <w:t>R</w:t>
            </w:r>
            <w:r w:rsidRPr="00AF47A8">
              <w:rPr>
                <w:rFonts w:eastAsia="Times New Roman"/>
                <w:bCs/>
                <w:sz w:val="22"/>
                <w:szCs w:val="22"/>
              </w:rPr>
              <w:t>adiance w</w:t>
            </w:r>
            <w:r>
              <w:rPr>
                <w:rFonts w:eastAsia="Times New Roman"/>
                <w:bCs/>
                <w:sz w:val="22"/>
                <w:szCs w:val="22"/>
              </w:rPr>
              <w:t xml:space="preserve">ith respect to </w:t>
            </w:r>
            <w:r w:rsidRPr="00AF47A8">
              <w:rPr>
                <w:rFonts w:eastAsia="Times New Roman"/>
                <w:bCs/>
                <w:sz w:val="22"/>
                <w:szCs w:val="22"/>
              </w:rPr>
              <w:t xml:space="preserve">DN </w:t>
            </w:r>
            <w:r w:rsidR="00A91DD0">
              <w:rPr>
                <w:rFonts w:eastAsia="Times New Roman"/>
                <w:bCs/>
                <w:sz w:val="22"/>
                <w:szCs w:val="22"/>
              </w:rPr>
              <w:t>V</w:t>
            </w:r>
            <w:r w:rsidRPr="00AF47A8">
              <w:rPr>
                <w:rFonts w:eastAsia="Times New Roman"/>
                <w:bCs/>
                <w:sz w:val="22"/>
                <w:szCs w:val="22"/>
              </w:rPr>
              <w:t>alue</w:t>
            </w:r>
          </w:p>
        </w:tc>
        <w:tc>
          <w:tcPr>
            <w:tcW w:w="2157" w:type="dxa"/>
            <w:tcBorders>
              <w:top w:val="nil"/>
              <w:left w:val="nil"/>
              <w:bottom w:val="nil"/>
              <w:right w:val="nil"/>
            </w:tcBorders>
            <w:vAlign w:val="bottom"/>
          </w:tcPr>
          <w:p w:rsidR="00AF47A8" w:rsidRPr="00AF47A8" w:rsidRDefault="00AF47A8" w:rsidP="004D5979">
            <w:pPr>
              <w:jc w:val="center"/>
              <w:rPr>
                <w:rFonts w:eastAsia="Times New Roman"/>
                <w:bCs/>
                <w:sz w:val="22"/>
                <w:szCs w:val="22"/>
              </w:rPr>
            </w:pPr>
            <w:r w:rsidRPr="00AF47A8">
              <w:rPr>
                <w:rFonts w:eastAsia="Times New Roman"/>
                <w:bCs/>
                <w:i/>
                <w:iCs/>
                <w:sz w:val="22"/>
                <w:szCs w:val="22"/>
              </w:rPr>
              <w:t>R</w:t>
            </w:r>
            <w:r w:rsidRPr="00AF47A8">
              <w:rPr>
                <w:rFonts w:eastAsia="Times New Roman"/>
                <w:bCs/>
                <w:sz w:val="22"/>
                <w:szCs w:val="22"/>
                <w:vertAlign w:val="superscript"/>
              </w:rPr>
              <w:t>2</w:t>
            </w:r>
            <w:r w:rsidRPr="00AF47A8">
              <w:rPr>
                <w:rFonts w:eastAsia="Times New Roman"/>
                <w:bCs/>
                <w:sz w:val="22"/>
                <w:szCs w:val="22"/>
              </w:rPr>
              <w:t xml:space="preserve"> for </w:t>
            </w:r>
            <w:r w:rsidR="00A91DD0">
              <w:rPr>
                <w:rFonts w:eastAsia="Times New Roman"/>
                <w:bCs/>
                <w:sz w:val="22"/>
                <w:szCs w:val="22"/>
              </w:rPr>
              <w:t>R</w:t>
            </w:r>
            <w:r w:rsidRPr="00AF47A8">
              <w:rPr>
                <w:rFonts w:eastAsia="Times New Roman"/>
                <w:bCs/>
                <w:sz w:val="22"/>
                <w:szCs w:val="22"/>
              </w:rPr>
              <w:t xml:space="preserve">egression of log VIIRS </w:t>
            </w:r>
            <w:r w:rsidR="00A91DD0">
              <w:rPr>
                <w:rFonts w:eastAsia="Times New Roman"/>
                <w:bCs/>
                <w:sz w:val="22"/>
                <w:szCs w:val="22"/>
              </w:rPr>
              <w:t>R</w:t>
            </w:r>
            <w:r w:rsidRPr="00AF47A8">
              <w:rPr>
                <w:rFonts w:eastAsia="Times New Roman"/>
                <w:bCs/>
                <w:sz w:val="22"/>
                <w:szCs w:val="22"/>
              </w:rPr>
              <w:t>adiance on log DMSP DN</w:t>
            </w:r>
          </w:p>
        </w:tc>
      </w:tr>
      <w:tr w:rsidR="00AF47A8" w:rsidTr="00AF47A8">
        <w:tc>
          <w:tcPr>
            <w:tcW w:w="3119" w:type="dxa"/>
            <w:tcBorders>
              <w:top w:val="single" w:sz="4" w:space="0" w:color="auto"/>
              <w:left w:val="nil"/>
              <w:bottom w:val="nil"/>
              <w:right w:val="nil"/>
            </w:tcBorders>
          </w:tcPr>
          <w:p w:rsidR="00AF47A8" w:rsidRPr="00AF47A8" w:rsidRDefault="00AF47A8" w:rsidP="004D5979">
            <w:pPr>
              <w:spacing w:before="40"/>
              <w:rPr>
                <w:rFonts w:eastAsia="Times New Roman"/>
                <w:bCs/>
                <w:sz w:val="22"/>
                <w:szCs w:val="22"/>
              </w:rPr>
            </w:pPr>
            <w:r w:rsidRPr="00AF47A8">
              <w:rPr>
                <w:rFonts w:eastAsia="Times New Roman"/>
                <w:bCs/>
                <w:sz w:val="22"/>
                <w:szCs w:val="22"/>
              </w:rPr>
              <w:t>DMSP (2012)</w:t>
            </w:r>
          </w:p>
        </w:tc>
        <w:tc>
          <w:tcPr>
            <w:tcW w:w="1584" w:type="dxa"/>
            <w:tcBorders>
              <w:top w:val="single" w:sz="4" w:space="0" w:color="auto"/>
              <w:left w:val="nil"/>
              <w:bottom w:val="nil"/>
              <w:right w:val="nil"/>
            </w:tcBorders>
          </w:tcPr>
          <w:p w:rsidR="00AF47A8" w:rsidRPr="00AF47A8" w:rsidRDefault="00AF47A8" w:rsidP="004D5979">
            <w:pPr>
              <w:spacing w:before="40"/>
              <w:jc w:val="center"/>
              <w:rPr>
                <w:rFonts w:eastAsia="Times New Roman"/>
                <w:bCs/>
                <w:sz w:val="22"/>
                <w:szCs w:val="22"/>
              </w:rPr>
            </w:pPr>
            <w:r w:rsidRPr="00AF47A8">
              <w:rPr>
                <w:rFonts w:eastAsia="Times New Roman"/>
                <w:bCs/>
                <w:sz w:val="22"/>
                <w:szCs w:val="22"/>
              </w:rPr>
              <w:t>0.01</w:t>
            </w:r>
          </w:p>
        </w:tc>
        <w:tc>
          <w:tcPr>
            <w:tcW w:w="2156" w:type="dxa"/>
            <w:tcBorders>
              <w:top w:val="single" w:sz="4" w:space="0" w:color="auto"/>
              <w:left w:val="nil"/>
              <w:bottom w:val="nil"/>
              <w:right w:val="nil"/>
            </w:tcBorders>
          </w:tcPr>
          <w:p w:rsidR="00AF47A8" w:rsidRPr="00AF47A8" w:rsidRDefault="00AF47A8" w:rsidP="004D5979">
            <w:pPr>
              <w:spacing w:before="40"/>
              <w:jc w:val="center"/>
              <w:rPr>
                <w:rFonts w:eastAsia="Times New Roman"/>
                <w:bCs/>
                <w:sz w:val="22"/>
                <w:szCs w:val="22"/>
              </w:rPr>
            </w:pPr>
            <w:r w:rsidRPr="00AF47A8">
              <w:rPr>
                <w:rFonts w:eastAsia="Times New Roman"/>
                <w:bCs/>
                <w:sz w:val="22"/>
                <w:szCs w:val="22"/>
              </w:rPr>
              <w:t>0.30</w:t>
            </w:r>
          </w:p>
        </w:tc>
        <w:tc>
          <w:tcPr>
            <w:tcW w:w="2157" w:type="dxa"/>
            <w:tcBorders>
              <w:top w:val="single" w:sz="4" w:space="0" w:color="auto"/>
              <w:left w:val="nil"/>
              <w:bottom w:val="nil"/>
              <w:right w:val="nil"/>
            </w:tcBorders>
          </w:tcPr>
          <w:p w:rsidR="00AF47A8" w:rsidRPr="00AF47A8" w:rsidRDefault="00AF47A8" w:rsidP="004D5979">
            <w:pPr>
              <w:spacing w:before="40"/>
              <w:jc w:val="center"/>
              <w:rPr>
                <w:rFonts w:eastAsia="Times New Roman"/>
                <w:bCs/>
                <w:sz w:val="22"/>
                <w:szCs w:val="22"/>
              </w:rPr>
            </w:pPr>
            <w:r w:rsidRPr="00AF47A8">
              <w:rPr>
                <w:rFonts w:eastAsia="Times New Roman"/>
                <w:bCs/>
                <w:sz w:val="22"/>
                <w:szCs w:val="22"/>
              </w:rPr>
              <w:t>0.03</w:t>
            </w:r>
          </w:p>
        </w:tc>
      </w:tr>
      <w:tr w:rsidR="00AF47A8" w:rsidTr="00AF47A8">
        <w:tc>
          <w:tcPr>
            <w:tcW w:w="3119" w:type="dxa"/>
            <w:tcBorders>
              <w:top w:val="nil"/>
              <w:left w:val="nil"/>
              <w:bottom w:val="nil"/>
              <w:right w:val="nil"/>
            </w:tcBorders>
          </w:tcPr>
          <w:p w:rsidR="00AF47A8" w:rsidRPr="00AF47A8" w:rsidRDefault="00AF47A8" w:rsidP="004D5979">
            <w:pPr>
              <w:rPr>
                <w:rFonts w:eastAsia="Times New Roman"/>
                <w:bCs/>
                <w:sz w:val="22"/>
                <w:szCs w:val="22"/>
              </w:rPr>
            </w:pPr>
          </w:p>
        </w:tc>
        <w:tc>
          <w:tcPr>
            <w:tcW w:w="1584" w:type="dxa"/>
            <w:tcBorders>
              <w:top w:val="nil"/>
              <w:left w:val="nil"/>
              <w:bottom w:val="nil"/>
              <w:right w:val="nil"/>
            </w:tcBorders>
          </w:tcPr>
          <w:p w:rsidR="00AF47A8" w:rsidRPr="00AF47A8" w:rsidRDefault="00AF47A8" w:rsidP="004D5979">
            <w:pPr>
              <w:jc w:val="center"/>
              <w:rPr>
                <w:rFonts w:eastAsia="Times New Roman"/>
                <w:bCs/>
                <w:sz w:val="22"/>
                <w:szCs w:val="22"/>
              </w:rPr>
            </w:pPr>
          </w:p>
        </w:tc>
        <w:tc>
          <w:tcPr>
            <w:tcW w:w="2156" w:type="dxa"/>
            <w:tcBorders>
              <w:top w:val="nil"/>
              <w:left w:val="nil"/>
              <w:bottom w:val="nil"/>
              <w:right w:val="nil"/>
            </w:tcBorders>
          </w:tcPr>
          <w:p w:rsidR="00AF47A8" w:rsidRPr="00AF47A8" w:rsidRDefault="00AF47A8" w:rsidP="004D5979">
            <w:pPr>
              <w:jc w:val="center"/>
              <w:rPr>
                <w:rFonts w:eastAsia="Times New Roman"/>
                <w:bCs/>
                <w:sz w:val="22"/>
                <w:szCs w:val="22"/>
              </w:rPr>
            </w:pPr>
            <w:r w:rsidRPr="00AF47A8">
              <w:rPr>
                <w:rFonts w:eastAsia="Times New Roman"/>
                <w:bCs/>
                <w:sz w:val="22"/>
                <w:szCs w:val="22"/>
              </w:rPr>
              <w:t>(0.07)</w:t>
            </w:r>
          </w:p>
        </w:tc>
        <w:tc>
          <w:tcPr>
            <w:tcW w:w="2157" w:type="dxa"/>
            <w:tcBorders>
              <w:top w:val="nil"/>
              <w:left w:val="nil"/>
              <w:bottom w:val="nil"/>
              <w:right w:val="nil"/>
            </w:tcBorders>
          </w:tcPr>
          <w:p w:rsidR="00AF47A8" w:rsidRPr="00AF47A8" w:rsidRDefault="00AF47A8" w:rsidP="004D5979">
            <w:pPr>
              <w:jc w:val="center"/>
              <w:rPr>
                <w:rFonts w:eastAsia="Times New Roman"/>
                <w:bCs/>
                <w:sz w:val="22"/>
                <w:szCs w:val="22"/>
              </w:rPr>
            </w:pPr>
          </w:p>
        </w:tc>
      </w:tr>
      <w:tr w:rsidR="00AF47A8" w:rsidRPr="001B0B56" w:rsidTr="00AF47A8">
        <w:tc>
          <w:tcPr>
            <w:tcW w:w="3119" w:type="dxa"/>
            <w:tcBorders>
              <w:top w:val="nil"/>
              <w:left w:val="nil"/>
              <w:bottom w:val="nil"/>
              <w:right w:val="nil"/>
            </w:tcBorders>
          </w:tcPr>
          <w:p w:rsidR="00AF47A8" w:rsidRPr="004D5979" w:rsidRDefault="00AF47A8" w:rsidP="004D5979">
            <w:pPr>
              <w:rPr>
                <w:rFonts w:eastAsia="Times New Roman"/>
                <w:bCs/>
                <w:sz w:val="8"/>
                <w:szCs w:val="8"/>
              </w:rPr>
            </w:pPr>
          </w:p>
        </w:tc>
        <w:tc>
          <w:tcPr>
            <w:tcW w:w="1584" w:type="dxa"/>
            <w:tcBorders>
              <w:top w:val="nil"/>
              <w:left w:val="nil"/>
              <w:bottom w:val="nil"/>
              <w:right w:val="nil"/>
            </w:tcBorders>
          </w:tcPr>
          <w:p w:rsidR="00AF47A8" w:rsidRPr="004D5979" w:rsidRDefault="00AF47A8" w:rsidP="004D5979">
            <w:pPr>
              <w:jc w:val="center"/>
              <w:rPr>
                <w:rFonts w:eastAsia="Times New Roman"/>
                <w:bCs/>
                <w:sz w:val="8"/>
                <w:szCs w:val="8"/>
              </w:rPr>
            </w:pPr>
          </w:p>
        </w:tc>
        <w:tc>
          <w:tcPr>
            <w:tcW w:w="2156" w:type="dxa"/>
            <w:tcBorders>
              <w:top w:val="nil"/>
              <w:left w:val="nil"/>
              <w:bottom w:val="nil"/>
              <w:right w:val="nil"/>
            </w:tcBorders>
          </w:tcPr>
          <w:p w:rsidR="00AF47A8" w:rsidRPr="004D5979" w:rsidRDefault="00AF47A8" w:rsidP="004D5979">
            <w:pPr>
              <w:jc w:val="center"/>
              <w:rPr>
                <w:rFonts w:eastAsia="Times New Roman"/>
                <w:bCs/>
                <w:sz w:val="8"/>
                <w:szCs w:val="8"/>
              </w:rPr>
            </w:pPr>
          </w:p>
        </w:tc>
        <w:tc>
          <w:tcPr>
            <w:tcW w:w="2157" w:type="dxa"/>
            <w:tcBorders>
              <w:top w:val="nil"/>
              <w:left w:val="nil"/>
              <w:bottom w:val="nil"/>
              <w:right w:val="nil"/>
            </w:tcBorders>
          </w:tcPr>
          <w:p w:rsidR="00AF47A8" w:rsidRPr="004D5979" w:rsidRDefault="00AF47A8" w:rsidP="004D5979">
            <w:pPr>
              <w:jc w:val="center"/>
              <w:rPr>
                <w:rFonts w:eastAsia="Times New Roman"/>
                <w:bCs/>
                <w:sz w:val="8"/>
                <w:szCs w:val="8"/>
              </w:rPr>
            </w:pPr>
          </w:p>
        </w:tc>
      </w:tr>
      <w:tr w:rsidR="00AF47A8" w:rsidTr="00AF47A8">
        <w:tc>
          <w:tcPr>
            <w:tcW w:w="3119" w:type="dxa"/>
            <w:vMerge w:val="restart"/>
            <w:tcBorders>
              <w:top w:val="nil"/>
              <w:left w:val="nil"/>
              <w:right w:val="nil"/>
            </w:tcBorders>
          </w:tcPr>
          <w:p w:rsidR="00AF47A8" w:rsidRDefault="00AF47A8" w:rsidP="004D5979">
            <w:pPr>
              <w:rPr>
                <w:rFonts w:eastAsia="Times New Roman"/>
                <w:bCs/>
                <w:sz w:val="22"/>
                <w:szCs w:val="22"/>
              </w:rPr>
            </w:pPr>
            <w:r w:rsidRPr="00AF47A8">
              <w:rPr>
                <w:rFonts w:eastAsia="Times New Roman"/>
                <w:bCs/>
                <w:sz w:val="22"/>
                <w:szCs w:val="22"/>
              </w:rPr>
              <w:t xml:space="preserve">DMSP </w:t>
            </w:r>
          </w:p>
          <w:p w:rsidR="00AF47A8" w:rsidRPr="00AF47A8" w:rsidRDefault="00AF47A8" w:rsidP="004D5979">
            <w:pPr>
              <w:rPr>
                <w:rFonts w:eastAsia="Times New Roman"/>
                <w:bCs/>
                <w:sz w:val="22"/>
                <w:szCs w:val="22"/>
              </w:rPr>
            </w:pPr>
            <w:r w:rsidRPr="00AF47A8">
              <w:rPr>
                <w:rFonts w:eastAsia="Times New Roman"/>
                <w:bCs/>
                <w:sz w:val="22"/>
                <w:szCs w:val="22"/>
              </w:rPr>
              <w:t>(Pareto-adjusted for top-coding)</w:t>
            </w:r>
          </w:p>
        </w:tc>
        <w:tc>
          <w:tcPr>
            <w:tcW w:w="1584" w:type="dxa"/>
            <w:tcBorders>
              <w:top w:val="nil"/>
              <w:left w:val="nil"/>
              <w:bottom w:val="nil"/>
              <w:right w:val="nil"/>
            </w:tcBorders>
          </w:tcPr>
          <w:p w:rsidR="00AF47A8" w:rsidRPr="00AF47A8" w:rsidRDefault="00AF47A8" w:rsidP="004D5979">
            <w:pPr>
              <w:jc w:val="center"/>
              <w:rPr>
                <w:rFonts w:eastAsia="Times New Roman"/>
                <w:bCs/>
                <w:sz w:val="22"/>
                <w:szCs w:val="22"/>
              </w:rPr>
            </w:pPr>
            <w:r w:rsidRPr="00AF47A8">
              <w:rPr>
                <w:rFonts w:eastAsia="Times New Roman"/>
                <w:bCs/>
                <w:sz w:val="22"/>
                <w:szCs w:val="22"/>
              </w:rPr>
              <w:t>0.67</w:t>
            </w:r>
          </w:p>
        </w:tc>
        <w:tc>
          <w:tcPr>
            <w:tcW w:w="2156" w:type="dxa"/>
            <w:tcBorders>
              <w:top w:val="nil"/>
              <w:left w:val="nil"/>
              <w:bottom w:val="nil"/>
              <w:right w:val="nil"/>
            </w:tcBorders>
          </w:tcPr>
          <w:p w:rsidR="00AF47A8" w:rsidRPr="00AF47A8" w:rsidRDefault="00AF47A8" w:rsidP="004D5979">
            <w:pPr>
              <w:jc w:val="center"/>
              <w:rPr>
                <w:rFonts w:eastAsia="Times New Roman"/>
                <w:bCs/>
                <w:sz w:val="22"/>
                <w:szCs w:val="22"/>
              </w:rPr>
            </w:pPr>
            <w:r w:rsidRPr="00AF47A8">
              <w:rPr>
                <w:rFonts w:eastAsia="Times New Roman"/>
                <w:bCs/>
                <w:sz w:val="22"/>
                <w:szCs w:val="22"/>
              </w:rPr>
              <w:t>0.54</w:t>
            </w:r>
          </w:p>
        </w:tc>
        <w:tc>
          <w:tcPr>
            <w:tcW w:w="2157" w:type="dxa"/>
            <w:tcBorders>
              <w:top w:val="nil"/>
              <w:left w:val="nil"/>
              <w:bottom w:val="nil"/>
              <w:right w:val="nil"/>
            </w:tcBorders>
          </w:tcPr>
          <w:p w:rsidR="00AF47A8" w:rsidRPr="00AF47A8" w:rsidRDefault="00AF47A8" w:rsidP="004D5979">
            <w:pPr>
              <w:jc w:val="center"/>
              <w:rPr>
                <w:rFonts w:eastAsia="Times New Roman"/>
                <w:bCs/>
                <w:sz w:val="22"/>
                <w:szCs w:val="22"/>
              </w:rPr>
            </w:pPr>
            <w:r w:rsidRPr="00AF47A8">
              <w:rPr>
                <w:rFonts w:eastAsia="Times New Roman"/>
                <w:bCs/>
                <w:sz w:val="22"/>
                <w:szCs w:val="22"/>
              </w:rPr>
              <w:t>0.35</w:t>
            </w:r>
          </w:p>
        </w:tc>
      </w:tr>
      <w:tr w:rsidR="00AF47A8" w:rsidTr="00AF47A8">
        <w:tc>
          <w:tcPr>
            <w:tcW w:w="3119" w:type="dxa"/>
            <w:vMerge/>
            <w:tcBorders>
              <w:left w:val="nil"/>
              <w:bottom w:val="nil"/>
              <w:right w:val="nil"/>
            </w:tcBorders>
          </w:tcPr>
          <w:p w:rsidR="00AF47A8" w:rsidRPr="00AF47A8" w:rsidRDefault="00AF47A8" w:rsidP="004D5979">
            <w:pPr>
              <w:rPr>
                <w:rFonts w:eastAsia="Times New Roman"/>
                <w:bCs/>
                <w:sz w:val="22"/>
                <w:szCs w:val="22"/>
              </w:rPr>
            </w:pPr>
          </w:p>
        </w:tc>
        <w:tc>
          <w:tcPr>
            <w:tcW w:w="1584" w:type="dxa"/>
            <w:tcBorders>
              <w:top w:val="nil"/>
              <w:left w:val="nil"/>
              <w:bottom w:val="nil"/>
              <w:right w:val="nil"/>
            </w:tcBorders>
          </w:tcPr>
          <w:p w:rsidR="00AF47A8" w:rsidRPr="00AF47A8" w:rsidRDefault="00AF47A8" w:rsidP="004D5979">
            <w:pPr>
              <w:jc w:val="center"/>
              <w:rPr>
                <w:rFonts w:eastAsia="Times New Roman"/>
                <w:bCs/>
                <w:sz w:val="22"/>
                <w:szCs w:val="22"/>
              </w:rPr>
            </w:pPr>
          </w:p>
        </w:tc>
        <w:tc>
          <w:tcPr>
            <w:tcW w:w="2156" w:type="dxa"/>
            <w:tcBorders>
              <w:top w:val="nil"/>
              <w:left w:val="nil"/>
              <w:bottom w:val="nil"/>
              <w:right w:val="nil"/>
            </w:tcBorders>
          </w:tcPr>
          <w:p w:rsidR="00AF47A8" w:rsidRPr="00AF47A8" w:rsidRDefault="00AF47A8" w:rsidP="004D5979">
            <w:pPr>
              <w:jc w:val="center"/>
              <w:rPr>
                <w:rFonts w:eastAsia="Times New Roman"/>
                <w:bCs/>
                <w:sz w:val="22"/>
                <w:szCs w:val="22"/>
              </w:rPr>
            </w:pPr>
            <w:r w:rsidRPr="00AF47A8">
              <w:rPr>
                <w:rFonts w:eastAsia="Times New Roman"/>
                <w:bCs/>
                <w:sz w:val="22"/>
                <w:szCs w:val="22"/>
              </w:rPr>
              <w:t>(0.03)</w:t>
            </w:r>
          </w:p>
        </w:tc>
        <w:tc>
          <w:tcPr>
            <w:tcW w:w="2157" w:type="dxa"/>
            <w:tcBorders>
              <w:top w:val="nil"/>
              <w:left w:val="nil"/>
              <w:bottom w:val="nil"/>
              <w:right w:val="nil"/>
            </w:tcBorders>
          </w:tcPr>
          <w:p w:rsidR="00AF47A8" w:rsidRPr="00AF47A8" w:rsidRDefault="00AF47A8" w:rsidP="004D5979">
            <w:pPr>
              <w:jc w:val="center"/>
              <w:rPr>
                <w:rFonts w:eastAsia="Times New Roman"/>
                <w:bCs/>
                <w:sz w:val="22"/>
                <w:szCs w:val="22"/>
              </w:rPr>
            </w:pPr>
          </w:p>
        </w:tc>
      </w:tr>
      <w:tr w:rsidR="00AF47A8" w:rsidRPr="001B0B56" w:rsidTr="00AF47A8">
        <w:tc>
          <w:tcPr>
            <w:tcW w:w="3119" w:type="dxa"/>
            <w:tcBorders>
              <w:top w:val="nil"/>
              <w:left w:val="nil"/>
              <w:bottom w:val="nil"/>
              <w:right w:val="nil"/>
            </w:tcBorders>
          </w:tcPr>
          <w:p w:rsidR="00AF47A8" w:rsidRPr="00A91DD0" w:rsidRDefault="00AF47A8" w:rsidP="004D5979">
            <w:pPr>
              <w:rPr>
                <w:rFonts w:eastAsia="Times New Roman"/>
                <w:bCs/>
                <w:sz w:val="8"/>
                <w:szCs w:val="8"/>
              </w:rPr>
            </w:pPr>
          </w:p>
        </w:tc>
        <w:tc>
          <w:tcPr>
            <w:tcW w:w="1584" w:type="dxa"/>
            <w:tcBorders>
              <w:top w:val="nil"/>
              <w:left w:val="nil"/>
              <w:bottom w:val="nil"/>
              <w:right w:val="nil"/>
            </w:tcBorders>
          </w:tcPr>
          <w:p w:rsidR="00AF47A8" w:rsidRPr="00A91DD0" w:rsidRDefault="00AF47A8" w:rsidP="004D5979">
            <w:pPr>
              <w:jc w:val="center"/>
              <w:rPr>
                <w:rFonts w:eastAsia="Times New Roman"/>
                <w:bCs/>
                <w:sz w:val="8"/>
                <w:szCs w:val="8"/>
              </w:rPr>
            </w:pPr>
          </w:p>
        </w:tc>
        <w:tc>
          <w:tcPr>
            <w:tcW w:w="2156" w:type="dxa"/>
            <w:tcBorders>
              <w:top w:val="nil"/>
              <w:left w:val="nil"/>
              <w:bottom w:val="nil"/>
              <w:right w:val="nil"/>
            </w:tcBorders>
          </w:tcPr>
          <w:p w:rsidR="00AF47A8" w:rsidRPr="00A91DD0" w:rsidRDefault="00AF47A8" w:rsidP="004D5979">
            <w:pPr>
              <w:jc w:val="right"/>
              <w:rPr>
                <w:rFonts w:eastAsia="Times New Roman"/>
                <w:bCs/>
                <w:sz w:val="8"/>
                <w:szCs w:val="8"/>
              </w:rPr>
            </w:pPr>
          </w:p>
        </w:tc>
        <w:tc>
          <w:tcPr>
            <w:tcW w:w="2157" w:type="dxa"/>
            <w:tcBorders>
              <w:top w:val="nil"/>
              <w:left w:val="nil"/>
              <w:bottom w:val="nil"/>
              <w:right w:val="nil"/>
            </w:tcBorders>
          </w:tcPr>
          <w:p w:rsidR="00AF47A8" w:rsidRPr="00A91DD0" w:rsidRDefault="00AF47A8" w:rsidP="004D5979">
            <w:pPr>
              <w:jc w:val="center"/>
              <w:rPr>
                <w:rFonts w:eastAsia="Times New Roman"/>
                <w:bCs/>
                <w:sz w:val="8"/>
                <w:szCs w:val="8"/>
              </w:rPr>
            </w:pPr>
          </w:p>
        </w:tc>
      </w:tr>
      <w:tr w:rsidR="00AF47A8" w:rsidTr="00AF47A8">
        <w:tc>
          <w:tcPr>
            <w:tcW w:w="3119" w:type="dxa"/>
            <w:tcBorders>
              <w:top w:val="nil"/>
              <w:left w:val="nil"/>
              <w:bottom w:val="nil"/>
              <w:right w:val="nil"/>
            </w:tcBorders>
          </w:tcPr>
          <w:p w:rsidR="00AF47A8" w:rsidRPr="00AF47A8" w:rsidRDefault="00AF47A8" w:rsidP="004D5979">
            <w:pPr>
              <w:rPr>
                <w:rFonts w:eastAsia="Times New Roman"/>
                <w:bCs/>
                <w:sz w:val="22"/>
                <w:szCs w:val="22"/>
              </w:rPr>
            </w:pPr>
            <w:r w:rsidRPr="00AF47A8">
              <w:rPr>
                <w:rFonts w:eastAsia="Times New Roman"/>
                <w:bCs/>
                <w:sz w:val="22"/>
                <w:szCs w:val="22"/>
              </w:rPr>
              <w:t>VIIRS (2015)</w:t>
            </w:r>
          </w:p>
        </w:tc>
        <w:tc>
          <w:tcPr>
            <w:tcW w:w="1584" w:type="dxa"/>
            <w:tcBorders>
              <w:top w:val="nil"/>
              <w:left w:val="nil"/>
              <w:bottom w:val="nil"/>
              <w:right w:val="nil"/>
            </w:tcBorders>
          </w:tcPr>
          <w:p w:rsidR="00AF47A8" w:rsidRPr="00AF47A8" w:rsidRDefault="00AF47A8" w:rsidP="004D5979">
            <w:pPr>
              <w:jc w:val="center"/>
              <w:rPr>
                <w:rFonts w:eastAsia="Times New Roman"/>
                <w:bCs/>
                <w:sz w:val="22"/>
                <w:szCs w:val="22"/>
              </w:rPr>
            </w:pPr>
            <w:r w:rsidRPr="00AF47A8">
              <w:rPr>
                <w:rFonts w:eastAsia="Times New Roman"/>
                <w:bCs/>
                <w:sz w:val="22"/>
                <w:szCs w:val="22"/>
              </w:rPr>
              <w:t>0.42</w:t>
            </w:r>
          </w:p>
        </w:tc>
        <w:tc>
          <w:tcPr>
            <w:tcW w:w="2156" w:type="dxa"/>
            <w:tcBorders>
              <w:top w:val="nil"/>
              <w:left w:val="nil"/>
              <w:bottom w:val="nil"/>
              <w:right w:val="nil"/>
            </w:tcBorders>
          </w:tcPr>
          <w:p w:rsidR="00AF47A8" w:rsidRPr="00AF47A8" w:rsidRDefault="00AF47A8" w:rsidP="004D5979">
            <w:pPr>
              <w:jc w:val="center"/>
              <w:rPr>
                <w:rFonts w:eastAsia="Times New Roman"/>
                <w:bCs/>
                <w:sz w:val="22"/>
                <w:szCs w:val="22"/>
              </w:rPr>
            </w:pPr>
            <w:proofErr w:type="spellStart"/>
            <w:r w:rsidRPr="00AF47A8">
              <w:rPr>
                <w:rFonts w:eastAsia="Times New Roman"/>
                <w:bCs/>
                <w:sz w:val="22"/>
                <w:szCs w:val="22"/>
              </w:rPr>
              <w:t>n.a.</w:t>
            </w:r>
            <w:proofErr w:type="spellEnd"/>
          </w:p>
        </w:tc>
        <w:tc>
          <w:tcPr>
            <w:tcW w:w="2157" w:type="dxa"/>
            <w:tcBorders>
              <w:top w:val="nil"/>
              <w:left w:val="nil"/>
              <w:bottom w:val="nil"/>
              <w:right w:val="nil"/>
            </w:tcBorders>
          </w:tcPr>
          <w:p w:rsidR="00AF47A8" w:rsidRPr="00AF47A8" w:rsidRDefault="00AF47A8" w:rsidP="004D5979">
            <w:pPr>
              <w:jc w:val="center"/>
              <w:rPr>
                <w:rFonts w:eastAsia="Times New Roman"/>
                <w:bCs/>
                <w:sz w:val="22"/>
                <w:szCs w:val="22"/>
              </w:rPr>
            </w:pPr>
            <w:proofErr w:type="spellStart"/>
            <w:r w:rsidRPr="00AF47A8">
              <w:rPr>
                <w:rFonts w:eastAsia="Times New Roman"/>
                <w:bCs/>
                <w:sz w:val="22"/>
                <w:szCs w:val="22"/>
              </w:rPr>
              <w:t>n.a.</w:t>
            </w:r>
            <w:proofErr w:type="spellEnd"/>
          </w:p>
        </w:tc>
      </w:tr>
      <w:tr w:rsidR="00AF47A8" w:rsidTr="00AF47A8">
        <w:tc>
          <w:tcPr>
            <w:tcW w:w="3119" w:type="dxa"/>
            <w:tcBorders>
              <w:top w:val="nil"/>
              <w:left w:val="nil"/>
              <w:bottom w:val="single" w:sz="4" w:space="0" w:color="auto"/>
              <w:right w:val="nil"/>
            </w:tcBorders>
          </w:tcPr>
          <w:p w:rsidR="00AF47A8" w:rsidRPr="001B0B56" w:rsidRDefault="00AF47A8" w:rsidP="004D5979">
            <w:pPr>
              <w:rPr>
                <w:rFonts w:eastAsia="Times New Roman"/>
                <w:bCs/>
                <w:sz w:val="4"/>
                <w:szCs w:val="4"/>
              </w:rPr>
            </w:pPr>
          </w:p>
        </w:tc>
        <w:tc>
          <w:tcPr>
            <w:tcW w:w="1584" w:type="dxa"/>
            <w:tcBorders>
              <w:top w:val="nil"/>
              <w:left w:val="nil"/>
              <w:bottom w:val="single" w:sz="4" w:space="0" w:color="auto"/>
              <w:right w:val="nil"/>
            </w:tcBorders>
          </w:tcPr>
          <w:p w:rsidR="00AF47A8" w:rsidRPr="001B0B56" w:rsidRDefault="00AF47A8" w:rsidP="004D5979">
            <w:pPr>
              <w:jc w:val="center"/>
              <w:rPr>
                <w:rFonts w:eastAsia="Times New Roman"/>
                <w:bCs/>
                <w:sz w:val="4"/>
                <w:szCs w:val="4"/>
              </w:rPr>
            </w:pPr>
          </w:p>
        </w:tc>
        <w:tc>
          <w:tcPr>
            <w:tcW w:w="2156" w:type="dxa"/>
            <w:tcBorders>
              <w:top w:val="nil"/>
              <w:left w:val="nil"/>
              <w:bottom w:val="single" w:sz="4" w:space="0" w:color="auto"/>
              <w:right w:val="nil"/>
            </w:tcBorders>
          </w:tcPr>
          <w:p w:rsidR="00AF47A8" w:rsidRPr="001B0B56" w:rsidRDefault="00AF47A8" w:rsidP="004D5979">
            <w:pPr>
              <w:jc w:val="right"/>
              <w:rPr>
                <w:rFonts w:eastAsia="Times New Roman"/>
                <w:bCs/>
                <w:sz w:val="4"/>
                <w:szCs w:val="4"/>
              </w:rPr>
            </w:pPr>
          </w:p>
        </w:tc>
        <w:tc>
          <w:tcPr>
            <w:tcW w:w="2157" w:type="dxa"/>
            <w:tcBorders>
              <w:top w:val="nil"/>
              <w:left w:val="nil"/>
              <w:bottom w:val="single" w:sz="4" w:space="0" w:color="auto"/>
              <w:right w:val="nil"/>
            </w:tcBorders>
          </w:tcPr>
          <w:p w:rsidR="00AF47A8" w:rsidRPr="001B0B56" w:rsidRDefault="00AF47A8" w:rsidP="004D5979">
            <w:pPr>
              <w:jc w:val="right"/>
              <w:rPr>
                <w:rFonts w:eastAsia="Times New Roman"/>
                <w:bCs/>
                <w:sz w:val="4"/>
                <w:szCs w:val="4"/>
              </w:rPr>
            </w:pPr>
          </w:p>
        </w:tc>
      </w:tr>
      <w:tr w:rsidR="00AF47A8" w:rsidTr="004D5979">
        <w:tc>
          <w:tcPr>
            <w:tcW w:w="9016" w:type="dxa"/>
            <w:gridSpan w:val="4"/>
            <w:tcBorders>
              <w:top w:val="single" w:sz="4" w:space="0" w:color="auto"/>
              <w:left w:val="nil"/>
              <w:bottom w:val="nil"/>
              <w:right w:val="nil"/>
            </w:tcBorders>
          </w:tcPr>
          <w:p w:rsidR="00504D66" w:rsidRDefault="00AF47A8" w:rsidP="004D5979">
            <w:pPr>
              <w:spacing w:before="40"/>
              <w:rPr>
                <w:rFonts w:eastAsia="Times New Roman"/>
                <w:bCs/>
                <w:i/>
                <w:iCs/>
                <w:sz w:val="20"/>
                <w:szCs w:val="20"/>
              </w:rPr>
            </w:pPr>
            <w:r w:rsidRPr="001B0B56">
              <w:rPr>
                <w:rFonts w:eastAsia="Times New Roman"/>
                <w:bCs/>
                <w:i/>
                <w:iCs/>
                <w:sz w:val="20"/>
                <w:szCs w:val="20"/>
              </w:rPr>
              <w:t>Notes</w:t>
            </w:r>
          </w:p>
          <w:p w:rsidR="00AF47A8" w:rsidRPr="00E81C59" w:rsidRDefault="00AF47A8" w:rsidP="00504D66">
            <w:pPr>
              <w:spacing w:before="40"/>
              <w:jc w:val="both"/>
              <w:rPr>
                <w:rFonts w:eastAsia="Times New Roman"/>
                <w:bCs/>
                <w:sz w:val="20"/>
                <w:szCs w:val="20"/>
              </w:rPr>
            </w:pPr>
            <w:r>
              <w:rPr>
                <w:rFonts w:eastAsia="Times New Roman"/>
                <w:bCs/>
                <w:sz w:val="20"/>
                <w:szCs w:val="20"/>
              </w:rPr>
              <w:t xml:space="preserve">There are 590 observations, based on a 30×30 square grid and omitting cells outside of the Jakarta administrative boundaries. Radiance is in </w:t>
            </w:r>
            <w:proofErr w:type="spellStart"/>
            <w:r>
              <w:rPr>
                <w:rFonts w:eastAsia="Times New Roman"/>
                <w:bCs/>
                <w:sz w:val="20"/>
                <w:szCs w:val="20"/>
              </w:rPr>
              <w:t>nanoWatt</w:t>
            </w:r>
            <w:proofErr w:type="spellEnd"/>
            <w:r>
              <w:rPr>
                <w:rFonts w:eastAsia="Times New Roman"/>
                <w:bCs/>
                <w:sz w:val="20"/>
                <w:szCs w:val="20"/>
              </w:rPr>
              <w:t>/cm</w:t>
            </w:r>
            <w:r>
              <w:rPr>
                <w:rFonts w:eastAsia="Times New Roman"/>
                <w:bCs/>
                <w:sz w:val="20"/>
                <w:szCs w:val="20"/>
                <w:vertAlign w:val="superscript"/>
              </w:rPr>
              <w:t>2</w:t>
            </w:r>
            <w:r>
              <w:rPr>
                <w:rFonts w:eastAsia="Times New Roman"/>
                <w:bCs/>
                <w:sz w:val="20"/>
                <w:szCs w:val="20"/>
              </w:rPr>
              <w:t>/</w:t>
            </w:r>
            <w:proofErr w:type="spellStart"/>
            <w:r>
              <w:rPr>
                <w:rFonts w:eastAsia="Times New Roman"/>
                <w:bCs/>
                <w:sz w:val="20"/>
                <w:szCs w:val="20"/>
              </w:rPr>
              <w:t>sr</w:t>
            </w:r>
            <w:proofErr w:type="spellEnd"/>
            <w:r>
              <w:rPr>
                <w:rFonts w:eastAsia="Times New Roman"/>
                <w:bCs/>
                <w:sz w:val="20"/>
                <w:szCs w:val="20"/>
              </w:rPr>
              <w:t xml:space="preserve"> while the DMSP values are just digital numbers. Given the different units, we only report unit-free measures.</w:t>
            </w:r>
          </w:p>
        </w:tc>
      </w:tr>
    </w:tbl>
    <w:p w:rsidR="00AF47A8" w:rsidRDefault="00AF47A8" w:rsidP="00935460">
      <w:pPr>
        <w:spacing w:after="0" w:line="360" w:lineRule="auto"/>
        <w:ind w:firstLine="720"/>
        <w:rPr>
          <w:bCs/>
          <w:lang w:val="en-US"/>
        </w:rPr>
      </w:pPr>
    </w:p>
    <w:p w:rsidR="005631FA" w:rsidRDefault="005631FA" w:rsidP="00935460">
      <w:pPr>
        <w:spacing w:after="0" w:line="360" w:lineRule="auto"/>
        <w:ind w:firstLine="720"/>
        <w:rPr>
          <w:bCs/>
          <w:lang w:val="en-US"/>
        </w:rPr>
      </w:pPr>
    </w:p>
    <w:p w:rsidR="005631FA" w:rsidRDefault="00455252" w:rsidP="00435C63">
      <w:pPr>
        <w:spacing w:after="0" w:line="360" w:lineRule="auto"/>
        <w:jc w:val="center"/>
        <w:rPr>
          <w:bCs/>
          <w:lang w:val="en-US"/>
        </w:rPr>
      </w:pPr>
      <w:r>
        <w:rPr>
          <w:rFonts w:eastAsia="Times New Roman"/>
          <w:bCs/>
          <w:noProof/>
          <w:sz w:val="8"/>
          <w:szCs w:val="8"/>
          <w:lang w:eastAsia="zh-CN"/>
        </w:rPr>
        <w:drawing>
          <wp:inline distT="0" distB="0" distL="0" distR="0" wp14:anchorId="217382EE" wp14:editId="6772A4F9">
            <wp:extent cx="4478400" cy="325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_3_scatterplot.tif"/>
                    <pic:cNvPicPr/>
                  </pic:nvPicPr>
                  <pic:blipFill>
                    <a:blip r:embed="rId12">
                      <a:extLst>
                        <a:ext uri="{28A0092B-C50C-407E-A947-70E740481C1C}">
                          <a14:useLocalDpi xmlns:a14="http://schemas.microsoft.com/office/drawing/2010/main" val="0"/>
                        </a:ext>
                      </a:extLst>
                    </a:blip>
                    <a:stretch>
                      <a:fillRect/>
                    </a:stretch>
                  </pic:blipFill>
                  <pic:spPr>
                    <a:xfrm>
                      <a:off x="0" y="0"/>
                      <a:ext cx="4478400" cy="3258000"/>
                    </a:xfrm>
                    <a:prstGeom prst="rect">
                      <a:avLst/>
                    </a:prstGeom>
                  </pic:spPr>
                </pic:pic>
              </a:graphicData>
            </a:graphic>
          </wp:inline>
        </w:drawing>
      </w:r>
    </w:p>
    <w:p w:rsidR="00DB5D7D" w:rsidRDefault="00DB5D7D" w:rsidP="00431CB2">
      <w:pPr>
        <w:tabs>
          <w:tab w:val="left" w:pos="426"/>
        </w:tabs>
        <w:spacing w:after="0" w:line="288" w:lineRule="auto"/>
        <w:rPr>
          <w:b/>
          <w:lang w:val="en-US"/>
        </w:rPr>
      </w:pPr>
    </w:p>
    <w:p w:rsidR="00435C63" w:rsidRDefault="00435C63" w:rsidP="00431CB2">
      <w:pPr>
        <w:tabs>
          <w:tab w:val="left" w:pos="426"/>
        </w:tabs>
        <w:spacing w:after="0" w:line="288" w:lineRule="auto"/>
        <w:rPr>
          <w:b/>
          <w:lang w:val="en-US"/>
        </w:rPr>
      </w:pPr>
    </w:p>
    <w:p w:rsidR="00E35903" w:rsidRPr="00AF47A8" w:rsidRDefault="00A25F4E" w:rsidP="00431CB2">
      <w:pPr>
        <w:tabs>
          <w:tab w:val="left" w:pos="426"/>
        </w:tabs>
        <w:spacing w:after="0" w:line="288" w:lineRule="auto"/>
        <w:rPr>
          <w:b/>
          <w:lang w:val="en-US"/>
        </w:rPr>
      </w:pPr>
      <w:r w:rsidRPr="00AF47A8">
        <w:rPr>
          <w:b/>
          <w:lang w:val="en-US"/>
        </w:rPr>
        <w:t>V</w:t>
      </w:r>
      <w:r w:rsidR="00E35903" w:rsidRPr="00AF47A8">
        <w:rPr>
          <w:b/>
          <w:lang w:val="en-US"/>
        </w:rPr>
        <w:t>.</w:t>
      </w:r>
      <w:r w:rsidR="00E35903" w:rsidRPr="00AF47A8">
        <w:rPr>
          <w:b/>
          <w:lang w:val="en-US"/>
        </w:rPr>
        <w:tab/>
        <w:t xml:space="preserve">Conclusions </w:t>
      </w:r>
    </w:p>
    <w:p w:rsidR="008C5881" w:rsidRPr="008C5881" w:rsidRDefault="008C5881" w:rsidP="00431CB2">
      <w:pPr>
        <w:spacing w:after="0" w:line="288" w:lineRule="auto"/>
        <w:jc w:val="both"/>
        <w:rPr>
          <w:bCs/>
          <w:sz w:val="8"/>
          <w:szCs w:val="8"/>
          <w:lang w:val="en-AU"/>
        </w:rPr>
      </w:pPr>
    </w:p>
    <w:p w:rsidR="00036F59" w:rsidRDefault="00036F59" w:rsidP="00431CB2">
      <w:pPr>
        <w:spacing w:after="0" w:line="288" w:lineRule="auto"/>
        <w:jc w:val="both"/>
        <w:rPr>
          <w:bCs/>
          <w:lang w:val="en-US"/>
        </w:rPr>
      </w:pPr>
      <w:r>
        <w:rPr>
          <w:bCs/>
          <w:lang w:val="en-AU"/>
        </w:rPr>
        <w:t>We use night lights data from DMSP and VIIRS to test the lights-GDP relationship</w:t>
      </w:r>
      <w:r w:rsidR="002D05F2">
        <w:rPr>
          <w:bCs/>
          <w:lang w:val="en-AU"/>
        </w:rPr>
        <w:t>, using data</w:t>
      </w:r>
      <w:r>
        <w:rPr>
          <w:bCs/>
          <w:lang w:val="en-AU"/>
        </w:rPr>
        <w:t xml:space="preserve"> for second level sub-national areas for Indonesia. </w:t>
      </w:r>
      <w:r w:rsidR="002D05F2">
        <w:rPr>
          <w:bCs/>
          <w:lang w:val="en-US"/>
        </w:rPr>
        <w:t>We find that t</w:t>
      </w:r>
      <w:r>
        <w:rPr>
          <w:bCs/>
          <w:lang w:val="en-US"/>
        </w:rPr>
        <w:t xml:space="preserve">he DMSP data are not a suitable proxy for GDP outside of cities, with a negative and statistically significant relationship between </w:t>
      </w:r>
      <w:r w:rsidR="00935460">
        <w:rPr>
          <w:bCs/>
          <w:lang w:val="en-US"/>
        </w:rPr>
        <w:t xml:space="preserve">GDP and </w:t>
      </w:r>
      <w:r>
        <w:rPr>
          <w:bCs/>
          <w:lang w:val="en-US"/>
        </w:rPr>
        <w:t>the Digital Numbers from DMSP</w:t>
      </w:r>
      <w:r w:rsidR="002D05F2">
        <w:rPr>
          <w:bCs/>
          <w:lang w:val="en-US"/>
        </w:rPr>
        <w:t>, which echoes previous findings with cross-country data</w:t>
      </w:r>
      <w:r>
        <w:rPr>
          <w:bCs/>
          <w:lang w:val="en-US"/>
        </w:rPr>
        <w:t xml:space="preserve">. While the VIIRS data show a positive relationship with GDP outside of cities, </w:t>
      </w:r>
      <w:r w:rsidR="002D05F2">
        <w:rPr>
          <w:bCs/>
          <w:lang w:val="en-US"/>
        </w:rPr>
        <w:t xml:space="preserve">the elasticity is </w:t>
      </w:r>
      <w:r>
        <w:rPr>
          <w:bCs/>
          <w:lang w:val="en-US"/>
        </w:rPr>
        <w:t xml:space="preserve">low and imprecisely estimated. With these results, and </w:t>
      </w:r>
      <w:r w:rsidR="00935460">
        <w:rPr>
          <w:bCs/>
          <w:lang w:val="en-US"/>
        </w:rPr>
        <w:t xml:space="preserve">also </w:t>
      </w:r>
      <w:r>
        <w:rPr>
          <w:bCs/>
          <w:lang w:val="en-US"/>
        </w:rPr>
        <w:t>some awareness of the type of lights needed to</w:t>
      </w:r>
      <w:r w:rsidR="002D05F2">
        <w:rPr>
          <w:bCs/>
          <w:lang w:val="en-US"/>
        </w:rPr>
        <w:t xml:space="preserve"> be detected by satellite, it seems</w:t>
      </w:r>
      <w:r>
        <w:rPr>
          <w:bCs/>
          <w:lang w:val="en-US"/>
        </w:rPr>
        <w:t xml:space="preserve"> clear that neither DMSP nor VIIRS are suitabl</w:t>
      </w:r>
      <w:r w:rsidR="002D05F2">
        <w:rPr>
          <w:bCs/>
          <w:lang w:val="en-US"/>
        </w:rPr>
        <w:t xml:space="preserve">e data sources for studying lower </w:t>
      </w:r>
      <w:r>
        <w:rPr>
          <w:bCs/>
          <w:lang w:val="en-US"/>
        </w:rPr>
        <w:t>density</w:t>
      </w:r>
      <w:r w:rsidR="002D05F2">
        <w:rPr>
          <w:bCs/>
          <w:lang w:val="en-US"/>
        </w:rPr>
        <w:t>,</w:t>
      </w:r>
      <w:r>
        <w:rPr>
          <w:bCs/>
          <w:lang w:val="en-US"/>
        </w:rPr>
        <w:t xml:space="preserve"> rural</w:t>
      </w:r>
      <w:r w:rsidR="002D05F2">
        <w:rPr>
          <w:bCs/>
          <w:lang w:val="en-US"/>
        </w:rPr>
        <w:t>,</w:t>
      </w:r>
      <w:r>
        <w:rPr>
          <w:bCs/>
          <w:lang w:val="en-US"/>
        </w:rPr>
        <w:t xml:space="preserve"> areas</w:t>
      </w:r>
      <w:r w:rsidR="00935460">
        <w:rPr>
          <w:bCs/>
          <w:lang w:val="en-US"/>
        </w:rPr>
        <w:t xml:space="preserve"> in developing countries</w:t>
      </w:r>
      <w:r>
        <w:rPr>
          <w:bCs/>
          <w:lang w:val="en-US"/>
        </w:rPr>
        <w:t>.</w:t>
      </w:r>
    </w:p>
    <w:p w:rsidR="00036F59" w:rsidRDefault="00036F59" w:rsidP="00431CB2">
      <w:pPr>
        <w:spacing w:after="0" w:line="288" w:lineRule="auto"/>
        <w:ind w:firstLine="720"/>
        <w:jc w:val="both"/>
        <w:rPr>
          <w:bCs/>
          <w:lang w:val="en-US"/>
        </w:rPr>
      </w:pPr>
      <w:r>
        <w:rPr>
          <w:bCs/>
          <w:lang w:val="en-US"/>
        </w:rPr>
        <w:lastRenderedPageBreak/>
        <w:t xml:space="preserve">Within the urban sector, </w:t>
      </w:r>
      <w:r w:rsidR="002D05F2">
        <w:rPr>
          <w:bCs/>
          <w:lang w:val="en-US"/>
        </w:rPr>
        <w:t xml:space="preserve">where the lights-GDP elasticity is almost 1.0, we find that the </w:t>
      </w:r>
      <w:r>
        <w:rPr>
          <w:bCs/>
          <w:lang w:val="en-US"/>
        </w:rPr>
        <w:t xml:space="preserve">relationship </w:t>
      </w:r>
      <w:r w:rsidR="002D05F2">
        <w:rPr>
          <w:bCs/>
          <w:lang w:val="en-US"/>
        </w:rPr>
        <w:t xml:space="preserve">between lights and urban GDP </w:t>
      </w:r>
      <w:r>
        <w:rPr>
          <w:bCs/>
          <w:lang w:val="en-US"/>
        </w:rPr>
        <w:t>is twice as noisy using DMSP as using VIIRS</w:t>
      </w:r>
      <w:r w:rsidR="002D05F2">
        <w:rPr>
          <w:bCs/>
          <w:lang w:val="en-US"/>
        </w:rPr>
        <w:t>. In particular,</w:t>
      </w:r>
      <w:r>
        <w:rPr>
          <w:bCs/>
          <w:lang w:val="en-US"/>
        </w:rPr>
        <w:t xml:space="preserve"> 64% of the spatial variation in urban GDP </w:t>
      </w:r>
      <w:r w:rsidR="002D05F2">
        <w:rPr>
          <w:bCs/>
          <w:lang w:val="en-US"/>
        </w:rPr>
        <w:t xml:space="preserve">is </w:t>
      </w:r>
      <w:r>
        <w:rPr>
          <w:bCs/>
          <w:lang w:val="en-US"/>
        </w:rPr>
        <w:t xml:space="preserve">unexplained by DMSP data, </w:t>
      </w:r>
      <w:r w:rsidR="002D05F2">
        <w:rPr>
          <w:bCs/>
          <w:lang w:val="en-US"/>
        </w:rPr>
        <w:t xml:space="preserve">while </w:t>
      </w:r>
      <w:r>
        <w:rPr>
          <w:bCs/>
          <w:lang w:val="en-US"/>
        </w:rPr>
        <w:t xml:space="preserve">only 32% </w:t>
      </w:r>
      <w:r w:rsidR="002D05F2">
        <w:rPr>
          <w:bCs/>
          <w:lang w:val="en-US"/>
        </w:rPr>
        <w:t xml:space="preserve">is </w:t>
      </w:r>
      <w:r>
        <w:rPr>
          <w:bCs/>
          <w:lang w:val="en-US"/>
        </w:rPr>
        <w:t xml:space="preserve">unexplained when VIIRS data are used. </w:t>
      </w:r>
      <w:r w:rsidR="002D05F2">
        <w:rPr>
          <w:bCs/>
          <w:lang w:val="en-US"/>
        </w:rPr>
        <w:t xml:space="preserve">Relatedly, there is a big understatement of </w:t>
      </w:r>
      <w:r>
        <w:rPr>
          <w:bCs/>
          <w:lang w:val="en-US"/>
        </w:rPr>
        <w:t xml:space="preserve">spatial inequality </w:t>
      </w:r>
      <w:r w:rsidR="002D05F2">
        <w:rPr>
          <w:bCs/>
          <w:lang w:val="en-US"/>
        </w:rPr>
        <w:t xml:space="preserve">when using </w:t>
      </w:r>
      <w:r>
        <w:rPr>
          <w:bCs/>
          <w:lang w:val="en-US"/>
        </w:rPr>
        <w:t>the DMSP data, especially at the top of the distribution</w:t>
      </w:r>
      <w:r w:rsidR="00935460">
        <w:rPr>
          <w:bCs/>
          <w:lang w:val="en-US"/>
        </w:rPr>
        <w:t>; for example, t</w:t>
      </w:r>
      <w:r w:rsidR="002D05F2">
        <w:rPr>
          <w:bCs/>
          <w:lang w:val="en-US"/>
        </w:rPr>
        <w:t xml:space="preserve">he Theil index </w:t>
      </w:r>
      <w:r>
        <w:rPr>
          <w:bCs/>
          <w:lang w:val="en-US"/>
        </w:rPr>
        <w:t xml:space="preserve">with the VIIRS data </w:t>
      </w:r>
      <w:r w:rsidR="00935460">
        <w:rPr>
          <w:bCs/>
          <w:lang w:val="en-US"/>
        </w:rPr>
        <w:t>shows</w:t>
      </w:r>
      <w:r>
        <w:rPr>
          <w:bCs/>
          <w:lang w:val="en-US"/>
        </w:rPr>
        <w:t xml:space="preserve"> 64% more inequality than </w:t>
      </w:r>
      <w:r w:rsidR="00935460">
        <w:rPr>
          <w:bCs/>
          <w:lang w:val="en-US"/>
        </w:rPr>
        <w:t xml:space="preserve">what </w:t>
      </w:r>
      <w:r>
        <w:rPr>
          <w:bCs/>
          <w:lang w:val="en-US"/>
        </w:rPr>
        <w:t>the DMSP data</w:t>
      </w:r>
      <w:r w:rsidR="00935460">
        <w:rPr>
          <w:bCs/>
          <w:lang w:val="en-US"/>
        </w:rPr>
        <w:t xml:space="preserve"> show</w:t>
      </w:r>
      <w:r>
        <w:rPr>
          <w:bCs/>
          <w:lang w:val="en-US"/>
        </w:rPr>
        <w:t>. While using a Pareto adjustment to correct for top-coding in DMSP data has a modest</w:t>
      </w:r>
      <w:r w:rsidR="00EA41A0">
        <w:rPr>
          <w:bCs/>
          <w:lang w:val="en-US"/>
        </w:rPr>
        <w:t xml:space="preserve"> effect, even the adjusted data understate</w:t>
      </w:r>
      <w:r>
        <w:rPr>
          <w:bCs/>
          <w:lang w:val="en-US"/>
        </w:rPr>
        <w:t xml:space="preserve"> spatial </w:t>
      </w:r>
      <w:r w:rsidR="00455252">
        <w:rPr>
          <w:bCs/>
          <w:lang w:val="en-US"/>
        </w:rPr>
        <w:t>inequality and miss</w:t>
      </w:r>
      <w:r>
        <w:rPr>
          <w:bCs/>
          <w:lang w:val="en-US"/>
        </w:rPr>
        <w:t xml:space="preserve"> much of the intra-city heterogeneity in the brightness of lights for Jakarta.</w:t>
      </w:r>
    </w:p>
    <w:p w:rsidR="008C5881" w:rsidRDefault="008C5881" w:rsidP="00431CB2">
      <w:pPr>
        <w:spacing w:after="0" w:line="288" w:lineRule="auto"/>
        <w:ind w:firstLine="720"/>
        <w:jc w:val="both"/>
        <w:rPr>
          <w:bCs/>
          <w:lang w:val="en-AU"/>
        </w:rPr>
      </w:pPr>
    </w:p>
    <w:p w:rsidR="000053DA" w:rsidRDefault="00566FA7" w:rsidP="00431CB2">
      <w:pPr>
        <w:spacing w:after="0" w:line="288" w:lineRule="auto"/>
        <w:ind w:firstLine="720"/>
        <w:jc w:val="both"/>
        <w:rPr>
          <w:bCs/>
          <w:lang w:val="en-AU"/>
        </w:rPr>
      </w:pPr>
      <w:r>
        <w:rPr>
          <w:bCs/>
          <w:lang w:val="en-AU"/>
        </w:rPr>
        <w:t xml:space="preserve">Applied economists </w:t>
      </w:r>
      <w:r w:rsidR="00EA41A0">
        <w:rPr>
          <w:bCs/>
          <w:lang w:val="en-AU"/>
        </w:rPr>
        <w:t xml:space="preserve">face difficult choices when they want to use </w:t>
      </w:r>
      <w:r>
        <w:rPr>
          <w:bCs/>
          <w:lang w:val="en-AU"/>
        </w:rPr>
        <w:t xml:space="preserve">data on night lights. </w:t>
      </w:r>
      <w:r w:rsidR="00935460">
        <w:rPr>
          <w:bCs/>
          <w:lang w:val="en-AU"/>
        </w:rPr>
        <w:t>They can</w:t>
      </w:r>
      <w:r w:rsidR="00EA41A0">
        <w:rPr>
          <w:bCs/>
          <w:lang w:val="en-AU"/>
        </w:rPr>
        <w:t xml:space="preserve"> use the newer and better VIIRS data, but they then have a shorter time-series for relating to economic variables. </w:t>
      </w:r>
      <w:r w:rsidR="00853925">
        <w:rPr>
          <w:bCs/>
          <w:lang w:val="en-AU"/>
        </w:rPr>
        <w:t xml:space="preserve">However, that time-series will only get longer, </w:t>
      </w:r>
      <w:r w:rsidR="00B00AA3">
        <w:rPr>
          <w:bCs/>
          <w:lang w:val="en-AU"/>
        </w:rPr>
        <w:t xml:space="preserve">with launch of the </w:t>
      </w:r>
      <w:r w:rsidR="00853925">
        <w:rPr>
          <w:bCs/>
          <w:lang w:val="en-AU"/>
        </w:rPr>
        <w:t>NOAA-20</w:t>
      </w:r>
      <w:r w:rsidR="00B00AA3">
        <w:rPr>
          <w:bCs/>
          <w:lang w:val="en-AU"/>
        </w:rPr>
        <w:t xml:space="preserve"> satellite in Nov</w:t>
      </w:r>
      <w:r w:rsidR="00504D66">
        <w:rPr>
          <w:bCs/>
          <w:lang w:val="en-AU"/>
        </w:rPr>
        <w:t>ember</w:t>
      </w:r>
      <w:r w:rsidR="00B00AA3">
        <w:rPr>
          <w:bCs/>
          <w:lang w:val="en-AU"/>
        </w:rPr>
        <w:t xml:space="preserve"> 2017 – which has the identical measuring instruments as on the Suomi satellite that hosts VIIRS</w:t>
      </w:r>
      <w:r w:rsidR="00935460">
        <w:rPr>
          <w:bCs/>
          <w:lang w:val="en-AU"/>
        </w:rPr>
        <w:t>. If they, i</w:t>
      </w:r>
      <w:r w:rsidR="00EA41A0">
        <w:rPr>
          <w:bCs/>
          <w:lang w:val="en-AU"/>
        </w:rPr>
        <w:t>nstead, choose to work with DMSP data</w:t>
      </w:r>
      <w:r w:rsidR="00935460">
        <w:rPr>
          <w:bCs/>
          <w:lang w:val="en-AU"/>
        </w:rPr>
        <w:t xml:space="preserve"> in order to exploit the longer time-series, they should be aware that the flaws in these data, even when some proposed corrections are applied, may introduce substantial error into their analysis</w:t>
      </w:r>
      <w:r w:rsidR="008C5881">
        <w:rPr>
          <w:bCs/>
          <w:lang w:val="en-AU"/>
        </w:rPr>
        <w:t>.</w:t>
      </w:r>
    </w:p>
    <w:p w:rsidR="008C5881" w:rsidRDefault="008C5881" w:rsidP="00431CB2">
      <w:pPr>
        <w:spacing w:after="0" w:line="288" w:lineRule="auto"/>
        <w:ind w:firstLine="720"/>
        <w:jc w:val="both"/>
        <w:rPr>
          <w:b/>
          <w:sz w:val="28"/>
          <w:szCs w:val="28"/>
        </w:rPr>
      </w:pPr>
    </w:p>
    <w:p w:rsidR="00900838" w:rsidRDefault="00900838" w:rsidP="00AF47A8">
      <w:pPr>
        <w:spacing w:after="80" w:line="240" w:lineRule="auto"/>
        <w:jc w:val="both"/>
        <w:rPr>
          <w:b/>
        </w:rPr>
      </w:pPr>
    </w:p>
    <w:p w:rsidR="006D28EA" w:rsidRPr="00504D66" w:rsidRDefault="006D28EA" w:rsidP="00AF47A8">
      <w:pPr>
        <w:spacing w:after="80" w:line="240" w:lineRule="auto"/>
        <w:jc w:val="both"/>
        <w:rPr>
          <w:b/>
        </w:rPr>
      </w:pPr>
      <w:bookmarkStart w:id="0" w:name="_GoBack"/>
      <w:bookmarkEnd w:id="0"/>
      <w:r w:rsidRPr="00504D66">
        <w:rPr>
          <w:b/>
        </w:rPr>
        <w:t>References</w:t>
      </w:r>
    </w:p>
    <w:p w:rsidR="009760A6" w:rsidRPr="00AF47A8" w:rsidRDefault="00EA4854" w:rsidP="00530B50">
      <w:pPr>
        <w:spacing w:after="80" w:line="240" w:lineRule="auto"/>
        <w:ind w:left="567" w:hanging="567"/>
        <w:jc w:val="both"/>
        <w:rPr>
          <w:rFonts w:eastAsia="Times New Roman" w:cs="Arial"/>
          <w:sz w:val="22"/>
          <w:szCs w:val="22"/>
          <w:lang w:bidi="he-IL"/>
        </w:rPr>
      </w:pPr>
      <w:r w:rsidRPr="00AF47A8">
        <w:rPr>
          <w:rFonts w:eastAsia="Times New Roman" w:cs="Arial"/>
          <w:sz w:val="22"/>
          <w:szCs w:val="22"/>
          <w:lang w:bidi="he-IL"/>
        </w:rPr>
        <w:t xml:space="preserve">Abrahams, Alexei, </w:t>
      </w:r>
      <w:r w:rsidR="00735A9C" w:rsidRPr="00AF47A8">
        <w:rPr>
          <w:rFonts w:eastAsia="Times New Roman" w:cs="Arial"/>
          <w:sz w:val="22"/>
          <w:szCs w:val="22"/>
          <w:lang w:bidi="he-IL"/>
        </w:rPr>
        <w:t xml:space="preserve">Christopher </w:t>
      </w:r>
      <w:proofErr w:type="spellStart"/>
      <w:r w:rsidR="00735A9C" w:rsidRPr="00AF47A8">
        <w:rPr>
          <w:rFonts w:eastAsia="Times New Roman" w:cs="Arial"/>
          <w:sz w:val="22"/>
          <w:szCs w:val="22"/>
          <w:lang w:bidi="he-IL"/>
        </w:rPr>
        <w:t>Oram</w:t>
      </w:r>
      <w:proofErr w:type="spellEnd"/>
      <w:r w:rsidR="00735A9C" w:rsidRPr="00AF47A8">
        <w:rPr>
          <w:rFonts w:eastAsia="Times New Roman" w:cs="Arial"/>
          <w:sz w:val="22"/>
          <w:szCs w:val="22"/>
          <w:lang w:bidi="he-IL"/>
        </w:rPr>
        <w:t xml:space="preserve"> and Nancy Lozano-</w:t>
      </w:r>
      <w:proofErr w:type="spellStart"/>
      <w:r w:rsidR="00735A9C" w:rsidRPr="00AF47A8">
        <w:rPr>
          <w:rFonts w:eastAsia="Times New Roman" w:cs="Arial"/>
          <w:sz w:val="22"/>
          <w:szCs w:val="22"/>
          <w:lang w:bidi="he-IL"/>
        </w:rPr>
        <w:t>Gracia</w:t>
      </w:r>
      <w:proofErr w:type="spellEnd"/>
      <w:r w:rsidR="00735A9C" w:rsidRPr="00AF47A8">
        <w:rPr>
          <w:rFonts w:eastAsia="Times New Roman" w:cs="Arial"/>
          <w:sz w:val="22"/>
          <w:szCs w:val="22"/>
          <w:lang w:bidi="he-IL"/>
        </w:rPr>
        <w:t xml:space="preserve"> (2018</w:t>
      </w:r>
      <w:r w:rsidRPr="00AF47A8">
        <w:rPr>
          <w:rFonts w:eastAsia="Times New Roman" w:cs="Arial"/>
          <w:sz w:val="22"/>
          <w:szCs w:val="22"/>
          <w:lang w:bidi="he-IL"/>
        </w:rPr>
        <w:t xml:space="preserve">) </w:t>
      </w:r>
      <w:r w:rsidR="00735A9C" w:rsidRPr="00AF47A8">
        <w:rPr>
          <w:rFonts w:eastAsia="Times New Roman" w:cs="Arial"/>
          <w:sz w:val="22"/>
          <w:szCs w:val="22"/>
          <w:lang w:bidi="he-IL"/>
        </w:rPr>
        <w:t>Deblurring DMSP night</w:t>
      </w:r>
      <w:r w:rsidR="00047C60" w:rsidRPr="00AF47A8">
        <w:rPr>
          <w:rFonts w:eastAsia="Times New Roman" w:cs="Arial"/>
          <w:sz w:val="22"/>
          <w:szCs w:val="22"/>
          <w:lang w:bidi="he-IL"/>
        </w:rPr>
        <w:t>-</w:t>
      </w:r>
      <w:r w:rsidR="00735A9C" w:rsidRPr="00AF47A8">
        <w:rPr>
          <w:rFonts w:eastAsia="Times New Roman" w:cs="Arial"/>
          <w:sz w:val="22"/>
          <w:szCs w:val="22"/>
          <w:lang w:bidi="he-IL"/>
        </w:rPr>
        <w:t xml:space="preserve">time lights: A new method using Gaussian filters and frequencies of illumination. </w:t>
      </w:r>
      <w:r w:rsidR="00735A9C" w:rsidRPr="00AF47A8">
        <w:rPr>
          <w:rFonts w:eastAsia="Times New Roman" w:cs="Arial"/>
          <w:i/>
          <w:iCs/>
          <w:sz w:val="22"/>
          <w:szCs w:val="22"/>
          <w:lang w:bidi="he-IL"/>
        </w:rPr>
        <w:t>Remote Sensing of Environment</w:t>
      </w:r>
      <w:r w:rsidR="00735A9C" w:rsidRPr="00AF47A8">
        <w:rPr>
          <w:rFonts w:eastAsia="Times New Roman" w:cs="Arial"/>
          <w:sz w:val="22"/>
          <w:szCs w:val="22"/>
          <w:lang w:bidi="he-IL"/>
        </w:rPr>
        <w:t xml:space="preserve"> 210(1): 242-258.</w:t>
      </w:r>
    </w:p>
    <w:p w:rsidR="00EA4854" w:rsidRPr="00AF47A8" w:rsidRDefault="009760A6" w:rsidP="00530B50">
      <w:pPr>
        <w:spacing w:after="80" w:line="240" w:lineRule="auto"/>
        <w:ind w:left="567" w:hanging="567"/>
        <w:jc w:val="both"/>
        <w:rPr>
          <w:rFonts w:eastAsia="Times New Roman" w:cs="Arial"/>
          <w:sz w:val="22"/>
          <w:szCs w:val="22"/>
          <w:lang w:bidi="he-IL"/>
        </w:rPr>
      </w:pPr>
      <w:r w:rsidRPr="00AF47A8">
        <w:rPr>
          <w:rFonts w:eastAsia="Times New Roman" w:cs="Arial"/>
          <w:sz w:val="22"/>
          <w:szCs w:val="22"/>
          <w:lang w:bidi="he-IL"/>
        </w:rPr>
        <w:t>Addison, Douglas, and Benjamin Stewart (2015) Night time lights revisited: The use of night time lights data as a proxy for economic variables. </w:t>
      </w:r>
      <w:r w:rsidRPr="00AF47A8">
        <w:rPr>
          <w:rFonts w:eastAsia="Times New Roman" w:cs="Arial"/>
          <w:i/>
          <w:iCs/>
          <w:sz w:val="22"/>
          <w:szCs w:val="22"/>
          <w:lang w:bidi="he-IL"/>
        </w:rPr>
        <w:t>World Bank Policy Research Working Paper</w:t>
      </w:r>
      <w:r w:rsidRPr="00AF47A8">
        <w:rPr>
          <w:rFonts w:eastAsia="Times New Roman" w:cs="Arial"/>
          <w:sz w:val="22"/>
          <w:szCs w:val="22"/>
          <w:lang w:bidi="he-IL"/>
        </w:rPr>
        <w:t> No. 7496.</w:t>
      </w:r>
      <w:r w:rsidR="00EA4854" w:rsidRPr="00AF47A8">
        <w:rPr>
          <w:rFonts w:eastAsia="Times New Roman" w:cs="Arial"/>
          <w:sz w:val="22"/>
          <w:szCs w:val="22"/>
          <w:lang w:bidi="he-IL"/>
        </w:rPr>
        <w:t xml:space="preserve"> </w:t>
      </w:r>
    </w:p>
    <w:p w:rsidR="00CD1075" w:rsidRPr="00AF47A8" w:rsidRDefault="00CD1075" w:rsidP="00530B50">
      <w:pPr>
        <w:spacing w:after="120" w:line="240" w:lineRule="auto"/>
        <w:ind w:left="567" w:hanging="567"/>
        <w:jc w:val="both"/>
        <w:rPr>
          <w:rFonts w:eastAsia="Times New Roman" w:cs="Arial"/>
          <w:sz w:val="22"/>
          <w:szCs w:val="22"/>
          <w:lang w:bidi="he-IL"/>
        </w:rPr>
      </w:pPr>
      <w:r w:rsidRPr="00AF47A8">
        <w:rPr>
          <w:rFonts w:eastAsia="Times New Roman" w:cs="Arial"/>
          <w:sz w:val="22"/>
          <w:szCs w:val="22"/>
          <w:lang w:bidi="he-IL"/>
        </w:rPr>
        <w:t xml:space="preserve">Andersson, Magnus, Ola Hall and Maria </w:t>
      </w:r>
      <w:proofErr w:type="spellStart"/>
      <w:r w:rsidRPr="00AF47A8">
        <w:rPr>
          <w:rFonts w:eastAsia="Times New Roman" w:cs="Arial"/>
          <w:sz w:val="22"/>
          <w:szCs w:val="22"/>
          <w:lang w:bidi="he-IL"/>
        </w:rPr>
        <w:t>Archila</w:t>
      </w:r>
      <w:proofErr w:type="spellEnd"/>
      <w:r w:rsidRPr="00AF47A8">
        <w:rPr>
          <w:rFonts w:eastAsia="Times New Roman" w:cs="Arial"/>
          <w:sz w:val="22"/>
          <w:szCs w:val="22"/>
          <w:lang w:bidi="he-IL"/>
        </w:rPr>
        <w:t xml:space="preserve"> (2019) How data poor countries remain data poor: Underestimation of human settlements in Burkina Faso as observed from night time lights data. </w:t>
      </w:r>
      <w:r w:rsidR="00455252">
        <w:rPr>
          <w:rFonts w:eastAsia="Times New Roman" w:cs="Arial"/>
          <w:i/>
          <w:iCs/>
          <w:sz w:val="22"/>
          <w:szCs w:val="22"/>
          <w:lang w:bidi="he-IL"/>
        </w:rPr>
        <w:t>Mimeo</w:t>
      </w:r>
    </w:p>
    <w:p w:rsidR="00D92CF8" w:rsidRPr="00AF47A8" w:rsidRDefault="00D92CF8" w:rsidP="00530B50">
      <w:pPr>
        <w:spacing w:after="80" w:line="240" w:lineRule="auto"/>
        <w:ind w:left="567" w:hanging="567"/>
        <w:jc w:val="both"/>
        <w:rPr>
          <w:rFonts w:eastAsia="Times New Roman" w:cs="Arial"/>
          <w:sz w:val="22"/>
          <w:szCs w:val="22"/>
          <w:lang w:bidi="he-IL"/>
        </w:rPr>
      </w:pPr>
      <w:proofErr w:type="spellStart"/>
      <w:r w:rsidRPr="00AF47A8">
        <w:rPr>
          <w:rFonts w:eastAsia="Times New Roman" w:cs="Arial"/>
          <w:sz w:val="22"/>
          <w:szCs w:val="22"/>
          <w:lang w:bidi="he-IL"/>
        </w:rPr>
        <w:t>Bickenbach</w:t>
      </w:r>
      <w:proofErr w:type="spellEnd"/>
      <w:r w:rsidRPr="00AF47A8">
        <w:rPr>
          <w:rFonts w:eastAsia="Times New Roman" w:cs="Arial"/>
          <w:sz w:val="22"/>
          <w:szCs w:val="22"/>
          <w:lang w:bidi="he-IL"/>
        </w:rPr>
        <w:t xml:space="preserve">, Frank, Eckhardt Bode, Peter </w:t>
      </w:r>
      <w:proofErr w:type="spellStart"/>
      <w:r w:rsidRPr="00AF47A8">
        <w:rPr>
          <w:rFonts w:eastAsia="Times New Roman" w:cs="Arial"/>
          <w:sz w:val="22"/>
          <w:szCs w:val="22"/>
          <w:lang w:bidi="he-IL"/>
        </w:rPr>
        <w:t>Nunnenkamp</w:t>
      </w:r>
      <w:proofErr w:type="spellEnd"/>
      <w:r w:rsidRPr="00AF47A8">
        <w:rPr>
          <w:rFonts w:eastAsia="Times New Roman" w:cs="Arial"/>
          <w:sz w:val="22"/>
          <w:szCs w:val="22"/>
          <w:lang w:bidi="he-IL"/>
        </w:rPr>
        <w:t xml:space="preserve">, and </w:t>
      </w:r>
      <w:proofErr w:type="spellStart"/>
      <w:r w:rsidRPr="00AF47A8">
        <w:rPr>
          <w:rFonts w:eastAsia="Times New Roman" w:cs="Arial"/>
          <w:sz w:val="22"/>
          <w:szCs w:val="22"/>
          <w:lang w:bidi="he-IL"/>
        </w:rPr>
        <w:t>Mareike</w:t>
      </w:r>
      <w:proofErr w:type="spellEnd"/>
      <w:r w:rsidRPr="00AF47A8">
        <w:rPr>
          <w:rFonts w:eastAsia="Times New Roman" w:cs="Arial"/>
          <w:sz w:val="22"/>
          <w:szCs w:val="22"/>
          <w:lang w:bidi="he-IL"/>
        </w:rPr>
        <w:t xml:space="preserve"> </w:t>
      </w:r>
      <w:proofErr w:type="spellStart"/>
      <w:r w:rsidRPr="00AF47A8">
        <w:rPr>
          <w:rFonts w:eastAsia="Times New Roman" w:cs="Arial"/>
          <w:sz w:val="22"/>
          <w:szCs w:val="22"/>
          <w:lang w:bidi="he-IL"/>
        </w:rPr>
        <w:t>Söder</w:t>
      </w:r>
      <w:proofErr w:type="spellEnd"/>
      <w:r w:rsidRPr="00AF47A8">
        <w:rPr>
          <w:rFonts w:eastAsia="Times New Roman" w:cs="Arial"/>
          <w:sz w:val="22"/>
          <w:szCs w:val="22"/>
          <w:lang w:bidi="he-IL"/>
        </w:rPr>
        <w:t xml:space="preserve"> (2016) Night lights and regional GDP. </w:t>
      </w:r>
      <w:r w:rsidRPr="00AF47A8">
        <w:rPr>
          <w:rFonts w:eastAsia="Times New Roman" w:cs="Arial"/>
          <w:i/>
          <w:iCs/>
          <w:sz w:val="22"/>
          <w:szCs w:val="22"/>
          <w:lang w:bidi="he-IL"/>
        </w:rPr>
        <w:t>Review of World Economics</w:t>
      </w:r>
      <w:r w:rsidRPr="00AF47A8">
        <w:rPr>
          <w:rFonts w:eastAsia="Times New Roman" w:cs="Arial"/>
          <w:sz w:val="22"/>
          <w:szCs w:val="22"/>
          <w:lang w:bidi="he-IL"/>
        </w:rPr>
        <w:t> 152(2): 425-447.</w:t>
      </w:r>
    </w:p>
    <w:p w:rsidR="004A3EAC" w:rsidRPr="00AF47A8" w:rsidRDefault="004A3EAC" w:rsidP="00530B50">
      <w:pPr>
        <w:spacing w:after="80" w:line="240" w:lineRule="auto"/>
        <w:ind w:left="567" w:hanging="567"/>
        <w:jc w:val="both"/>
        <w:rPr>
          <w:rFonts w:eastAsia="Times New Roman" w:cs="Arial"/>
          <w:sz w:val="22"/>
          <w:szCs w:val="22"/>
          <w:lang w:bidi="he-IL"/>
        </w:rPr>
      </w:pPr>
      <w:r w:rsidRPr="00AF47A8">
        <w:rPr>
          <w:rFonts w:eastAsia="Times New Roman" w:cs="Arial"/>
          <w:sz w:val="22"/>
          <w:szCs w:val="22"/>
          <w:lang w:bidi="he-IL"/>
        </w:rPr>
        <w:t>Bluhm</w:t>
      </w:r>
      <w:r w:rsidR="00007A41" w:rsidRPr="00AF47A8">
        <w:rPr>
          <w:rFonts w:eastAsia="Times New Roman" w:cs="Arial"/>
          <w:sz w:val="22"/>
          <w:szCs w:val="22"/>
          <w:lang w:bidi="he-IL"/>
        </w:rPr>
        <w:t>, Richard, and Melanie Krause (2018) Top l</w:t>
      </w:r>
      <w:r w:rsidRPr="00AF47A8">
        <w:rPr>
          <w:rFonts w:eastAsia="Times New Roman" w:cs="Arial"/>
          <w:sz w:val="22"/>
          <w:szCs w:val="22"/>
          <w:lang w:bidi="he-IL"/>
        </w:rPr>
        <w:t>ights</w:t>
      </w:r>
      <w:r w:rsidR="00007A41" w:rsidRPr="00AF47A8">
        <w:rPr>
          <w:rFonts w:eastAsia="Times New Roman" w:cs="Arial"/>
          <w:sz w:val="22"/>
          <w:szCs w:val="22"/>
          <w:lang w:bidi="he-IL"/>
        </w:rPr>
        <w:t xml:space="preserve"> </w:t>
      </w:r>
      <w:r w:rsidRPr="00AF47A8">
        <w:rPr>
          <w:rFonts w:eastAsia="Times New Roman" w:cs="Arial"/>
          <w:sz w:val="22"/>
          <w:szCs w:val="22"/>
          <w:lang w:bidi="he-IL"/>
        </w:rPr>
        <w:t>-</w:t>
      </w:r>
      <w:r w:rsidR="00007A41" w:rsidRPr="00AF47A8">
        <w:rPr>
          <w:rFonts w:eastAsia="Times New Roman" w:cs="Arial"/>
          <w:sz w:val="22"/>
          <w:szCs w:val="22"/>
          <w:lang w:bidi="he-IL"/>
        </w:rPr>
        <w:t xml:space="preserve"> bright cities and </w:t>
      </w:r>
      <w:r w:rsidR="00A3690A" w:rsidRPr="00AF47A8">
        <w:rPr>
          <w:rFonts w:eastAsia="Times New Roman" w:cs="Arial"/>
          <w:sz w:val="22"/>
          <w:szCs w:val="22"/>
          <w:lang w:bidi="he-IL"/>
        </w:rPr>
        <w:t>their contribution to economic d</w:t>
      </w:r>
      <w:r w:rsidR="00007A41" w:rsidRPr="00AF47A8">
        <w:rPr>
          <w:rFonts w:eastAsia="Times New Roman" w:cs="Arial"/>
          <w:sz w:val="22"/>
          <w:szCs w:val="22"/>
          <w:lang w:bidi="he-IL"/>
        </w:rPr>
        <w:t xml:space="preserve">evelopment. </w:t>
      </w:r>
      <w:proofErr w:type="spellStart"/>
      <w:r w:rsidR="00007A41" w:rsidRPr="00AF47A8">
        <w:rPr>
          <w:rFonts w:eastAsia="Times New Roman" w:cs="Arial"/>
          <w:i/>
          <w:iCs/>
          <w:sz w:val="22"/>
          <w:szCs w:val="22"/>
          <w:lang w:bidi="he-IL"/>
        </w:rPr>
        <w:t>CESifo</w:t>
      </w:r>
      <w:proofErr w:type="spellEnd"/>
      <w:r w:rsidR="00007A41" w:rsidRPr="00AF47A8">
        <w:rPr>
          <w:rFonts w:eastAsia="Times New Roman" w:cs="Arial"/>
          <w:i/>
          <w:iCs/>
          <w:sz w:val="22"/>
          <w:szCs w:val="22"/>
          <w:lang w:bidi="he-IL"/>
        </w:rPr>
        <w:t xml:space="preserve"> Working Paper </w:t>
      </w:r>
      <w:r w:rsidR="00007A41" w:rsidRPr="00AF47A8">
        <w:rPr>
          <w:rFonts w:eastAsia="Times New Roman" w:cs="Arial"/>
          <w:sz w:val="22"/>
          <w:szCs w:val="22"/>
          <w:lang w:bidi="he-IL"/>
        </w:rPr>
        <w:t>No. 7411.</w:t>
      </w:r>
    </w:p>
    <w:p w:rsidR="00C27525" w:rsidRPr="00AF47A8" w:rsidRDefault="00C27525" w:rsidP="00530B50">
      <w:pPr>
        <w:spacing w:after="80" w:line="240" w:lineRule="auto"/>
        <w:ind w:left="567" w:hanging="567"/>
        <w:jc w:val="both"/>
        <w:rPr>
          <w:rFonts w:eastAsia="Times New Roman" w:cs="Arial"/>
          <w:sz w:val="22"/>
          <w:szCs w:val="22"/>
          <w:lang w:bidi="he-IL"/>
        </w:rPr>
      </w:pPr>
      <w:r w:rsidRPr="00AF47A8">
        <w:rPr>
          <w:rFonts w:eastAsia="Times New Roman" w:cs="Arial"/>
          <w:sz w:val="22"/>
          <w:szCs w:val="22"/>
          <w:lang w:bidi="he-IL"/>
        </w:rPr>
        <w:t>Chen, Xi, and William Nordhaus (2011) Using luminosity data as a proxy for economic statistics. </w:t>
      </w:r>
      <w:r w:rsidRPr="00AF47A8">
        <w:rPr>
          <w:rFonts w:eastAsia="Times New Roman" w:cs="Arial"/>
          <w:i/>
          <w:iCs/>
          <w:sz w:val="22"/>
          <w:szCs w:val="22"/>
          <w:lang w:bidi="he-IL"/>
        </w:rPr>
        <w:t>Proceedings of the National Academy of Sciences</w:t>
      </w:r>
      <w:r w:rsidRPr="00AF47A8">
        <w:rPr>
          <w:rFonts w:eastAsia="Times New Roman" w:cs="Arial"/>
          <w:sz w:val="22"/>
          <w:szCs w:val="22"/>
          <w:lang w:bidi="he-IL"/>
        </w:rPr>
        <w:t> 108(21): 8589-8594.</w:t>
      </w:r>
    </w:p>
    <w:p w:rsidR="004E6525" w:rsidRPr="00AF47A8" w:rsidRDefault="004E6525" w:rsidP="00530B50">
      <w:pPr>
        <w:spacing w:after="80" w:line="240" w:lineRule="auto"/>
        <w:ind w:left="567" w:hanging="567"/>
        <w:jc w:val="both"/>
        <w:rPr>
          <w:rFonts w:eastAsia="Times New Roman" w:cs="Arial"/>
          <w:sz w:val="22"/>
          <w:szCs w:val="22"/>
          <w:lang w:bidi="he-IL"/>
        </w:rPr>
      </w:pPr>
      <w:r w:rsidRPr="00AF47A8">
        <w:rPr>
          <w:rFonts w:eastAsia="Times New Roman" w:cs="Arial"/>
          <w:sz w:val="22"/>
          <w:szCs w:val="22"/>
          <w:lang w:bidi="he-IL"/>
        </w:rPr>
        <w:t>Chen, Xi, and William Nordhaus (2015) A test of the new VIIRS lights data set: Population and economic output in Africa. </w:t>
      </w:r>
      <w:r w:rsidRPr="00AF47A8">
        <w:rPr>
          <w:rFonts w:eastAsia="Times New Roman" w:cs="Arial"/>
          <w:i/>
          <w:iCs/>
          <w:sz w:val="22"/>
          <w:szCs w:val="22"/>
          <w:lang w:bidi="he-IL"/>
        </w:rPr>
        <w:t>Remote Sensing</w:t>
      </w:r>
      <w:r w:rsidRPr="00AF47A8">
        <w:rPr>
          <w:rFonts w:eastAsia="Times New Roman" w:cs="Arial"/>
          <w:sz w:val="22"/>
          <w:szCs w:val="22"/>
          <w:lang w:bidi="he-IL"/>
        </w:rPr>
        <w:t> 7(4): 4937-4947.</w:t>
      </w:r>
    </w:p>
    <w:p w:rsidR="00A15972" w:rsidRPr="00AF47A8" w:rsidRDefault="00A15972" w:rsidP="00530B50">
      <w:pPr>
        <w:spacing w:after="80" w:line="240" w:lineRule="auto"/>
        <w:ind w:left="567" w:hanging="567"/>
        <w:jc w:val="both"/>
        <w:rPr>
          <w:rFonts w:eastAsia="Times New Roman" w:cs="Arial"/>
          <w:sz w:val="22"/>
          <w:szCs w:val="22"/>
          <w:lang w:bidi="he-IL"/>
        </w:rPr>
      </w:pPr>
      <w:r w:rsidRPr="00AF47A8">
        <w:rPr>
          <w:rFonts w:eastAsia="Times New Roman" w:cs="Arial"/>
          <w:sz w:val="22"/>
          <w:szCs w:val="22"/>
          <w:lang w:bidi="he-IL"/>
        </w:rPr>
        <w:t>Chen, Xi, and William Nordhaus (2019) VIIRS night time lights in the estimation of cross-sectional and time-series GDP. </w:t>
      </w:r>
      <w:r w:rsidRPr="00AF47A8">
        <w:rPr>
          <w:rFonts w:eastAsia="Times New Roman" w:cs="Arial"/>
          <w:i/>
          <w:iCs/>
          <w:sz w:val="22"/>
          <w:szCs w:val="22"/>
          <w:lang w:bidi="he-IL"/>
        </w:rPr>
        <w:t>Remote Sensing</w:t>
      </w:r>
      <w:r w:rsidRPr="00AF47A8">
        <w:rPr>
          <w:rFonts w:eastAsia="Times New Roman" w:cs="Arial"/>
          <w:sz w:val="22"/>
          <w:szCs w:val="22"/>
          <w:lang w:bidi="he-IL"/>
        </w:rPr>
        <w:t> 11(9): 1057-1068.</w:t>
      </w:r>
    </w:p>
    <w:p w:rsidR="008B0E66" w:rsidRPr="00AF47A8" w:rsidRDefault="008B0E66" w:rsidP="00530B50">
      <w:pPr>
        <w:spacing w:after="80" w:line="240" w:lineRule="auto"/>
        <w:ind w:left="567" w:hanging="567"/>
        <w:jc w:val="both"/>
        <w:rPr>
          <w:rFonts w:eastAsia="Times New Roman" w:cs="Arial"/>
          <w:sz w:val="22"/>
          <w:szCs w:val="22"/>
          <w:lang w:val="en-US" w:bidi="he-IL"/>
        </w:rPr>
      </w:pPr>
      <w:proofErr w:type="spellStart"/>
      <w:r w:rsidRPr="00AF47A8">
        <w:rPr>
          <w:rFonts w:eastAsia="Times New Roman" w:cs="Arial"/>
          <w:sz w:val="22"/>
          <w:szCs w:val="22"/>
          <w:lang w:bidi="he-IL"/>
        </w:rPr>
        <w:t>Elvidge</w:t>
      </w:r>
      <w:proofErr w:type="spellEnd"/>
      <w:r w:rsidRPr="00AF47A8">
        <w:rPr>
          <w:rFonts w:eastAsia="Times New Roman" w:cs="Arial"/>
          <w:sz w:val="22"/>
          <w:szCs w:val="22"/>
          <w:lang w:bidi="he-IL"/>
        </w:rPr>
        <w:t xml:space="preserve">, Christopher, Kimberly Baugh, Mikhail </w:t>
      </w:r>
      <w:proofErr w:type="spellStart"/>
      <w:r w:rsidRPr="00AF47A8">
        <w:rPr>
          <w:rFonts w:eastAsia="Times New Roman" w:cs="Arial"/>
          <w:sz w:val="22"/>
          <w:szCs w:val="22"/>
          <w:lang w:bidi="he-IL"/>
        </w:rPr>
        <w:t>Zhizhin</w:t>
      </w:r>
      <w:proofErr w:type="spellEnd"/>
      <w:r w:rsidRPr="00AF47A8">
        <w:rPr>
          <w:rFonts w:eastAsia="Times New Roman" w:cs="Arial"/>
          <w:sz w:val="22"/>
          <w:szCs w:val="22"/>
          <w:lang w:bidi="he-IL"/>
        </w:rPr>
        <w:t xml:space="preserve">, and Feng-Chi Hsu (2013) Why VIIRS data are superior to DMSP for mapping night time lights. </w:t>
      </w:r>
      <w:r w:rsidRPr="00AF47A8">
        <w:rPr>
          <w:rFonts w:eastAsia="Times New Roman" w:cs="Arial"/>
          <w:i/>
          <w:iCs/>
          <w:sz w:val="22"/>
          <w:szCs w:val="22"/>
          <w:lang w:bidi="he-IL"/>
        </w:rPr>
        <w:t>Proceedings of the Asia-Pacific Advanced Network</w:t>
      </w:r>
      <w:r w:rsidRPr="00AF47A8">
        <w:rPr>
          <w:rFonts w:eastAsia="Times New Roman" w:cs="Arial"/>
          <w:sz w:val="22"/>
          <w:szCs w:val="22"/>
          <w:lang w:bidi="he-IL"/>
        </w:rPr>
        <w:t> 35(1): 62-69.</w:t>
      </w:r>
    </w:p>
    <w:p w:rsidR="00070934" w:rsidRPr="00AF47A8" w:rsidRDefault="00070934" w:rsidP="00530B50">
      <w:pPr>
        <w:tabs>
          <w:tab w:val="left" w:pos="-1440"/>
          <w:tab w:val="left" w:pos="-720"/>
          <w:tab w:val="left" w:pos="0"/>
          <w:tab w:val="left" w:pos="720"/>
          <w:tab w:val="left" w:pos="1440"/>
          <w:tab w:val="left" w:pos="2160"/>
          <w:tab w:val="left" w:pos="2995"/>
          <w:tab w:val="left" w:pos="3600"/>
        </w:tabs>
        <w:suppressAutoHyphens/>
        <w:spacing w:after="80" w:line="240" w:lineRule="auto"/>
        <w:ind w:left="567" w:hanging="567"/>
        <w:jc w:val="both"/>
        <w:rPr>
          <w:rFonts w:eastAsia="Batang"/>
          <w:sz w:val="22"/>
          <w:szCs w:val="22"/>
          <w:lang w:val="en-US"/>
        </w:rPr>
      </w:pPr>
      <w:r w:rsidRPr="00AF47A8">
        <w:rPr>
          <w:rFonts w:eastAsia="Batang"/>
          <w:sz w:val="22"/>
          <w:szCs w:val="22"/>
          <w:lang w:val="en-US"/>
        </w:rPr>
        <w:t xml:space="preserve">Gibson, John, Susan Olivia and </w:t>
      </w:r>
      <w:proofErr w:type="spellStart"/>
      <w:r w:rsidRPr="00AF47A8">
        <w:rPr>
          <w:rFonts w:eastAsia="Batang"/>
          <w:sz w:val="22"/>
          <w:szCs w:val="22"/>
          <w:lang w:val="en-US"/>
        </w:rPr>
        <w:t>Geua</w:t>
      </w:r>
      <w:proofErr w:type="spellEnd"/>
      <w:r w:rsidRPr="00AF47A8">
        <w:rPr>
          <w:rFonts w:eastAsia="Batang"/>
          <w:sz w:val="22"/>
          <w:szCs w:val="22"/>
          <w:lang w:val="en-US"/>
        </w:rPr>
        <w:t xml:space="preserve"> </w:t>
      </w:r>
      <w:proofErr w:type="spellStart"/>
      <w:r w:rsidRPr="00AF47A8">
        <w:rPr>
          <w:rFonts w:eastAsia="Batang"/>
          <w:sz w:val="22"/>
          <w:szCs w:val="22"/>
          <w:lang w:val="en-US"/>
        </w:rPr>
        <w:t>Boe</w:t>
      </w:r>
      <w:proofErr w:type="spellEnd"/>
      <w:r w:rsidRPr="00AF47A8">
        <w:rPr>
          <w:rFonts w:eastAsia="Batang"/>
          <w:sz w:val="22"/>
          <w:szCs w:val="22"/>
          <w:lang w:val="en-US"/>
        </w:rPr>
        <w:t xml:space="preserve">-Gibson (2019) Night lights in economics: Sources and uses. </w:t>
      </w:r>
      <w:r w:rsidRPr="00AF47A8">
        <w:rPr>
          <w:rFonts w:eastAsia="Batang"/>
          <w:i/>
          <w:iCs/>
          <w:sz w:val="22"/>
          <w:szCs w:val="22"/>
          <w:lang w:val="en-US"/>
        </w:rPr>
        <w:t>Mimeo</w:t>
      </w:r>
      <w:r w:rsidR="00EA273E" w:rsidRPr="00AF47A8">
        <w:rPr>
          <w:rFonts w:eastAsia="Batang"/>
          <w:sz w:val="22"/>
          <w:szCs w:val="22"/>
          <w:lang w:val="en-US"/>
        </w:rPr>
        <w:t xml:space="preserve"> University of Oxford.</w:t>
      </w:r>
    </w:p>
    <w:p w:rsidR="00AF33F8" w:rsidRPr="00AF47A8" w:rsidRDefault="00AF33F8" w:rsidP="00530B50">
      <w:pPr>
        <w:tabs>
          <w:tab w:val="left" w:pos="-1440"/>
          <w:tab w:val="left" w:pos="-720"/>
          <w:tab w:val="left" w:pos="0"/>
          <w:tab w:val="left" w:pos="720"/>
          <w:tab w:val="left" w:pos="1440"/>
          <w:tab w:val="left" w:pos="2160"/>
          <w:tab w:val="left" w:pos="2995"/>
          <w:tab w:val="left" w:pos="3600"/>
        </w:tabs>
        <w:suppressAutoHyphens/>
        <w:spacing w:after="80" w:line="240" w:lineRule="auto"/>
        <w:ind w:left="567" w:hanging="567"/>
        <w:jc w:val="both"/>
        <w:rPr>
          <w:rFonts w:eastAsia="Batang"/>
          <w:sz w:val="22"/>
          <w:szCs w:val="22"/>
          <w:lang w:val="en-US"/>
        </w:rPr>
      </w:pPr>
      <w:r w:rsidRPr="00AF47A8">
        <w:rPr>
          <w:rFonts w:eastAsia="Batang"/>
          <w:sz w:val="22"/>
          <w:szCs w:val="22"/>
          <w:lang w:val="en-US"/>
        </w:rPr>
        <w:lastRenderedPageBreak/>
        <w:t xml:space="preserve">Gibson, John, Gaurav </w:t>
      </w:r>
      <w:proofErr w:type="spellStart"/>
      <w:r w:rsidRPr="00AF47A8">
        <w:rPr>
          <w:rFonts w:eastAsia="Batang"/>
          <w:sz w:val="22"/>
          <w:szCs w:val="22"/>
          <w:lang w:val="en-US"/>
        </w:rPr>
        <w:t>Datt</w:t>
      </w:r>
      <w:proofErr w:type="spellEnd"/>
      <w:r w:rsidRPr="00AF47A8">
        <w:rPr>
          <w:rFonts w:eastAsia="Batang"/>
          <w:sz w:val="22"/>
          <w:szCs w:val="22"/>
          <w:lang w:val="en-US"/>
        </w:rPr>
        <w:t xml:space="preserve">, Rinku </w:t>
      </w:r>
      <w:proofErr w:type="spellStart"/>
      <w:r w:rsidRPr="00AF47A8">
        <w:rPr>
          <w:rFonts w:eastAsia="Batang"/>
          <w:sz w:val="22"/>
          <w:szCs w:val="22"/>
          <w:lang w:val="en-US"/>
        </w:rPr>
        <w:t>Murgai</w:t>
      </w:r>
      <w:proofErr w:type="spellEnd"/>
      <w:r w:rsidRPr="00AF47A8">
        <w:rPr>
          <w:rFonts w:eastAsia="Batang"/>
          <w:sz w:val="22"/>
          <w:szCs w:val="22"/>
          <w:lang w:val="en-US"/>
        </w:rPr>
        <w:t xml:space="preserve"> and Martin </w:t>
      </w:r>
      <w:proofErr w:type="spellStart"/>
      <w:r w:rsidRPr="00AF47A8">
        <w:rPr>
          <w:rFonts w:eastAsia="Batang"/>
          <w:sz w:val="22"/>
          <w:szCs w:val="22"/>
          <w:lang w:val="en-US"/>
        </w:rPr>
        <w:t>Ravallion</w:t>
      </w:r>
      <w:proofErr w:type="spellEnd"/>
      <w:r w:rsidRPr="00AF47A8">
        <w:rPr>
          <w:rFonts w:eastAsia="Batang"/>
          <w:sz w:val="22"/>
          <w:szCs w:val="22"/>
          <w:lang w:val="en-US"/>
        </w:rPr>
        <w:t xml:space="preserve"> (2017) For India’s rural poor, growing towns matter more than growing cities. </w:t>
      </w:r>
      <w:r w:rsidRPr="00AF47A8">
        <w:rPr>
          <w:rFonts w:eastAsia="Batang"/>
          <w:i/>
          <w:iCs/>
          <w:sz w:val="22"/>
          <w:szCs w:val="22"/>
          <w:lang w:val="en-US"/>
        </w:rPr>
        <w:t>World Development</w:t>
      </w:r>
      <w:r w:rsidRPr="00AF47A8">
        <w:rPr>
          <w:rFonts w:eastAsia="Batang"/>
          <w:sz w:val="22"/>
          <w:szCs w:val="22"/>
          <w:lang w:val="en-US"/>
        </w:rPr>
        <w:t xml:space="preserve"> 98(1): 413-429.</w:t>
      </w:r>
    </w:p>
    <w:p w:rsidR="004D26F5" w:rsidRPr="00AF47A8" w:rsidRDefault="000F1892" w:rsidP="00530B50">
      <w:pPr>
        <w:tabs>
          <w:tab w:val="left" w:pos="-1440"/>
          <w:tab w:val="left" w:pos="-720"/>
          <w:tab w:val="left" w:pos="0"/>
          <w:tab w:val="left" w:pos="720"/>
          <w:tab w:val="left" w:pos="1440"/>
          <w:tab w:val="left" w:pos="2160"/>
          <w:tab w:val="left" w:pos="2995"/>
          <w:tab w:val="left" w:pos="3600"/>
        </w:tabs>
        <w:suppressAutoHyphens/>
        <w:spacing w:after="80" w:line="240" w:lineRule="auto"/>
        <w:ind w:left="567" w:hanging="567"/>
        <w:jc w:val="both"/>
        <w:rPr>
          <w:rFonts w:eastAsia="Batang"/>
          <w:sz w:val="22"/>
          <w:szCs w:val="22"/>
        </w:rPr>
      </w:pPr>
      <w:r w:rsidRPr="00AF47A8">
        <w:rPr>
          <w:rFonts w:eastAsia="Batang"/>
          <w:sz w:val="22"/>
          <w:szCs w:val="22"/>
        </w:rPr>
        <w:t xml:space="preserve">Henderson, </w:t>
      </w:r>
      <w:r w:rsidR="004D26F5" w:rsidRPr="00AF47A8">
        <w:rPr>
          <w:rFonts w:eastAsia="Batang"/>
          <w:sz w:val="22"/>
          <w:szCs w:val="22"/>
        </w:rPr>
        <w:t xml:space="preserve">Vernon, Adam </w:t>
      </w:r>
      <w:proofErr w:type="spellStart"/>
      <w:r w:rsidR="004D26F5" w:rsidRPr="00AF47A8">
        <w:rPr>
          <w:rFonts w:eastAsia="Batang"/>
          <w:sz w:val="22"/>
          <w:szCs w:val="22"/>
        </w:rPr>
        <w:t>Storeygard</w:t>
      </w:r>
      <w:proofErr w:type="spellEnd"/>
      <w:r w:rsidR="004D26F5" w:rsidRPr="00AF47A8">
        <w:rPr>
          <w:rFonts w:eastAsia="Batang"/>
          <w:sz w:val="22"/>
          <w:szCs w:val="22"/>
        </w:rPr>
        <w:t>, and David Weil (2012) Measuring economic growth from outer space. </w:t>
      </w:r>
      <w:r w:rsidR="004D26F5" w:rsidRPr="00AF47A8">
        <w:rPr>
          <w:rFonts w:eastAsia="Batang"/>
          <w:i/>
          <w:iCs/>
          <w:sz w:val="22"/>
          <w:szCs w:val="22"/>
        </w:rPr>
        <w:t>American Economic Review</w:t>
      </w:r>
      <w:r w:rsidR="004D26F5" w:rsidRPr="00AF47A8">
        <w:rPr>
          <w:rFonts w:eastAsia="Batang"/>
          <w:sz w:val="22"/>
          <w:szCs w:val="22"/>
        </w:rPr>
        <w:t> 102(2): 994-1028.</w:t>
      </w:r>
    </w:p>
    <w:p w:rsidR="00F327D7" w:rsidRPr="00AF47A8" w:rsidRDefault="00F327D7" w:rsidP="00530B50">
      <w:pPr>
        <w:tabs>
          <w:tab w:val="left" w:pos="-1440"/>
          <w:tab w:val="left" w:pos="-720"/>
          <w:tab w:val="left" w:pos="0"/>
          <w:tab w:val="left" w:pos="720"/>
          <w:tab w:val="left" w:pos="1440"/>
          <w:tab w:val="left" w:pos="2160"/>
          <w:tab w:val="left" w:pos="2995"/>
          <w:tab w:val="left" w:pos="3600"/>
        </w:tabs>
        <w:suppressAutoHyphens/>
        <w:spacing w:after="80" w:line="240" w:lineRule="auto"/>
        <w:ind w:left="567" w:hanging="567"/>
        <w:jc w:val="both"/>
        <w:rPr>
          <w:rFonts w:eastAsia="Batang"/>
          <w:sz w:val="22"/>
          <w:szCs w:val="22"/>
        </w:rPr>
      </w:pPr>
      <w:r w:rsidRPr="00AF47A8">
        <w:rPr>
          <w:rFonts w:eastAsia="Batang"/>
          <w:sz w:val="22"/>
          <w:szCs w:val="22"/>
        </w:rPr>
        <w:t xml:space="preserve">Hsu, Feng-Chi, Kimberly Baugh, </w:t>
      </w:r>
      <w:proofErr w:type="spellStart"/>
      <w:r w:rsidRPr="00AF47A8">
        <w:rPr>
          <w:rFonts w:eastAsia="Batang"/>
          <w:sz w:val="22"/>
          <w:szCs w:val="22"/>
        </w:rPr>
        <w:t>Tilottama</w:t>
      </w:r>
      <w:proofErr w:type="spellEnd"/>
      <w:r w:rsidRPr="00AF47A8">
        <w:rPr>
          <w:rFonts w:eastAsia="Batang"/>
          <w:sz w:val="22"/>
          <w:szCs w:val="22"/>
        </w:rPr>
        <w:t xml:space="preserve"> Ghosh, Mikhail </w:t>
      </w:r>
      <w:proofErr w:type="spellStart"/>
      <w:r w:rsidRPr="00AF47A8">
        <w:rPr>
          <w:rFonts w:eastAsia="Batang"/>
          <w:sz w:val="22"/>
          <w:szCs w:val="22"/>
        </w:rPr>
        <w:t>Zhizhin</w:t>
      </w:r>
      <w:proofErr w:type="spellEnd"/>
      <w:r w:rsidRPr="00AF47A8">
        <w:rPr>
          <w:rFonts w:eastAsia="Batang"/>
          <w:sz w:val="22"/>
          <w:szCs w:val="22"/>
        </w:rPr>
        <w:t xml:space="preserve">, and Christopher </w:t>
      </w:r>
      <w:proofErr w:type="spellStart"/>
      <w:r w:rsidRPr="00AF47A8">
        <w:rPr>
          <w:rFonts w:eastAsia="Batang"/>
          <w:sz w:val="22"/>
          <w:szCs w:val="22"/>
        </w:rPr>
        <w:t>Elvidge</w:t>
      </w:r>
      <w:proofErr w:type="spellEnd"/>
      <w:r w:rsidRPr="00AF47A8">
        <w:rPr>
          <w:rFonts w:eastAsia="Batang"/>
          <w:sz w:val="22"/>
          <w:szCs w:val="22"/>
        </w:rPr>
        <w:t xml:space="preserve"> (2015) DMSP-OLS radiance calibrated night-time lights time series with inter-calibration. </w:t>
      </w:r>
      <w:r w:rsidRPr="00AF47A8">
        <w:rPr>
          <w:rFonts w:eastAsia="Batang"/>
          <w:i/>
          <w:iCs/>
          <w:sz w:val="22"/>
          <w:szCs w:val="22"/>
        </w:rPr>
        <w:t>Remote Sensing</w:t>
      </w:r>
      <w:r w:rsidRPr="00AF47A8">
        <w:rPr>
          <w:rFonts w:eastAsia="Batang"/>
          <w:sz w:val="22"/>
          <w:szCs w:val="22"/>
        </w:rPr>
        <w:t> 7(2): 1855-1876.</w:t>
      </w:r>
    </w:p>
    <w:p w:rsidR="0054147B" w:rsidRPr="00AF47A8" w:rsidRDefault="0054147B" w:rsidP="00530B50">
      <w:pPr>
        <w:tabs>
          <w:tab w:val="left" w:pos="-1440"/>
          <w:tab w:val="left" w:pos="-720"/>
          <w:tab w:val="left" w:pos="0"/>
          <w:tab w:val="left" w:pos="720"/>
          <w:tab w:val="left" w:pos="1440"/>
          <w:tab w:val="left" w:pos="2160"/>
          <w:tab w:val="left" w:pos="2995"/>
          <w:tab w:val="left" w:pos="3600"/>
        </w:tabs>
        <w:suppressAutoHyphens/>
        <w:spacing w:after="80" w:line="240" w:lineRule="auto"/>
        <w:ind w:left="567" w:hanging="567"/>
        <w:jc w:val="both"/>
        <w:rPr>
          <w:rFonts w:eastAsia="Batang"/>
          <w:sz w:val="22"/>
          <w:szCs w:val="22"/>
        </w:rPr>
      </w:pPr>
      <w:proofErr w:type="spellStart"/>
      <w:r w:rsidRPr="00AF47A8">
        <w:rPr>
          <w:rFonts w:eastAsia="Batang"/>
          <w:sz w:val="22"/>
          <w:szCs w:val="22"/>
        </w:rPr>
        <w:t>Keola</w:t>
      </w:r>
      <w:proofErr w:type="spellEnd"/>
      <w:r w:rsidRPr="00AF47A8">
        <w:rPr>
          <w:rFonts w:eastAsia="Batang"/>
          <w:sz w:val="22"/>
          <w:szCs w:val="22"/>
        </w:rPr>
        <w:t xml:space="preserve">, </w:t>
      </w:r>
      <w:proofErr w:type="spellStart"/>
      <w:r w:rsidRPr="00AF47A8">
        <w:rPr>
          <w:rFonts w:eastAsia="Batang"/>
          <w:sz w:val="22"/>
          <w:szCs w:val="22"/>
        </w:rPr>
        <w:t>Souknilanh</w:t>
      </w:r>
      <w:proofErr w:type="spellEnd"/>
      <w:r w:rsidRPr="00AF47A8">
        <w:rPr>
          <w:rFonts w:eastAsia="Batang"/>
          <w:sz w:val="22"/>
          <w:szCs w:val="22"/>
        </w:rPr>
        <w:t>, Magnus Andersson, and Ola Hall (2015) Monitoring economic development from space: Using night time light and land cover data to measure economic growth. </w:t>
      </w:r>
      <w:r w:rsidRPr="00AF47A8">
        <w:rPr>
          <w:rFonts w:eastAsia="Batang"/>
          <w:i/>
          <w:iCs/>
          <w:sz w:val="22"/>
          <w:szCs w:val="22"/>
        </w:rPr>
        <w:t>World Development</w:t>
      </w:r>
      <w:r w:rsidRPr="00AF47A8">
        <w:rPr>
          <w:rFonts w:eastAsia="Batang"/>
          <w:sz w:val="22"/>
          <w:szCs w:val="22"/>
        </w:rPr>
        <w:t> 66(1): 322-334.</w:t>
      </w:r>
    </w:p>
    <w:p w:rsidR="009A15CD" w:rsidRPr="00AF47A8" w:rsidRDefault="009A15CD" w:rsidP="00530B50">
      <w:pPr>
        <w:spacing w:after="80" w:line="240" w:lineRule="auto"/>
        <w:ind w:left="567" w:hanging="567"/>
        <w:jc w:val="both"/>
        <w:rPr>
          <w:sz w:val="22"/>
          <w:szCs w:val="22"/>
          <w:lang w:eastAsia="en-NZ"/>
        </w:rPr>
      </w:pPr>
      <w:proofErr w:type="spellStart"/>
      <w:r w:rsidRPr="00AF47A8">
        <w:rPr>
          <w:sz w:val="22"/>
          <w:szCs w:val="22"/>
          <w:lang w:eastAsia="en-NZ"/>
        </w:rPr>
        <w:t>Kocornik</w:t>
      </w:r>
      <w:proofErr w:type="spellEnd"/>
      <w:r w:rsidRPr="00AF47A8">
        <w:rPr>
          <w:sz w:val="22"/>
          <w:szCs w:val="22"/>
          <w:lang w:eastAsia="en-NZ"/>
        </w:rPr>
        <w:t xml:space="preserve">-Mina, Adriana, Thomas McDermott, Guy Michaels, and Ferdinand Rauch (2019) Flooded cities. </w:t>
      </w:r>
      <w:r w:rsidRPr="00AF47A8">
        <w:rPr>
          <w:i/>
          <w:iCs/>
          <w:sz w:val="22"/>
          <w:szCs w:val="22"/>
          <w:lang w:eastAsia="en-NZ"/>
        </w:rPr>
        <w:t>American Economic Journal: Applied Economics</w:t>
      </w:r>
      <w:r w:rsidRPr="00AF47A8">
        <w:rPr>
          <w:sz w:val="22"/>
          <w:szCs w:val="22"/>
          <w:lang w:eastAsia="en-NZ"/>
        </w:rPr>
        <w:t xml:space="preserve"> (forthcoming). </w:t>
      </w:r>
    </w:p>
    <w:p w:rsidR="0020283B" w:rsidRPr="00AF47A8" w:rsidRDefault="0020283B" w:rsidP="00530B50">
      <w:pPr>
        <w:spacing w:after="80" w:line="240" w:lineRule="auto"/>
        <w:ind w:left="567" w:hanging="567"/>
        <w:jc w:val="both"/>
        <w:rPr>
          <w:rFonts w:eastAsia="Times New Roman" w:cs="Arial"/>
          <w:sz w:val="22"/>
          <w:szCs w:val="22"/>
          <w:lang w:bidi="he-IL"/>
        </w:rPr>
      </w:pPr>
      <w:r w:rsidRPr="00AF47A8">
        <w:rPr>
          <w:sz w:val="22"/>
          <w:szCs w:val="22"/>
          <w:lang w:eastAsia="en-NZ"/>
        </w:rPr>
        <w:t xml:space="preserve">Nordhaus, William. and Xi Chen (2015) A sharper image? Estimates of the precision of night time lights as a proxy for economic statistics. </w:t>
      </w:r>
      <w:r w:rsidRPr="00AF47A8">
        <w:rPr>
          <w:i/>
          <w:iCs/>
          <w:sz w:val="22"/>
          <w:szCs w:val="22"/>
          <w:lang w:eastAsia="en-NZ"/>
        </w:rPr>
        <w:t xml:space="preserve">Journal of Economic Geography </w:t>
      </w:r>
      <w:r w:rsidRPr="00AF47A8">
        <w:rPr>
          <w:sz w:val="22"/>
          <w:szCs w:val="22"/>
          <w:lang w:eastAsia="en-NZ"/>
        </w:rPr>
        <w:t>15(1): 217-246.</w:t>
      </w:r>
      <w:r w:rsidRPr="00AF47A8">
        <w:rPr>
          <w:i/>
          <w:iCs/>
          <w:sz w:val="22"/>
          <w:szCs w:val="22"/>
          <w:lang w:eastAsia="en-NZ"/>
        </w:rPr>
        <w:t xml:space="preserve"> </w:t>
      </w:r>
    </w:p>
    <w:p w:rsidR="00936B60" w:rsidRPr="00AF47A8" w:rsidRDefault="0008015C" w:rsidP="00530B50">
      <w:pPr>
        <w:spacing w:after="0" w:line="240" w:lineRule="auto"/>
        <w:ind w:left="567" w:hanging="567"/>
        <w:jc w:val="both"/>
        <w:rPr>
          <w:rFonts w:eastAsia="Times New Roman"/>
          <w:sz w:val="22"/>
          <w:szCs w:val="22"/>
          <w:lang w:val="en-US" w:bidi="he-IL"/>
        </w:rPr>
      </w:pPr>
      <w:r w:rsidRPr="00AF47A8">
        <w:rPr>
          <w:rFonts w:eastAsia="Times New Roman"/>
          <w:sz w:val="22"/>
          <w:szCs w:val="22"/>
          <w:lang w:bidi="he-IL"/>
        </w:rPr>
        <w:t xml:space="preserve">Tuttle, Benjamin, Sharolyn Anderson, Chris </w:t>
      </w:r>
      <w:proofErr w:type="spellStart"/>
      <w:r w:rsidRPr="00AF47A8">
        <w:rPr>
          <w:rFonts w:eastAsia="Times New Roman"/>
          <w:sz w:val="22"/>
          <w:szCs w:val="22"/>
          <w:lang w:bidi="he-IL"/>
        </w:rPr>
        <w:t>Elvidge</w:t>
      </w:r>
      <w:proofErr w:type="spellEnd"/>
      <w:r w:rsidRPr="00AF47A8">
        <w:rPr>
          <w:rFonts w:eastAsia="Times New Roman"/>
          <w:sz w:val="22"/>
          <w:szCs w:val="22"/>
          <w:lang w:bidi="he-IL"/>
        </w:rPr>
        <w:t xml:space="preserve">, </w:t>
      </w:r>
      <w:proofErr w:type="spellStart"/>
      <w:r w:rsidRPr="00AF47A8">
        <w:rPr>
          <w:rFonts w:eastAsia="Times New Roman"/>
          <w:sz w:val="22"/>
          <w:szCs w:val="22"/>
          <w:lang w:bidi="he-IL"/>
        </w:rPr>
        <w:t>Tilottama</w:t>
      </w:r>
      <w:proofErr w:type="spellEnd"/>
      <w:r w:rsidRPr="00AF47A8">
        <w:rPr>
          <w:rFonts w:eastAsia="Times New Roman"/>
          <w:sz w:val="22"/>
          <w:szCs w:val="22"/>
          <w:lang w:bidi="he-IL"/>
        </w:rPr>
        <w:t xml:space="preserve"> Ghosh, Kim Baugh, and Paul Sutton (2014) Aladdin’s magic lamp: Active target calibration of the DMSP OLS. </w:t>
      </w:r>
      <w:r w:rsidRPr="00AF47A8">
        <w:rPr>
          <w:rFonts w:eastAsia="Times New Roman"/>
          <w:i/>
          <w:iCs/>
          <w:sz w:val="22"/>
          <w:szCs w:val="22"/>
          <w:lang w:bidi="he-IL"/>
        </w:rPr>
        <w:t xml:space="preserve">Remote Sensing </w:t>
      </w:r>
      <w:r w:rsidRPr="00AF47A8">
        <w:rPr>
          <w:rFonts w:eastAsia="Times New Roman"/>
          <w:sz w:val="22"/>
          <w:szCs w:val="22"/>
          <w:lang w:bidi="he-IL"/>
        </w:rPr>
        <w:t>6(12): 12708-12722.</w:t>
      </w:r>
    </w:p>
    <w:p w:rsidR="00F201CD" w:rsidRDefault="00F201CD" w:rsidP="00616F31">
      <w:pPr>
        <w:spacing w:after="0" w:line="240" w:lineRule="auto"/>
        <w:jc w:val="right"/>
        <w:rPr>
          <w:rFonts w:eastAsia="Times New Roman"/>
          <w:bCs/>
          <w:sz w:val="8"/>
          <w:szCs w:val="8"/>
        </w:rPr>
      </w:pPr>
    </w:p>
    <w:sectPr w:rsidR="00F201CD" w:rsidSect="003E58E7">
      <w:pgSz w:w="11906" w:h="16838"/>
      <w:pgMar w:top="1440" w:right="1440" w:bottom="1440" w:left="1440" w:header="708" w:footer="708" w:gutter="0"/>
      <w:pgNumType w:start="1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3073" w:rsidRDefault="007B3073" w:rsidP="00A97771">
      <w:pPr>
        <w:spacing w:after="0" w:line="240" w:lineRule="auto"/>
      </w:pPr>
      <w:r>
        <w:separator/>
      </w:r>
    </w:p>
  </w:endnote>
  <w:endnote w:type="continuationSeparator" w:id="0">
    <w:p w:rsidR="007B3073" w:rsidRDefault="007B3073" w:rsidP="00A9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Osak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6169942"/>
      <w:docPartObj>
        <w:docPartGallery w:val="Page Numbers (Bottom of Page)"/>
        <w:docPartUnique/>
      </w:docPartObj>
    </w:sdtPr>
    <w:sdtEndPr>
      <w:rPr>
        <w:noProof/>
      </w:rPr>
    </w:sdtEndPr>
    <w:sdtContent>
      <w:p w:rsidR="006C255C" w:rsidRDefault="006C255C">
        <w:pPr>
          <w:pStyle w:val="Footer"/>
          <w:jc w:val="center"/>
        </w:pPr>
        <w:r>
          <w:fldChar w:fldCharType="begin"/>
        </w:r>
        <w:r>
          <w:instrText xml:space="preserve"> PAGE   \* MERGEFORMAT </w:instrText>
        </w:r>
        <w:r>
          <w:fldChar w:fldCharType="separate"/>
        </w:r>
        <w:r w:rsidR="00455252">
          <w:rPr>
            <w:noProof/>
          </w:rPr>
          <w:t>14</w:t>
        </w:r>
        <w:r>
          <w:rPr>
            <w:noProof/>
          </w:rPr>
          <w:fldChar w:fldCharType="end"/>
        </w:r>
      </w:p>
    </w:sdtContent>
  </w:sdt>
  <w:p w:rsidR="006C255C" w:rsidRDefault="006C255C" w:rsidP="00FE286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0342854"/>
      <w:docPartObj>
        <w:docPartGallery w:val="Page Numbers (Bottom of Page)"/>
        <w:docPartUnique/>
      </w:docPartObj>
    </w:sdtPr>
    <w:sdtEndPr>
      <w:rPr>
        <w:noProof/>
      </w:rPr>
    </w:sdtEndPr>
    <w:sdtContent>
      <w:p w:rsidR="009C6795" w:rsidRDefault="009C67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6C255C" w:rsidRDefault="006C25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3073" w:rsidRDefault="007B3073" w:rsidP="00A97771">
      <w:pPr>
        <w:spacing w:after="0" w:line="240" w:lineRule="auto"/>
      </w:pPr>
      <w:r>
        <w:separator/>
      </w:r>
    </w:p>
  </w:footnote>
  <w:footnote w:type="continuationSeparator" w:id="0">
    <w:p w:rsidR="007B3073" w:rsidRDefault="007B3073" w:rsidP="00A97771">
      <w:pPr>
        <w:spacing w:after="0" w:line="240" w:lineRule="auto"/>
      </w:pPr>
      <w:r>
        <w:continuationSeparator/>
      </w:r>
    </w:p>
  </w:footnote>
  <w:footnote w:id="1">
    <w:p w:rsidR="006C255C" w:rsidRDefault="006C255C" w:rsidP="00FB4A05">
      <w:pPr>
        <w:pStyle w:val="FootnoteText"/>
        <w:ind w:left="142" w:hanging="142"/>
        <w:jc w:val="both"/>
        <w:rPr>
          <w:sz w:val="22"/>
          <w:szCs w:val="22"/>
        </w:rPr>
      </w:pPr>
      <w:r w:rsidRPr="00FB4A05">
        <w:rPr>
          <w:rStyle w:val="FootnoteReference"/>
          <w:sz w:val="22"/>
          <w:szCs w:val="22"/>
        </w:rPr>
        <w:footnoteRef/>
      </w:r>
      <w:r w:rsidRPr="00FB4A05">
        <w:rPr>
          <w:sz w:val="22"/>
          <w:szCs w:val="22"/>
        </w:rPr>
        <w:t xml:space="preserve"> </w:t>
      </w:r>
      <w:r w:rsidRPr="00FB4A05">
        <w:rPr>
          <w:bCs/>
          <w:sz w:val="22"/>
          <w:szCs w:val="22"/>
          <w:lang w:val="en-US"/>
        </w:rPr>
        <w:t xml:space="preserve">Specifically, </w:t>
      </w:r>
      <w:r w:rsidRPr="00FB4A05">
        <w:rPr>
          <w:sz w:val="22"/>
          <w:szCs w:val="22"/>
        </w:rPr>
        <w:t xml:space="preserve">Chen and Nordhaus (2011, p.8594) noted that </w:t>
      </w:r>
      <w:r>
        <w:rPr>
          <w:sz w:val="22"/>
          <w:szCs w:val="22"/>
        </w:rPr>
        <w:t>‘</w:t>
      </w:r>
      <w:r w:rsidRPr="00FB4A05">
        <w:rPr>
          <w:sz w:val="22"/>
          <w:szCs w:val="22"/>
        </w:rPr>
        <w:t>luminosity data do not allow reliable estimates of low-output-density regions</w:t>
      </w:r>
      <w:r>
        <w:rPr>
          <w:sz w:val="22"/>
          <w:szCs w:val="22"/>
        </w:rPr>
        <w:t>’</w:t>
      </w:r>
      <w:r w:rsidRPr="00FB4A05">
        <w:rPr>
          <w:sz w:val="22"/>
          <w:szCs w:val="22"/>
        </w:rPr>
        <w:t xml:space="preserve"> and that only for countries with the worst statistical systems, accounting for under nine percent of world population, are night lights data likely to add value as a proxy for economic output.</w:t>
      </w:r>
    </w:p>
    <w:p w:rsidR="006C255C" w:rsidRPr="00284756" w:rsidRDefault="006C255C" w:rsidP="00FB4A05">
      <w:pPr>
        <w:pStyle w:val="FootnoteText"/>
        <w:ind w:left="142" w:hanging="142"/>
        <w:jc w:val="both"/>
        <w:rPr>
          <w:sz w:val="8"/>
          <w:szCs w:val="8"/>
        </w:rPr>
      </w:pPr>
    </w:p>
  </w:footnote>
  <w:footnote w:id="2">
    <w:p w:rsidR="006C255C" w:rsidRDefault="006C255C" w:rsidP="00FB4A05">
      <w:pPr>
        <w:pStyle w:val="FootnoteText"/>
        <w:ind w:left="142" w:hanging="142"/>
        <w:jc w:val="both"/>
      </w:pPr>
      <w:r w:rsidRPr="00FB4A05">
        <w:rPr>
          <w:rStyle w:val="FootnoteReference"/>
          <w:sz w:val="22"/>
          <w:szCs w:val="22"/>
        </w:rPr>
        <w:footnoteRef/>
      </w:r>
      <w:r w:rsidRPr="00FB4A05">
        <w:rPr>
          <w:sz w:val="22"/>
          <w:szCs w:val="22"/>
        </w:rPr>
        <w:t xml:space="preserve"> At the time of writing (September, 2019) the monthly VIIRS data were available from April 2012 to June 2019 from</w:t>
      </w:r>
      <w:r w:rsidRPr="00C24E9E">
        <w:rPr>
          <w:sz w:val="22"/>
          <w:szCs w:val="22"/>
        </w:rPr>
        <w:t xml:space="preserve"> </w:t>
      </w:r>
      <w:hyperlink r:id="rId1" w:history="1">
        <w:r w:rsidRPr="00C24E9E">
          <w:rPr>
            <w:rStyle w:val="Hyperlink"/>
            <w:color w:val="auto"/>
            <w:sz w:val="22"/>
            <w:szCs w:val="22"/>
          </w:rPr>
          <w:t>https://eogdata.mines.edu/download_dnb_composites.html</w:t>
        </w:r>
      </w:hyperlink>
      <w:r w:rsidRPr="00FB4A05">
        <w:rPr>
          <w:sz w:val="22"/>
          <w:szCs w:val="22"/>
        </w:rPr>
        <w:t>.</w:t>
      </w:r>
      <w:r>
        <w:t xml:space="preserve"> </w:t>
      </w:r>
    </w:p>
  </w:footnote>
  <w:footnote w:id="3">
    <w:p w:rsidR="006C255C" w:rsidRPr="00284756" w:rsidRDefault="006C255C" w:rsidP="00F7101D">
      <w:pPr>
        <w:pStyle w:val="FootnoteText"/>
        <w:ind w:left="142" w:hanging="142"/>
        <w:jc w:val="both"/>
        <w:rPr>
          <w:sz w:val="22"/>
          <w:szCs w:val="22"/>
        </w:rPr>
      </w:pPr>
      <w:r w:rsidRPr="00F7101D">
        <w:rPr>
          <w:rStyle w:val="FootnoteReference"/>
          <w:sz w:val="22"/>
          <w:szCs w:val="22"/>
        </w:rPr>
        <w:footnoteRef/>
      </w:r>
      <w:r w:rsidRPr="00F7101D">
        <w:rPr>
          <w:sz w:val="22"/>
          <w:szCs w:val="22"/>
        </w:rPr>
        <w:t xml:space="preserve"> </w:t>
      </w:r>
      <w:r w:rsidRPr="00284756">
        <w:rPr>
          <w:sz w:val="22"/>
          <w:szCs w:val="22"/>
        </w:rPr>
        <w:t xml:space="preserve">While Chen and Nordhaus (2011) is clearly an economics contribution, it is not in an economics journal and only one-quarter of the 500 citations (in </w:t>
      </w:r>
      <w:r w:rsidRPr="00284756">
        <w:rPr>
          <w:i/>
          <w:iCs/>
          <w:sz w:val="22"/>
          <w:szCs w:val="22"/>
        </w:rPr>
        <w:t>Google Scholar</w:t>
      </w:r>
      <w:r w:rsidRPr="00284756">
        <w:rPr>
          <w:sz w:val="22"/>
          <w:szCs w:val="22"/>
        </w:rPr>
        <w:t xml:space="preserve"> as of Sept 9, 2019) are from economics journals or working papers. In contrast, far more of the 1200 citations to Henderson </w:t>
      </w:r>
      <w:r w:rsidRPr="00284756">
        <w:rPr>
          <w:bCs/>
          <w:i/>
          <w:sz w:val="22"/>
          <w:szCs w:val="22"/>
          <w:lang w:val="en-AU"/>
        </w:rPr>
        <w:t>et al.</w:t>
      </w:r>
      <w:r w:rsidRPr="00284756">
        <w:rPr>
          <w:sz w:val="22"/>
          <w:szCs w:val="22"/>
        </w:rPr>
        <w:t xml:space="preserve"> (2012) are from economics, so most economists with exposure to night lights data will have gained this through Henderson</w:t>
      </w:r>
      <w:r w:rsidRPr="00284756">
        <w:rPr>
          <w:i/>
          <w:iCs/>
          <w:sz w:val="22"/>
          <w:szCs w:val="22"/>
        </w:rPr>
        <w:t xml:space="preserve"> et al. </w:t>
      </w:r>
      <w:r w:rsidRPr="00284756">
        <w:rPr>
          <w:sz w:val="22"/>
          <w:szCs w:val="22"/>
        </w:rPr>
        <w:t>(2012).</w:t>
      </w:r>
    </w:p>
  </w:footnote>
  <w:footnote w:id="4">
    <w:p w:rsidR="006C255C" w:rsidRDefault="006C255C" w:rsidP="00F7101D">
      <w:pPr>
        <w:pStyle w:val="FootnoteText"/>
        <w:ind w:left="142" w:hanging="142"/>
        <w:rPr>
          <w:bCs/>
          <w:sz w:val="22"/>
          <w:szCs w:val="22"/>
          <w:lang w:val="en-AU"/>
        </w:rPr>
      </w:pPr>
      <w:r w:rsidRPr="00DB5D7D">
        <w:rPr>
          <w:rStyle w:val="FootnoteReference"/>
          <w:sz w:val="22"/>
          <w:szCs w:val="22"/>
        </w:rPr>
        <w:footnoteRef/>
      </w:r>
      <w:r w:rsidRPr="00DB5D7D">
        <w:rPr>
          <w:sz w:val="22"/>
          <w:szCs w:val="22"/>
        </w:rPr>
        <w:t xml:space="preserve"> </w:t>
      </w:r>
      <w:r w:rsidRPr="00DB5D7D">
        <w:rPr>
          <w:sz w:val="22"/>
          <w:szCs w:val="22"/>
        </w:rPr>
        <w:tab/>
      </w:r>
      <w:r w:rsidRPr="00DB5D7D">
        <w:rPr>
          <w:bCs/>
          <w:sz w:val="22"/>
          <w:szCs w:val="22"/>
          <w:lang w:val="en-AU"/>
        </w:rPr>
        <w:t xml:space="preserve">Significantly higher values from F18 than F16, when recording the exact same light source on the same night (from an experiment using portable generators to power high-pressure sodium lamps in previously dark areas) is also noted by Tuttle </w:t>
      </w:r>
      <w:r w:rsidRPr="00DB5D7D">
        <w:rPr>
          <w:bCs/>
          <w:i/>
          <w:sz w:val="22"/>
          <w:szCs w:val="22"/>
          <w:lang w:val="en-AU"/>
        </w:rPr>
        <w:t>et al.</w:t>
      </w:r>
      <w:r w:rsidRPr="00DB5D7D">
        <w:rPr>
          <w:bCs/>
          <w:sz w:val="22"/>
          <w:szCs w:val="22"/>
          <w:lang w:val="en-AU"/>
        </w:rPr>
        <w:t xml:space="preserve"> (2014).</w:t>
      </w:r>
    </w:p>
    <w:p w:rsidR="006C255C" w:rsidRPr="00284756" w:rsidRDefault="006C255C" w:rsidP="00F7101D">
      <w:pPr>
        <w:pStyle w:val="FootnoteText"/>
        <w:ind w:left="142" w:hanging="142"/>
        <w:rPr>
          <w:sz w:val="8"/>
          <w:szCs w:val="8"/>
        </w:rPr>
      </w:pPr>
    </w:p>
  </w:footnote>
  <w:footnote w:id="5">
    <w:p w:rsidR="006C255C" w:rsidRPr="00F7101D" w:rsidRDefault="006C255C" w:rsidP="00F7101D">
      <w:pPr>
        <w:pStyle w:val="FootnoteText"/>
        <w:ind w:left="142" w:hanging="142"/>
        <w:jc w:val="both"/>
        <w:rPr>
          <w:sz w:val="22"/>
          <w:szCs w:val="22"/>
        </w:rPr>
      </w:pPr>
      <w:r w:rsidRPr="00F7101D">
        <w:rPr>
          <w:rStyle w:val="FootnoteReference"/>
          <w:sz w:val="22"/>
          <w:szCs w:val="22"/>
        </w:rPr>
        <w:footnoteRef/>
      </w:r>
      <w:r w:rsidRPr="00F7101D">
        <w:rPr>
          <w:sz w:val="22"/>
          <w:szCs w:val="22"/>
        </w:rPr>
        <w:t xml:space="preserve"> </w:t>
      </w:r>
      <w:r>
        <w:rPr>
          <w:sz w:val="22"/>
          <w:szCs w:val="22"/>
        </w:rPr>
        <w:tab/>
      </w:r>
      <w:r w:rsidRPr="00F7101D">
        <w:rPr>
          <w:rFonts w:eastAsia="Times New Roman"/>
          <w:sz w:val="22"/>
          <w:szCs w:val="22"/>
          <w:lang w:val="en-US"/>
        </w:rPr>
        <w:t>Based on experiments when researchers had the Air Force lower the DMSP sensor amplification on a few nights to avoid DN values being top-coded, there are radiance-calibrated lights available for seven years. These rely on</w:t>
      </w:r>
      <w:r w:rsidRPr="00F7101D">
        <w:rPr>
          <w:rFonts w:eastAsia="Times New Roman"/>
          <w:sz w:val="22"/>
          <w:szCs w:val="22"/>
        </w:rPr>
        <w:t xml:space="preserve"> pre-flight calibrations of the satellites, rather than their degraded (from exposure to radiation) actual performance, and require merging with the usual DMSP data so as to create annual composites (Hsu </w:t>
      </w:r>
      <w:r w:rsidRPr="00DB5D7D">
        <w:rPr>
          <w:bCs/>
          <w:i/>
          <w:lang w:val="en-AU"/>
        </w:rPr>
        <w:t>et al.</w:t>
      </w:r>
      <w:r>
        <w:rPr>
          <w:bCs/>
          <w:i/>
          <w:lang w:val="en-AU"/>
        </w:rPr>
        <w:t xml:space="preserve"> </w:t>
      </w:r>
      <w:r w:rsidRPr="00F7101D">
        <w:rPr>
          <w:rFonts w:eastAsia="Times New Roman"/>
          <w:sz w:val="22"/>
          <w:szCs w:val="22"/>
        </w:rPr>
        <w:t>2015), which seems to create some instability between years (Bluhm and Krause 2018).</w:t>
      </w:r>
    </w:p>
  </w:footnote>
  <w:footnote w:id="6">
    <w:p w:rsidR="006C255C" w:rsidRDefault="006C255C" w:rsidP="00F7101D">
      <w:pPr>
        <w:pStyle w:val="FootnoteText"/>
        <w:ind w:left="284" w:hanging="284"/>
        <w:jc w:val="both"/>
        <w:rPr>
          <w:sz w:val="22"/>
          <w:szCs w:val="22"/>
        </w:rPr>
      </w:pPr>
      <w:r w:rsidRPr="00F7101D">
        <w:rPr>
          <w:rStyle w:val="FootnoteReference"/>
          <w:sz w:val="22"/>
          <w:szCs w:val="22"/>
        </w:rPr>
        <w:footnoteRef/>
      </w:r>
      <w:r w:rsidRPr="00F7101D">
        <w:rPr>
          <w:sz w:val="22"/>
          <w:szCs w:val="22"/>
        </w:rPr>
        <w:t xml:space="preserve"> </w:t>
      </w:r>
      <w:r>
        <w:rPr>
          <w:sz w:val="22"/>
          <w:szCs w:val="22"/>
        </w:rPr>
        <w:tab/>
      </w:r>
      <w:r w:rsidRPr="00F7101D">
        <w:rPr>
          <w:sz w:val="22"/>
          <w:szCs w:val="22"/>
        </w:rPr>
        <w:t>This research design also plays to the strength of night lights, which have been shown to be far better at predicting GDP in the cross-section, than at predicting the growth of GDP in the time-series (Nordhaus and Chen</w:t>
      </w:r>
      <w:r>
        <w:rPr>
          <w:sz w:val="22"/>
          <w:szCs w:val="22"/>
        </w:rPr>
        <w:t xml:space="preserve"> </w:t>
      </w:r>
      <w:r w:rsidRPr="00F7101D">
        <w:rPr>
          <w:sz w:val="22"/>
          <w:szCs w:val="22"/>
        </w:rPr>
        <w:t>2015</w:t>
      </w:r>
      <w:r>
        <w:rPr>
          <w:sz w:val="22"/>
          <w:szCs w:val="22"/>
        </w:rPr>
        <w:t>,</w:t>
      </w:r>
      <w:r w:rsidRPr="00F7101D">
        <w:rPr>
          <w:sz w:val="22"/>
          <w:szCs w:val="22"/>
        </w:rPr>
        <w:t xml:space="preserve"> Chen and Nordhaus 2019). </w:t>
      </w:r>
    </w:p>
    <w:p w:rsidR="006C255C" w:rsidRPr="00632513" w:rsidRDefault="006C255C" w:rsidP="00F7101D">
      <w:pPr>
        <w:pStyle w:val="FootnoteText"/>
        <w:ind w:left="284" w:hanging="284"/>
        <w:jc w:val="both"/>
        <w:rPr>
          <w:sz w:val="4"/>
          <w:szCs w:val="4"/>
        </w:rPr>
      </w:pPr>
    </w:p>
  </w:footnote>
  <w:footnote w:id="7">
    <w:p w:rsidR="006C255C" w:rsidRPr="00F7101D" w:rsidRDefault="006C255C" w:rsidP="00F7101D">
      <w:pPr>
        <w:pStyle w:val="FootnoteText"/>
        <w:ind w:left="284" w:hanging="284"/>
        <w:jc w:val="both"/>
        <w:rPr>
          <w:sz w:val="22"/>
          <w:szCs w:val="22"/>
        </w:rPr>
      </w:pPr>
      <w:r w:rsidRPr="00F7101D">
        <w:rPr>
          <w:rStyle w:val="FootnoteReference"/>
          <w:sz w:val="22"/>
          <w:szCs w:val="22"/>
        </w:rPr>
        <w:footnoteRef/>
      </w:r>
      <w:r w:rsidRPr="00F7101D">
        <w:rPr>
          <w:sz w:val="22"/>
          <w:szCs w:val="22"/>
        </w:rPr>
        <w:t xml:space="preserve"> </w:t>
      </w:r>
      <w:r>
        <w:rPr>
          <w:sz w:val="22"/>
          <w:szCs w:val="22"/>
        </w:rPr>
        <w:tab/>
      </w:r>
      <w:r w:rsidRPr="00F7101D">
        <w:rPr>
          <w:sz w:val="22"/>
          <w:szCs w:val="22"/>
        </w:rPr>
        <w:t xml:space="preserve">We use the administrative geography from 2010, and where spatial units subsequently </w:t>
      </w:r>
      <w:proofErr w:type="gramStart"/>
      <w:r w:rsidRPr="00F7101D">
        <w:rPr>
          <w:sz w:val="22"/>
          <w:szCs w:val="22"/>
        </w:rPr>
        <w:t>split</w:t>
      </w:r>
      <w:proofErr w:type="gramEnd"/>
      <w:r w:rsidRPr="00F7101D">
        <w:rPr>
          <w:sz w:val="22"/>
          <w:szCs w:val="22"/>
        </w:rPr>
        <w:t xml:space="preserve"> we re-aggregate them to have a temporally consistent set of 497 spatial units.</w:t>
      </w:r>
    </w:p>
  </w:footnote>
  <w:footnote w:id="8">
    <w:p w:rsidR="006C255C" w:rsidRDefault="006C255C" w:rsidP="00435C63">
      <w:pPr>
        <w:pStyle w:val="FootnoteText"/>
        <w:ind w:left="284" w:hanging="284"/>
        <w:jc w:val="both"/>
        <w:rPr>
          <w:sz w:val="22"/>
          <w:szCs w:val="22"/>
        </w:rPr>
      </w:pPr>
      <w:r w:rsidRPr="00BA4001">
        <w:rPr>
          <w:rStyle w:val="FootnoteReference"/>
          <w:sz w:val="22"/>
          <w:szCs w:val="22"/>
        </w:rPr>
        <w:footnoteRef/>
      </w:r>
      <w:r w:rsidRPr="00BA4001">
        <w:rPr>
          <w:sz w:val="22"/>
          <w:szCs w:val="22"/>
        </w:rPr>
        <w:t xml:space="preserve"> </w:t>
      </w:r>
      <w:r>
        <w:rPr>
          <w:sz w:val="22"/>
          <w:szCs w:val="22"/>
        </w:rPr>
        <w:tab/>
      </w:r>
      <w:r w:rsidRPr="00BA4001">
        <w:rPr>
          <w:sz w:val="22"/>
          <w:szCs w:val="22"/>
        </w:rPr>
        <w:t>The grid is 30×30, but 310 of the 900 cells fall outside the boundaries of Jakarta, given that the city does not have a perfectly square shape.</w:t>
      </w:r>
    </w:p>
    <w:p w:rsidR="006C255C" w:rsidRPr="00A91DD0" w:rsidRDefault="006C255C" w:rsidP="00435C63">
      <w:pPr>
        <w:pStyle w:val="FootnoteText"/>
        <w:ind w:left="284" w:hanging="284"/>
        <w:jc w:val="both"/>
        <w:rPr>
          <w:sz w:val="8"/>
          <w:szCs w:val="8"/>
        </w:rPr>
      </w:pPr>
    </w:p>
  </w:footnote>
  <w:footnote w:id="9">
    <w:p w:rsidR="006C255C" w:rsidRPr="00BA4001" w:rsidRDefault="006C255C" w:rsidP="00435C63">
      <w:pPr>
        <w:pStyle w:val="FootnoteText"/>
        <w:ind w:left="284" w:hanging="284"/>
        <w:jc w:val="both"/>
        <w:rPr>
          <w:sz w:val="22"/>
          <w:szCs w:val="22"/>
        </w:rPr>
      </w:pPr>
      <w:r w:rsidRPr="00BA4001">
        <w:rPr>
          <w:rStyle w:val="FootnoteReference"/>
          <w:sz w:val="22"/>
          <w:szCs w:val="22"/>
        </w:rPr>
        <w:footnoteRef/>
      </w:r>
      <w:r w:rsidRPr="00BA4001">
        <w:rPr>
          <w:sz w:val="22"/>
          <w:szCs w:val="22"/>
        </w:rPr>
        <w:t xml:space="preserve"> </w:t>
      </w:r>
      <w:r>
        <w:rPr>
          <w:sz w:val="22"/>
          <w:szCs w:val="22"/>
        </w:rPr>
        <w:tab/>
      </w:r>
      <w:r w:rsidRPr="00BA4001">
        <w:rPr>
          <w:sz w:val="22"/>
          <w:szCs w:val="22"/>
        </w:rPr>
        <w:t>We refer to these data as log transformed in the figure, for simplicity, even though strictly speaking they are inverse-hyperbolic-sine transformed.</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B8B"/>
    <w:rsid w:val="00002279"/>
    <w:rsid w:val="00004567"/>
    <w:rsid w:val="000053DA"/>
    <w:rsid w:val="000065F2"/>
    <w:rsid w:val="00007462"/>
    <w:rsid w:val="00007A41"/>
    <w:rsid w:val="00012246"/>
    <w:rsid w:val="00013328"/>
    <w:rsid w:val="0001424F"/>
    <w:rsid w:val="00016A72"/>
    <w:rsid w:val="000200EC"/>
    <w:rsid w:val="00020BEC"/>
    <w:rsid w:val="00023ED8"/>
    <w:rsid w:val="0002469C"/>
    <w:rsid w:val="00027ABC"/>
    <w:rsid w:val="000302A6"/>
    <w:rsid w:val="00031CE0"/>
    <w:rsid w:val="00032873"/>
    <w:rsid w:val="00032B6E"/>
    <w:rsid w:val="000359F4"/>
    <w:rsid w:val="00036F59"/>
    <w:rsid w:val="00041814"/>
    <w:rsid w:val="00041C56"/>
    <w:rsid w:val="000430B4"/>
    <w:rsid w:val="00044576"/>
    <w:rsid w:val="0004457F"/>
    <w:rsid w:val="00044689"/>
    <w:rsid w:val="000459A1"/>
    <w:rsid w:val="00047C60"/>
    <w:rsid w:val="0005182B"/>
    <w:rsid w:val="00051CFA"/>
    <w:rsid w:val="00055721"/>
    <w:rsid w:val="00056FE0"/>
    <w:rsid w:val="00057774"/>
    <w:rsid w:val="00060AB4"/>
    <w:rsid w:val="00066616"/>
    <w:rsid w:val="00066A91"/>
    <w:rsid w:val="000679C1"/>
    <w:rsid w:val="00070934"/>
    <w:rsid w:val="00070E29"/>
    <w:rsid w:val="00071E99"/>
    <w:rsid w:val="000728C5"/>
    <w:rsid w:val="00074037"/>
    <w:rsid w:val="00074ECB"/>
    <w:rsid w:val="00074F67"/>
    <w:rsid w:val="00075D6D"/>
    <w:rsid w:val="000766F8"/>
    <w:rsid w:val="00080123"/>
    <w:rsid w:val="0008015C"/>
    <w:rsid w:val="00081B74"/>
    <w:rsid w:val="0008350E"/>
    <w:rsid w:val="00084D97"/>
    <w:rsid w:val="000875B9"/>
    <w:rsid w:val="000900CE"/>
    <w:rsid w:val="000A3580"/>
    <w:rsid w:val="000A3E9C"/>
    <w:rsid w:val="000A5474"/>
    <w:rsid w:val="000B11EE"/>
    <w:rsid w:val="000B26C3"/>
    <w:rsid w:val="000B384A"/>
    <w:rsid w:val="000B69D0"/>
    <w:rsid w:val="000B78E9"/>
    <w:rsid w:val="000B7C0F"/>
    <w:rsid w:val="000C096F"/>
    <w:rsid w:val="000C1545"/>
    <w:rsid w:val="000C1DA7"/>
    <w:rsid w:val="000C2DBE"/>
    <w:rsid w:val="000C368B"/>
    <w:rsid w:val="000C5757"/>
    <w:rsid w:val="000C6826"/>
    <w:rsid w:val="000D727D"/>
    <w:rsid w:val="000D79D7"/>
    <w:rsid w:val="000E00AD"/>
    <w:rsid w:val="000E1BF8"/>
    <w:rsid w:val="000E4023"/>
    <w:rsid w:val="000E4879"/>
    <w:rsid w:val="000E4A01"/>
    <w:rsid w:val="000E5AC1"/>
    <w:rsid w:val="000E5ACF"/>
    <w:rsid w:val="000E6DC9"/>
    <w:rsid w:val="000E752E"/>
    <w:rsid w:val="000E75E5"/>
    <w:rsid w:val="000E7DE0"/>
    <w:rsid w:val="000F06D5"/>
    <w:rsid w:val="000F0817"/>
    <w:rsid w:val="000F0884"/>
    <w:rsid w:val="000F0F9C"/>
    <w:rsid w:val="000F170D"/>
    <w:rsid w:val="000F180D"/>
    <w:rsid w:val="000F1892"/>
    <w:rsid w:val="000F199B"/>
    <w:rsid w:val="000F55F9"/>
    <w:rsid w:val="000F5A73"/>
    <w:rsid w:val="000F5EB6"/>
    <w:rsid w:val="000F622A"/>
    <w:rsid w:val="00100D22"/>
    <w:rsid w:val="00101073"/>
    <w:rsid w:val="0010124A"/>
    <w:rsid w:val="00101C23"/>
    <w:rsid w:val="00104533"/>
    <w:rsid w:val="001046FC"/>
    <w:rsid w:val="001106A9"/>
    <w:rsid w:val="00110C8B"/>
    <w:rsid w:val="00112AC7"/>
    <w:rsid w:val="001224B2"/>
    <w:rsid w:val="00123084"/>
    <w:rsid w:val="0012339B"/>
    <w:rsid w:val="00123FF9"/>
    <w:rsid w:val="00126BFD"/>
    <w:rsid w:val="00126FD2"/>
    <w:rsid w:val="00134337"/>
    <w:rsid w:val="00137DC8"/>
    <w:rsid w:val="00144B68"/>
    <w:rsid w:val="00144D60"/>
    <w:rsid w:val="001514FA"/>
    <w:rsid w:val="001521B9"/>
    <w:rsid w:val="00152B75"/>
    <w:rsid w:val="00156B76"/>
    <w:rsid w:val="00161EE3"/>
    <w:rsid w:val="001629B2"/>
    <w:rsid w:val="00163B89"/>
    <w:rsid w:val="00170A57"/>
    <w:rsid w:val="0018220C"/>
    <w:rsid w:val="00182DF0"/>
    <w:rsid w:val="00184897"/>
    <w:rsid w:val="00184EBC"/>
    <w:rsid w:val="001879DA"/>
    <w:rsid w:val="0019091C"/>
    <w:rsid w:val="00191F05"/>
    <w:rsid w:val="001936B0"/>
    <w:rsid w:val="00194405"/>
    <w:rsid w:val="00194DE6"/>
    <w:rsid w:val="001953B5"/>
    <w:rsid w:val="00196DEE"/>
    <w:rsid w:val="0019712A"/>
    <w:rsid w:val="00197D19"/>
    <w:rsid w:val="001A1111"/>
    <w:rsid w:val="001A1E83"/>
    <w:rsid w:val="001A3F51"/>
    <w:rsid w:val="001A7193"/>
    <w:rsid w:val="001B0B56"/>
    <w:rsid w:val="001B0EFF"/>
    <w:rsid w:val="001B4E73"/>
    <w:rsid w:val="001B5F59"/>
    <w:rsid w:val="001C1F4D"/>
    <w:rsid w:val="001C2B5C"/>
    <w:rsid w:val="001D52FC"/>
    <w:rsid w:val="001D68E2"/>
    <w:rsid w:val="001E0F73"/>
    <w:rsid w:val="001E1D87"/>
    <w:rsid w:val="001F0D09"/>
    <w:rsid w:val="001F76DE"/>
    <w:rsid w:val="0020283B"/>
    <w:rsid w:val="00202E7E"/>
    <w:rsid w:val="00206140"/>
    <w:rsid w:val="002113A9"/>
    <w:rsid w:val="00211ABA"/>
    <w:rsid w:val="00213D13"/>
    <w:rsid w:val="00214370"/>
    <w:rsid w:val="00214622"/>
    <w:rsid w:val="00214726"/>
    <w:rsid w:val="002147F0"/>
    <w:rsid w:val="00214A7D"/>
    <w:rsid w:val="00214D94"/>
    <w:rsid w:val="00220548"/>
    <w:rsid w:val="00221253"/>
    <w:rsid w:val="002235D3"/>
    <w:rsid w:val="00225D79"/>
    <w:rsid w:val="00227BD1"/>
    <w:rsid w:val="00235687"/>
    <w:rsid w:val="00235A3B"/>
    <w:rsid w:val="00242CDB"/>
    <w:rsid w:val="00244069"/>
    <w:rsid w:val="00244F1A"/>
    <w:rsid w:val="002466E8"/>
    <w:rsid w:val="00250584"/>
    <w:rsid w:val="00250D8F"/>
    <w:rsid w:val="00251D61"/>
    <w:rsid w:val="00253215"/>
    <w:rsid w:val="00254DE6"/>
    <w:rsid w:val="00274481"/>
    <w:rsid w:val="00275508"/>
    <w:rsid w:val="00275D16"/>
    <w:rsid w:val="00284756"/>
    <w:rsid w:val="002858B5"/>
    <w:rsid w:val="00291A78"/>
    <w:rsid w:val="00291F25"/>
    <w:rsid w:val="002920BD"/>
    <w:rsid w:val="0029226C"/>
    <w:rsid w:val="00293F73"/>
    <w:rsid w:val="00294D67"/>
    <w:rsid w:val="00296C04"/>
    <w:rsid w:val="00296F29"/>
    <w:rsid w:val="002976A3"/>
    <w:rsid w:val="002A1F76"/>
    <w:rsid w:val="002A21F3"/>
    <w:rsid w:val="002A2603"/>
    <w:rsid w:val="002A423A"/>
    <w:rsid w:val="002A5E2D"/>
    <w:rsid w:val="002A6B07"/>
    <w:rsid w:val="002B06A5"/>
    <w:rsid w:val="002B1F34"/>
    <w:rsid w:val="002B7418"/>
    <w:rsid w:val="002C1C8A"/>
    <w:rsid w:val="002C1FBF"/>
    <w:rsid w:val="002C2413"/>
    <w:rsid w:val="002C25F9"/>
    <w:rsid w:val="002C3EE7"/>
    <w:rsid w:val="002C44AA"/>
    <w:rsid w:val="002C5554"/>
    <w:rsid w:val="002C5B8B"/>
    <w:rsid w:val="002C6994"/>
    <w:rsid w:val="002D0466"/>
    <w:rsid w:val="002D05F2"/>
    <w:rsid w:val="002D2D8E"/>
    <w:rsid w:val="002D31C8"/>
    <w:rsid w:val="002D50DC"/>
    <w:rsid w:val="002D59F7"/>
    <w:rsid w:val="002E115F"/>
    <w:rsid w:val="002E13C3"/>
    <w:rsid w:val="002E25B7"/>
    <w:rsid w:val="002E3247"/>
    <w:rsid w:val="002F28E5"/>
    <w:rsid w:val="002F35F1"/>
    <w:rsid w:val="0030131B"/>
    <w:rsid w:val="00303F15"/>
    <w:rsid w:val="00304E9C"/>
    <w:rsid w:val="00307CB8"/>
    <w:rsid w:val="00312C8D"/>
    <w:rsid w:val="003226F2"/>
    <w:rsid w:val="00322983"/>
    <w:rsid w:val="0032325D"/>
    <w:rsid w:val="0032699D"/>
    <w:rsid w:val="003270BE"/>
    <w:rsid w:val="00327A5A"/>
    <w:rsid w:val="0033098D"/>
    <w:rsid w:val="0033214C"/>
    <w:rsid w:val="00332AAD"/>
    <w:rsid w:val="0034053E"/>
    <w:rsid w:val="00342A26"/>
    <w:rsid w:val="00346E44"/>
    <w:rsid w:val="00351228"/>
    <w:rsid w:val="00357070"/>
    <w:rsid w:val="003639E3"/>
    <w:rsid w:val="0036420A"/>
    <w:rsid w:val="0036596F"/>
    <w:rsid w:val="00367361"/>
    <w:rsid w:val="003705EA"/>
    <w:rsid w:val="00372189"/>
    <w:rsid w:val="0037219C"/>
    <w:rsid w:val="00373DC9"/>
    <w:rsid w:val="00374734"/>
    <w:rsid w:val="00377520"/>
    <w:rsid w:val="00377714"/>
    <w:rsid w:val="003802F8"/>
    <w:rsid w:val="00381D95"/>
    <w:rsid w:val="00385A0E"/>
    <w:rsid w:val="00385E02"/>
    <w:rsid w:val="00387156"/>
    <w:rsid w:val="00387464"/>
    <w:rsid w:val="0038767B"/>
    <w:rsid w:val="00387A0D"/>
    <w:rsid w:val="0039140B"/>
    <w:rsid w:val="00391E8D"/>
    <w:rsid w:val="00392A11"/>
    <w:rsid w:val="0039338D"/>
    <w:rsid w:val="003965EC"/>
    <w:rsid w:val="003967E9"/>
    <w:rsid w:val="003A0386"/>
    <w:rsid w:val="003A1456"/>
    <w:rsid w:val="003A36C0"/>
    <w:rsid w:val="003A56CD"/>
    <w:rsid w:val="003A75AA"/>
    <w:rsid w:val="003A7F49"/>
    <w:rsid w:val="003B042D"/>
    <w:rsid w:val="003B0607"/>
    <w:rsid w:val="003B0C66"/>
    <w:rsid w:val="003B1580"/>
    <w:rsid w:val="003B427C"/>
    <w:rsid w:val="003B4381"/>
    <w:rsid w:val="003B4D8E"/>
    <w:rsid w:val="003B5740"/>
    <w:rsid w:val="003B7672"/>
    <w:rsid w:val="003B7A69"/>
    <w:rsid w:val="003C2496"/>
    <w:rsid w:val="003C24DF"/>
    <w:rsid w:val="003C5D9F"/>
    <w:rsid w:val="003C60B8"/>
    <w:rsid w:val="003C7709"/>
    <w:rsid w:val="003D2AA7"/>
    <w:rsid w:val="003D33C9"/>
    <w:rsid w:val="003D33D2"/>
    <w:rsid w:val="003D4B34"/>
    <w:rsid w:val="003D5189"/>
    <w:rsid w:val="003D5D8A"/>
    <w:rsid w:val="003E023A"/>
    <w:rsid w:val="003E1DEE"/>
    <w:rsid w:val="003E2175"/>
    <w:rsid w:val="003E58E7"/>
    <w:rsid w:val="003E642B"/>
    <w:rsid w:val="003E73FE"/>
    <w:rsid w:val="003F0198"/>
    <w:rsid w:val="003F1BC3"/>
    <w:rsid w:val="003F3282"/>
    <w:rsid w:val="003F490C"/>
    <w:rsid w:val="003F4B87"/>
    <w:rsid w:val="003F4C23"/>
    <w:rsid w:val="003F6961"/>
    <w:rsid w:val="004001ED"/>
    <w:rsid w:val="00405EAA"/>
    <w:rsid w:val="0041000D"/>
    <w:rsid w:val="004101BE"/>
    <w:rsid w:val="00410ABE"/>
    <w:rsid w:val="00413C37"/>
    <w:rsid w:val="00414363"/>
    <w:rsid w:val="0041438D"/>
    <w:rsid w:val="004148FF"/>
    <w:rsid w:val="00420535"/>
    <w:rsid w:val="00431CB2"/>
    <w:rsid w:val="004327EE"/>
    <w:rsid w:val="004355AB"/>
    <w:rsid w:val="00435C63"/>
    <w:rsid w:val="00437255"/>
    <w:rsid w:val="004378F9"/>
    <w:rsid w:val="00446258"/>
    <w:rsid w:val="0044662D"/>
    <w:rsid w:val="00451C9A"/>
    <w:rsid w:val="00451CD2"/>
    <w:rsid w:val="00452061"/>
    <w:rsid w:val="004527A1"/>
    <w:rsid w:val="004529B6"/>
    <w:rsid w:val="00453EAA"/>
    <w:rsid w:val="00455252"/>
    <w:rsid w:val="0045572F"/>
    <w:rsid w:val="00456343"/>
    <w:rsid w:val="00456E61"/>
    <w:rsid w:val="00456F71"/>
    <w:rsid w:val="0045731C"/>
    <w:rsid w:val="00457FE2"/>
    <w:rsid w:val="004640A5"/>
    <w:rsid w:val="00464B9C"/>
    <w:rsid w:val="00467A48"/>
    <w:rsid w:val="00467E26"/>
    <w:rsid w:val="00470B2C"/>
    <w:rsid w:val="00475F32"/>
    <w:rsid w:val="00477CC3"/>
    <w:rsid w:val="0048060A"/>
    <w:rsid w:val="00482133"/>
    <w:rsid w:val="0048292E"/>
    <w:rsid w:val="0048381D"/>
    <w:rsid w:val="0048394C"/>
    <w:rsid w:val="004839DE"/>
    <w:rsid w:val="004855B9"/>
    <w:rsid w:val="004872D2"/>
    <w:rsid w:val="00493EE6"/>
    <w:rsid w:val="00494324"/>
    <w:rsid w:val="00496EA0"/>
    <w:rsid w:val="004976CA"/>
    <w:rsid w:val="004A1E78"/>
    <w:rsid w:val="004A2068"/>
    <w:rsid w:val="004A3EAC"/>
    <w:rsid w:val="004A5144"/>
    <w:rsid w:val="004A621D"/>
    <w:rsid w:val="004B0257"/>
    <w:rsid w:val="004B0396"/>
    <w:rsid w:val="004B0F83"/>
    <w:rsid w:val="004B1019"/>
    <w:rsid w:val="004B2158"/>
    <w:rsid w:val="004B6CCC"/>
    <w:rsid w:val="004C1709"/>
    <w:rsid w:val="004C21C8"/>
    <w:rsid w:val="004C6DA3"/>
    <w:rsid w:val="004D26F5"/>
    <w:rsid w:val="004D2BD7"/>
    <w:rsid w:val="004D5979"/>
    <w:rsid w:val="004D5A97"/>
    <w:rsid w:val="004D5CDB"/>
    <w:rsid w:val="004E6525"/>
    <w:rsid w:val="004F3C54"/>
    <w:rsid w:val="004F612E"/>
    <w:rsid w:val="004F7B6C"/>
    <w:rsid w:val="004F7F1B"/>
    <w:rsid w:val="005017BD"/>
    <w:rsid w:val="00501E32"/>
    <w:rsid w:val="005046F4"/>
    <w:rsid w:val="00504D66"/>
    <w:rsid w:val="005061B0"/>
    <w:rsid w:val="005063EA"/>
    <w:rsid w:val="00506830"/>
    <w:rsid w:val="00510E58"/>
    <w:rsid w:val="00512CD4"/>
    <w:rsid w:val="0052077C"/>
    <w:rsid w:val="00525CF3"/>
    <w:rsid w:val="00527085"/>
    <w:rsid w:val="0052796B"/>
    <w:rsid w:val="00530B50"/>
    <w:rsid w:val="00530D91"/>
    <w:rsid w:val="005321E5"/>
    <w:rsid w:val="0053301E"/>
    <w:rsid w:val="005336B5"/>
    <w:rsid w:val="005338E9"/>
    <w:rsid w:val="00536611"/>
    <w:rsid w:val="00537144"/>
    <w:rsid w:val="00537736"/>
    <w:rsid w:val="005378DF"/>
    <w:rsid w:val="0054147B"/>
    <w:rsid w:val="00541D59"/>
    <w:rsid w:val="00541F35"/>
    <w:rsid w:val="00544901"/>
    <w:rsid w:val="00547562"/>
    <w:rsid w:val="005503B6"/>
    <w:rsid w:val="005523DF"/>
    <w:rsid w:val="00555CD4"/>
    <w:rsid w:val="00560CD2"/>
    <w:rsid w:val="00561DAD"/>
    <w:rsid w:val="005631FA"/>
    <w:rsid w:val="00564EA6"/>
    <w:rsid w:val="00566909"/>
    <w:rsid w:val="00566FA7"/>
    <w:rsid w:val="005741F4"/>
    <w:rsid w:val="0057675C"/>
    <w:rsid w:val="005769F7"/>
    <w:rsid w:val="00576CF1"/>
    <w:rsid w:val="005811DF"/>
    <w:rsid w:val="00582836"/>
    <w:rsid w:val="00582C7C"/>
    <w:rsid w:val="00582FD6"/>
    <w:rsid w:val="00583170"/>
    <w:rsid w:val="00583A9D"/>
    <w:rsid w:val="00584009"/>
    <w:rsid w:val="00586929"/>
    <w:rsid w:val="00587A31"/>
    <w:rsid w:val="00590169"/>
    <w:rsid w:val="005922B7"/>
    <w:rsid w:val="0059408F"/>
    <w:rsid w:val="005977D7"/>
    <w:rsid w:val="005A0260"/>
    <w:rsid w:val="005A1042"/>
    <w:rsid w:val="005A4794"/>
    <w:rsid w:val="005A4B57"/>
    <w:rsid w:val="005A545A"/>
    <w:rsid w:val="005B3645"/>
    <w:rsid w:val="005B4C84"/>
    <w:rsid w:val="005B6B2D"/>
    <w:rsid w:val="005B7948"/>
    <w:rsid w:val="005B7D6B"/>
    <w:rsid w:val="005C2836"/>
    <w:rsid w:val="005C3C5E"/>
    <w:rsid w:val="005C6074"/>
    <w:rsid w:val="005C777B"/>
    <w:rsid w:val="005C7A41"/>
    <w:rsid w:val="005D1361"/>
    <w:rsid w:val="005D1A93"/>
    <w:rsid w:val="005D1F08"/>
    <w:rsid w:val="005D2698"/>
    <w:rsid w:val="005E00A5"/>
    <w:rsid w:val="005E0399"/>
    <w:rsid w:val="005E0E16"/>
    <w:rsid w:val="005E6824"/>
    <w:rsid w:val="005E7897"/>
    <w:rsid w:val="005F7860"/>
    <w:rsid w:val="006004F8"/>
    <w:rsid w:val="00600B4D"/>
    <w:rsid w:val="00602CB3"/>
    <w:rsid w:val="00603843"/>
    <w:rsid w:val="00604524"/>
    <w:rsid w:val="00605454"/>
    <w:rsid w:val="0061099C"/>
    <w:rsid w:val="0061127D"/>
    <w:rsid w:val="00611B1C"/>
    <w:rsid w:val="00612E4D"/>
    <w:rsid w:val="0061317E"/>
    <w:rsid w:val="00615CB9"/>
    <w:rsid w:val="00616F31"/>
    <w:rsid w:val="00622006"/>
    <w:rsid w:val="00623641"/>
    <w:rsid w:val="00630706"/>
    <w:rsid w:val="00632513"/>
    <w:rsid w:val="006351C8"/>
    <w:rsid w:val="00637B96"/>
    <w:rsid w:val="00641F5D"/>
    <w:rsid w:val="0064256F"/>
    <w:rsid w:val="006430B8"/>
    <w:rsid w:val="006432D6"/>
    <w:rsid w:val="00645D7F"/>
    <w:rsid w:val="00646F3E"/>
    <w:rsid w:val="0065168B"/>
    <w:rsid w:val="00652EB5"/>
    <w:rsid w:val="00655ADB"/>
    <w:rsid w:val="00656259"/>
    <w:rsid w:val="006579F2"/>
    <w:rsid w:val="00657A8F"/>
    <w:rsid w:val="00663AEB"/>
    <w:rsid w:val="00665FB1"/>
    <w:rsid w:val="006702A7"/>
    <w:rsid w:val="00670698"/>
    <w:rsid w:val="0067241A"/>
    <w:rsid w:val="00673043"/>
    <w:rsid w:val="006741F0"/>
    <w:rsid w:val="00675115"/>
    <w:rsid w:val="00680335"/>
    <w:rsid w:val="0068603E"/>
    <w:rsid w:val="00691251"/>
    <w:rsid w:val="006932DE"/>
    <w:rsid w:val="00695332"/>
    <w:rsid w:val="00695ACB"/>
    <w:rsid w:val="00695E2D"/>
    <w:rsid w:val="006A0942"/>
    <w:rsid w:val="006A1853"/>
    <w:rsid w:val="006A5436"/>
    <w:rsid w:val="006A7104"/>
    <w:rsid w:val="006A7767"/>
    <w:rsid w:val="006A7F30"/>
    <w:rsid w:val="006B23E4"/>
    <w:rsid w:val="006B396D"/>
    <w:rsid w:val="006B4336"/>
    <w:rsid w:val="006B7C93"/>
    <w:rsid w:val="006C255C"/>
    <w:rsid w:val="006C482B"/>
    <w:rsid w:val="006C52D9"/>
    <w:rsid w:val="006C5E17"/>
    <w:rsid w:val="006C6424"/>
    <w:rsid w:val="006D18AA"/>
    <w:rsid w:val="006D1D0A"/>
    <w:rsid w:val="006D28EA"/>
    <w:rsid w:val="006D49D1"/>
    <w:rsid w:val="006E6EA7"/>
    <w:rsid w:val="006F1946"/>
    <w:rsid w:val="006F26DF"/>
    <w:rsid w:val="006F29EE"/>
    <w:rsid w:val="006F2CD4"/>
    <w:rsid w:val="006F4F14"/>
    <w:rsid w:val="006F6526"/>
    <w:rsid w:val="006F6B8E"/>
    <w:rsid w:val="006F799B"/>
    <w:rsid w:val="00700872"/>
    <w:rsid w:val="00703ED8"/>
    <w:rsid w:val="007114A4"/>
    <w:rsid w:val="00711B5B"/>
    <w:rsid w:val="0071265F"/>
    <w:rsid w:val="00714DA8"/>
    <w:rsid w:val="007177A8"/>
    <w:rsid w:val="0071780B"/>
    <w:rsid w:val="00717CD2"/>
    <w:rsid w:val="00717F08"/>
    <w:rsid w:val="00723937"/>
    <w:rsid w:val="00725EE4"/>
    <w:rsid w:val="00727065"/>
    <w:rsid w:val="00730CFF"/>
    <w:rsid w:val="00734351"/>
    <w:rsid w:val="00735A9C"/>
    <w:rsid w:val="0073600F"/>
    <w:rsid w:val="00740A96"/>
    <w:rsid w:val="00741202"/>
    <w:rsid w:val="00741776"/>
    <w:rsid w:val="007437F7"/>
    <w:rsid w:val="00744BAC"/>
    <w:rsid w:val="00745450"/>
    <w:rsid w:val="007468AF"/>
    <w:rsid w:val="00746F54"/>
    <w:rsid w:val="00747049"/>
    <w:rsid w:val="00747BA5"/>
    <w:rsid w:val="00751316"/>
    <w:rsid w:val="00757943"/>
    <w:rsid w:val="0076032F"/>
    <w:rsid w:val="007632DB"/>
    <w:rsid w:val="007729F5"/>
    <w:rsid w:val="00772E71"/>
    <w:rsid w:val="00773D1F"/>
    <w:rsid w:val="0077567C"/>
    <w:rsid w:val="007760BF"/>
    <w:rsid w:val="007766CE"/>
    <w:rsid w:val="007813CB"/>
    <w:rsid w:val="00790CFD"/>
    <w:rsid w:val="0079186E"/>
    <w:rsid w:val="00791BEA"/>
    <w:rsid w:val="00793B70"/>
    <w:rsid w:val="007957AB"/>
    <w:rsid w:val="007968C5"/>
    <w:rsid w:val="00796B00"/>
    <w:rsid w:val="00796DC9"/>
    <w:rsid w:val="007A415D"/>
    <w:rsid w:val="007A4302"/>
    <w:rsid w:val="007A5055"/>
    <w:rsid w:val="007A5DA3"/>
    <w:rsid w:val="007B0726"/>
    <w:rsid w:val="007B1338"/>
    <w:rsid w:val="007B3073"/>
    <w:rsid w:val="007B45F3"/>
    <w:rsid w:val="007B5F42"/>
    <w:rsid w:val="007C0060"/>
    <w:rsid w:val="007C2C05"/>
    <w:rsid w:val="007C3222"/>
    <w:rsid w:val="007C4988"/>
    <w:rsid w:val="007C6206"/>
    <w:rsid w:val="007C6C7B"/>
    <w:rsid w:val="007D0313"/>
    <w:rsid w:val="007D1FD1"/>
    <w:rsid w:val="007D4367"/>
    <w:rsid w:val="007D670F"/>
    <w:rsid w:val="007D716A"/>
    <w:rsid w:val="007E2BC4"/>
    <w:rsid w:val="007E3A94"/>
    <w:rsid w:val="007E3C3D"/>
    <w:rsid w:val="007E6A7D"/>
    <w:rsid w:val="007F7137"/>
    <w:rsid w:val="0080262D"/>
    <w:rsid w:val="00802A80"/>
    <w:rsid w:val="00804449"/>
    <w:rsid w:val="00806D4F"/>
    <w:rsid w:val="0081286D"/>
    <w:rsid w:val="008168B6"/>
    <w:rsid w:val="00817218"/>
    <w:rsid w:val="00822078"/>
    <w:rsid w:val="00822860"/>
    <w:rsid w:val="0082626C"/>
    <w:rsid w:val="008268F1"/>
    <w:rsid w:val="00831D08"/>
    <w:rsid w:val="00832B4A"/>
    <w:rsid w:val="008335F6"/>
    <w:rsid w:val="00833CB7"/>
    <w:rsid w:val="00836317"/>
    <w:rsid w:val="00837F99"/>
    <w:rsid w:val="00837F9B"/>
    <w:rsid w:val="00840E44"/>
    <w:rsid w:val="0084159F"/>
    <w:rsid w:val="008419DE"/>
    <w:rsid w:val="00841BCF"/>
    <w:rsid w:val="00842746"/>
    <w:rsid w:val="008463EB"/>
    <w:rsid w:val="0085025E"/>
    <w:rsid w:val="00853925"/>
    <w:rsid w:val="00854C0C"/>
    <w:rsid w:val="00855250"/>
    <w:rsid w:val="00860C38"/>
    <w:rsid w:val="00860F17"/>
    <w:rsid w:val="0086182F"/>
    <w:rsid w:val="00862D71"/>
    <w:rsid w:val="00865E08"/>
    <w:rsid w:val="008673D0"/>
    <w:rsid w:val="008776CE"/>
    <w:rsid w:val="00880F72"/>
    <w:rsid w:val="0088156A"/>
    <w:rsid w:val="00882924"/>
    <w:rsid w:val="00884525"/>
    <w:rsid w:val="00885FF3"/>
    <w:rsid w:val="00886096"/>
    <w:rsid w:val="008866A2"/>
    <w:rsid w:val="008976CE"/>
    <w:rsid w:val="00897E09"/>
    <w:rsid w:val="008A070C"/>
    <w:rsid w:val="008A08FC"/>
    <w:rsid w:val="008A1FCF"/>
    <w:rsid w:val="008A6487"/>
    <w:rsid w:val="008A6CA9"/>
    <w:rsid w:val="008B0E66"/>
    <w:rsid w:val="008B16CA"/>
    <w:rsid w:val="008B6E69"/>
    <w:rsid w:val="008C2B5E"/>
    <w:rsid w:val="008C40E6"/>
    <w:rsid w:val="008C5881"/>
    <w:rsid w:val="008D0CCD"/>
    <w:rsid w:val="008D36D0"/>
    <w:rsid w:val="008D39A1"/>
    <w:rsid w:val="008D4729"/>
    <w:rsid w:val="008D4CA7"/>
    <w:rsid w:val="008E07BD"/>
    <w:rsid w:val="008E5462"/>
    <w:rsid w:val="008E5EBA"/>
    <w:rsid w:val="008E6427"/>
    <w:rsid w:val="008F08C9"/>
    <w:rsid w:val="008F58AB"/>
    <w:rsid w:val="008F5DB8"/>
    <w:rsid w:val="008F627B"/>
    <w:rsid w:val="00900838"/>
    <w:rsid w:val="00901F58"/>
    <w:rsid w:val="00904060"/>
    <w:rsid w:val="0091339E"/>
    <w:rsid w:val="00915AD8"/>
    <w:rsid w:val="0091664F"/>
    <w:rsid w:val="00920210"/>
    <w:rsid w:val="00920E18"/>
    <w:rsid w:val="009238F5"/>
    <w:rsid w:val="009254ED"/>
    <w:rsid w:val="00925695"/>
    <w:rsid w:val="00926FDA"/>
    <w:rsid w:val="00927D43"/>
    <w:rsid w:val="009302E0"/>
    <w:rsid w:val="00933546"/>
    <w:rsid w:val="0093367E"/>
    <w:rsid w:val="00933E9A"/>
    <w:rsid w:val="00935460"/>
    <w:rsid w:val="00936B60"/>
    <w:rsid w:val="00937089"/>
    <w:rsid w:val="009376CD"/>
    <w:rsid w:val="00937A04"/>
    <w:rsid w:val="00937D8B"/>
    <w:rsid w:val="009457EF"/>
    <w:rsid w:val="009472D2"/>
    <w:rsid w:val="00952701"/>
    <w:rsid w:val="00952F3C"/>
    <w:rsid w:val="00955FCE"/>
    <w:rsid w:val="00956EED"/>
    <w:rsid w:val="0096039C"/>
    <w:rsid w:val="00960511"/>
    <w:rsid w:val="00967384"/>
    <w:rsid w:val="0096772C"/>
    <w:rsid w:val="00970235"/>
    <w:rsid w:val="0097064A"/>
    <w:rsid w:val="00970860"/>
    <w:rsid w:val="00972651"/>
    <w:rsid w:val="00974AEA"/>
    <w:rsid w:val="00975662"/>
    <w:rsid w:val="009760A6"/>
    <w:rsid w:val="0098010A"/>
    <w:rsid w:val="0098105F"/>
    <w:rsid w:val="00981CAB"/>
    <w:rsid w:val="00991DF9"/>
    <w:rsid w:val="009928CA"/>
    <w:rsid w:val="0099494D"/>
    <w:rsid w:val="009954ED"/>
    <w:rsid w:val="00995DE9"/>
    <w:rsid w:val="009969BD"/>
    <w:rsid w:val="009979C0"/>
    <w:rsid w:val="00997F40"/>
    <w:rsid w:val="009A0C91"/>
    <w:rsid w:val="009A152E"/>
    <w:rsid w:val="009A15CD"/>
    <w:rsid w:val="009A2126"/>
    <w:rsid w:val="009A3C97"/>
    <w:rsid w:val="009A4271"/>
    <w:rsid w:val="009A505B"/>
    <w:rsid w:val="009A62B9"/>
    <w:rsid w:val="009B03C5"/>
    <w:rsid w:val="009B1E94"/>
    <w:rsid w:val="009B4576"/>
    <w:rsid w:val="009B47E4"/>
    <w:rsid w:val="009B5F78"/>
    <w:rsid w:val="009B64F1"/>
    <w:rsid w:val="009B68FA"/>
    <w:rsid w:val="009B6960"/>
    <w:rsid w:val="009C0A86"/>
    <w:rsid w:val="009C1234"/>
    <w:rsid w:val="009C15F5"/>
    <w:rsid w:val="009C1A97"/>
    <w:rsid w:val="009C399B"/>
    <w:rsid w:val="009C50B9"/>
    <w:rsid w:val="009C54B6"/>
    <w:rsid w:val="009C6795"/>
    <w:rsid w:val="009D29A5"/>
    <w:rsid w:val="009D3011"/>
    <w:rsid w:val="009D4771"/>
    <w:rsid w:val="009D6AAB"/>
    <w:rsid w:val="009E1F26"/>
    <w:rsid w:val="009E3BAC"/>
    <w:rsid w:val="009E4750"/>
    <w:rsid w:val="009E5FD5"/>
    <w:rsid w:val="009F0F6F"/>
    <w:rsid w:val="009F2468"/>
    <w:rsid w:val="009F309D"/>
    <w:rsid w:val="009F5929"/>
    <w:rsid w:val="009F5AE6"/>
    <w:rsid w:val="00A04EEE"/>
    <w:rsid w:val="00A07280"/>
    <w:rsid w:val="00A07708"/>
    <w:rsid w:val="00A1336E"/>
    <w:rsid w:val="00A135CD"/>
    <w:rsid w:val="00A13ABC"/>
    <w:rsid w:val="00A157E3"/>
    <w:rsid w:val="00A15972"/>
    <w:rsid w:val="00A21D41"/>
    <w:rsid w:val="00A247A1"/>
    <w:rsid w:val="00A25CCA"/>
    <w:rsid w:val="00A25F4E"/>
    <w:rsid w:val="00A312F3"/>
    <w:rsid w:val="00A320FC"/>
    <w:rsid w:val="00A35D60"/>
    <w:rsid w:val="00A3690A"/>
    <w:rsid w:val="00A419CC"/>
    <w:rsid w:val="00A42CA6"/>
    <w:rsid w:val="00A43367"/>
    <w:rsid w:val="00A47B1B"/>
    <w:rsid w:val="00A50826"/>
    <w:rsid w:val="00A53B58"/>
    <w:rsid w:val="00A547B2"/>
    <w:rsid w:val="00A55DA9"/>
    <w:rsid w:val="00A55FF2"/>
    <w:rsid w:val="00A56289"/>
    <w:rsid w:val="00A575D9"/>
    <w:rsid w:val="00A57C1A"/>
    <w:rsid w:val="00A60D4A"/>
    <w:rsid w:val="00A62A6B"/>
    <w:rsid w:val="00A63080"/>
    <w:rsid w:val="00A6622D"/>
    <w:rsid w:val="00A7220C"/>
    <w:rsid w:val="00A73ECA"/>
    <w:rsid w:val="00A76ED8"/>
    <w:rsid w:val="00A82C8D"/>
    <w:rsid w:val="00A82D8A"/>
    <w:rsid w:val="00A86049"/>
    <w:rsid w:val="00A86AF2"/>
    <w:rsid w:val="00A87A02"/>
    <w:rsid w:val="00A9155A"/>
    <w:rsid w:val="00A91DD0"/>
    <w:rsid w:val="00A93490"/>
    <w:rsid w:val="00A94CA5"/>
    <w:rsid w:val="00A97771"/>
    <w:rsid w:val="00AA2444"/>
    <w:rsid w:val="00AA25FD"/>
    <w:rsid w:val="00AA39EC"/>
    <w:rsid w:val="00AA4ECC"/>
    <w:rsid w:val="00AA4FA0"/>
    <w:rsid w:val="00AA5625"/>
    <w:rsid w:val="00AB0E57"/>
    <w:rsid w:val="00AB2207"/>
    <w:rsid w:val="00AB2378"/>
    <w:rsid w:val="00AB595B"/>
    <w:rsid w:val="00AB7015"/>
    <w:rsid w:val="00AB72C3"/>
    <w:rsid w:val="00AC21C2"/>
    <w:rsid w:val="00AC2473"/>
    <w:rsid w:val="00AC290E"/>
    <w:rsid w:val="00AC50B1"/>
    <w:rsid w:val="00AC5685"/>
    <w:rsid w:val="00AC7E1F"/>
    <w:rsid w:val="00AD0A3C"/>
    <w:rsid w:val="00AD35AC"/>
    <w:rsid w:val="00AE131F"/>
    <w:rsid w:val="00AE404C"/>
    <w:rsid w:val="00AE40F5"/>
    <w:rsid w:val="00AE4F01"/>
    <w:rsid w:val="00AF07D5"/>
    <w:rsid w:val="00AF0C78"/>
    <w:rsid w:val="00AF2CB8"/>
    <w:rsid w:val="00AF32B3"/>
    <w:rsid w:val="00AF33F8"/>
    <w:rsid w:val="00AF478A"/>
    <w:rsid w:val="00AF47A8"/>
    <w:rsid w:val="00AF51C8"/>
    <w:rsid w:val="00B00AA3"/>
    <w:rsid w:val="00B01003"/>
    <w:rsid w:val="00B01B5E"/>
    <w:rsid w:val="00B05871"/>
    <w:rsid w:val="00B0656D"/>
    <w:rsid w:val="00B107FD"/>
    <w:rsid w:val="00B1094A"/>
    <w:rsid w:val="00B12854"/>
    <w:rsid w:val="00B13A4D"/>
    <w:rsid w:val="00B15348"/>
    <w:rsid w:val="00B15458"/>
    <w:rsid w:val="00B15D84"/>
    <w:rsid w:val="00B16101"/>
    <w:rsid w:val="00B21CCC"/>
    <w:rsid w:val="00B2284D"/>
    <w:rsid w:val="00B24D38"/>
    <w:rsid w:val="00B254CE"/>
    <w:rsid w:val="00B25AD0"/>
    <w:rsid w:val="00B2616F"/>
    <w:rsid w:val="00B3232F"/>
    <w:rsid w:val="00B33662"/>
    <w:rsid w:val="00B34841"/>
    <w:rsid w:val="00B36FAF"/>
    <w:rsid w:val="00B430F1"/>
    <w:rsid w:val="00B43ADD"/>
    <w:rsid w:val="00B43FED"/>
    <w:rsid w:val="00B44491"/>
    <w:rsid w:val="00B45DE7"/>
    <w:rsid w:val="00B46CE8"/>
    <w:rsid w:val="00B5041D"/>
    <w:rsid w:val="00B52546"/>
    <w:rsid w:val="00B53744"/>
    <w:rsid w:val="00B576E4"/>
    <w:rsid w:val="00B5790D"/>
    <w:rsid w:val="00B61E16"/>
    <w:rsid w:val="00B63294"/>
    <w:rsid w:val="00B6383A"/>
    <w:rsid w:val="00B650E7"/>
    <w:rsid w:val="00B654A3"/>
    <w:rsid w:val="00B65675"/>
    <w:rsid w:val="00B65938"/>
    <w:rsid w:val="00B67E99"/>
    <w:rsid w:val="00B7141B"/>
    <w:rsid w:val="00B71CDD"/>
    <w:rsid w:val="00B72AEE"/>
    <w:rsid w:val="00B732CF"/>
    <w:rsid w:val="00B762C6"/>
    <w:rsid w:val="00B83E10"/>
    <w:rsid w:val="00B91BC9"/>
    <w:rsid w:val="00B92F79"/>
    <w:rsid w:val="00B95BFD"/>
    <w:rsid w:val="00B97C47"/>
    <w:rsid w:val="00BA04BD"/>
    <w:rsid w:val="00BA1121"/>
    <w:rsid w:val="00BA2AD7"/>
    <w:rsid w:val="00BA2BFB"/>
    <w:rsid w:val="00BA38DC"/>
    <w:rsid w:val="00BA4001"/>
    <w:rsid w:val="00BA4D9B"/>
    <w:rsid w:val="00BA5778"/>
    <w:rsid w:val="00BA66D2"/>
    <w:rsid w:val="00BA72D5"/>
    <w:rsid w:val="00BA7790"/>
    <w:rsid w:val="00BB2BAA"/>
    <w:rsid w:val="00BB3E51"/>
    <w:rsid w:val="00BB5B2E"/>
    <w:rsid w:val="00BB6CD3"/>
    <w:rsid w:val="00BB70A4"/>
    <w:rsid w:val="00BB766F"/>
    <w:rsid w:val="00BB7F49"/>
    <w:rsid w:val="00BC038A"/>
    <w:rsid w:val="00BC0811"/>
    <w:rsid w:val="00BC38B5"/>
    <w:rsid w:val="00BC5145"/>
    <w:rsid w:val="00BD103E"/>
    <w:rsid w:val="00BD25C3"/>
    <w:rsid w:val="00BD56E7"/>
    <w:rsid w:val="00BD5D45"/>
    <w:rsid w:val="00BD6111"/>
    <w:rsid w:val="00BD6660"/>
    <w:rsid w:val="00BD6E8A"/>
    <w:rsid w:val="00BD7E64"/>
    <w:rsid w:val="00BE12E6"/>
    <w:rsid w:val="00BE4C3E"/>
    <w:rsid w:val="00BE534D"/>
    <w:rsid w:val="00BE6B4B"/>
    <w:rsid w:val="00C03265"/>
    <w:rsid w:val="00C03B42"/>
    <w:rsid w:val="00C063AC"/>
    <w:rsid w:val="00C079FA"/>
    <w:rsid w:val="00C1162C"/>
    <w:rsid w:val="00C122A2"/>
    <w:rsid w:val="00C15A41"/>
    <w:rsid w:val="00C167EA"/>
    <w:rsid w:val="00C16A67"/>
    <w:rsid w:val="00C16FBB"/>
    <w:rsid w:val="00C1755C"/>
    <w:rsid w:val="00C2056D"/>
    <w:rsid w:val="00C2074F"/>
    <w:rsid w:val="00C21F7A"/>
    <w:rsid w:val="00C224CE"/>
    <w:rsid w:val="00C23955"/>
    <w:rsid w:val="00C24E9E"/>
    <w:rsid w:val="00C27525"/>
    <w:rsid w:val="00C34BA2"/>
    <w:rsid w:val="00C37ADB"/>
    <w:rsid w:val="00C37F68"/>
    <w:rsid w:val="00C40E8E"/>
    <w:rsid w:val="00C41B68"/>
    <w:rsid w:val="00C43A0B"/>
    <w:rsid w:val="00C5177A"/>
    <w:rsid w:val="00C52D82"/>
    <w:rsid w:val="00C56785"/>
    <w:rsid w:val="00C573B4"/>
    <w:rsid w:val="00C602AA"/>
    <w:rsid w:val="00C7195D"/>
    <w:rsid w:val="00C723B3"/>
    <w:rsid w:val="00C72511"/>
    <w:rsid w:val="00C75BF2"/>
    <w:rsid w:val="00C7708E"/>
    <w:rsid w:val="00C8047A"/>
    <w:rsid w:val="00C81443"/>
    <w:rsid w:val="00C81E8C"/>
    <w:rsid w:val="00C8503F"/>
    <w:rsid w:val="00C854E2"/>
    <w:rsid w:val="00C86204"/>
    <w:rsid w:val="00C90E88"/>
    <w:rsid w:val="00C933A5"/>
    <w:rsid w:val="00C94C9F"/>
    <w:rsid w:val="00CA32C7"/>
    <w:rsid w:val="00CA3CF1"/>
    <w:rsid w:val="00CB216E"/>
    <w:rsid w:val="00CB34D3"/>
    <w:rsid w:val="00CB5D16"/>
    <w:rsid w:val="00CC1295"/>
    <w:rsid w:val="00CC1BCF"/>
    <w:rsid w:val="00CC1F37"/>
    <w:rsid w:val="00CC4092"/>
    <w:rsid w:val="00CC6FB3"/>
    <w:rsid w:val="00CC746F"/>
    <w:rsid w:val="00CD1075"/>
    <w:rsid w:val="00CD1F79"/>
    <w:rsid w:val="00CD23FF"/>
    <w:rsid w:val="00CD2588"/>
    <w:rsid w:val="00CD2CD3"/>
    <w:rsid w:val="00CD62A6"/>
    <w:rsid w:val="00CE27EF"/>
    <w:rsid w:val="00CE5774"/>
    <w:rsid w:val="00CE6708"/>
    <w:rsid w:val="00CE6D4F"/>
    <w:rsid w:val="00CF3D5C"/>
    <w:rsid w:val="00CF55C0"/>
    <w:rsid w:val="00CF5788"/>
    <w:rsid w:val="00D004B8"/>
    <w:rsid w:val="00D01563"/>
    <w:rsid w:val="00D01924"/>
    <w:rsid w:val="00D04893"/>
    <w:rsid w:val="00D04B9C"/>
    <w:rsid w:val="00D04BBB"/>
    <w:rsid w:val="00D07231"/>
    <w:rsid w:val="00D07FD2"/>
    <w:rsid w:val="00D11745"/>
    <w:rsid w:val="00D1202F"/>
    <w:rsid w:val="00D121C1"/>
    <w:rsid w:val="00D12B69"/>
    <w:rsid w:val="00D14111"/>
    <w:rsid w:val="00D15381"/>
    <w:rsid w:val="00D1721C"/>
    <w:rsid w:val="00D20FE3"/>
    <w:rsid w:val="00D24303"/>
    <w:rsid w:val="00D3503B"/>
    <w:rsid w:val="00D36BF8"/>
    <w:rsid w:val="00D37747"/>
    <w:rsid w:val="00D40362"/>
    <w:rsid w:val="00D40416"/>
    <w:rsid w:val="00D409F8"/>
    <w:rsid w:val="00D41DB6"/>
    <w:rsid w:val="00D47958"/>
    <w:rsid w:val="00D47B5A"/>
    <w:rsid w:val="00D5356D"/>
    <w:rsid w:val="00D55187"/>
    <w:rsid w:val="00D571E6"/>
    <w:rsid w:val="00D573D0"/>
    <w:rsid w:val="00D57494"/>
    <w:rsid w:val="00D61AC1"/>
    <w:rsid w:val="00D61BB3"/>
    <w:rsid w:val="00D633AE"/>
    <w:rsid w:val="00D63E54"/>
    <w:rsid w:val="00D646D5"/>
    <w:rsid w:val="00D676AD"/>
    <w:rsid w:val="00D71713"/>
    <w:rsid w:val="00D729B1"/>
    <w:rsid w:val="00D73C64"/>
    <w:rsid w:val="00D808C0"/>
    <w:rsid w:val="00D81873"/>
    <w:rsid w:val="00D825C4"/>
    <w:rsid w:val="00D865EC"/>
    <w:rsid w:val="00D86BF6"/>
    <w:rsid w:val="00D903FA"/>
    <w:rsid w:val="00D92833"/>
    <w:rsid w:val="00D92CF8"/>
    <w:rsid w:val="00D964B0"/>
    <w:rsid w:val="00DA0B00"/>
    <w:rsid w:val="00DA561D"/>
    <w:rsid w:val="00DB03A4"/>
    <w:rsid w:val="00DB47D3"/>
    <w:rsid w:val="00DB58E0"/>
    <w:rsid w:val="00DB5D7D"/>
    <w:rsid w:val="00DB6F71"/>
    <w:rsid w:val="00DB7E64"/>
    <w:rsid w:val="00DC0191"/>
    <w:rsid w:val="00DC0ECC"/>
    <w:rsid w:val="00DD2768"/>
    <w:rsid w:val="00DD6F8E"/>
    <w:rsid w:val="00DE3E20"/>
    <w:rsid w:val="00DE4D7F"/>
    <w:rsid w:val="00DE65D2"/>
    <w:rsid w:val="00DE7627"/>
    <w:rsid w:val="00DF10AE"/>
    <w:rsid w:val="00DF465F"/>
    <w:rsid w:val="00DF5DA3"/>
    <w:rsid w:val="00E00C60"/>
    <w:rsid w:val="00E00D7C"/>
    <w:rsid w:val="00E05CCA"/>
    <w:rsid w:val="00E07E8C"/>
    <w:rsid w:val="00E103CA"/>
    <w:rsid w:val="00E11630"/>
    <w:rsid w:val="00E11DD1"/>
    <w:rsid w:val="00E20602"/>
    <w:rsid w:val="00E2232B"/>
    <w:rsid w:val="00E24720"/>
    <w:rsid w:val="00E26DB3"/>
    <w:rsid w:val="00E32486"/>
    <w:rsid w:val="00E34CD1"/>
    <w:rsid w:val="00E35903"/>
    <w:rsid w:val="00E405EE"/>
    <w:rsid w:val="00E41003"/>
    <w:rsid w:val="00E43B33"/>
    <w:rsid w:val="00E43D61"/>
    <w:rsid w:val="00E45228"/>
    <w:rsid w:val="00E46501"/>
    <w:rsid w:val="00E46AD0"/>
    <w:rsid w:val="00E47E1D"/>
    <w:rsid w:val="00E5009B"/>
    <w:rsid w:val="00E5156B"/>
    <w:rsid w:val="00E54150"/>
    <w:rsid w:val="00E5469A"/>
    <w:rsid w:val="00E56EF1"/>
    <w:rsid w:val="00E573A3"/>
    <w:rsid w:val="00E60104"/>
    <w:rsid w:val="00E63F84"/>
    <w:rsid w:val="00E64A99"/>
    <w:rsid w:val="00E64D5E"/>
    <w:rsid w:val="00E66958"/>
    <w:rsid w:val="00E72AC4"/>
    <w:rsid w:val="00E741A9"/>
    <w:rsid w:val="00E74ADA"/>
    <w:rsid w:val="00E759C1"/>
    <w:rsid w:val="00E75A17"/>
    <w:rsid w:val="00E81246"/>
    <w:rsid w:val="00E8144F"/>
    <w:rsid w:val="00E81C59"/>
    <w:rsid w:val="00E87829"/>
    <w:rsid w:val="00E90EC3"/>
    <w:rsid w:val="00E916D5"/>
    <w:rsid w:val="00E92CE4"/>
    <w:rsid w:val="00E95FC6"/>
    <w:rsid w:val="00EA1E0B"/>
    <w:rsid w:val="00EA273E"/>
    <w:rsid w:val="00EA41A0"/>
    <w:rsid w:val="00EA4854"/>
    <w:rsid w:val="00EA5114"/>
    <w:rsid w:val="00EA7090"/>
    <w:rsid w:val="00EA7427"/>
    <w:rsid w:val="00EA769E"/>
    <w:rsid w:val="00EB221F"/>
    <w:rsid w:val="00EB3B0A"/>
    <w:rsid w:val="00EC595B"/>
    <w:rsid w:val="00EC735B"/>
    <w:rsid w:val="00EC7FE5"/>
    <w:rsid w:val="00ED5E9B"/>
    <w:rsid w:val="00EE1EF4"/>
    <w:rsid w:val="00EE3270"/>
    <w:rsid w:val="00EE4F21"/>
    <w:rsid w:val="00EF4291"/>
    <w:rsid w:val="00EF4F66"/>
    <w:rsid w:val="00EF5434"/>
    <w:rsid w:val="00EF6CE3"/>
    <w:rsid w:val="00EF7482"/>
    <w:rsid w:val="00F03DB3"/>
    <w:rsid w:val="00F16FC9"/>
    <w:rsid w:val="00F201CD"/>
    <w:rsid w:val="00F212A8"/>
    <w:rsid w:val="00F221A0"/>
    <w:rsid w:val="00F23BE4"/>
    <w:rsid w:val="00F24828"/>
    <w:rsid w:val="00F24BA6"/>
    <w:rsid w:val="00F25298"/>
    <w:rsid w:val="00F2581B"/>
    <w:rsid w:val="00F3005F"/>
    <w:rsid w:val="00F327D7"/>
    <w:rsid w:val="00F33527"/>
    <w:rsid w:val="00F40B31"/>
    <w:rsid w:val="00F43497"/>
    <w:rsid w:val="00F4471B"/>
    <w:rsid w:val="00F4565A"/>
    <w:rsid w:val="00F47232"/>
    <w:rsid w:val="00F47606"/>
    <w:rsid w:val="00F52159"/>
    <w:rsid w:val="00F54EF0"/>
    <w:rsid w:val="00F5611B"/>
    <w:rsid w:val="00F6666B"/>
    <w:rsid w:val="00F66849"/>
    <w:rsid w:val="00F67582"/>
    <w:rsid w:val="00F7101D"/>
    <w:rsid w:val="00F74D9D"/>
    <w:rsid w:val="00F770AD"/>
    <w:rsid w:val="00F77E67"/>
    <w:rsid w:val="00F80469"/>
    <w:rsid w:val="00F84335"/>
    <w:rsid w:val="00F914C4"/>
    <w:rsid w:val="00F92B7B"/>
    <w:rsid w:val="00F95057"/>
    <w:rsid w:val="00FB0DFC"/>
    <w:rsid w:val="00FB4A05"/>
    <w:rsid w:val="00FB532F"/>
    <w:rsid w:val="00FC1095"/>
    <w:rsid w:val="00FC6A49"/>
    <w:rsid w:val="00FC74F0"/>
    <w:rsid w:val="00FD0052"/>
    <w:rsid w:val="00FD2192"/>
    <w:rsid w:val="00FD5C43"/>
    <w:rsid w:val="00FD7FB0"/>
    <w:rsid w:val="00FE1BE3"/>
    <w:rsid w:val="00FE225D"/>
    <w:rsid w:val="00FE2861"/>
    <w:rsid w:val="00FE38C9"/>
    <w:rsid w:val="00FE3CD4"/>
    <w:rsid w:val="00FE4C55"/>
    <w:rsid w:val="00FE51E0"/>
    <w:rsid w:val="00FE56C8"/>
    <w:rsid w:val="00FE7970"/>
    <w:rsid w:val="00FF2952"/>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569D14ED"/>
  <w14:defaultImageDpi w14:val="330"/>
  <w15:docId w15:val="{8B27B79A-E8CB-4BFF-A50D-920BEA7F6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N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A56CD"/>
  </w:style>
  <w:style w:type="paragraph" w:styleId="Heading1">
    <w:name w:val="heading 1"/>
    <w:basedOn w:val="Normal"/>
    <w:next w:val="Normal"/>
    <w:link w:val="Heading1Char"/>
    <w:uiPriority w:val="9"/>
    <w:qFormat/>
    <w:rsid w:val="00AA56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AA4FA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utoList2">
    <w:name w:val="1AutoList2"/>
    <w:rsid w:val="002C5B8B"/>
    <w:pPr>
      <w:widowControl w:val="0"/>
      <w:tabs>
        <w:tab w:val="left" w:pos="720"/>
      </w:tabs>
      <w:spacing w:after="0" w:line="240" w:lineRule="auto"/>
      <w:ind w:left="720" w:hanging="720"/>
      <w:jc w:val="both"/>
    </w:pPr>
    <w:rPr>
      <w:rFonts w:eastAsia="Times New Roman"/>
      <w:snapToGrid w:val="0"/>
      <w:szCs w:val="20"/>
      <w:lang w:val="en-AU"/>
    </w:rPr>
  </w:style>
  <w:style w:type="paragraph" w:styleId="BalloonText">
    <w:name w:val="Balloon Text"/>
    <w:basedOn w:val="Normal"/>
    <w:link w:val="BalloonTextChar"/>
    <w:uiPriority w:val="99"/>
    <w:semiHidden/>
    <w:unhideWhenUsed/>
    <w:rsid w:val="00E103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3CA"/>
    <w:rPr>
      <w:rFonts w:ascii="Segoe UI" w:hAnsi="Segoe UI" w:cs="Segoe UI"/>
      <w:sz w:val="18"/>
      <w:szCs w:val="18"/>
    </w:rPr>
  </w:style>
  <w:style w:type="paragraph" w:styleId="FootnoteText">
    <w:name w:val="footnote text"/>
    <w:aliases w:val="single space,FOOTNOTES,ft,footnote text,Footnote Text Char2 Char,Footnote Text Char1 Char Char,Footnote Text Char Char Char Char,Footnote Text Char2 Char Char Char Char,Footnote Text Char Char Char Char Char Char,ADB"/>
    <w:basedOn w:val="Normal"/>
    <w:link w:val="FootnoteTextChar"/>
    <w:uiPriority w:val="99"/>
    <w:unhideWhenUsed/>
    <w:qFormat/>
    <w:rsid w:val="00A97771"/>
    <w:pPr>
      <w:spacing w:after="0" w:line="240" w:lineRule="auto"/>
    </w:pPr>
    <w:rPr>
      <w:sz w:val="20"/>
      <w:szCs w:val="20"/>
    </w:rPr>
  </w:style>
  <w:style w:type="character" w:customStyle="1" w:styleId="FootnoteTextChar">
    <w:name w:val="Footnote Text Char"/>
    <w:aliases w:val="single space Char,FOOTNOTES Char,ft Char,footnote text Char,Footnote Text Char2 Char Char,Footnote Text Char1 Char Char Char,Footnote Text Char Char Char Char Char,Footnote Text Char2 Char Char Char Char Char,ADB Char"/>
    <w:basedOn w:val="DefaultParagraphFont"/>
    <w:link w:val="FootnoteText"/>
    <w:uiPriority w:val="99"/>
    <w:rsid w:val="00A97771"/>
    <w:rPr>
      <w:sz w:val="20"/>
      <w:szCs w:val="20"/>
    </w:rPr>
  </w:style>
  <w:style w:type="character" w:styleId="FootnoteReference">
    <w:name w:val="footnote reference"/>
    <w:aliases w:val="ftref,Error-Fußnotenzeichen5,Error-Fußnotenzeichen6,Error-Fußnotenzeichen3,Footnote Reference1,referencia nota al pie,Знак сноски 1,Footnote Reference Number,Footnote Reference_LVL6,Footnote Reference_LVL61,Footnote Reference_LVL62"/>
    <w:basedOn w:val="DefaultParagraphFont"/>
    <w:uiPriority w:val="99"/>
    <w:unhideWhenUsed/>
    <w:rsid w:val="00A97771"/>
    <w:rPr>
      <w:vertAlign w:val="superscript"/>
    </w:rPr>
  </w:style>
  <w:style w:type="character" w:styleId="Hyperlink">
    <w:name w:val="Hyperlink"/>
    <w:basedOn w:val="DefaultParagraphFont"/>
    <w:uiPriority w:val="99"/>
    <w:unhideWhenUsed/>
    <w:rsid w:val="00FE56C8"/>
    <w:rPr>
      <w:color w:val="0563C1" w:themeColor="hyperlink"/>
      <w:u w:val="single"/>
    </w:rPr>
  </w:style>
  <w:style w:type="character" w:customStyle="1" w:styleId="Heading1Char">
    <w:name w:val="Heading 1 Char"/>
    <w:basedOn w:val="DefaultParagraphFont"/>
    <w:link w:val="Heading1"/>
    <w:uiPriority w:val="9"/>
    <w:rsid w:val="00AA5625"/>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811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11DF"/>
  </w:style>
  <w:style w:type="paragraph" w:styleId="Footer">
    <w:name w:val="footer"/>
    <w:basedOn w:val="Normal"/>
    <w:link w:val="FooterChar"/>
    <w:uiPriority w:val="99"/>
    <w:unhideWhenUsed/>
    <w:rsid w:val="005811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11DF"/>
  </w:style>
  <w:style w:type="paragraph" w:styleId="ListParagraph">
    <w:name w:val="List Paragraph"/>
    <w:basedOn w:val="Normal"/>
    <w:uiPriority w:val="34"/>
    <w:qFormat/>
    <w:rsid w:val="004327EE"/>
    <w:pPr>
      <w:ind w:left="720"/>
      <w:contextualSpacing/>
    </w:pPr>
  </w:style>
  <w:style w:type="paragraph" w:styleId="BodyText3">
    <w:name w:val="Body Text 3"/>
    <w:basedOn w:val="Normal"/>
    <w:link w:val="BodyText3Char"/>
    <w:rsid w:val="0032699D"/>
    <w:pPr>
      <w:spacing w:after="120" w:line="240" w:lineRule="auto"/>
    </w:pPr>
    <w:rPr>
      <w:rFonts w:eastAsia="Times New Roman"/>
      <w:sz w:val="16"/>
      <w:szCs w:val="20"/>
      <w:lang w:val="en-US"/>
    </w:rPr>
  </w:style>
  <w:style w:type="character" w:customStyle="1" w:styleId="BodyText3Char">
    <w:name w:val="Body Text 3 Char"/>
    <w:basedOn w:val="DefaultParagraphFont"/>
    <w:link w:val="BodyText3"/>
    <w:rsid w:val="0032699D"/>
    <w:rPr>
      <w:rFonts w:eastAsia="Times New Roman"/>
      <w:sz w:val="16"/>
      <w:szCs w:val="20"/>
      <w:lang w:val="en-US"/>
    </w:rPr>
  </w:style>
  <w:style w:type="character" w:styleId="HTMLCite">
    <w:name w:val="HTML Cite"/>
    <w:basedOn w:val="DefaultParagraphFont"/>
    <w:uiPriority w:val="99"/>
    <w:semiHidden/>
    <w:unhideWhenUsed/>
    <w:rsid w:val="00467A48"/>
    <w:rPr>
      <w:i/>
      <w:iCs/>
    </w:rPr>
  </w:style>
  <w:style w:type="paragraph" w:styleId="PlainText">
    <w:name w:val="Plain Text"/>
    <w:basedOn w:val="Normal"/>
    <w:link w:val="PlainTextChar"/>
    <w:uiPriority w:val="99"/>
    <w:unhideWhenUsed/>
    <w:rsid w:val="00FE286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E2861"/>
    <w:rPr>
      <w:rFonts w:ascii="Consolas" w:hAnsi="Consolas"/>
      <w:sz w:val="21"/>
      <w:szCs w:val="21"/>
    </w:rPr>
  </w:style>
  <w:style w:type="table" w:styleId="TableGrid">
    <w:name w:val="Table Grid"/>
    <w:basedOn w:val="TableNormal"/>
    <w:uiPriority w:val="59"/>
    <w:rsid w:val="00FE2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author">
    <w:name w:val="post-author"/>
    <w:basedOn w:val="DefaultParagraphFont"/>
    <w:rsid w:val="001A3F51"/>
  </w:style>
  <w:style w:type="character" w:customStyle="1" w:styleId="apple-converted-space">
    <w:name w:val="apple-converted-space"/>
    <w:basedOn w:val="DefaultParagraphFont"/>
    <w:rsid w:val="001A3F51"/>
  </w:style>
  <w:style w:type="character" w:styleId="CommentReference">
    <w:name w:val="annotation reference"/>
    <w:basedOn w:val="DefaultParagraphFont"/>
    <w:uiPriority w:val="99"/>
    <w:semiHidden/>
    <w:unhideWhenUsed/>
    <w:rsid w:val="00C43A0B"/>
    <w:rPr>
      <w:sz w:val="16"/>
      <w:szCs w:val="16"/>
    </w:rPr>
  </w:style>
  <w:style w:type="paragraph" w:styleId="CommentText">
    <w:name w:val="annotation text"/>
    <w:basedOn w:val="Normal"/>
    <w:link w:val="CommentTextChar"/>
    <w:uiPriority w:val="99"/>
    <w:unhideWhenUsed/>
    <w:rsid w:val="00C43A0B"/>
    <w:pPr>
      <w:spacing w:line="240" w:lineRule="auto"/>
    </w:pPr>
    <w:rPr>
      <w:sz w:val="20"/>
      <w:szCs w:val="20"/>
    </w:rPr>
  </w:style>
  <w:style w:type="character" w:customStyle="1" w:styleId="CommentTextChar">
    <w:name w:val="Comment Text Char"/>
    <w:basedOn w:val="DefaultParagraphFont"/>
    <w:link w:val="CommentText"/>
    <w:uiPriority w:val="99"/>
    <w:rsid w:val="00C43A0B"/>
    <w:rPr>
      <w:sz w:val="20"/>
      <w:szCs w:val="20"/>
    </w:rPr>
  </w:style>
  <w:style w:type="paragraph" w:styleId="CommentSubject">
    <w:name w:val="annotation subject"/>
    <w:basedOn w:val="CommentText"/>
    <w:next w:val="CommentText"/>
    <w:link w:val="CommentSubjectChar"/>
    <w:uiPriority w:val="99"/>
    <w:semiHidden/>
    <w:unhideWhenUsed/>
    <w:rsid w:val="00C43A0B"/>
    <w:rPr>
      <w:b/>
      <w:bCs/>
    </w:rPr>
  </w:style>
  <w:style w:type="character" w:customStyle="1" w:styleId="CommentSubjectChar">
    <w:name w:val="Comment Subject Char"/>
    <w:basedOn w:val="CommentTextChar"/>
    <w:link w:val="CommentSubject"/>
    <w:uiPriority w:val="99"/>
    <w:semiHidden/>
    <w:rsid w:val="00C43A0B"/>
    <w:rPr>
      <w:b/>
      <w:bCs/>
      <w:sz w:val="20"/>
      <w:szCs w:val="20"/>
    </w:rPr>
  </w:style>
  <w:style w:type="character" w:styleId="PlaceholderText">
    <w:name w:val="Placeholder Text"/>
    <w:basedOn w:val="DefaultParagraphFont"/>
    <w:uiPriority w:val="99"/>
    <w:semiHidden/>
    <w:rsid w:val="00CF3D5C"/>
    <w:rPr>
      <w:color w:val="808080"/>
    </w:rPr>
  </w:style>
  <w:style w:type="paragraph" w:styleId="NormalWeb">
    <w:name w:val="Normal (Web)"/>
    <w:basedOn w:val="Normal"/>
    <w:uiPriority w:val="99"/>
    <w:unhideWhenUsed/>
    <w:rsid w:val="00B16101"/>
    <w:pPr>
      <w:spacing w:before="100" w:beforeAutospacing="1" w:after="100" w:afterAutospacing="1" w:line="240" w:lineRule="auto"/>
    </w:pPr>
    <w:rPr>
      <w:rFonts w:eastAsia="Times New Roman"/>
      <w:lang w:val="en-US"/>
    </w:rPr>
  </w:style>
  <w:style w:type="character" w:customStyle="1" w:styleId="Heading5Char">
    <w:name w:val="Heading 5 Char"/>
    <w:basedOn w:val="DefaultParagraphFont"/>
    <w:link w:val="Heading5"/>
    <w:uiPriority w:val="9"/>
    <w:semiHidden/>
    <w:rsid w:val="00AA4FA0"/>
    <w:rPr>
      <w:rFonts w:asciiTheme="majorHAnsi" w:eastAsiaTheme="majorEastAsia" w:hAnsiTheme="majorHAnsi" w:cstheme="majorBidi"/>
      <w:color w:val="2E74B5" w:themeColor="accent1" w:themeShade="BF"/>
    </w:rPr>
  </w:style>
  <w:style w:type="paragraph" w:styleId="HTMLPreformatted">
    <w:name w:val="HTML Preformatted"/>
    <w:basedOn w:val="Normal"/>
    <w:link w:val="HTMLPreformattedChar"/>
    <w:uiPriority w:val="99"/>
    <w:semiHidden/>
    <w:unhideWhenUsed/>
    <w:rsid w:val="00F4760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47606"/>
    <w:rPr>
      <w:rFonts w:ascii="Consolas" w:hAnsi="Consolas"/>
      <w:sz w:val="20"/>
      <w:szCs w:val="20"/>
    </w:rPr>
  </w:style>
  <w:style w:type="character" w:customStyle="1" w:styleId="PlainTextChar1">
    <w:name w:val="Plain Text Char1"/>
    <w:basedOn w:val="DefaultParagraphFont"/>
    <w:uiPriority w:val="99"/>
    <w:rsid w:val="005B7D6B"/>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884796">
      <w:bodyDiv w:val="1"/>
      <w:marLeft w:val="0"/>
      <w:marRight w:val="0"/>
      <w:marTop w:val="0"/>
      <w:marBottom w:val="0"/>
      <w:divBdr>
        <w:top w:val="none" w:sz="0" w:space="0" w:color="auto"/>
        <w:left w:val="none" w:sz="0" w:space="0" w:color="auto"/>
        <w:bottom w:val="none" w:sz="0" w:space="0" w:color="auto"/>
        <w:right w:val="none" w:sz="0" w:space="0" w:color="auto"/>
      </w:divBdr>
    </w:div>
    <w:div w:id="477308404">
      <w:bodyDiv w:val="1"/>
      <w:marLeft w:val="0"/>
      <w:marRight w:val="0"/>
      <w:marTop w:val="0"/>
      <w:marBottom w:val="0"/>
      <w:divBdr>
        <w:top w:val="none" w:sz="0" w:space="0" w:color="auto"/>
        <w:left w:val="none" w:sz="0" w:space="0" w:color="auto"/>
        <w:bottom w:val="none" w:sz="0" w:space="0" w:color="auto"/>
        <w:right w:val="none" w:sz="0" w:space="0" w:color="auto"/>
      </w:divBdr>
    </w:div>
    <w:div w:id="493910749">
      <w:bodyDiv w:val="1"/>
      <w:marLeft w:val="0"/>
      <w:marRight w:val="0"/>
      <w:marTop w:val="0"/>
      <w:marBottom w:val="0"/>
      <w:divBdr>
        <w:top w:val="none" w:sz="0" w:space="0" w:color="auto"/>
        <w:left w:val="none" w:sz="0" w:space="0" w:color="auto"/>
        <w:bottom w:val="none" w:sz="0" w:space="0" w:color="auto"/>
        <w:right w:val="none" w:sz="0" w:space="0" w:color="auto"/>
      </w:divBdr>
    </w:div>
    <w:div w:id="619651659">
      <w:bodyDiv w:val="1"/>
      <w:marLeft w:val="0"/>
      <w:marRight w:val="0"/>
      <w:marTop w:val="0"/>
      <w:marBottom w:val="0"/>
      <w:divBdr>
        <w:top w:val="none" w:sz="0" w:space="0" w:color="auto"/>
        <w:left w:val="none" w:sz="0" w:space="0" w:color="auto"/>
        <w:bottom w:val="none" w:sz="0" w:space="0" w:color="auto"/>
        <w:right w:val="none" w:sz="0" w:space="0" w:color="auto"/>
      </w:divBdr>
    </w:div>
    <w:div w:id="871965759">
      <w:bodyDiv w:val="1"/>
      <w:marLeft w:val="0"/>
      <w:marRight w:val="0"/>
      <w:marTop w:val="0"/>
      <w:marBottom w:val="0"/>
      <w:divBdr>
        <w:top w:val="none" w:sz="0" w:space="0" w:color="auto"/>
        <w:left w:val="none" w:sz="0" w:space="0" w:color="auto"/>
        <w:bottom w:val="none" w:sz="0" w:space="0" w:color="auto"/>
        <w:right w:val="none" w:sz="0" w:space="0" w:color="auto"/>
      </w:divBdr>
      <w:divsChild>
        <w:div w:id="607080256">
          <w:marLeft w:val="0"/>
          <w:marRight w:val="0"/>
          <w:marTop w:val="0"/>
          <w:marBottom w:val="0"/>
          <w:divBdr>
            <w:top w:val="none" w:sz="0" w:space="0" w:color="auto"/>
            <w:left w:val="none" w:sz="0" w:space="0" w:color="auto"/>
            <w:bottom w:val="none" w:sz="0" w:space="0" w:color="auto"/>
            <w:right w:val="none" w:sz="0" w:space="0" w:color="auto"/>
          </w:divBdr>
        </w:div>
        <w:div w:id="1927416874">
          <w:marLeft w:val="0"/>
          <w:marRight w:val="0"/>
          <w:marTop w:val="0"/>
          <w:marBottom w:val="0"/>
          <w:divBdr>
            <w:top w:val="none" w:sz="0" w:space="0" w:color="auto"/>
            <w:left w:val="none" w:sz="0" w:space="0" w:color="auto"/>
            <w:bottom w:val="none" w:sz="0" w:space="0" w:color="auto"/>
            <w:right w:val="none" w:sz="0" w:space="0" w:color="auto"/>
          </w:divBdr>
        </w:div>
        <w:div w:id="698699032">
          <w:marLeft w:val="0"/>
          <w:marRight w:val="0"/>
          <w:marTop w:val="0"/>
          <w:marBottom w:val="0"/>
          <w:divBdr>
            <w:top w:val="none" w:sz="0" w:space="0" w:color="auto"/>
            <w:left w:val="none" w:sz="0" w:space="0" w:color="auto"/>
            <w:bottom w:val="none" w:sz="0" w:space="0" w:color="auto"/>
            <w:right w:val="none" w:sz="0" w:space="0" w:color="auto"/>
          </w:divBdr>
        </w:div>
      </w:divsChild>
    </w:div>
    <w:div w:id="1140876714">
      <w:bodyDiv w:val="1"/>
      <w:marLeft w:val="0"/>
      <w:marRight w:val="0"/>
      <w:marTop w:val="0"/>
      <w:marBottom w:val="0"/>
      <w:divBdr>
        <w:top w:val="none" w:sz="0" w:space="0" w:color="auto"/>
        <w:left w:val="none" w:sz="0" w:space="0" w:color="auto"/>
        <w:bottom w:val="none" w:sz="0" w:space="0" w:color="auto"/>
        <w:right w:val="none" w:sz="0" w:space="0" w:color="auto"/>
      </w:divBdr>
    </w:div>
    <w:div w:id="1200312403">
      <w:bodyDiv w:val="1"/>
      <w:marLeft w:val="0"/>
      <w:marRight w:val="0"/>
      <w:marTop w:val="0"/>
      <w:marBottom w:val="0"/>
      <w:divBdr>
        <w:top w:val="none" w:sz="0" w:space="0" w:color="auto"/>
        <w:left w:val="none" w:sz="0" w:space="0" w:color="auto"/>
        <w:bottom w:val="none" w:sz="0" w:space="0" w:color="auto"/>
        <w:right w:val="none" w:sz="0" w:space="0" w:color="auto"/>
      </w:divBdr>
    </w:div>
    <w:div w:id="1254127886">
      <w:bodyDiv w:val="1"/>
      <w:marLeft w:val="0"/>
      <w:marRight w:val="0"/>
      <w:marTop w:val="0"/>
      <w:marBottom w:val="0"/>
      <w:divBdr>
        <w:top w:val="none" w:sz="0" w:space="0" w:color="auto"/>
        <w:left w:val="none" w:sz="0" w:space="0" w:color="auto"/>
        <w:bottom w:val="none" w:sz="0" w:space="0" w:color="auto"/>
        <w:right w:val="none" w:sz="0" w:space="0" w:color="auto"/>
      </w:divBdr>
    </w:div>
    <w:div w:id="1486430863">
      <w:bodyDiv w:val="1"/>
      <w:marLeft w:val="0"/>
      <w:marRight w:val="0"/>
      <w:marTop w:val="0"/>
      <w:marBottom w:val="0"/>
      <w:divBdr>
        <w:top w:val="none" w:sz="0" w:space="0" w:color="auto"/>
        <w:left w:val="none" w:sz="0" w:space="0" w:color="auto"/>
        <w:bottom w:val="none" w:sz="0" w:space="0" w:color="auto"/>
        <w:right w:val="none" w:sz="0" w:space="0" w:color="auto"/>
      </w:divBdr>
      <w:divsChild>
        <w:div w:id="117336757">
          <w:marLeft w:val="0"/>
          <w:marRight w:val="0"/>
          <w:marTop w:val="0"/>
          <w:marBottom w:val="0"/>
          <w:divBdr>
            <w:top w:val="none" w:sz="0" w:space="0" w:color="auto"/>
            <w:left w:val="none" w:sz="0" w:space="0" w:color="auto"/>
            <w:bottom w:val="none" w:sz="0" w:space="0" w:color="auto"/>
            <w:right w:val="none" w:sz="0" w:space="0" w:color="auto"/>
          </w:divBdr>
        </w:div>
        <w:div w:id="1384409518">
          <w:marLeft w:val="0"/>
          <w:marRight w:val="0"/>
          <w:marTop w:val="0"/>
          <w:marBottom w:val="0"/>
          <w:divBdr>
            <w:top w:val="none" w:sz="0" w:space="0" w:color="auto"/>
            <w:left w:val="none" w:sz="0" w:space="0" w:color="auto"/>
            <w:bottom w:val="none" w:sz="0" w:space="0" w:color="auto"/>
            <w:right w:val="none" w:sz="0" w:space="0" w:color="auto"/>
          </w:divBdr>
        </w:div>
        <w:div w:id="1751462381">
          <w:marLeft w:val="0"/>
          <w:marRight w:val="0"/>
          <w:marTop w:val="0"/>
          <w:marBottom w:val="0"/>
          <w:divBdr>
            <w:top w:val="none" w:sz="0" w:space="0" w:color="auto"/>
            <w:left w:val="none" w:sz="0" w:space="0" w:color="auto"/>
            <w:bottom w:val="none" w:sz="0" w:space="0" w:color="auto"/>
            <w:right w:val="none" w:sz="0" w:space="0" w:color="auto"/>
          </w:divBdr>
        </w:div>
      </w:divsChild>
    </w:div>
    <w:div w:id="1492671403">
      <w:bodyDiv w:val="1"/>
      <w:marLeft w:val="0"/>
      <w:marRight w:val="0"/>
      <w:marTop w:val="0"/>
      <w:marBottom w:val="0"/>
      <w:divBdr>
        <w:top w:val="none" w:sz="0" w:space="0" w:color="auto"/>
        <w:left w:val="none" w:sz="0" w:space="0" w:color="auto"/>
        <w:bottom w:val="none" w:sz="0" w:space="0" w:color="auto"/>
        <w:right w:val="none" w:sz="0" w:space="0" w:color="auto"/>
      </w:divBdr>
    </w:div>
    <w:div w:id="1505197990">
      <w:bodyDiv w:val="1"/>
      <w:marLeft w:val="0"/>
      <w:marRight w:val="0"/>
      <w:marTop w:val="0"/>
      <w:marBottom w:val="0"/>
      <w:divBdr>
        <w:top w:val="none" w:sz="0" w:space="0" w:color="auto"/>
        <w:left w:val="none" w:sz="0" w:space="0" w:color="auto"/>
        <w:bottom w:val="none" w:sz="0" w:space="0" w:color="auto"/>
        <w:right w:val="none" w:sz="0" w:space="0" w:color="auto"/>
      </w:divBdr>
      <w:divsChild>
        <w:div w:id="1366251374">
          <w:marLeft w:val="0"/>
          <w:marRight w:val="0"/>
          <w:marTop w:val="0"/>
          <w:marBottom w:val="0"/>
          <w:divBdr>
            <w:top w:val="none" w:sz="0" w:space="0" w:color="auto"/>
            <w:left w:val="none" w:sz="0" w:space="0" w:color="auto"/>
            <w:bottom w:val="none" w:sz="0" w:space="0" w:color="auto"/>
            <w:right w:val="none" w:sz="0" w:space="0" w:color="auto"/>
          </w:divBdr>
        </w:div>
        <w:div w:id="834342753">
          <w:marLeft w:val="0"/>
          <w:marRight w:val="0"/>
          <w:marTop w:val="0"/>
          <w:marBottom w:val="0"/>
          <w:divBdr>
            <w:top w:val="none" w:sz="0" w:space="0" w:color="auto"/>
            <w:left w:val="none" w:sz="0" w:space="0" w:color="auto"/>
            <w:bottom w:val="none" w:sz="0" w:space="0" w:color="auto"/>
            <w:right w:val="none" w:sz="0" w:space="0" w:color="auto"/>
          </w:divBdr>
        </w:div>
        <w:div w:id="2140493335">
          <w:marLeft w:val="0"/>
          <w:marRight w:val="0"/>
          <w:marTop w:val="0"/>
          <w:marBottom w:val="0"/>
          <w:divBdr>
            <w:top w:val="none" w:sz="0" w:space="0" w:color="auto"/>
            <w:left w:val="none" w:sz="0" w:space="0" w:color="auto"/>
            <w:bottom w:val="none" w:sz="0" w:space="0" w:color="auto"/>
            <w:right w:val="none" w:sz="0" w:space="0" w:color="auto"/>
          </w:divBdr>
        </w:div>
      </w:divsChild>
    </w:div>
    <w:div w:id="1677151941">
      <w:bodyDiv w:val="1"/>
      <w:marLeft w:val="0"/>
      <w:marRight w:val="0"/>
      <w:marTop w:val="0"/>
      <w:marBottom w:val="0"/>
      <w:divBdr>
        <w:top w:val="none" w:sz="0" w:space="0" w:color="auto"/>
        <w:left w:val="none" w:sz="0" w:space="0" w:color="auto"/>
        <w:bottom w:val="none" w:sz="0" w:space="0" w:color="auto"/>
        <w:right w:val="none" w:sz="0" w:space="0" w:color="auto"/>
      </w:divBdr>
    </w:div>
    <w:div w:id="1717895521">
      <w:bodyDiv w:val="1"/>
      <w:marLeft w:val="0"/>
      <w:marRight w:val="0"/>
      <w:marTop w:val="0"/>
      <w:marBottom w:val="0"/>
      <w:divBdr>
        <w:top w:val="none" w:sz="0" w:space="0" w:color="auto"/>
        <w:left w:val="none" w:sz="0" w:space="0" w:color="auto"/>
        <w:bottom w:val="none" w:sz="0" w:space="0" w:color="auto"/>
        <w:right w:val="none" w:sz="0" w:space="0" w:color="auto"/>
      </w:divBdr>
      <w:divsChild>
        <w:div w:id="976495324">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tmp"/><Relationship Id="rId5" Type="http://schemas.openxmlformats.org/officeDocument/2006/relationships/footnotes" Target="footnotes.xml"/><Relationship Id="rId10" Type="http://schemas.openxmlformats.org/officeDocument/2006/relationships/hyperlink" Target="http://lightinequality.com/top-lights.html" TargetMode="External"/><Relationship Id="rId4" Type="http://schemas.openxmlformats.org/officeDocument/2006/relationships/webSettings" Target="webSettings.xml"/><Relationship Id="rId9" Type="http://schemas.openxmlformats.org/officeDocument/2006/relationships/image" Target="media/image1.ti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ogdata.mines.edu/download_dnb_composit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845CD-341A-4140-8B99-8AD8358E2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18</Pages>
  <Words>6229</Words>
  <Characters>35509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University of Waikato</Company>
  <LinksUpToDate>false</LinksUpToDate>
  <CharactersWithSpaces>41655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Gibson</dc:creator>
  <cp:lastModifiedBy>silverab71@gmail.com</cp:lastModifiedBy>
  <cp:revision>7</cp:revision>
  <cp:lastPrinted>2019-09-21T14:54:00Z</cp:lastPrinted>
  <dcterms:created xsi:type="dcterms:W3CDTF">2019-09-21T16:16:00Z</dcterms:created>
  <dcterms:modified xsi:type="dcterms:W3CDTF">2019-09-21T21:50:00Z</dcterms:modified>
</cp:coreProperties>
</file>